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5"/>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207645</wp:posOffset>
            </wp:positionH>
            <wp:positionV relativeFrom="page">
              <wp:posOffset>539750</wp:posOffset>
            </wp:positionV>
            <wp:extent cx="713422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7620"/>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562610</wp:posOffset>
            </wp:positionV>
            <wp:extent cx="713422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7620"/>
                    </a:xfrm>
                    <a:prstGeom prst="rect">
                      <a:avLst/>
                    </a:prstGeom>
                    <a:noFill/>
                  </pic:spPr>
                </pic:pic>
              </a:graphicData>
            </a:graphic>
          </wp:anchor>
        </w:drawing>
        <w:t>UNITED STATES</w:t>
      </w:r>
    </w:p>
    <w:p>
      <w:pPr>
        <w:spacing w:after="0" w:line="31" w:lineRule="exact"/>
        <w:rPr>
          <w:sz w:val="24"/>
          <w:szCs w:val="24"/>
          <w:color w:val="auto"/>
        </w:rPr>
      </w:pPr>
    </w:p>
    <w:p>
      <w:pPr>
        <w:jc w:val="center"/>
        <w:ind w:right="95"/>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95"/>
        <w:spacing w:after="0"/>
        <w:rPr>
          <w:sz w:val="20"/>
          <w:szCs w:val="20"/>
          <w:color w:val="auto"/>
        </w:rPr>
      </w:pPr>
      <w:r>
        <w:rPr>
          <w:rFonts w:ascii="Arial" w:cs="Arial" w:eastAsia="Arial" w:hAnsi="Arial"/>
          <w:sz w:val="11"/>
          <w:szCs w:val="11"/>
          <w:b w:val="1"/>
          <w:bCs w:val="1"/>
          <w:color w:val="auto"/>
        </w:rPr>
        <w:t>Washington, D.C. 20549</w:t>
      </w:r>
    </w:p>
    <w:p>
      <w:pPr>
        <w:spacing w:after="0" w:line="83" w:lineRule="exact"/>
        <w:rPr>
          <w:sz w:val="24"/>
          <w:szCs w:val="24"/>
          <w:color w:val="auto"/>
        </w:rPr>
      </w:pPr>
    </w:p>
    <w:p>
      <w:pPr>
        <w:jc w:val="center"/>
        <w:ind w:right="95"/>
        <w:spacing w:after="0"/>
        <w:rPr>
          <w:sz w:val="20"/>
          <w:szCs w:val="20"/>
          <w:color w:val="auto"/>
        </w:rPr>
      </w:pPr>
      <w:r>
        <w:rPr>
          <w:rFonts w:ascii="Arial" w:cs="Arial" w:eastAsia="Arial" w:hAnsi="Arial"/>
          <w:sz w:val="22"/>
          <w:szCs w:val="22"/>
          <w:b w:val="1"/>
          <w:bCs w:val="1"/>
          <w:color w:val="auto"/>
        </w:rPr>
        <w:t>FORM 10-K</w:t>
      </w:r>
    </w:p>
    <w:p>
      <w:pPr>
        <w:spacing w:after="0" w:line="29" w:lineRule="exact"/>
        <w:rPr>
          <w:sz w:val="24"/>
          <w:szCs w:val="24"/>
          <w:color w:val="auto"/>
        </w:rPr>
      </w:pPr>
    </w:p>
    <w:p>
      <w:pPr>
        <w:ind w:left="5"/>
        <w:spacing w:after="0"/>
        <w:rPr>
          <w:sz w:val="20"/>
          <w:szCs w:val="20"/>
          <w:color w:val="auto"/>
        </w:rPr>
      </w:pPr>
      <w:r>
        <w:rPr>
          <w:rFonts w:ascii="Arial" w:cs="Arial" w:eastAsia="Arial" w:hAnsi="Arial"/>
          <w:sz w:val="16"/>
          <w:szCs w:val="16"/>
          <w:b w:val="1"/>
          <w:bCs w:val="1"/>
          <w:color w:val="auto"/>
        </w:rPr>
        <w:t>(Mark One)</w:t>
      </w:r>
    </w:p>
    <w:p>
      <w:pPr>
        <w:spacing w:after="0" w:line="94" w:lineRule="exact"/>
        <w:rPr>
          <w:sz w:val="24"/>
          <w:szCs w:val="24"/>
          <w:color w:val="auto"/>
        </w:rPr>
      </w:pPr>
    </w:p>
    <w:p>
      <w:pPr>
        <w:ind w:left="185" w:hanging="185"/>
        <w:spacing w:after="0"/>
        <w:tabs>
          <w:tab w:leader="none" w:pos="185" w:val="left"/>
        </w:tabs>
        <w:numPr>
          <w:ilvl w:val="0"/>
          <w:numId w:val="1"/>
        </w:numPr>
        <w:rPr>
          <w:rFonts w:ascii="MS PGothic" w:cs="MS PGothic" w:eastAsia="MS PGothic" w:hAnsi="MS PGothic"/>
          <w:sz w:val="17"/>
          <w:szCs w:val="17"/>
          <w:color w:val="auto"/>
        </w:rPr>
      </w:pPr>
      <w:r>
        <w:rPr>
          <w:rFonts w:ascii="Arial" w:cs="Arial" w:eastAsia="Arial" w:hAnsi="Arial"/>
          <w:sz w:val="16"/>
          <w:szCs w:val="16"/>
          <w:b w:val="1"/>
          <w:bCs w:val="1"/>
          <w:color w:val="auto"/>
        </w:rPr>
        <w:t>ANNUAL REPORT PURSUANT TO SECTION 13 OR 15(d) OF THE SECURITIES EXCHANGE ACT OF 1934</w:t>
      </w:r>
    </w:p>
    <w:p>
      <w:pPr>
        <w:spacing w:after="0" w:line="219" w:lineRule="exact"/>
        <w:rPr>
          <w:sz w:val="24"/>
          <w:szCs w:val="24"/>
          <w:color w:val="auto"/>
        </w:rPr>
      </w:pPr>
    </w:p>
    <w:p>
      <w:pPr>
        <w:jc w:val="center"/>
        <w:ind w:right="95"/>
        <w:spacing w:after="0"/>
        <w:rPr>
          <w:sz w:val="20"/>
          <w:szCs w:val="20"/>
          <w:color w:val="auto"/>
        </w:rPr>
      </w:pPr>
      <w:r>
        <w:rPr>
          <w:rFonts w:ascii="Arial" w:cs="Arial" w:eastAsia="Arial" w:hAnsi="Arial"/>
          <w:sz w:val="16"/>
          <w:szCs w:val="16"/>
          <w:b w:val="1"/>
          <w:bCs w:val="1"/>
          <w:color w:val="auto"/>
        </w:rPr>
        <w:t>For the fiscal year ended December 31, 2021</w:t>
      </w:r>
    </w:p>
    <w:p>
      <w:pPr>
        <w:spacing w:after="0" w:line="53" w:lineRule="exact"/>
        <w:rPr>
          <w:sz w:val="24"/>
          <w:szCs w:val="24"/>
          <w:color w:val="auto"/>
        </w:rPr>
      </w:pPr>
    </w:p>
    <w:p>
      <w:pPr>
        <w:jc w:val="center"/>
        <w:ind w:right="95"/>
        <w:spacing w:after="0"/>
        <w:rPr>
          <w:sz w:val="20"/>
          <w:szCs w:val="20"/>
          <w:color w:val="auto"/>
        </w:rPr>
      </w:pPr>
      <w:r>
        <w:rPr>
          <w:rFonts w:ascii="Arial" w:cs="Arial" w:eastAsia="Arial" w:hAnsi="Arial"/>
          <w:sz w:val="16"/>
          <w:szCs w:val="16"/>
          <w:b w:val="1"/>
          <w:bCs w:val="1"/>
          <w:color w:val="auto"/>
        </w:rPr>
        <w:t>or</w:t>
      </w:r>
    </w:p>
    <w:p>
      <w:pPr>
        <w:spacing w:after="0" w:line="65" w:lineRule="exact"/>
        <w:rPr>
          <w:sz w:val="24"/>
          <w:szCs w:val="24"/>
          <w:color w:val="auto"/>
        </w:rPr>
      </w:pPr>
    </w:p>
    <w:p>
      <w:pPr>
        <w:ind w:left="185" w:hanging="185"/>
        <w:spacing w:after="0"/>
        <w:tabs>
          <w:tab w:leader="none" w:pos="185" w:val="left"/>
        </w:tabs>
        <w:numPr>
          <w:ilvl w:val="0"/>
          <w:numId w:val="2"/>
        </w:numPr>
        <w:rPr>
          <w:rFonts w:ascii="MS PGothic" w:cs="MS PGothic" w:eastAsia="MS PGothic" w:hAnsi="MS PGothic"/>
          <w:sz w:val="17"/>
          <w:szCs w:val="17"/>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3" w:lineRule="exact"/>
        <w:rPr>
          <w:sz w:val="24"/>
          <w:szCs w:val="24"/>
          <w:color w:val="auto"/>
        </w:rPr>
      </w:pPr>
    </w:p>
    <w:tbl>
      <w:tblPr>
        <w:tblLayout w:type="fixed"/>
        <w:tblInd w:w="5" w:type="dxa"/>
        <w:tblCellMar>
          <w:top w:w="0" w:type="dxa"/>
          <w:left w:w="0" w:type="dxa"/>
          <w:bottom w:w="0" w:type="dxa"/>
          <w:right w:w="0" w:type="dxa"/>
        </w:tblCellMar>
      </w:tblPr>
      <w:tr>
        <w:trPr>
          <w:trHeight w:val="205"/>
        </w:trPr>
        <w:tc>
          <w:tcPr>
            <w:tcW w:w="3900" w:type="dxa"/>
            <w:vAlign w:val="bottom"/>
          </w:tcPr>
          <w:p>
            <w:pPr>
              <w:spacing w:after="0"/>
              <w:rPr>
                <w:sz w:val="17"/>
                <w:szCs w:val="17"/>
                <w:color w:val="auto"/>
              </w:rPr>
            </w:pPr>
          </w:p>
        </w:tc>
        <w:tc>
          <w:tcPr>
            <w:tcW w:w="2580" w:type="dxa"/>
            <w:vAlign w:val="bottom"/>
            <w:gridSpan w:val="3"/>
          </w:tcPr>
          <w:p>
            <w:pPr>
              <w:ind w:left="440"/>
              <w:spacing w:after="0"/>
              <w:rPr>
                <w:sz w:val="20"/>
                <w:szCs w:val="20"/>
                <w:color w:val="auto"/>
              </w:rPr>
            </w:pPr>
            <w:r>
              <w:rPr>
                <w:rFonts w:ascii="Arial" w:cs="Arial" w:eastAsia="Arial" w:hAnsi="Arial"/>
                <w:sz w:val="16"/>
                <w:szCs w:val="16"/>
                <w:b w:val="1"/>
                <w:bCs w:val="1"/>
                <w:color w:val="auto"/>
                <w:w w:val="94"/>
              </w:rPr>
              <w:t>For the transition period from</w:t>
            </w:r>
          </w:p>
        </w:tc>
        <w:tc>
          <w:tcPr>
            <w:tcW w:w="4760" w:type="dxa"/>
            <w:vAlign w:val="bottom"/>
            <w:gridSpan w:val="3"/>
          </w:tcPr>
          <w:p>
            <w:pPr>
              <w:ind w:left="100"/>
              <w:spacing w:after="0"/>
              <w:rPr>
                <w:sz w:val="20"/>
                <w:szCs w:val="20"/>
                <w:color w:val="auto"/>
              </w:rPr>
            </w:pPr>
            <w:r>
              <w:rPr>
                <w:rFonts w:ascii="Arial" w:cs="Arial" w:eastAsia="Arial" w:hAnsi="Arial"/>
                <w:sz w:val="16"/>
                <w:szCs w:val="16"/>
                <w:b w:val="1"/>
                <w:bCs w:val="1"/>
                <w:color w:val="auto"/>
              </w:rPr>
              <w:t>to</w:t>
            </w:r>
          </w:p>
        </w:tc>
      </w:tr>
      <w:tr>
        <w:trPr>
          <w:trHeight w:val="201"/>
        </w:trPr>
        <w:tc>
          <w:tcPr>
            <w:tcW w:w="3900" w:type="dxa"/>
            <w:vAlign w:val="bottom"/>
          </w:tcPr>
          <w:p>
            <w:pPr>
              <w:spacing w:after="0"/>
              <w:rPr>
                <w:sz w:val="17"/>
                <w:szCs w:val="17"/>
                <w:color w:val="auto"/>
              </w:rPr>
            </w:pPr>
          </w:p>
        </w:tc>
        <w:tc>
          <w:tcPr>
            <w:tcW w:w="7340" w:type="dxa"/>
            <w:vAlign w:val="bottom"/>
            <w:gridSpan w:val="6"/>
          </w:tcPr>
          <w:p>
            <w:pPr>
              <w:jc w:val="center"/>
              <w:ind w:right="3835"/>
              <w:spacing w:after="0"/>
              <w:rPr>
                <w:sz w:val="20"/>
                <w:szCs w:val="20"/>
                <w:color w:val="auto"/>
              </w:rPr>
            </w:pPr>
            <w:r>
              <w:rPr>
                <w:rFonts w:ascii="Arial" w:cs="Arial" w:eastAsia="Arial" w:hAnsi="Arial"/>
                <w:sz w:val="16"/>
                <w:szCs w:val="16"/>
                <w:b w:val="1"/>
                <w:bCs w:val="1"/>
                <w:color w:val="auto"/>
                <w:w w:val="90"/>
              </w:rPr>
              <w:t>Commission file number: 001-37352</w:t>
            </w:r>
          </w:p>
        </w:tc>
      </w:tr>
      <w:tr>
        <w:trPr>
          <w:trHeight w:val="268"/>
        </w:trPr>
        <w:tc>
          <w:tcPr>
            <w:tcW w:w="3900" w:type="dxa"/>
            <w:vAlign w:val="bottom"/>
          </w:tcPr>
          <w:p>
            <w:pPr>
              <w:spacing w:after="0"/>
              <w:rPr>
                <w:sz w:val="23"/>
                <w:szCs w:val="23"/>
                <w:color w:val="auto"/>
              </w:rPr>
            </w:pPr>
          </w:p>
        </w:tc>
        <w:tc>
          <w:tcPr>
            <w:tcW w:w="7340" w:type="dxa"/>
            <w:vAlign w:val="bottom"/>
            <w:gridSpan w:val="6"/>
          </w:tcPr>
          <w:p>
            <w:pPr>
              <w:jc w:val="center"/>
              <w:ind w:right="3835"/>
              <w:spacing w:after="0"/>
              <w:rPr>
                <w:sz w:val="20"/>
                <w:szCs w:val="20"/>
                <w:color w:val="auto"/>
              </w:rPr>
            </w:pPr>
            <w:r>
              <w:rPr>
                <w:rFonts w:ascii="Arial" w:cs="Arial" w:eastAsia="Arial" w:hAnsi="Arial"/>
                <w:sz w:val="22"/>
                <w:szCs w:val="22"/>
                <w:b w:val="1"/>
                <w:bCs w:val="1"/>
                <w:color w:val="auto"/>
                <w:w w:val="95"/>
              </w:rPr>
              <w:t>Virtu Financial, Inc.</w:t>
            </w:r>
          </w:p>
        </w:tc>
      </w:tr>
      <w:tr>
        <w:trPr>
          <w:trHeight w:val="138"/>
        </w:trPr>
        <w:tc>
          <w:tcPr>
            <w:tcW w:w="3900" w:type="dxa"/>
            <w:vAlign w:val="bottom"/>
          </w:tcPr>
          <w:p>
            <w:pPr>
              <w:spacing w:after="0"/>
              <w:rPr>
                <w:sz w:val="12"/>
                <w:szCs w:val="12"/>
                <w:color w:val="auto"/>
              </w:rPr>
            </w:pPr>
          </w:p>
        </w:tc>
        <w:tc>
          <w:tcPr>
            <w:tcW w:w="7340" w:type="dxa"/>
            <w:vAlign w:val="bottom"/>
            <w:gridSpan w:val="6"/>
          </w:tcPr>
          <w:p>
            <w:pPr>
              <w:jc w:val="center"/>
              <w:ind w:right="3835"/>
              <w:spacing w:after="0"/>
              <w:rPr>
                <w:sz w:val="20"/>
                <w:szCs w:val="20"/>
                <w:color w:val="auto"/>
              </w:rPr>
            </w:pPr>
            <w:r>
              <w:rPr>
                <w:rFonts w:ascii="Arial" w:cs="Arial" w:eastAsia="Arial" w:hAnsi="Arial"/>
                <w:sz w:val="11"/>
                <w:szCs w:val="11"/>
                <w:color w:val="auto"/>
                <w:w w:val="90"/>
              </w:rPr>
              <w:t>(Exact name of registrant as specified in its charter)</w:t>
            </w:r>
          </w:p>
        </w:tc>
      </w:tr>
      <w:tr>
        <w:trPr>
          <w:trHeight w:val="224"/>
        </w:trPr>
        <w:tc>
          <w:tcPr>
            <w:tcW w:w="3900" w:type="dxa"/>
            <w:vAlign w:val="bottom"/>
          </w:tcPr>
          <w:p>
            <w:pPr>
              <w:jc w:val="center"/>
              <w:ind w:left="1674"/>
              <w:spacing w:after="0"/>
              <w:rPr>
                <w:sz w:val="20"/>
                <w:szCs w:val="20"/>
                <w:color w:val="auto"/>
              </w:rPr>
            </w:pPr>
            <w:r>
              <w:rPr>
                <w:rFonts w:ascii="Arial" w:cs="Arial" w:eastAsia="Arial" w:hAnsi="Arial"/>
                <w:sz w:val="16"/>
                <w:szCs w:val="16"/>
                <w:b w:val="1"/>
                <w:bCs w:val="1"/>
                <w:color w:val="auto"/>
                <w:w w:val="91"/>
              </w:rPr>
              <w:t>Delaware</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4760" w:type="dxa"/>
            <w:vAlign w:val="bottom"/>
            <w:gridSpan w:val="3"/>
          </w:tcPr>
          <w:p>
            <w:pPr>
              <w:jc w:val="right"/>
              <w:ind w:right="2375"/>
              <w:spacing w:after="0"/>
              <w:rPr>
                <w:sz w:val="20"/>
                <w:szCs w:val="20"/>
                <w:color w:val="auto"/>
              </w:rPr>
            </w:pPr>
            <w:r>
              <w:rPr>
                <w:rFonts w:ascii="Arial" w:cs="Arial" w:eastAsia="Arial" w:hAnsi="Arial"/>
                <w:sz w:val="16"/>
                <w:szCs w:val="16"/>
                <w:b w:val="1"/>
                <w:bCs w:val="1"/>
                <w:color w:val="auto"/>
              </w:rPr>
              <w:t>32-0420206</w:t>
            </w:r>
          </w:p>
        </w:tc>
      </w:tr>
      <w:tr>
        <w:trPr>
          <w:trHeight w:val="160"/>
        </w:trPr>
        <w:tc>
          <w:tcPr>
            <w:tcW w:w="6480" w:type="dxa"/>
            <w:vAlign w:val="bottom"/>
            <w:gridSpan w:val="4"/>
          </w:tcPr>
          <w:p>
            <w:pPr>
              <w:jc w:val="center"/>
              <w:ind w:right="753"/>
              <w:spacing w:after="0"/>
              <w:rPr>
                <w:sz w:val="20"/>
                <w:szCs w:val="20"/>
                <w:color w:val="auto"/>
              </w:rPr>
            </w:pPr>
            <w:r>
              <w:rPr>
                <w:rFonts w:ascii="Arial" w:cs="Arial" w:eastAsia="Arial" w:hAnsi="Arial"/>
                <w:sz w:val="13"/>
                <w:szCs w:val="13"/>
                <w:color w:val="auto"/>
                <w:w w:val="90"/>
              </w:rPr>
              <w:t>(State or other jurisdiction of incorporation or organization)</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20" w:type="dxa"/>
            <w:vAlign w:val="bottom"/>
          </w:tcPr>
          <w:p>
            <w:pPr>
              <w:jc w:val="center"/>
              <w:ind w:right="1355"/>
              <w:spacing w:after="0"/>
              <w:rPr>
                <w:sz w:val="20"/>
                <w:szCs w:val="20"/>
                <w:color w:val="auto"/>
              </w:rPr>
            </w:pPr>
            <w:r>
              <w:rPr>
                <w:rFonts w:ascii="Arial" w:cs="Arial" w:eastAsia="Arial" w:hAnsi="Arial"/>
                <w:sz w:val="13"/>
                <w:szCs w:val="13"/>
                <w:color w:val="auto"/>
                <w:w w:val="91"/>
              </w:rPr>
              <w:t>(I.R.S. Employer Identification No.)</w:t>
            </w:r>
          </w:p>
        </w:tc>
      </w:tr>
      <w:tr>
        <w:trPr>
          <w:trHeight w:val="426"/>
        </w:trPr>
        <w:tc>
          <w:tcPr>
            <w:tcW w:w="3900" w:type="dxa"/>
            <w:vAlign w:val="bottom"/>
          </w:tcPr>
          <w:p>
            <w:pPr>
              <w:jc w:val="center"/>
              <w:ind w:left="2594"/>
              <w:spacing w:after="0"/>
              <w:rPr>
                <w:sz w:val="20"/>
                <w:szCs w:val="20"/>
                <w:color w:val="auto"/>
              </w:rPr>
            </w:pPr>
            <w:r>
              <w:rPr>
                <w:rFonts w:ascii="Arial" w:cs="Arial" w:eastAsia="Arial" w:hAnsi="Arial"/>
                <w:sz w:val="13"/>
                <w:szCs w:val="13"/>
                <w:b w:val="1"/>
                <w:bCs w:val="1"/>
                <w:color w:val="auto"/>
                <w:w w:val="88"/>
              </w:rPr>
              <w:t>1633 Broadway</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20" w:type="dxa"/>
            <w:vAlign w:val="bottom"/>
          </w:tcPr>
          <w:p>
            <w:pPr>
              <w:spacing w:after="0"/>
              <w:rPr>
                <w:sz w:val="24"/>
                <w:szCs w:val="24"/>
                <w:color w:val="auto"/>
              </w:rPr>
            </w:pPr>
          </w:p>
        </w:tc>
      </w:tr>
      <w:tr>
        <w:trPr>
          <w:trHeight w:val="178"/>
        </w:trPr>
        <w:tc>
          <w:tcPr>
            <w:tcW w:w="3900" w:type="dxa"/>
            <w:vAlign w:val="bottom"/>
          </w:tcPr>
          <w:p>
            <w:pPr>
              <w:jc w:val="center"/>
              <w:ind w:left="2554"/>
              <w:spacing w:after="0"/>
              <w:rPr>
                <w:sz w:val="20"/>
                <w:szCs w:val="20"/>
                <w:color w:val="auto"/>
              </w:rPr>
            </w:pPr>
            <w:r>
              <w:rPr>
                <w:rFonts w:ascii="Arial" w:cs="Arial" w:eastAsia="Arial" w:hAnsi="Arial"/>
                <w:sz w:val="13"/>
                <w:szCs w:val="13"/>
                <w:b w:val="1"/>
                <w:bCs w:val="1"/>
                <w:color w:val="auto"/>
                <w:w w:val="89"/>
              </w:rPr>
              <w:t>New York, New York</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4760" w:type="dxa"/>
            <w:vAlign w:val="bottom"/>
            <w:gridSpan w:val="3"/>
          </w:tcPr>
          <w:p>
            <w:pPr>
              <w:jc w:val="right"/>
              <w:ind w:right="3055"/>
              <w:spacing w:after="0"/>
              <w:rPr>
                <w:sz w:val="20"/>
                <w:szCs w:val="20"/>
                <w:color w:val="auto"/>
              </w:rPr>
            </w:pPr>
            <w:r>
              <w:rPr>
                <w:rFonts w:ascii="Arial" w:cs="Arial" w:eastAsia="Arial" w:hAnsi="Arial"/>
                <w:sz w:val="13"/>
                <w:szCs w:val="13"/>
                <w:b w:val="1"/>
                <w:bCs w:val="1"/>
                <w:color w:val="auto"/>
              </w:rPr>
              <w:t>10019</w:t>
            </w:r>
          </w:p>
        </w:tc>
      </w:tr>
      <w:tr>
        <w:trPr>
          <w:trHeight w:val="166"/>
        </w:trPr>
        <w:tc>
          <w:tcPr>
            <w:tcW w:w="6480" w:type="dxa"/>
            <w:vAlign w:val="bottom"/>
            <w:gridSpan w:val="4"/>
          </w:tcPr>
          <w:p>
            <w:pPr>
              <w:jc w:val="center"/>
              <w:ind w:left="14"/>
              <w:spacing w:after="0"/>
              <w:rPr>
                <w:sz w:val="20"/>
                <w:szCs w:val="20"/>
                <w:color w:val="auto"/>
              </w:rPr>
            </w:pPr>
            <w:r>
              <w:rPr>
                <w:rFonts w:ascii="Arial" w:cs="Arial" w:eastAsia="Arial" w:hAnsi="Arial"/>
                <w:sz w:val="13"/>
                <w:szCs w:val="13"/>
                <w:color w:val="auto"/>
                <w:w w:val="89"/>
              </w:rPr>
              <w:t>(Address of principal executive offices)</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20" w:type="dxa"/>
            <w:vAlign w:val="bottom"/>
          </w:tcPr>
          <w:p>
            <w:pPr>
              <w:jc w:val="center"/>
              <w:ind w:right="2275"/>
              <w:spacing w:after="0"/>
              <w:rPr>
                <w:sz w:val="20"/>
                <w:szCs w:val="20"/>
                <w:color w:val="auto"/>
              </w:rPr>
            </w:pPr>
            <w:r>
              <w:rPr>
                <w:rFonts w:ascii="Arial" w:cs="Arial" w:eastAsia="Arial" w:hAnsi="Arial"/>
                <w:sz w:val="13"/>
                <w:szCs w:val="13"/>
                <w:color w:val="auto"/>
                <w:w w:val="91"/>
              </w:rPr>
              <w:t>(Zip Code)</w:t>
            </w:r>
          </w:p>
        </w:tc>
      </w:tr>
      <w:tr>
        <w:trPr>
          <w:trHeight w:val="250"/>
        </w:trPr>
        <w:tc>
          <w:tcPr>
            <w:tcW w:w="3900" w:type="dxa"/>
            <w:vAlign w:val="bottom"/>
          </w:tcPr>
          <w:p>
            <w:pPr>
              <w:spacing w:after="0"/>
              <w:rPr>
                <w:sz w:val="21"/>
                <w:szCs w:val="21"/>
                <w:color w:val="auto"/>
              </w:rPr>
            </w:pPr>
          </w:p>
        </w:tc>
        <w:tc>
          <w:tcPr>
            <w:tcW w:w="2580" w:type="dxa"/>
            <w:vAlign w:val="bottom"/>
            <w:gridSpan w:val="3"/>
          </w:tcPr>
          <w:p>
            <w:pPr>
              <w:jc w:val="center"/>
              <w:ind w:left="803"/>
              <w:spacing w:after="0"/>
              <w:rPr>
                <w:sz w:val="20"/>
                <w:szCs w:val="20"/>
                <w:color w:val="auto"/>
              </w:rPr>
            </w:pPr>
            <w:r>
              <w:rPr>
                <w:rFonts w:ascii="Arial" w:cs="Arial" w:eastAsia="Arial" w:hAnsi="Arial"/>
                <w:sz w:val="14"/>
                <w:szCs w:val="14"/>
                <w:b w:val="1"/>
                <w:bCs w:val="1"/>
                <w:color w:val="auto"/>
                <w:w w:val="93"/>
              </w:rPr>
              <w:t>(212) 418-0100</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20" w:type="dxa"/>
            <w:vAlign w:val="bottom"/>
          </w:tcPr>
          <w:p>
            <w:pPr>
              <w:spacing w:after="0"/>
              <w:rPr>
                <w:sz w:val="21"/>
                <w:szCs w:val="21"/>
                <w:color w:val="auto"/>
              </w:rPr>
            </w:pPr>
          </w:p>
        </w:tc>
      </w:tr>
      <w:tr>
        <w:trPr>
          <w:trHeight w:val="181"/>
        </w:trPr>
        <w:tc>
          <w:tcPr>
            <w:tcW w:w="3900" w:type="dxa"/>
            <w:vAlign w:val="bottom"/>
          </w:tcPr>
          <w:p>
            <w:pPr>
              <w:spacing w:after="0"/>
              <w:rPr>
                <w:sz w:val="15"/>
                <w:szCs w:val="15"/>
                <w:color w:val="auto"/>
              </w:rPr>
            </w:pPr>
          </w:p>
        </w:tc>
        <w:tc>
          <w:tcPr>
            <w:tcW w:w="7340" w:type="dxa"/>
            <w:vAlign w:val="bottom"/>
            <w:gridSpan w:val="6"/>
          </w:tcPr>
          <w:p>
            <w:pPr>
              <w:jc w:val="center"/>
              <w:ind w:right="3835"/>
              <w:spacing w:after="0"/>
              <w:rPr>
                <w:sz w:val="20"/>
                <w:szCs w:val="20"/>
                <w:color w:val="auto"/>
              </w:rPr>
            </w:pPr>
            <w:r>
              <w:rPr>
                <w:rFonts w:ascii="Arial" w:cs="Arial" w:eastAsia="Arial" w:hAnsi="Arial"/>
                <w:sz w:val="14"/>
                <w:szCs w:val="14"/>
                <w:color w:val="auto"/>
                <w:w w:val="91"/>
              </w:rPr>
              <w:t>(Registrant’s telephone number, including area code)</w:t>
            </w:r>
          </w:p>
        </w:tc>
      </w:tr>
      <w:tr>
        <w:trPr>
          <w:trHeight w:val="462"/>
        </w:trPr>
        <w:tc>
          <w:tcPr>
            <w:tcW w:w="3900" w:type="dxa"/>
            <w:vAlign w:val="bottom"/>
          </w:tcPr>
          <w:p>
            <w:pPr>
              <w:spacing w:after="0"/>
              <w:rPr>
                <w:sz w:val="24"/>
                <w:szCs w:val="24"/>
                <w:color w:val="auto"/>
              </w:rPr>
            </w:pPr>
          </w:p>
        </w:tc>
        <w:tc>
          <w:tcPr>
            <w:tcW w:w="7340" w:type="dxa"/>
            <w:vAlign w:val="bottom"/>
            <w:gridSpan w:val="6"/>
          </w:tcPr>
          <w:p>
            <w:pPr>
              <w:jc w:val="center"/>
              <w:ind w:right="3835"/>
              <w:spacing w:after="0"/>
              <w:rPr>
                <w:sz w:val="20"/>
                <w:szCs w:val="20"/>
                <w:color w:val="auto"/>
              </w:rPr>
            </w:pPr>
            <w:r>
              <w:rPr>
                <w:rFonts w:ascii="Arial" w:cs="Arial" w:eastAsia="Arial" w:hAnsi="Arial"/>
                <w:sz w:val="14"/>
                <w:szCs w:val="14"/>
                <w:color w:val="auto"/>
                <w:w w:val="92"/>
              </w:rPr>
              <w:t>Securities registered pursuant to Section 12(b) of the Act:</w:t>
            </w:r>
          </w:p>
        </w:tc>
      </w:tr>
      <w:tr>
        <w:trPr>
          <w:trHeight w:val="226"/>
        </w:trPr>
        <w:tc>
          <w:tcPr>
            <w:tcW w:w="3900" w:type="dxa"/>
            <w:vAlign w:val="bottom"/>
            <w:tcBorders>
              <w:bottom w:val="single" w:sz="8" w:color="auto"/>
            </w:tcBorders>
          </w:tcPr>
          <w:p>
            <w:pPr>
              <w:ind w:left="1880"/>
              <w:spacing w:after="0"/>
              <w:rPr>
                <w:sz w:val="20"/>
                <w:szCs w:val="20"/>
                <w:color w:val="auto"/>
              </w:rPr>
            </w:pPr>
            <w:r>
              <w:rPr>
                <w:rFonts w:ascii="Arial" w:cs="Arial" w:eastAsia="Arial" w:hAnsi="Arial"/>
                <w:sz w:val="13"/>
                <w:szCs w:val="13"/>
                <w:b w:val="1"/>
                <w:bCs w:val="1"/>
                <w:color w:val="auto"/>
              </w:rPr>
              <w:t>Title of each class</w:t>
            </w: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center"/>
              <w:ind w:left="373"/>
              <w:spacing w:after="0"/>
              <w:rPr>
                <w:sz w:val="20"/>
                <w:szCs w:val="20"/>
                <w:color w:val="auto"/>
              </w:rPr>
            </w:pPr>
            <w:r>
              <w:rPr>
                <w:rFonts w:ascii="Arial" w:cs="Arial" w:eastAsia="Arial" w:hAnsi="Arial"/>
                <w:sz w:val="13"/>
                <w:szCs w:val="13"/>
                <w:b w:val="1"/>
                <w:bCs w:val="1"/>
                <w:color w:val="auto"/>
                <w:w w:val="88"/>
              </w:rPr>
              <w:t>Trading symbol(s)</w:t>
            </w: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Name of each exchange on which registered</w:t>
            </w:r>
          </w:p>
        </w:tc>
      </w:tr>
      <w:tr>
        <w:trPr>
          <w:trHeight w:val="186"/>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Class A common stock, par value $0.00001 per share</w:t>
            </w: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80" w:type="dxa"/>
            <w:vAlign w:val="bottom"/>
            <w:shd w:val="clear" w:color="auto" w:fill="CCEEFF"/>
          </w:tcPr>
          <w:p>
            <w:pPr>
              <w:jc w:val="center"/>
              <w:ind w:left="373"/>
              <w:spacing w:after="0"/>
              <w:rPr>
                <w:sz w:val="20"/>
                <w:szCs w:val="20"/>
                <w:color w:val="auto"/>
              </w:rPr>
            </w:pPr>
            <w:r>
              <w:rPr>
                <w:rFonts w:ascii="Arial" w:cs="Arial" w:eastAsia="Arial" w:hAnsi="Arial"/>
                <w:sz w:val="14"/>
                <w:szCs w:val="14"/>
                <w:color w:val="auto"/>
              </w:rPr>
              <w:t>VIRT</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The NASDAQ Stock Market LLC</w:t>
            </w:r>
          </w:p>
        </w:tc>
      </w:tr>
    </w:tbl>
    <w:p>
      <w:pPr>
        <w:spacing w:after="0" w:line="181" w:lineRule="exact"/>
        <w:rPr>
          <w:sz w:val="24"/>
          <w:szCs w:val="24"/>
          <w:color w:val="auto"/>
        </w:rPr>
      </w:pPr>
    </w:p>
    <w:p>
      <w:pPr>
        <w:jc w:val="center"/>
        <w:ind w:right="95"/>
        <w:spacing w:after="0"/>
        <w:rPr>
          <w:sz w:val="20"/>
          <w:szCs w:val="20"/>
          <w:color w:val="auto"/>
        </w:rPr>
      </w:pPr>
      <w:r>
        <w:rPr>
          <w:rFonts w:ascii="Arial" w:cs="Arial" w:eastAsia="Arial" w:hAnsi="Arial"/>
          <w:sz w:val="14"/>
          <w:szCs w:val="14"/>
          <w:color w:val="auto"/>
        </w:rPr>
        <w:t>Securities registered pursuant to Section 12(g) of the Act:</w:t>
      </w:r>
    </w:p>
    <w:p>
      <w:pPr>
        <w:spacing w:after="0" w:line="12" w:lineRule="exact"/>
        <w:rPr>
          <w:sz w:val="24"/>
          <w:szCs w:val="24"/>
          <w:color w:val="auto"/>
        </w:rPr>
      </w:pPr>
    </w:p>
    <w:p>
      <w:pPr>
        <w:jc w:val="center"/>
        <w:ind w:right="95"/>
        <w:spacing w:after="0"/>
        <w:rPr>
          <w:sz w:val="20"/>
          <w:szCs w:val="20"/>
          <w:color w:val="auto"/>
        </w:rPr>
      </w:pPr>
      <w:r>
        <w:rPr>
          <w:rFonts w:ascii="Arial" w:cs="Arial" w:eastAsia="Arial" w:hAnsi="Arial"/>
          <w:sz w:val="14"/>
          <w:szCs w:val="14"/>
          <w:b w:val="1"/>
          <w:bCs w:val="1"/>
          <w:color w:val="auto"/>
        </w:rPr>
        <w:t>None</w:t>
      </w:r>
    </w:p>
    <w:p>
      <w:pPr>
        <w:jc w:val="center"/>
        <w:ind w:right="95"/>
        <w:spacing w:after="0" w:line="234" w:lineRule="auto"/>
        <w:rPr>
          <w:sz w:val="20"/>
          <w:szCs w:val="20"/>
          <w:color w:val="auto"/>
        </w:rPr>
      </w:pPr>
      <w:r>
        <w:rPr>
          <w:rFonts w:ascii="Arial" w:cs="Arial" w:eastAsia="Arial" w:hAnsi="Arial"/>
          <w:sz w:val="13"/>
          <w:szCs w:val="13"/>
          <w:color w:val="auto"/>
        </w:rPr>
        <w:t>(Title of class)</w:t>
      </w:r>
    </w:p>
    <w:p>
      <w:pPr>
        <w:spacing w:after="0" w:line="1" w:lineRule="exact"/>
        <w:rPr>
          <w:sz w:val="24"/>
          <w:szCs w:val="24"/>
          <w:color w:val="auto"/>
        </w:rPr>
      </w:pPr>
    </w:p>
    <w:p>
      <w:pPr>
        <w:ind w:left="285"/>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9" w:lineRule="exact"/>
        <w:rPr>
          <w:sz w:val="24"/>
          <w:szCs w:val="24"/>
          <w:color w:val="auto"/>
        </w:rPr>
      </w:pPr>
    </w:p>
    <w:p>
      <w:pPr>
        <w:ind w:left="285"/>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9" w:lineRule="exact"/>
        <w:rPr>
          <w:sz w:val="24"/>
          <w:szCs w:val="24"/>
          <w:color w:val="auto"/>
        </w:rPr>
      </w:pPr>
    </w:p>
    <w:p>
      <w:pPr>
        <w:ind w:left="5" w:right="140" w:firstLine="284"/>
        <w:spacing w:after="0" w:line="182"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7" w:lineRule="exact"/>
        <w:rPr>
          <w:sz w:val="24"/>
          <w:szCs w:val="24"/>
          <w:color w:val="auto"/>
        </w:rPr>
      </w:pPr>
    </w:p>
    <w:p>
      <w:pPr>
        <w:ind w:left="5" w:right="560" w:firstLine="284"/>
        <w:spacing w:after="0" w:line="182"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7" w:lineRule="exact"/>
        <w:rPr>
          <w:sz w:val="24"/>
          <w:szCs w:val="24"/>
          <w:color w:val="auto"/>
        </w:rPr>
      </w:pPr>
    </w:p>
    <w:p>
      <w:pPr>
        <w:ind w:left="5" w:right="400" w:firstLine="284"/>
        <w:spacing w:after="0" w:line="27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45"/>
          </w:cols>
          <w:pgMar w:left="315" w:top="960" w:right="239" w:bottom="1440" w:gutter="0" w:footer="0" w:header="0"/>
        </w:sectPr>
      </w:pPr>
    </w:p>
    <w:p>
      <w:pPr>
        <w:spacing w:after="0" w:line="84" w:lineRule="exact"/>
        <w:rPr>
          <w:sz w:val="24"/>
          <w:szCs w:val="24"/>
          <w:color w:val="auto"/>
        </w:rPr>
      </w:pPr>
    </w:p>
    <w:p>
      <w:pPr>
        <w:jc w:val="center"/>
        <w:ind w:left="705"/>
        <w:spacing w:after="0"/>
        <w:rPr>
          <w:sz w:val="20"/>
          <w:szCs w:val="20"/>
          <w:color w:val="auto"/>
        </w:rPr>
      </w:pPr>
      <w:r>
        <w:rPr>
          <w:rFonts w:ascii="Arial" w:cs="Arial" w:eastAsia="Arial" w:hAnsi="Arial"/>
          <w:sz w:val="11"/>
          <w:szCs w:val="11"/>
          <w:color w:val="auto"/>
        </w:rPr>
        <w:t>Large 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jc w:val="center"/>
        <w:ind w:right="400"/>
        <w:spacing w:after="0"/>
        <w:rPr>
          <w:sz w:val="20"/>
          <w:szCs w:val="20"/>
          <w:color w:val="auto"/>
        </w:rPr>
      </w:pPr>
      <w:r>
        <w:rPr>
          <w:rFonts w:ascii="Arial" w:cs="Arial" w:eastAsia="Arial" w:hAnsi="Arial"/>
          <w:sz w:val="11"/>
          <w:szCs w:val="11"/>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spacing w:after="0"/>
        <w:rPr>
          <w:sz w:val="20"/>
          <w:szCs w:val="20"/>
          <w:color w:val="auto"/>
        </w:rPr>
      </w:pPr>
      <w:r>
        <w:rPr>
          <w:rFonts w:ascii="Arial" w:cs="Arial" w:eastAsia="Arial" w:hAnsi="Arial"/>
          <w:sz w:val="11"/>
          <w:szCs w:val="11"/>
          <w:color w:val="auto"/>
        </w:rPr>
        <w:t>Smaller reporting company</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28" w:lineRule="exact"/>
        <w:rPr>
          <w:sz w:val="24"/>
          <w:szCs w:val="24"/>
          <w:color w:val="auto"/>
        </w:rPr>
      </w:pPr>
    </w:p>
    <w:p>
      <w:pPr>
        <w:sectPr>
          <w:pgSz w:w="11900" w:h="16838" w:orient="portrait"/>
          <w:cols w:equalWidth="0" w:num="8">
            <w:col w:w="1865" w:space="720"/>
            <w:col w:w="140" w:space="380"/>
            <w:col w:w="860" w:space="380"/>
            <w:col w:w="520" w:space="720"/>
            <w:col w:w="1460" w:space="720"/>
            <w:col w:w="220" w:space="720"/>
            <w:col w:w="1380" w:space="180"/>
            <w:col w:w="1080"/>
          </w:cols>
          <w:pgMar w:left="315" w:top="960" w:right="239" w:bottom="1440" w:gutter="0" w:footer="0" w:header="0"/>
          <w:type w:val="continuous"/>
        </w:sectPr>
      </w:pPr>
    </w:p>
    <w:p>
      <w:pPr>
        <w:spacing w:after="0" w:line="22" w:lineRule="exact"/>
        <w:rPr>
          <w:sz w:val="24"/>
          <w:szCs w:val="24"/>
          <w:color w:val="auto"/>
        </w:rPr>
      </w:pPr>
    </w:p>
    <w:p>
      <w:pPr>
        <w:ind w:left="5085"/>
        <w:spacing w:after="0"/>
        <w:rPr>
          <w:sz w:val="20"/>
          <w:szCs w:val="20"/>
          <w:color w:val="auto"/>
        </w:rPr>
      </w:pPr>
      <w:r>
        <w:rPr>
          <w:rFonts w:ascii="Arial" w:cs="Arial" w:eastAsia="Arial" w:hAnsi="Arial"/>
          <w:sz w:val="10"/>
          <w:szCs w:val="10"/>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color w:val="auto"/>
        </w:rPr>
        <w:t>Emerging growth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24" w:lineRule="exact"/>
        <w:rPr>
          <w:sz w:val="24"/>
          <w:szCs w:val="24"/>
          <w:color w:val="auto"/>
        </w:rPr>
      </w:pPr>
    </w:p>
    <w:p>
      <w:pPr>
        <w:sectPr>
          <w:pgSz w:w="11900" w:h="16838" w:orient="portrait"/>
          <w:cols w:equalWidth="0" w:num="3">
            <w:col w:w="7985" w:space="720"/>
            <w:col w:w="1380" w:space="180"/>
            <w:col w:w="1080"/>
          </w:cols>
          <w:pgMar w:left="315" w:top="960" w:right="239" w:bottom="1440" w:gutter="0" w:footer="0" w:header="0"/>
          <w:type w:val="continuous"/>
        </w:sectPr>
      </w:pPr>
    </w:p>
    <w:p>
      <w:pPr>
        <w:spacing w:after="0" w:line="48" w:lineRule="exact"/>
        <w:rPr>
          <w:sz w:val="24"/>
          <w:szCs w:val="24"/>
          <w:color w:val="auto"/>
        </w:rPr>
      </w:pPr>
    </w:p>
    <w:p>
      <w:pPr>
        <w:ind w:left="5" w:right="540" w:firstLine="284"/>
        <w:spacing w:after="0" w:line="182"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ind w:left="285"/>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9" w:lineRule="exact"/>
        <w:rPr>
          <w:sz w:val="24"/>
          <w:szCs w:val="24"/>
          <w:color w:val="auto"/>
        </w:rPr>
      </w:pPr>
    </w:p>
    <w:p>
      <w:pPr>
        <w:ind w:left="5" w:right="480" w:firstLine="284"/>
        <w:spacing w:after="0" w:line="182"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8" w:lineRule="exact"/>
        <w:rPr>
          <w:sz w:val="24"/>
          <w:szCs w:val="24"/>
          <w:color w:val="auto"/>
        </w:rPr>
      </w:pPr>
    </w:p>
    <w:tbl>
      <w:tblPr>
        <w:tblLayout w:type="fixed"/>
        <w:tblInd w:w="285" w:type="dxa"/>
        <w:tblCellMar>
          <w:top w:w="0" w:type="dxa"/>
          <w:left w:w="0" w:type="dxa"/>
          <w:bottom w:w="0" w:type="dxa"/>
          <w:right w:w="0" w:type="dxa"/>
        </w:tblCellMar>
      </w:tblPr>
      <w:tr>
        <w:trPr>
          <w:trHeight w:val="149"/>
        </w:trPr>
        <w:tc>
          <w:tcPr>
            <w:tcW w:w="9000" w:type="dxa"/>
            <w:vAlign w:val="bottom"/>
            <w:vMerge w:val="restart"/>
          </w:tcPr>
          <w:p>
            <w:pPr>
              <w:ind w:left="4260"/>
              <w:spacing w:after="0"/>
              <w:rPr>
                <w:sz w:val="20"/>
                <w:szCs w:val="20"/>
                <w:color w:val="auto"/>
              </w:rPr>
            </w:pPr>
            <w:r>
              <w:rPr>
                <w:rFonts w:ascii="Arial" w:cs="Arial" w:eastAsia="Arial" w:hAnsi="Arial"/>
                <w:sz w:val="13"/>
                <w:szCs w:val="13"/>
                <w:b w:val="1"/>
                <w:bCs w:val="1"/>
                <w:color w:val="auto"/>
              </w:rPr>
              <w:t>Class of Stock</w:t>
            </w:r>
          </w:p>
        </w:tc>
        <w:tc>
          <w:tcPr>
            <w:tcW w:w="120" w:type="dxa"/>
            <w:vAlign w:val="bottom"/>
            <w:vMerge w:val="restart"/>
          </w:tcPr>
          <w:p>
            <w:pPr>
              <w:spacing w:after="0"/>
              <w:rPr>
                <w:sz w:val="12"/>
                <w:szCs w:val="12"/>
                <w:color w:val="auto"/>
              </w:rPr>
            </w:pPr>
          </w:p>
        </w:tc>
        <w:tc>
          <w:tcPr>
            <w:tcW w:w="1940" w:type="dxa"/>
            <w:vAlign w:val="bottom"/>
          </w:tcPr>
          <w:p>
            <w:pPr>
              <w:ind w:left="500"/>
              <w:spacing w:after="0"/>
              <w:rPr>
                <w:sz w:val="20"/>
                <w:szCs w:val="20"/>
                <w:color w:val="auto"/>
              </w:rPr>
            </w:pPr>
            <w:r>
              <w:rPr>
                <w:rFonts w:ascii="Arial" w:cs="Arial" w:eastAsia="Arial" w:hAnsi="Arial"/>
                <w:sz w:val="13"/>
                <w:szCs w:val="13"/>
                <w:b w:val="1"/>
                <w:bCs w:val="1"/>
                <w:color w:val="auto"/>
                <w:w w:val="90"/>
              </w:rPr>
              <w:t>Shares Outstanding as of</w:t>
            </w:r>
          </w:p>
        </w:tc>
        <w:tc>
          <w:tcPr>
            <w:tcW w:w="0" w:type="dxa"/>
            <w:vAlign w:val="bottom"/>
          </w:tcPr>
          <w:p>
            <w:pPr>
              <w:spacing w:after="0"/>
              <w:rPr>
                <w:sz w:val="1"/>
                <w:szCs w:val="1"/>
                <w:color w:val="auto"/>
              </w:rPr>
            </w:pPr>
          </w:p>
        </w:tc>
      </w:tr>
      <w:tr>
        <w:trPr>
          <w:trHeight w:val="165"/>
        </w:trPr>
        <w:tc>
          <w:tcPr>
            <w:tcW w:w="90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940" w:type="dxa"/>
            <w:vAlign w:val="bottom"/>
            <w:tcBorders>
              <w:bottom w:val="single" w:sz="8" w:color="auto"/>
            </w:tcBorders>
          </w:tcPr>
          <w:p>
            <w:pPr>
              <w:ind w:left="540"/>
              <w:spacing w:after="0"/>
              <w:rPr>
                <w:sz w:val="20"/>
                <w:szCs w:val="20"/>
                <w:color w:val="auto"/>
              </w:rPr>
            </w:pPr>
            <w:r>
              <w:rPr>
                <w:rFonts w:ascii="Arial" w:cs="Arial" w:eastAsia="Arial" w:hAnsi="Arial"/>
                <w:sz w:val="13"/>
                <w:szCs w:val="13"/>
                <w:b w:val="1"/>
                <w:bCs w:val="1"/>
                <w:color w:val="auto"/>
              </w:rPr>
              <w:t>February 18, 2022</w:t>
            </w:r>
          </w:p>
        </w:tc>
        <w:tc>
          <w:tcPr>
            <w:tcW w:w="0" w:type="dxa"/>
            <w:vAlign w:val="bottom"/>
          </w:tcPr>
          <w:p>
            <w:pPr>
              <w:spacing w:after="0"/>
              <w:rPr>
                <w:sz w:val="1"/>
                <w:szCs w:val="1"/>
                <w:color w:val="auto"/>
              </w:rPr>
            </w:pPr>
          </w:p>
        </w:tc>
      </w:tr>
      <w:tr>
        <w:trPr>
          <w:trHeight w:val="182"/>
        </w:trPr>
        <w:tc>
          <w:tcPr>
            <w:tcW w:w="912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Class A common stock, par value $0.00001 per share</w:t>
            </w:r>
          </w:p>
        </w:tc>
        <w:tc>
          <w:tcPr>
            <w:tcW w:w="1940" w:type="dxa"/>
            <w:vAlign w:val="bottom"/>
            <w:shd w:val="clear" w:color="auto" w:fill="CCEEFF"/>
          </w:tcPr>
          <w:p>
            <w:pPr>
              <w:jc w:val="center"/>
              <w:ind w:left="332"/>
              <w:spacing w:after="0"/>
              <w:rPr>
                <w:sz w:val="20"/>
                <w:szCs w:val="20"/>
                <w:color w:val="auto"/>
              </w:rPr>
            </w:pPr>
            <w:r>
              <w:rPr>
                <w:rFonts w:ascii="Arial" w:cs="Arial" w:eastAsia="Arial" w:hAnsi="Arial"/>
                <w:sz w:val="14"/>
                <w:szCs w:val="14"/>
                <w:color w:val="auto"/>
                <w:w w:val="89"/>
              </w:rPr>
              <w:t>108,772,950</w:t>
            </w:r>
          </w:p>
        </w:tc>
        <w:tc>
          <w:tcPr>
            <w:tcW w:w="0" w:type="dxa"/>
            <w:vAlign w:val="bottom"/>
          </w:tcPr>
          <w:p>
            <w:pPr>
              <w:spacing w:after="0"/>
              <w:rPr>
                <w:sz w:val="1"/>
                <w:szCs w:val="1"/>
                <w:color w:val="auto"/>
              </w:rPr>
            </w:pPr>
          </w:p>
        </w:tc>
      </w:tr>
      <w:tr>
        <w:trPr>
          <w:trHeight w:val="187"/>
        </w:trPr>
        <w:tc>
          <w:tcPr>
            <w:tcW w:w="9120" w:type="dxa"/>
            <w:vAlign w:val="bottom"/>
            <w:gridSpan w:val="2"/>
          </w:tcPr>
          <w:p>
            <w:pPr>
              <w:ind w:left="300"/>
              <w:spacing w:after="0"/>
              <w:rPr>
                <w:sz w:val="20"/>
                <w:szCs w:val="20"/>
                <w:color w:val="auto"/>
              </w:rPr>
            </w:pPr>
            <w:r>
              <w:rPr>
                <w:rFonts w:ascii="Arial" w:cs="Arial" w:eastAsia="Arial" w:hAnsi="Arial"/>
                <w:sz w:val="14"/>
                <w:szCs w:val="14"/>
                <w:color w:val="auto"/>
              </w:rPr>
              <w:t>Class C common stock, par value $0.00001 per share</w:t>
            </w:r>
          </w:p>
        </w:tc>
        <w:tc>
          <w:tcPr>
            <w:tcW w:w="1940" w:type="dxa"/>
            <w:vAlign w:val="bottom"/>
          </w:tcPr>
          <w:p>
            <w:pPr>
              <w:jc w:val="center"/>
              <w:ind w:left="332"/>
              <w:spacing w:after="0"/>
              <w:rPr>
                <w:sz w:val="20"/>
                <w:szCs w:val="20"/>
                <w:color w:val="auto"/>
              </w:rPr>
            </w:pPr>
            <w:r>
              <w:rPr>
                <w:rFonts w:ascii="Arial" w:cs="Arial" w:eastAsia="Arial" w:hAnsi="Arial"/>
                <w:sz w:val="14"/>
                <w:szCs w:val="14"/>
                <w:color w:val="auto"/>
                <w:w w:val="93"/>
              </w:rPr>
              <w:t>9,053,155</w:t>
            </w:r>
          </w:p>
        </w:tc>
        <w:tc>
          <w:tcPr>
            <w:tcW w:w="0" w:type="dxa"/>
            <w:vAlign w:val="bottom"/>
          </w:tcPr>
          <w:p>
            <w:pPr>
              <w:spacing w:after="0"/>
              <w:rPr>
                <w:sz w:val="1"/>
                <w:szCs w:val="1"/>
                <w:color w:val="auto"/>
              </w:rPr>
            </w:pPr>
          </w:p>
        </w:tc>
      </w:tr>
      <w:tr>
        <w:trPr>
          <w:trHeight w:val="192"/>
        </w:trPr>
        <w:tc>
          <w:tcPr>
            <w:tcW w:w="912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Class D common stock, par value $0.00001 per share</w:t>
            </w:r>
          </w:p>
        </w:tc>
        <w:tc>
          <w:tcPr>
            <w:tcW w:w="1940" w:type="dxa"/>
            <w:vAlign w:val="bottom"/>
            <w:shd w:val="clear" w:color="auto" w:fill="CCEEFF"/>
          </w:tcPr>
          <w:p>
            <w:pPr>
              <w:jc w:val="center"/>
              <w:ind w:left="312"/>
              <w:spacing w:after="0"/>
              <w:rPr>
                <w:sz w:val="20"/>
                <w:szCs w:val="20"/>
                <w:color w:val="auto"/>
              </w:rPr>
            </w:pPr>
            <w:r>
              <w:rPr>
                <w:rFonts w:ascii="Arial" w:cs="Arial" w:eastAsia="Arial" w:hAnsi="Arial"/>
                <w:sz w:val="14"/>
                <w:szCs w:val="14"/>
                <w:color w:val="auto"/>
                <w:w w:val="91"/>
              </w:rPr>
              <w:t>60,091,740</w:t>
            </w:r>
          </w:p>
        </w:tc>
        <w:tc>
          <w:tcPr>
            <w:tcW w:w="0" w:type="dxa"/>
            <w:vAlign w:val="bottom"/>
          </w:tcPr>
          <w:p>
            <w:pPr>
              <w:spacing w:after="0"/>
              <w:rPr>
                <w:sz w:val="1"/>
                <w:szCs w:val="1"/>
                <w:color w:val="auto"/>
              </w:rPr>
            </w:pPr>
          </w:p>
        </w:tc>
      </w:tr>
    </w:tbl>
    <w:p>
      <w:pPr>
        <w:spacing w:after="0" w:line="63" w:lineRule="exact"/>
        <w:rPr>
          <w:sz w:val="24"/>
          <w:szCs w:val="24"/>
          <w:color w:val="auto"/>
        </w:rPr>
      </w:pPr>
    </w:p>
    <w:p>
      <w:pPr>
        <w:ind w:left="5" w:right="160" w:firstLine="284"/>
        <w:spacing w:after="0" w:line="276" w:lineRule="auto"/>
        <w:rPr>
          <w:sz w:val="20"/>
          <w:szCs w:val="20"/>
          <w:color w:val="auto"/>
        </w:rPr>
      </w:pPr>
      <w:r>
        <w:rPr>
          <w:rFonts w:ascii="Arial" w:cs="Arial" w:eastAsia="Arial" w:hAnsi="Arial"/>
          <w:sz w:val="14"/>
          <w:szCs w:val="14"/>
          <w:color w:val="auto"/>
        </w:rPr>
        <w:t>The aggregate market value of voting and non-voting common stock held by non-affiliates of the registrant as of June 30, 2021 was approximately $5,205 million, based on the closing price of $27.63 per share as reported by NASDAQ on such date.</w:t>
      </w:r>
    </w:p>
    <w:p>
      <w:pPr>
        <w:spacing w:after="0" w:line="9" w:lineRule="exact"/>
        <w:rPr>
          <w:sz w:val="24"/>
          <w:szCs w:val="24"/>
          <w:color w:val="auto"/>
        </w:rPr>
      </w:pPr>
    </w:p>
    <w:p>
      <w:pPr>
        <w:ind w:left="5" w:right="200" w:firstLine="320"/>
        <w:spacing w:after="0" w:line="276" w:lineRule="auto"/>
        <w:rPr>
          <w:sz w:val="20"/>
          <w:szCs w:val="20"/>
          <w:color w:val="auto"/>
        </w:rPr>
      </w:pPr>
      <w:r>
        <w:rPr>
          <w:rFonts w:ascii="Arial" w:cs="Arial" w:eastAsia="Arial" w:hAnsi="Arial"/>
          <w:sz w:val="14"/>
          <w:szCs w:val="14"/>
          <w:color w:val="auto"/>
        </w:rPr>
        <w:t>Portions of Part III of this Form 10-K are incorporated by reference from the Registrant’s definitive proxy statement (the “2022 Proxy Statement”) for its 2022 annual meeting of shareholders to be filed with the Securities and Exchange Commission no later than 120 days after the end of the Registrant’s fiscal year.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270510</wp:posOffset>
            </wp:positionH>
            <wp:positionV relativeFrom="paragraph">
              <wp:posOffset>40640</wp:posOffset>
            </wp:positionV>
            <wp:extent cx="693356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33565" cy="7620"/>
                    </a:xfrm>
                    <a:prstGeom prst="rect">
                      <a:avLst/>
                    </a:prstGeom>
                    <a:noFill/>
                  </pic:spPr>
                </pic:pic>
              </a:graphicData>
            </a:graphic>
          </wp:anchor>
        </w:drawing>
        <w:drawing>
          <wp:anchor simplePos="0" relativeHeight="251657728" behindDoc="1" locked="0" layoutInCell="0" allowOverlap="1">
            <wp:simplePos x="0" y="0"/>
            <wp:positionH relativeFrom="column">
              <wp:posOffset>270510</wp:posOffset>
            </wp:positionH>
            <wp:positionV relativeFrom="paragraph">
              <wp:posOffset>63500</wp:posOffset>
            </wp:positionV>
            <wp:extent cx="693356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33565" cy="7620"/>
                    </a:xfrm>
                    <a:prstGeom prst="rect">
                      <a:avLst/>
                    </a:prstGeom>
                    <a:noFill/>
                  </pic:spPr>
                </pic:pic>
              </a:graphicData>
            </a:graphic>
          </wp:anchor>
        </w:drawing>
      </w:r>
    </w:p>
    <w:p>
      <w:pPr>
        <w:spacing w:after="0" w:line="268" w:lineRule="exact"/>
        <w:rPr>
          <w:sz w:val="24"/>
          <w:szCs w:val="24"/>
          <w:color w:val="auto"/>
        </w:rPr>
      </w:pPr>
    </w:p>
    <w:p>
      <w:pPr>
        <w:jc w:val="center"/>
        <w:ind w:right="75"/>
        <w:spacing w:after="0"/>
        <w:rPr>
          <w:sz w:val="20"/>
          <w:szCs w:val="20"/>
          <w:color w:val="auto"/>
        </w:rPr>
      </w:pPr>
      <w:r>
        <w:rPr>
          <w:rFonts w:ascii="Arial" w:cs="Arial" w:eastAsia="Arial" w:hAnsi="Arial"/>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59055</wp:posOffset>
            </wp:positionV>
            <wp:extent cx="7174865"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345"/>
          </w:cols>
          <w:pgMar w:left="315" w:top="960" w:right="239" w:bottom="1440" w:gutter="0" w:footer="0" w:header="0"/>
          <w:type w:val="continuous"/>
        </w:sectPr>
      </w:pPr>
    </w:p>
    <w:bookmarkStart w:id="1" w:name="page2"/>
    <w:bookmarkEnd w:id="1"/>
    <w:tbl>
      <w:tblPr>
        <w:tblLayout w:type="fixed"/>
        <w:tblInd w:w="20" w:type="dxa"/>
        <w:tblCellMar>
          <w:top w:w="0" w:type="dxa"/>
          <w:left w:w="0" w:type="dxa"/>
          <w:bottom w:w="0" w:type="dxa"/>
          <w:right w:w="0" w:type="dxa"/>
        </w:tblCellMar>
      </w:tblPr>
      <w:tr>
        <w:trPr>
          <w:trHeight w:val="189"/>
        </w:trPr>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140" w:type="dxa"/>
            <w:vAlign w:val="bottom"/>
            <w:gridSpan w:val="11"/>
          </w:tcPr>
          <w:p>
            <w:pPr>
              <w:jc w:val="center"/>
              <w:ind w:right="2720"/>
              <w:spacing w:after="0"/>
              <w:rPr>
                <w:sz w:val="20"/>
                <w:szCs w:val="20"/>
                <w:color w:val="auto"/>
              </w:rPr>
            </w:pPr>
            <w:r>
              <w:rPr>
                <w:rFonts w:ascii="Arial" w:cs="Arial" w:eastAsia="Arial" w:hAnsi="Arial"/>
                <w:sz w:val="16"/>
                <w:szCs w:val="16"/>
                <w:b w:val="1"/>
                <w:bCs w:val="1"/>
                <w:color w:val="auto"/>
              </w:rPr>
              <w:t>VIRTU FINANCIAL, INC. AND SUBSIDIARIES</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140" w:type="dxa"/>
            <w:vAlign w:val="bottom"/>
            <w:gridSpan w:val="11"/>
          </w:tcPr>
          <w:p>
            <w:pPr>
              <w:jc w:val="center"/>
              <w:ind w:right="2720"/>
              <w:spacing w:after="0"/>
              <w:rPr>
                <w:sz w:val="20"/>
                <w:szCs w:val="20"/>
                <w:color w:val="auto"/>
              </w:rPr>
            </w:pPr>
            <w:r>
              <w:rPr>
                <w:rFonts w:ascii="Arial" w:cs="Arial" w:eastAsia="Arial" w:hAnsi="Arial"/>
                <w:sz w:val="16"/>
                <w:szCs w:val="16"/>
                <w:b w:val="1"/>
                <w:bCs w:val="1"/>
                <w:color w:val="auto"/>
                <w:w w:val="99"/>
              </w:rPr>
              <w:t>INDEX TO FORM 10-K</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140" w:type="dxa"/>
            <w:vAlign w:val="bottom"/>
            <w:gridSpan w:val="11"/>
          </w:tcPr>
          <w:p>
            <w:pPr>
              <w:jc w:val="center"/>
              <w:ind w:right="2740"/>
              <w:spacing w:after="0"/>
              <w:rPr>
                <w:sz w:val="20"/>
                <w:szCs w:val="20"/>
                <w:color w:val="auto"/>
              </w:rPr>
            </w:pPr>
            <w:r>
              <w:rPr>
                <w:rFonts w:ascii="Arial" w:cs="Arial" w:eastAsia="Arial" w:hAnsi="Arial"/>
                <w:sz w:val="16"/>
                <w:szCs w:val="16"/>
                <w:b w:val="1"/>
                <w:bCs w:val="1"/>
                <w:color w:val="auto"/>
                <w:w w:val="96"/>
              </w:rPr>
              <w:t>FOR THE YEAR ENDED DECEMBER 31, 2021</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5"/>
          </w:tcPr>
          <w:p>
            <w:pPr>
              <w:jc w:val="right"/>
              <w:ind w:right="380"/>
              <w:spacing w:after="0" w:line="179" w:lineRule="exact"/>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201"/>
        </w:trPr>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6"/>
                <w:szCs w:val="16"/>
                <w:b w:val="1"/>
                <w:bCs w:val="1"/>
                <w:color w:val="auto"/>
              </w:rPr>
              <w:t>NUMBER</w:t>
            </w:r>
          </w:p>
        </w:tc>
        <w:tc>
          <w:tcPr>
            <w:tcW w:w="0" w:type="dxa"/>
            <w:vAlign w:val="bottom"/>
          </w:tcPr>
          <w:p>
            <w:pPr>
              <w:spacing w:after="0"/>
              <w:rPr>
                <w:sz w:val="1"/>
                <w:szCs w:val="1"/>
                <w:color w:val="auto"/>
              </w:rPr>
            </w:pPr>
          </w:p>
        </w:tc>
      </w:tr>
      <w:tr>
        <w:trPr>
          <w:trHeight w:val="359"/>
        </w:trPr>
        <w:tc>
          <w:tcPr>
            <w:tcW w:w="480" w:type="dxa"/>
            <w:vAlign w:val="bottom"/>
            <w:tcBorders>
              <w:bottom w:val="single" w:sz="8" w:color="0000FF"/>
            </w:tcBorders>
            <w:gridSpan w:val="2"/>
          </w:tcPr>
          <w:p>
            <w:pPr>
              <w:spacing w:after="0"/>
              <w:rPr>
                <w:rFonts w:ascii="Arial" w:cs="Arial" w:eastAsia="Arial" w:hAnsi="Arial"/>
                <w:sz w:val="16"/>
                <w:szCs w:val="16"/>
                <w:color w:val="0000FF"/>
                <w:w w:val="89"/>
              </w:rPr>
            </w:pPr>
            <w:hyperlink w:anchor="page2">
              <w:r>
                <w:rPr>
                  <w:rFonts w:ascii="Arial" w:cs="Arial" w:eastAsia="Arial" w:hAnsi="Arial"/>
                  <w:sz w:val="16"/>
                  <w:szCs w:val="16"/>
                  <w:color w:val="0000FF"/>
                  <w:w w:val="89"/>
                </w:rPr>
                <w:t>PART I</w:t>
              </w:r>
            </w:hyperlink>
          </w:p>
        </w:tc>
        <w:tc>
          <w:tcPr>
            <w:tcW w:w="940" w:type="dxa"/>
            <w:vAlign w:val="bottom"/>
            <w:gridSpan w:val="5"/>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100" w:type="dxa"/>
            <w:vAlign w:val="bottom"/>
          </w:tcPr>
          <w:p>
            <w:pPr>
              <w:spacing w:after="0"/>
              <w:rPr>
                <w:sz w:val="15"/>
                <w:szCs w:val="15"/>
                <w:color w:val="auto"/>
              </w:rPr>
            </w:pPr>
          </w:p>
        </w:tc>
        <w:tc>
          <w:tcPr>
            <w:tcW w:w="560" w:type="dxa"/>
            <w:vAlign w:val="bottom"/>
            <w:gridSpan w:val="4"/>
          </w:tcPr>
          <w:p>
            <w:pPr>
              <w:spacing w:after="0" w:line="181" w:lineRule="exact"/>
              <w:rPr>
                <w:rFonts w:ascii="Arial" w:cs="Arial" w:eastAsia="Arial" w:hAnsi="Arial"/>
                <w:sz w:val="16"/>
                <w:szCs w:val="16"/>
                <w:color w:val="0000FF"/>
                <w:w w:val="92"/>
              </w:rPr>
            </w:pPr>
            <w:hyperlink w:anchor="page4">
              <w:r>
                <w:rPr>
                  <w:rFonts w:ascii="Arial" w:cs="Arial" w:eastAsia="Arial" w:hAnsi="Arial"/>
                  <w:sz w:val="16"/>
                  <w:szCs w:val="16"/>
                  <w:color w:val="0000FF"/>
                  <w:w w:val="92"/>
                </w:rPr>
                <w:t>ITEM 1.</w:t>
              </w:r>
            </w:hyperlink>
          </w:p>
        </w:tc>
        <w:tc>
          <w:tcPr>
            <w:tcW w:w="760" w:type="dxa"/>
            <w:vAlign w:val="bottom"/>
            <w:gridSpan w:val="2"/>
          </w:tcPr>
          <w:p>
            <w:pPr>
              <w:spacing w:after="0"/>
              <w:rPr>
                <w:sz w:val="15"/>
                <w:szCs w:val="15"/>
                <w:color w:val="auto"/>
              </w:rPr>
            </w:pPr>
          </w:p>
        </w:tc>
        <w:tc>
          <w:tcPr>
            <w:tcW w:w="8620" w:type="dxa"/>
            <w:vAlign w:val="bottom"/>
            <w:gridSpan w:val="19"/>
          </w:tcPr>
          <w:p>
            <w:pPr>
              <w:spacing w:after="0" w:line="181" w:lineRule="exact"/>
              <w:rPr>
                <w:rFonts w:ascii="Arial" w:cs="Arial" w:eastAsia="Arial" w:hAnsi="Arial"/>
                <w:sz w:val="16"/>
                <w:szCs w:val="16"/>
                <w:color w:val="0000FF"/>
              </w:rPr>
            </w:pPr>
            <w:hyperlink w:anchor="page4">
              <w:r>
                <w:rPr>
                  <w:rFonts w:ascii="Arial" w:cs="Arial" w:eastAsia="Arial" w:hAnsi="Arial"/>
                  <w:sz w:val="16"/>
                  <w:szCs w:val="16"/>
                  <w:color w:val="0000FF"/>
                </w:rPr>
                <w:t>BUSINESS</w:t>
              </w:r>
            </w:hyperlink>
          </w:p>
        </w:tc>
        <w:tc>
          <w:tcPr>
            <w:tcW w:w="1180" w:type="dxa"/>
            <w:vAlign w:val="bottom"/>
            <w:gridSpan w:val="5"/>
          </w:tcPr>
          <w:p>
            <w:pPr>
              <w:jc w:val="right"/>
              <w:ind w:right="20"/>
              <w:spacing w:after="0" w:line="181" w:lineRule="exact"/>
              <w:rPr>
                <w:rFonts w:ascii="Arial" w:cs="Arial" w:eastAsia="Arial" w:hAnsi="Arial"/>
                <w:sz w:val="16"/>
                <w:szCs w:val="16"/>
                <w:color w:val="0000FF"/>
              </w:rPr>
            </w:pPr>
            <w:hyperlink w:anchor="page4">
              <w:r>
                <w:rPr>
                  <w:rFonts w:ascii="Arial" w:cs="Arial" w:eastAsia="Arial" w:hAnsi="Arial"/>
                  <w:sz w:val="16"/>
                  <w:szCs w:val="16"/>
                  <w:color w:val="0000FF"/>
                </w:rPr>
                <w:t>4</w:t>
              </w:r>
            </w:hyperlink>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00" w:type="dxa"/>
            <w:vAlign w:val="bottom"/>
          </w:tcPr>
          <w:p>
            <w:pPr>
              <w:spacing w:after="0"/>
              <w:rPr>
                <w:sz w:val="15"/>
                <w:szCs w:val="15"/>
                <w:color w:val="auto"/>
              </w:rPr>
            </w:pPr>
          </w:p>
        </w:tc>
        <w:tc>
          <w:tcPr>
            <w:tcW w:w="620" w:type="dxa"/>
            <w:vAlign w:val="bottom"/>
            <w:gridSpan w:val="5"/>
          </w:tcPr>
          <w:p>
            <w:pPr>
              <w:spacing w:after="0" w:line="181" w:lineRule="exact"/>
              <w:rPr>
                <w:rFonts w:ascii="Arial" w:cs="Arial" w:eastAsia="Arial" w:hAnsi="Arial"/>
                <w:sz w:val="16"/>
                <w:szCs w:val="16"/>
                <w:color w:val="0000FF"/>
                <w:w w:val="86"/>
              </w:rPr>
            </w:pPr>
            <w:hyperlink w:anchor="page15">
              <w:r>
                <w:rPr>
                  <w:rFonts w:ascii="Arial" w:cs="Arial" w:eastAsia="Arial" w:hAnsi="Arial"/>
                  <w:sz w:val="16"/>
                  <w:szCs w:val="16"/>
                  <w:color w:val="0000FF"/>
                  <w:w w:val="86"/>
                </w:rPr>
                <w:t>ITEM 1A.</w:t>
              </w:r>
            </w:hyperlink>
          </w:p>
        </w:tc>
        <w:tc>
          <w:tcPr>
            <w:tcW w:w="700" w:type="dxa"/>
            <w:vAlign w:val="bottom"/>
          </w:tcPr>
          <w:p>
            <w:pPr>
              <w:spacing w:after="0"/>
              <w:rPr>
                <w:sz w:val="15"/>
                <w:szCs w:val="15"/>
                <w:color w:val="auto"/>
              </w:rPr>
            </w:pPr>
          </w:p>
        </w:tc>
        <w:tc>
          <w:tcPr>
            <w:tcW w:w="1100" w:type="dxa"/>
            <w:vAlign w:val="bottom"/>
            <w:gridSpan w:val="3"/>
          </w:tcPr>
          <w:p>
            <w:pPr>
              <w:spacing w:after="0" w:line="181" w:lineRule="exact"/>
              <w:rPr>
                <w:rFonts w:ascii="Arial" w:cs="Arial" w:eastAsia="Arial" w:hAnsi="Arial"/>
                <w:sz w:val="16"/>
                <w:szCs w:val="16"/>
                <w:color w:val="0000FF"/>
                <w:w w:val="91"/>
              </w:rPr>
            </w:pPr>
            <w:hyperlink w:anchor="page15">
              <w:r>
                <w:rPr>
                  <w:rFonts w:ascii="Arial" w:cs="Arial" w:eastAsia="Arial" w:hAnsi="Arial"/>
                  <w:sz w:val="16"/>
                  <w:szCs w:val="16"/>
                  <w:color w:val="0000FF"/>
                  <w:w w:val="91"/>
                </w:rPr>
                <w:t>RISK FACTORS</w:t>
              </w:r>
            </w:hyperlink>
          </w:p>
        </w:tc>
        <w:tc>
          <w:tcPr>
            <w:tcW w:w="7520" w:type="dxa"/>
            <w:vAlign w:val="bottom"/>
            <w:gridSpan w:val="16"/>
          </w:tcPr>
          <w:p>
            <w:pPr>
              <w:spacing w:after="0"/>
              <w:rPr>
                <w:sz w:val="15"/>
                <w:szCs w:val="15"/>
                <w:color w:val="auto"/>
              </w:rPr>
            </w:pPr>
          </w:p>
        </w:tc>
        <w:tc>
          <w:tcPr>
            <w:tcW w:w="1000" w:type="dxa"/>
            <w:vAlign w:val="bottom"/>
            <w:gridSpan w:val="2"/>
          </w:tcPr>
          <w:p>
            <w:pPr>
              <w:spacing w:after="0"/>
              <w:rPr>
                <w:sz w:val="15"/>
                <w:szCs w:val="15"/>
                <w:color w:val="auto"/>
              </w:rPr>
            </w:pPr>
          </w:p>
        </w:tc>
        <w:tc>
          <w:tcPr>
            <w:tcW w:w="180" w:type="dxa"/>
            <w:vAlign w:val="bottom"/>
            <w:gridSpan w:val="3"/>
          </w:tcPr>
          <w:p>
            <w:pPr>
              <w:jc w:val="right"/>
              <w:ind w:right="20"/>
              <w:spacing w:after="0" w:line="181" w:lineRule="exact"/>
              <w:rPr>
                <w:rFonts w:ascii="Arial" w:cs="Arial" w:eastAsia="Arial" w:hAnsi="Arial"/>
                <w:sz w:val="16"/>
                <w:szCs w:val="16"/>
                <w:color w:val="0000FF"/>
                <w:w w:val="78"/>
              </w:rPr>
            </w:pPr>
            <w:hyperlink w:anchor="page15">
              <w:r>
                <w:rPr>
                  <w:rFonts w:ascii="Arial" w:cs="Arial" w:eastAsia="Arial" w:hAnsi="Arial"/>
                  <w:sz w:val="16"/>
                  <w:szCs w:val="16"/>
                  <w:color w:val="0000FF"/>
                  <w:w w:val="78"/>
                </w:rPr>
                <w:t>15</w:t>
              </w:r>
            </w:hyperlink>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00" w:type="dxa"/>
            <w:vAlign w:val="bottom"/>
          </w:tcPr>
          <w:p>
            <w:pPr>
              <w:spacing w:after="0"/>
              <w:rPr>
                <w:sz w:val="15"/>
                <w:szCs w:val="15"/>
                <w:color w:val="auto"/>
              </w:rPr>
            </w:pPr>
          </w:p>
        </w:tc>
        <w:tc>
          <w:tcPr>
            <w:tcW w:w="620" w:type="dxa"/>
            <w:vAlign w:val="bottom"/>
            <w:gridSpan w:val="5"/>
          </w:tcPr>
          <w:p>
            <w:pPr>
              <w:spacing w:after="0" w:line="181" w:lineRule="exact"/>
              <w:rPr>
                <w:rFonts w:ascii="Arial" w:cs="Arial" w:eastAsia="Arial" w:hAnsi="Arial"/>
                <w:sz w:val="16"/>
                <w:szCs w:val="16"/>
                <w:color w:val="0000FF"/>
                <w:w w:val="86"/>
              </w:rPr>
            </w:pPr>
            <w:hyperlink w:anchor="page38">
              <w:r>
                <w:rPr>
                  <w:rFonts w:ascii="Arial" w:cs="Arial" w:eastAsia="Arial" w:hAnsi="Arial"/>
                  <w:sz w:val="16"/>
                  <w:szCs w:val="16"/>
                  <w:color w:val="0000FF"/>
                  <w:w w:val="86"/>
                </w:rPr>
                <w:t>ITEM 1B.</w:t>
              </w:r>
            </w:hyperlink>
          </w:p>
        </w:tc>
        <w:tc>
          <w:tcPr>
            <w:tcW w:w="700" w:type="dxa"/>
            <w:vAlign w:val="bottom"/>
          </w:tcPr>
          <w:p>
            <w:pPr>
              <w:spacing w:after="0"/>
              <w:rPr>
                <w:sz w:val="15"/>
                <w:szCs w:val="15"/>
                <w:color w:val="auto"/>
              </w:rPr>
            </w:pPr>
          </w:p>
        </w:tc>
        <w:tc>
          <w:tcPr>
            <w:tcW w:w="2480" w:type="dxa"/>
            <w:vAlign w:val="bottom"/>
            <w:gridSpan w:val="8"/>
          </w:tcPr>
          <w:p>
            <w:pPr>
              <w:spacing w:after="0" w:line="181" w:lineRule="exact"/>
              <w:rPr>
                <w:rFonts w:ascii="Arial" w:cs="Arial" w:eastAsia="Arial" w:hAnsi="Arial"/>
                <w:sz w:val="16"/>
                <w:szCs w:val="16"/>
                <w:color w:val="0000FF"/>
                <w:w w:val="93"/>
              </w:rPr>
            </w:pPr>
            <w:hyperlink w:anchor="page38">
              <w:r>
                <w:rPr>
                  <w:rFonts w:ascii="Arial" w:cs="Arial" w:eastAsia="Arial" w:hAnsi="Arial"/>
                  <w:sz w:val="16"/>
                  <w:szCs w:val="16"/>
                  <w:color w:val="0000FF"/>
                  <w:w w:val="93"/>
                </w:rPr>
                <w:t>UNRESOLVED STAFF COMMENTS</w:t>
              </w:r>
            </w:hyperlink>
          </w:p>
        </w:tc>
        <w:tc>
          <w:tcPr>
            <w:tcW w:w="6140" w:type="dxa"/>
            <w:vAlign w:val="bottom"/>
            <w:gridSpan w:val="11"/>
          </w:tcPr>
          <w:p>
            <w:pPr>
              <w:spacing w:after="0"/>
              <w:rPr>
                <w:sz w:val="15"/>
                <w:szCs w:val="15"/>
                <w:color w:val="auto"/>
              </w:rPr>
            </w:pPr>
          </w:p>
        </w:tc>
        <w:tc>
          <w:tcPr>
            <w:tcW w:w="1000" w:type="dxa"/>
            <w:vAlign w:val="bottom"/>
            <w:gridSpan w:val="2"/>
          </w:tcPr>
          <w:p>
            <w:pPr>
              <w:spacing w:after="0"/>
              <w:rPr>
                <w:sz w:val="15"/>
                <w:szCs w:val="15"/>
                <w:color w:val="auto"/>
              </w:rPr>
            </w:pPr>
          </w:p>
        </w:tc>
        <w:tc>
          <w:tcPr>
            <w:tcW w:w="180" w:type="dxa"/>
            <w:vAlign w:val="bottom"/>
            <w:gridSpan w:val="3"/>
          </w:tcPr>
          <w:p>
            <w:pPr>
              <w:jc w:val="right"/>
              <w:ind w:right="20"/>
              <w:spacing w:after="0" w:line="181" w:lineRule="exact"/>
              <w:rPr>
                <w:rFonts w:ascii="Arial" w:cs="Arial" w:eastAsia="Arial" w:hAnsi="Arial"/>
                <w:sz w:val="16"/>
                <w:szCs w:val="16"/>
                <w:color w:val="0000FF"/>
                <w:w w:val="78"/>
              </w:rPr>
            </w:pPr>
            <w:hyperlink w:anchor="page38">
              <w:r>
                <w:rPr>
                  <w:rFonts w:ascii="Arial" w:cs="Arial" w:eastAsia="Arial" w:hAnsi="Arial"/>
                  <w:sz w:val="16"/>
                  <w:szCs w:val="16"/>
                  <w:color w:val="0000FF"/>
                  <w:w w:val="78"/>
                </w:rPr>
                <w:t>39</w:t>
              </w:r>
            </w:hyperlink>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00" w:type="dxa"/>
            <w:vAlign w:val="bottom"/>
          </w:tcPr>
          <w:p>
            <w:pPr>
              <w:spacing w:after="0"/>
              <w:rPr>
                <w:sz w:val="15"/>
                <w:szCs w:val="15"/>
                <w:color w:val="auto"/>
              </w:rPr>
            </w:pPr>
          </w:p>
        </w:tc>
        <w:tc>
          <w:tcPr>
            <w:tcW w:w="560" w:type="dxa"/>
            <w:vAlign w:val="bottom"/>
            <w:gridSpan w:val="4"/>
          </w:tcPr>
          <w:p>
            <w:pPr>
              <w:spacing w:after="0" w:line="181" w:lineRule="exact"/>
              <w:rPr>
                <w:rFonts w:ascii="Arial" w:cs="Arial" w:eastAsia="Arial" w:hAnsi="Arial"/>
                <w:sz w:val="16"/>
                <w:szCs w:val="16"/>
                <w:color w:val="0000FF"/>
                <w:w w:val="92"/>
              </w:rPr>
            </w:pPr>
            <w:hyperlink w:anchor="page39">
              <w:r>
                <w:rPr>
                  <w:rFonts w:ascii="Arial" w:cs="Arial" w:eastAsia="Arial" w:hAnsi="Arial"/>
                  <w:sz w:val="16"/>
                  <w:szCs w:val="16"/>
                  <w:color w:val="0000FF"/>
                  <w:w w:val="92"/>
                </w:rPr>
                <w:t>ITEM 2.</w:t>
              </w:r>
            </w:hyperlink>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80" w:type="dxa"/>
            <w:vAlign w:val="bottom"/>
            <w:gridSpan w:val="8"/>
          </w:tcPr>
          <w:p>
            <w:pPr>
              <w:spacing w:after="0" w:line="181" w:lineRule="exact"/>
              <w:rPr>
                <w:rFonts w:ascii="Arial" w:cs="Arial" w:eastAsia="Arial" w:hAnsi="Arial"/>
                <w:sz w:val="16"/>
                <w:szCs w:val="16"/>
                <w:color w:val="0000FF"/>
              </w:rPr>
            </w:pPr>
            <w:hyperlink w:anchor="page39">
              <w:r>
                <w:rPr>
                  <w:rFonts w:ascii="Arial" w:cs="Arial" w:eastAsia="Arial" w:hAnsi="Arial"/>
                  <w:sz w:val="16"/>
                  <w:szCs w:val="16"/>
                  <w:color w:val="0000FF"/>
                </w:rPr>
                <w:t>PROPERTIES</w:t>
              </w:r>
            </w:hyperlink>
          </w:p>
        </w:tc>
        <w:tc>
          <w:tcPr>
            <w:tcW w:w="6140" w:type="dxa"/>
            <w:vAlign w:val="bottom"/>
            <w:gridSpan w:val="11"/>
          </w:tcPr>
          <w:p>
            <w:pPr>
              <w:spacing w:after="0"/>
              <w:rPr>
                <w:sz w:val="15"/>
                <w:szCs w:val="15"/>
                <w:color w:val="auto"/>
              </w:rPr>
            </w:pPr>
          </w:p>
        </w:tc>
        <w:tc>
          <w:tcPr>
            <w:tcW w:w="1000" w:type="dxa"/>
            <w:vAlign w:val="bottom"/>
            <w:gridSpan w:val="2"/>
          </w:tcPr>
          <w:p>
            <w:pPr>
              <w:spacing w:after="0"/>
              <w:rPr>
                <w:sz w:val="15"/>
                <w:szCs w:val="15"/>
                <w:color w:val="auto"/>
              </w:rPr>
            </w:pPr>
          </w:p>
        </w:tc>
        <w:tc>
          <w:tcPr>
            <w:tcW w:w="180" w:type="dxa"/>
            <w:vAlign w:val="bottom"/>
            <w:gridSpan w:val="3"/>
          </w:tcPr>
          <w:p>
            <w:pPr>
              <w:jc w:val="right"/>
              <w:ind w:right="20"/>
              <w:spacing w:after="0" w:line="181" w:lineRule="exact"/>
              <w:rPr>
                <w:rFonts w:ascii="Arial" w:cs="Arial" w:eastAsia="Arial" w:hAnsi="Arial"/>
                <w:sz w:val="16"/>
                <w:szCs w:val="16"/>
                <w:color w:val="0000FF"/>
                <w:w w:val="78"/>
              </w:rPr>
            </w:pPr>
            <w:hyperlink w:anchor="page39">
              <w:r>
                <w:rPr>
                  <w:rFonts w:ascii="Arial" w:cs="Arial" w:eastAsia="Arial" w:hAnsi="Arial"/>
                  <w:sz w:val="16"/>
                  <w:szCs w:val="16"/>
                  <w:color w:val="0000FF"/>
                  <w:w w:val="78"/>
                </w:rPr>
                <w:t>40</w:t>
              </w:r>
            </w:hyperlink>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00" w:type="dxa"/>
            <w:vAlign w:val="bottom"/>
          </w:tcPr>
          <w:p>
            <w:pPr>
              <w:spacing w:after="0"/>
              <w:rPr>
                <w:sz w:val="15"/>
                <w:szCs w:val="15"/>
                <w:color w:val="auto"/>
              </w:rPr>
            </w:pPr>
          </w:p>
        </w:tc>
        <w:tc>
          <w:tcPr>
            <w:tcW w:w="560" w:type="dxa"/>
            <w:vAlign w:val="bottom"/>
            <w:gridSpan w:val="4"/>
          </w:tcPr>
          <w:p>
            <w:pPr>
              <w:spacing w:after="0" w:line="181" w:lineRule="exact"/>
              <w:rPr>
                <w:rFonts w:ascii="Arial" w:cs="Arial" w:eastAsia="Arial" w:hAnsi="Arial"/>
                <w:sz w:val="16"/>
                <w:szCs w:val="16"/>
                <w:color w:val="0000FF"/>
                <w:w w:val="92"/>
              </w:rPr>
            </w:pPr>
            <w:hyperlink w:anchor="page40">
              <w:r>
                <w:rPr>
                  <w:rFonts w:ascii="Arial" w:cs="Arial" w:eastAsia="Arial" w:hAnsi="Arial"/>
                  <w:sz w:val="16"/>
                  <w:szCs w:val="16"/>
                  <w:color w:val="0000FF"/>
                  <w:w w:val="92"/>
                </w:rPr>
                <w:t>ITEM 3.</w:t>
              </w:r>
            </w:hyperlink>
          </w:p>
        </w:tc>
        <w:tc>
          <w:tcPr>
            <w:tcW w:w="760" w:type="dxa"/>
            <w:vAlign w:val="bottom"/>
            <w:gridSpan w:val="2"/>
          </w:tcPr>
          <w:p>
            <w:pPr>
              <w:spacing w:after="0"/>
              <w:rPr>
                <w:sz w:val="15"/>
                <w:szCs w:val="15"/>
                <w:color w:val="auto"/>
              </w:rPr>
            </w:pPr>
          </w:p>
        </w:tc>
        <w:tc>
          <w:tcPr>
            <w:tcW w:w="8620" w:type="dxa"/>
            <w:vAlign w:val="bottom"/>
            <w:gridSpan w:val="19"/>
          </w:tcPr>
          <w:p>
            <w:pPr>
              <w:spacing w:after="0" w:line="181" w:lineRule="exact"/>
              <w:rPr>
                <w:rFonts w:ascii="Arial" w:cs="Arial" w:eastAsia="Arial" w:hAnsi="Arial"/>
                <w:sz w:val="16"/>
                <w:szCs w:val="16"/>
                <w:color w:val="0000FF"/>
              </w:rPr>
            </w:pPr>
            <w:hyperlink w:anchor="page40">
              <w:r>
                <w:rPr>
                  <w:rFonts w:ascii="Arial" w:cs="Arial" w:eastAsia="Arial" w:hAnsi="Arial"/>
                  <w:sz w:val="16"/>
                  <w:szCs w:val="16"/>
                  <w:color w:val="0000FF"/>
                </w:rPr>
                <w:t>LEGAL PROCEEDINGS</w:t>
              </w:r>
            </w:hyperlink>
          </w:p>
        </w:tc>
        <w:tc>
          <w:tcPr>
            <w:tcW w:w="1180" w:type="dxa"/>
            <w:vAlign w:val="bottom"/>
            <w:gridSpan w:val="5"/>
          </w:tcPr>
          <w:p>
            <w:pPr>
              <w:jc w:val="right"/>
              <w:ind w:right="20"/>
              <w:spacing w:after="0" w:line="181" w:lineRule="exact"/>
              <w:rPr>
                <w:rFonts w:ascii="Arial" w:cs="Arial" w:eastAsia="Arial" w:hAnsi="Arial"/>
                <w:sz w:val="16"/>
                <w:szCs w:val="16"/>
                <w:color w:val="0000FF"/>
              </w:rPr>
            </w:pPr>
            <w:hyperlink w:anchor="page40">
              <w:r>
                <w:rPr>
                  <w:rFonts w:ascii="Arial" w:cs="Arial" w:eastAsia="Arial" w:hAnsi="Arial"/>
                  <w:sz w:val="16"/>
                  <w:szCs w:val="16"/>
                  <w:color w:val="0000FF"/>
                </w:rPr>
                <w:t>40</w:t>
              </w:r>
            </w:hyperlink>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00" w:type="dxa"/>
            <w:vAlign w:val="bottom"/>
          </w:tcPr>
          <w:p>
            <w:pPr>
              <w:spacing w:after="0"/>
              <w:rPr>
                <w:sz w:val="15"/>
                <w:szCs w:val="15"/>
                <w:color w:val="auto"/>
              </w:rPr>
            </w:pPr>
          </w:p>
        </w:tc>
        <w:tc>
          <w:tcPr>
            <w:tcW w:w="560" w:type="dxa"/>
            <w:vAlign w:val="bottom"/>
            <w:gridSpan w:val="4"/>
          </w:tcPr>
          <w:p>
            <w:pPr>
              <w:spacing w:after="0" w:line="181" w:lineRule="exact"/>
              <w:rPr>
                <w:rFonts w:ascii="Arial" w:cs="Arial" w:eastAsia="Arial" w:hAnsi="Arial"/>
                <w:sz w:val="16"/>
                <w:szCs w:val="16"/>
                <w:color w:val="0000FF"/>
                <w:w w:val="92"/>
              </w:rPr>
            </w:pPr>
            <w:hyperlink w:anchor="page40">
              <w:r>
                <w:rPr>
                  <w:rFonts w:ascii="Arial" w:cs="Arial" w:eastAsia="Arial" w:hAnsi="Arial"/>
                  <w:sz w:val="16"/>
                  <w:szCs w:val="16"/>
                  <w:color w:val="0000FF"/>
                  <w:w w:val="92"/>
                </w:rPr>
                <w:t>ITEM 4.</w:t>
              </w:r>
            </w:hyperlink>
          </w:p>
        </w:tc>
        <w:tc>
          <w:tcPr>
            <w:tcW w:w="760" w:type="dxa"/>
            <w:vAlign w:val="bottom"/>
            <w:gridSpan w:val="2"/>
          </w:tcPr>
          <w:p>
            <w:pPr>
              <w:spacing w:after="0"/>
              <w:rPr>
                <w:sz w:val="15"/>
                <w:szCs w:val="15"/>
                <w:color w:val="auto"/>
              </w:rPr>
            </w:pPr>
          </w:p>
        </w:tc>
        <w:tc>
          <w:tcPr>
            <w:tcW w:w="8620" w:type="dxa"/>
            <w:vAlign w:val="bottom"/>
            <w:gridSpan w:val="19"/>
          </w:tcPr>
          <w:p>
            <w:pPr>
              <w:spacing w:after="0" w:line="181" w:lineRule="exact"/>
              <w:rPr>
                <w:rFonts w:ascii="Arial" w:cs="Arial" w:eastAsia="Arial" w:hAnsi="Arial"/>
                <w:sz w:val="16"/>
                <w:szCs w:val="16"/>
                <w:color w:val="0000FF"/>
              </w:rPr>
            </w:pPr>
            <w:hyperlink w:anchor="page40">
              <w:r>
                <w:rPr>
                  <w:rFonts w:ascii="Arial" w:cs="Arial" w:eastAsia="Arial" w:hAnsi="Arial"/>
                  <w:sz w:val="16"/>
                  <w:szCs w:val="16"/>
                  <w:color w:val="0000FF"/>
                </w:rPr>
                <w:t>MINE SAFETY DISCLOSURES</w:t>
              </w:r>
            </w:hyperlink>
          </w:p>
        </w:tc>
        <w:tc>
          <w:tcPr>
            <w:tcW w:w="1180" w:type="dxa"/>
            <w:vAlign w:val="bottom"/>
            <w:gridSpan w:val="5"/>
          </w:tcPr>
          <w:p>
            <w:pPr>
              <w:jc w:val="right"/>
              <w:ind w:right="20"/>
              <w:spacing w:after="0" w:line="181" w:lineRule="exact"/>
              <w:rPr>
                <w:rFonts w:ascii="Arial" w:cs="Arial" w:eastAsia="Arial" w:hAnsi="Arial"/>
                <w:sz w:val="16"/>
                <w:szCs w:val="16"/>
                <w:color w:val="0000FF"/>
              </w:rPr>
            </w:pPr>
            <w:hyperlink w:anchor="page40">
              <w:r>
                <w:rPr>
                  <w:rFonts w:ascii="Arial" w:cs="Arial" w:eastAsia="Arial" w:hAnsi="Arial"/>
                  <w:sz w:val="16"/>
                  <w:szCs w:val="16"/>
                  <w:color w:val="0000FF"/>
                </w:rPr>
                <w:t>40</w:t>
              </w:r>
            </w:hyperlink>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1420" w:type="dxa"/>
            <w:vAlign w:val="bottom"/>
            <w:gridSpan w:val="7"/>
          </w:tcPr>
          <w:p>
            <w:pPr>
              <w:spacing w:after="0"/>
              <w:rPr>
                <w:rFonts w:ascii="Arial" w:cs="Arial" w:eastAsia="Arial" w:hAnsi="Arial"/>
                <w:sz w:val="16"/>
                <w:szCs w:val="16"/>
                <w:color w:val="0000FF"/>
              </w:rPr>
            </w:pPr>
            <w:hyperlink w:anchor="page40">
              <w:r>
                <w:rPr>
                  <w:rFonts w:ascii="Arial" w:cs="Arial" w:eastAsia="Arial" w:hAnsi="Arial"/>
                  <w:sz w:val="16"/>
                  <w:szCs w:val="16"/>
                  <w:color w:val="0000FF"/>
                </w:rPr>
                <w:t>PART II</w:t>
              </w:r>
            </w:hyperlink>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00" w:type="dxa"/>
            <w:vAlign w:val="bottom"/>
          </w:tcPr>
          <w:p>
            <w:pPr>
              <w:spacing w:after="0"/>
              <w:rPr>
                <w:sz w:val="15"/>
                <w:szCs w:val="15"/>
                <w:color w:val="auto"/>
              </w:rPr>
            </w:pPr>
          </w:p>
        </w:tc>
        <w:tc>
          <w:tcPr>
            <w:tcW w:w="1320" w:type="dxa"/>
            <w:vAlign w:val="bottom"/>
            <w:gridSpan w:val="6"/>
          </w:tcPr>
          <w:p>
            <w:pPr>
              <w:spacing w:after="0" w:line="181" w:lineRule="exact"/>
              <w:rPr>
                <w:rFonts w:ascii="Arial" w:cs="Arial" w:eastAsia="Arial" w:hAnsi="Arial"/>
                <w:sz w:val="16"/>
                <w:szCs w:val="16"/>
                <w:color w:val="0000FF"/>
              </w:rPr>
            </w:pPr>
            <w:hyperlink w:anchor="page41">
              <w:r>
                <w:rPr>
                  <w:rFonts w:ascii="Arial" w:cs="Arial" w:eastAsia="Arial" w:hAnsi="Arial"/>
                  <w:sz w:val="16"/>
                  <w:szCs w:val="16"/>
                  <w:color w:val="0000FF"/>
                </w:rPr>
                <w:t>ITEM 5.</w:t>
              </w:r>
            </w:hyperlink>
          </w:p>
        </w:tc>
        <w:tc>
          <w:tcPr>
            <w:tcW w:w="8620" w:type="dxa"/>
            <w:vAlign w:val="bottom"/>
            <w:gridSpan w:val="19"/>
          </w:tcPr>
          <w:p>
            <w:pPr>
              <w:spacing w:after="0" w:line="181" w:lineRule="exact"/>
              <w:rPr>
                <w:rFonts w:ascii="Arial" w:cs="Arial" w:eastAsia="Arial" w:hAnsi="Arial"/>
                <w:sz w:val="16"/>
                <w:szCs w:val="16"/>
                <w:color w:val="0000FF"/>
                <w:w w:val="96"/>
              </w:rPr>
            </w:pPr>
            <w:hyperlink w:anchor="page41">
              <w:r>
                <w:rPr>
                  <w:rFonts w:ascii="Arial" w:cs="Arial" w:eastAsia="Arial" w:hAnsi="Arial"/>
                  <w:sz w:val="16"/>
                  <w:szCs w:val="16"/>
                  <w:color w:val="0000FF"/>
                  <w:w w:val="96"/>
                </w:rPr>
                <w:t>MARKET FOR REGISTRANT'S COMMON EQUITY, RELATED SHAREHOLDER MATTERS AND ISSUER PURCHASES OF</w:t>
              </w:r>
            </w:hyperlink>
          </w:p>
        </w:tc>
        <w:tc>
          <w:tcPr>
            <w:tcW w:w="1180" w:type="dxa"/>
            <w:vAlign w:val="bottom"/>
            <w:gridSpan w:val="5"/>
            <w:vMerge w:val="restart"/>
          </w:tcPr>
          <w:p>
            <w:pPr>
              <w:jc w:val="right"/>
              <w:ind w:right="20"/>
              <w:spacing w:after="0"/>
              <w:rPr>
                <w:rFonts w:ascii="Arial" w:cs="Arial" w:eastAsia="Arial" w:hAnsi="Arial"/>
                <w:sz w:val="16"/>
                <w:szCs w:val="16"/>
                <w:color w:val="0000FF"/>
              </w:rPr>
            </w:pPr>
            <w:hyperlink w:anchor="page41">
              <w:r>
                <w:rPr>
                  <w:rFonts w:ascii="Arial" w:cs="Arial" w:eastAsia="Arial" w:hAnsi="Arial"/>
                  <w:sz w:val="16"/>
                  <w:szCs w:val="16"/>
                  <w:color w:val="0000FF"/>
                </w:rPr>
                <w:t>42</w:t>
              </w:r>
            </w:hyperlink>
          </w:p>
        </w:tc>
        <w:tc>
          <w:tcPr>
            <w:tcW w:w="0" w:type="dxa"/>
            <w:vAlign w:val="bottom"/>
          </w:tcPr>
          <w:p>
            <w:pPr>
              <w:spacing w:after="0"/>
              <w:rPr>
                <w:sz w:val="1"/>
                <w:szCs w:val="1"/>
                <w:color w:val="auto"/>
              </w:rPr>
            </w:pPr>
          </w:p>
        </w:tc>
      </w:tr>
      <w:tr>
        <w:trPr>
          <w:trHeight w:val="134"/>
        </w:trPr>
        <w:tc>
          <w:tcPr>
            <w:tcW w:w="100" w:type="dxa"/>
            <w:vAlign w:val="bottom"/>
          </w:tcPr>
          <w:p>
            <w:pPr>
              <w:spacing w:after="0"/>
              <w:rPr>
                <w:sz w:val="11"/>
                <w:szCs w:val="11"/>
                <w:color w:val="auto"/>
              </w:rPr>
            </w:pPr>
          </w:p>
        </w:tc>
        <w:tc>
          <w:tcPr>
            <w:tcW w:w="38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20" w:type="dxa"/>
            <w:vAlign w:val="bottom"/>
            <w:tcBorders>
              <w:top w:val="single" w:sz="8" w:color="0000FF"/>
            </w:tcBorders>
            <w:gridSpan w:val="18"/>
          </w:tcPr>
          <w:p>
            <w:pPr>
              <w:spacing w:after="0" w:line="134" w:lineRule="exact"/>
              <w:rPr>
                <w:rFonts w:ascii="Arial" w:cs="Arial" w:eastAsia="Arial" w:hAnsi="Arial"/>
                <w:sz w:val="15"/>
                <w:szCs w:val="15"/>
                <w:color w:val="0000FF"/>
              </w:rPr>
            </w:pPr>
            <w:hyperlink w:anchor="page41">
              <w:r>
                <w:rPr>
                  <w:rFonts w:ascii="Arial" w:cs="Arial" w:eastAsia="Arial" w:hAnsi="Arial"/>
                  <w:sz w:val="15"/>
                  <w:szCs w:val="15"/>
                  <w:color w:val="0000FF"/>
                </w:rPr>
                <w:t>EQUITY SECURITIES</w:t>
              </w:r>
            </w:hyperlink>
          </w:p>
        </w:tc>
        <w:tc>
          <w:tcPr>
            <w:tcW w:w="200" w:type="dxa"/>
            <w:vAlign w:val="bottom"/>
          </w:tcPr>
          <w:p>
            <w:pPr>
              <w:spacing w:after="0"/>
              <w:rPr>
                <w:sz w:val="11"/>
                <w:szCs w:val="11"/>
                <w:color w:val="auto"/>
              </w:rPr>
            </w:pPr>
          </w:p>
        </w:tc>
        <w:tc>
          <w:tcPr>
            <w:tcW w:w="118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00" w:type="dxa"/>
            <w:vAlign w:val="bottom"/>
          </w:tcPr>
          <w:p>
            <w:pPr>
              <w:spacing w:after="0"/>
              <w:rPr>
                <w:sz w:val="15"/>
                <w:szCs w:val="15"/>
                <w:color w:val="auto"/>
              </w:rPr>
            </w:pPr>
          </w:p>
        </w:tc>
        <w:tc>
          <w:tcPr>
            <w:tcW w:w="560" w:type="dxa"/>
            <w:vAlign w:val="bottom"/>
            <w:gridSpan w:val="4"/>
          </w:tcPr>
          <w:p>
            <w:pPr>
              <w:spacing w:after="0" w:line="181" w:lineRule="exact"/>
              <w:rPr>
                <w:rFonts w:ascii="Arial" w:cs="Arial" w:eastAsia="Arial" w:hAnsi="Arial"/>
                <w:sz w:val="16"/>
                <w:szCs w:val="16"/>
                <w:color w:val="0000FF"/>
                <w:w w:val="92"/>
              </w:rPr>
            </w:pPr>
            <w:hyperlink w:anchor="page45">
              <w:r>
                <w:rPr>
                  <w:rFonts w:ascii="Arial" w:cs="Arial" w:eastAsia="Arial" w:hAnsi="Arial"/>
                  <w:sz w:val="16"/>
                  <w:szCs w:val="16"/>
                  <w:color w:val="0000FF"/>
                  <w:w w:val="92"/>
                </w:rPr>
                <w:t>ITEM 6.</w:t>
              </w:r>
            </w:hyperlink>
          </w:p>
        </w:tc>
        <w:tc>
          <w:tcPr>
            <w:tcW w:w="760" w:type="dxa"/>
            <w:vAlign w:val="bottom"/>
            <w:gridSpan w:val="2"/>
          </w:tcPr>
          <w:p>
            <w:pPr>
              <w:spacing w:after="0"/>
              <w:rPr>
                <w:sz w:val="15"/>
                <w:szCs w:val="15"/>
                <w:color w:val="auto"/>
              </w:rPr>
            </w:pPr>
          </w:p>
        </w:tc>
        <w:tc>
          <w:tcPr>
            <w:tcW w:w="8620" w:type="dxa"/>
            <w:vAlign w:val="bottom"/>
            <w:gridSpan w:val="19"/>
          </w:tcPr>
          <w:p>
            <w:pPr>
              <w:spacing w:after="0" w:line="181" w:lineRule="exact"/>
              <w:rPr>
                <w:rFonts w:ascii="Arial" w:cs="Arial" w:eastAsia="Arial" w:hAnsi="Arial"/>
                <w:sz w:val="16"/>
                <w:szCs w:val="16"/>
                <w:color w:val="0000FF"/>
              </w:rPr>
            </w:pPr>
            <w:hyperlink w:anchor="page45">
              <w:r>
                <w:rPr>
                  <w:rFonts w:ascii="Arial" w:cs="Arial" w:eastAsia="Arial" w:hAnsi="Arial"/>
                  <w:sz w:val="16"/>
                  <w:szCs w:val="16"/>
                  <w:color w:val="0000FF"/>
                </w:rPr>
                <w:t>SELECTED FINANCIAL DATA</w:t>
              </w:r>
            </w:hyperlink>
          </w:p>
        </w:tc>
        <w:tc>
          <w:tcPr>
            <w:tcW w:w="1180" w:type="dxa"/>
            <w:vAlign w:val="bottom"/>
            <w:gridSpan w:val="5"/>
          </w:tcPr>
          <w:p>
            <w:pPr>
              <w:jc w:val="right"/>
              <w:ind w:right="20"/>
              <w:spacing w:after="0" w:line="181" w:lineRule="exact"/>
              <w:rPr>
                <w:rFonts w:ascii="Arial" w:cs="Arial" w:eastAsia="Arial" w:hAnsi="Arial"/>
                <w:sz w:val="16"/>
                <w:szCs w:val="16"/>
                <w:color w:val="0000FF"/>
              </w:rPr>
            </w:pPr>
            <w:hyperlink w:anchor="page45">
              <w:r>
                <w:rPr>
                  <w:rFonts w:ascii="Arial" w:cs="Arial" w:eastAsia="Arial" w:hAnsi="Arial"/>
                  <w:sz w:val="16"/>
                  <w:szCs w:val="16"/>
                  <w:color w:val="0000FF"/>
                </w:rPr>
                <w:t>45</w:t>
              </w:r>
            </w:hyperlink>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tcBorders>
              <w:left w:val="single" w:sz="8" w:color="0000FF"/>
            </w:tcBorders>
            <w:gridSpan w:val="3"/>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00" w:type="dxa"/>
            <w:vAlign w:val="bottom"/>
          </w:tcPr>
          <w:p>
            <w:pPr>
              <w:spacing w:after="0"/>
              <w:rPr>
                <w:sz w:val="15"/>
                <w:szCs w:val="15"/>
                <w:color w:val="auto"/>
              </w:rPr>
            </w:pPr>
          </w:p>
        </w:tc>
        <w:tc>
          <w:tcPr>
            <w:tcW w:w="560" w:type="dxa"/>
            <w:vAlign w:val="bottom"/>
            <w:gridSpan w:val="4"/>
          </w:tcPr>
          <w:p>
            <w:pPr>
              <w:spacing w:after="0" w:line="181" w:lineRule="exact"/>
              <w:rPr>
                <w:rFonts w:ascii="Arial" w:cs="Arial" w:eastAsia="Arial" w:hAnsi="Arial"/>
                <w:sz w:val="16"/>
                <w:szCs w:val="16"/>
                <w:color w:val="0000FF"/>
                <w:w w:val="92"/>
              </w:rPr>
            </w:pPr>
            <w:hyperlink w:anchor="page45">
              <w:r>
                <w:rPr>
                  <w:rFonts w:ascii="Arial" w:cs="Arial" w:eastAsia="Arial" w:hAnsi="Arial"/>
                  <w:sz w:val="16"/>
                  <w:szCs w:val="16"/>
                  <w:color w:val="0000FF"/>
                  <w:w w:val="92"/>
                </w:rPr>
                <w:t>ITEM 7.</w:t>
              </w:r>
            </w:hyperlink>
          </w:p>
        </w:tc>
        <w:tc>
          <w:tcPr>
            <w:tcW w:w="760" w:type="dxa"/>
            <w:vAlign w:val="bottom"/>
            <w:gridSpan w:val="2"/>
          </w:tcPr>
          <w:p>
            <w:pPr>
              <w:spacing w:after="0"/>
              <w:rPr>
                <w:sz w:val="15"/>
                <w:szCs w:val="15"/>
                <w:color w:val="auto"/>
              </w:rPr>
            </w:pPr>
          </w:p>
        </w:tc>
        <w:tc>
          <w:tcPr>
            <w:tcW w:w="7800" w:type="dxa"/>
            <w:vAlign w:val="bottom"/>
            <w:gridSpan w:val="15"/>
          </w:tcPr>
          <w:p>
            <w:pPr>
              <w:spacing w:after="0" w:line="181" w:lineRule="exact"/>
              <w:rPr>
                <w:rFonts w:ascii="Arial" w:cs="Arial" w:eastAsia="Arial" w:hAnsi="Arial"/>
                <w:sz w:val="16"/>
                <w:szCs w:val="16"/>
                <w:color w:val="0000FF"/>
                <w:w w:val="95"/>
              </w:rPr>
            </w:pPr>
            <w:hyperlink w:anchor="page45">
              <w:r>
                <w:rPr>
                  <w:rFonts w:ascii="Arial" w:cs="Arial" w:eastAsia="Arial" w:hAnsi="Arial"/>
                  <w:sz w:val="16"/>
                  <w:szCs w:val="16"/>
                  <w:color w:val="0000FF"/>
                  <w:w w:val="95"/>
                </w:rPr>
                <w:t>MANAGEMENT'S DISCUSSION AND ANALYSIS OF FINANCIAL CONDITION AND RESULTS OF OPERATIONS</w:t>
              </w:r>
            </w:hyperlink>
          </w:p>
        </w:tc>
        <w:tc>
          <w:tcPr>
            <w:tcW w:w="820" w:type="dxa"/>
            <w:vAlign w:val="bottom"/>
            <w:gridSpan w:val="4"/>
          </w:tcPr>
          <w:p>
            <w:pPr>
              <w:spacing w:after="0"/>
              <w:rPr>
                <w:sz w:val="15"/>
                <w:szCs w:val="15"/>
                <w:color w:val="auto"/>
              </w:rPr>
            </w:pPr>
          </w:p>
        </w:tc>
        <w:tc>
          <w:tcPr>
            <w:tcW w:w="1000" w:type="dxa"/>
            <w:vAlign w:val="bottom"/>
            <w:gridSpan w:val="2"/>
          </w:tcPr>
          <w:p>
            <w:pPr>
              <w:spacing w:after="0"/>
              <w:rPr>
                <w:sz w:val="15"/>
                <w:szCs w:val="15"/>
                <w:color w:val="auto"/>
              </w:rPr>
            </w:pPr>
          </w:p>
        </w:tc>
        <w:tc>
          <w:tcPr>
            <w:tcW w:w="180" w:type="dxa"/>
            <w:vAlign w:val="bottom"/>
            <w:gridSpan w:val="3"/>
          </w:tcPr>
          <w:p>
            <w:pPr>
              <w:jc w:val="right"/>
              <w:ind w:right="20"/>
              <w:spacing w:after="0" w:line="181" w:lineRule="exact"/>
              <w:rPr>
                <w:rFonts w:ascii="Arial" w:cs="Arial" w:eastAsia="Arial" w:hAnsi="Arial"/>
                <w:sz w:val="16"/>
                <w:szCs w:val="16"/>
                <w:color w:val="0000FF"/>
                <w:w w:val="78"/>
              </w:rPr>
            </w:pPr>
            <w:hyperlink w:anchor="page45">
              <w:r>
                <w:rPr>
                  <w:rFonts w:ascii="Arial" w:cs="Arial" w:eastAsia="Arial" w:hAnsi="Arial"/>
                  <w:sz w:val="16"/>
                  <w:szCs w:val="16"/>
                  <w:color w:val="0000FF"/>
                  <w:w w:val="78"/>
                </w:rPr>
                <w:t>46</w:t>
              </w:r>
            </w:hyperlink>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tcBorders>
              <w:left w:val="single" w:sz="8" w:color="0000FF"/>
            </w:tcBorders>
            <w:gridSpan w:val="3"/>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00" w:type="dxa"/>
            <w:vAlign w:val="bottom"/>
          </w:tcPr>
          <w:p>
            <w:pPr>
              <w:spacing w:after="0"/>
              <w:rPr>
                <w:sz w:val="15"/>
                <w:szCs w:val="15"/>
                <w:color w:val="auto"/>
              </w:rPr>
            </w:pPr>
          </w:p>
        </w:tc>
        <w:tc>
          <w:tcPr>
            <w:tcW w:w="1320" w:type="dxa"/>
            <w:vAlign w:val="bottom"/>
            <w:gridSpan w:val="6"/>
          </w:tcPr>
          <w:p>
            <w:pPr>
              <w:spacing w:after="0" w:line="181" w:lineRule="exact"/>
              <w:rPr>
                <w:rFonts w:ascii="Arial" w:cs="Arial" w:eastAsia="Arial" w:hAnsi="Arial"/>
                <w:sz w:val="16"/>
                <w:szCs w:val="16"/>
                <w:color w:val="0000FF"/>
              </w:rPr>
            </w:pPr>
            <w:hyperlink w:anchor="page71">
              <w:r>
                <w:rPr>
                  <w:rFonts w:ascii="Arial" w:cs="Arial" w:eastAsia="Arial" w:hAnsi="Arial"/>
                  <w:sz w:val="16"/>
                  <w:szCs w:val="16"/>
                  <w:color w:val="0000FF"/>
                </w:rPr>
                <w:t>ITEM 7A.</w:t>
              </w:r>
            </w:hyperlink>
          </w:p>
        </w:tc>
        <w:tc>
          <w:tcPr>
            <w:tcW w:w="8620" w:type="dxa"/>
            <w:vAlign w:val="bottom"/>
            <w:gridSpan w:val="19"/>
          </w:tcPr>
          <w:p>
            <w:pPr>
              <w:spacing w:after="0" w:line="181" w:lineRule="exact"/>
              <w:rPr>
                <w:rFonts w:ascii="Arial" w:cs="Arial" w:eastAsia="Arial" w:hAnsi="Arial"/>
                <w:sz w:val="16"/>
                <w:szCs w:val="16"/>
                <w:color w:val="0000FF"/>
              </w:rPr>
            </w:pPr>
            <w:hyperlink w:anchor="page71">
              <w:r>
                <w:rPr>
                  <w:rFonts w:ascii="Arial" w:cs="Arial" w:eastAsia="Arial" w:hAnsi="Arial"/>
                  <w:sz w:val="16"/>
                  <w:szCs w:val="16"/>
                  <w:color w:val="0000FF"/>
                </w:rPr>
                <w:t>QUANTITATIVE AND QUALITATIVE DISCLOSURES ABOUT MARKET RISK</w:t>
              </w:r>
            </w:hyperlink>
          </w:p>
        </w:tc>
        <w:tc>
          <w:tcPr>
            <w:tcW w:w="1180" w:type="dxa"/>
            <w:vAlign w:val="bottom"/>
            <w:gridSpan w:val="5"/>
          </w:tcPr>
          <w:p>
            <w:pPr>
              <w:jc w:val="right"/>
              <w:ind w:right="20"/>
              <w:spacing w:after="0" w:line="181" w:lineRule="exact"/>
              <w:rPr>
                <w:rFonts w:ascii="Arial" w:cs="Arial" w:eastAsia="Arial" w:hAnsi="Arial"/>
                <w:sz w:val="16"/>
                <w:szCs w:val="16"/>
                <w:color w:val="0000FF"/>
              </w:rPr>
            </w:pPr>
            <w:hyperlink w:anchor="page71">
              <w:r>
                <w:rPr>
                  <w:rFonts w:ascii="Arial" w:cs="Arial" w:eastAsia="Arial" w:hAnsi="Arial"/>
                  <w:sz w:val="16"/>
                  <w:szCs w:val="16"/>
                  <w:color w:val="0000FF"/>
                </w:rPr>
                <w:t>72</w:t>
              </w:r>
            </w:hyperlink>
          </w:p>
        </w:tc>
        <w:tc>
          <w:tcPr>
            <w:tcW w:w="0" w:type="dxa"/>
            <w:vAlign w:val="bottom"/>
          </w:tcPr>
          <w:p>
            <w:pPr>
              <w:spacing w:after="0"/>
              <w:rPr>
                <w:sz w:val="1"/>
                <w:szCs w:val="1"/>
                <w:color w:val="auto"/>
              </w:rPr>
            </w:pPr>
          </w:p>
        </w:tc>
      </w:tr>
      <w:tr>
        <w:trPr>
          <w:trHeight w:val="181"/>
        </w:trPr>
        <w:tc>
          <w:tcPr>
            <w:tcW w:w="100" w:type="dxa"/>
            <w:vAlign w:val="bottom"/>
          </w:tcPr>
          <w:p>
            <w:pPr>
              <w:spacing w:after="0"/>
              <w:rPr>
                <w:sz w:val="15"/>
                <w:szCs w:val="15"/>
                <w:color w:val="auto"/>
              </w:rPr>
            </w:pPr>
          </w:p>
        </w:tc>
        <w:tc>
          <w:tcPr>
            <w:tcW w:w="560" w:type="dxa"/>
            <w:vAlign w:val="bottom"/>
            <w:tcBorders>
              <w:top w:val="single" w:sz="8" w:color="0000FF"/>
            </w:tcBorders>
            <w:gridSpan w:val="4"/>
          </w:tcPr>
          <w:p>
            <w:pPr>
              <w:spacing w:after="0" w:line="181" w:lineRule="exact"/>
              <w:rPr>
                <w:rFonts w:ascii="Arial" w:cs="Arial" w:eastAsia="Arial" w:hAnsi="Arial"/>
                <w:sz w:val="16"/>
                <w:szCs w:val="16"/>
                <w:color w:val="0000FF"/>
                <w:w w:val="92"/>
              </w:rPr>
            </w:pPr>
            <w:hyperlink w:anchor="page74">
              <w:r>
                <w:rPr>
                  <w:rFonts w:ascii="Arial" w:cs="Arial" w:eastAsia="Arial" w:hAnsi="Arial"/>
                  <w:sz w:val="16"/>
                  <w:szCs w:val="16"/>
                  <w:color w:val="0000FF"/>
                  <w:w w:val="92"/>
                </w:rPr>
                <w:t>ITEM 8.</w:t>
              </w:r>
            </w:hyperlink>
          </w:p>
        </w:tc>
        <w:tc>
          <w:tcPr>
            <w:tcW w:w="760" w:type="dxa"/>
            <w:vAlign w:val="bottom"/>
            <w:tcBorders>
              <w:top w:val="single" w:sz="8" w:color="0000FF"/>
            </w:tcBorders>
            <w:gridSpan w:val="2"/>
          </w:tcPr>
          <w:p>
            <w:pPr>
              <w:spacing w:after="0"/>
              <w:rPr>
                <w:sz w:val="15"/>
                <w:szCs w:val="15"/>
                <w:color w:val="auto"/>
              </w:rPr>
            </w:pPr>
          </w:p>
        </w:tc>
        <w:tc>
          <w:tcPr>
            <w:tcW w:w="5380" w:type="dxa"/>
            <w:vAlign w:val="bottom"/>
            <w:tcBorders>
              <w:top w:val="single" w:sz="8" w:color="0000FF"/>
            </w:tcBorders>
            <w:gridSpan w:val="13"/>
          </w:tcPr>
          <w:p>
            <w:pPr>
              <w:spacing w:after="0" w:line="181" w:lineRule="exact"/>
              <w:rPr>
                <w:rFonts w:ascii="Arial" w:cs="Arial" w:eastAsia="Arial" w:hAnsi="Arial"/>
                <w:sz w:val="16"/>
                <w:szCs w:val="16"/>
                <w:color w:val="0000FF"/>
              </w:rPr>
            </w:pPr>
            <w:hyperlink w:anchor="page74">
              <w:r>
                <w:rPr>
                  <w:rFonts w:ascii="Arial" w:cs="Arial" w:eastAsia="Arial" w:hAnsi="Arial"/>
                  <w:sz w:val="16"/>
                  <w:szCs w:val="16"/>
                  <w:color w:val="0000FF"/>
                </w:rPr>
                <w:t>FINANCIAL STATEMENTS AND SUPPLEMENTARY DATA</w:t>
              </w:r>
            </w:hyperlink>
          </w:p>
        </w:tc>
        <w:tc>
          <w:tcPr>
            <w:tcW w:w="3240" w:type="dxa"/>
            <w:vAlign w:val="bottom"/>
            <w:gridSpan w:val="6"/>
          </w:tcPr>
          <w:p>
            <w:pPr>
              <w:spacing w:after="0"/>
              <w:rPr>
                <w:sz w:val="15"/>
                <w:szCs w:val="15"/>
                <w:color w:val="auto"/>
              </w:rPr>
            </w:pPr>
          </w:p>
        </w:tc>
        <w:tc>
          <w:tcPr>
            <w:tcW w:w="1180" w:type="dxa"/>
            <w:vAlign w:val="bottom"/>
            <w:gridSpan w:val="5"/>
          </w:tcPr>
          <w:p>
            <w:pPr>
              <w:jc w:val="right"/>
              <w:ind w:right="20"/>
              <w:spacing w:after="0" w:line="181" w:lineRule="exact"/>
              <w:rPr>
                <w:rFonts w:ascii="Arial" w:cs="Arial" w:eastAsia="Arial" w:hAnsi="Arial"/>
                <w:sz w:val="16"/>
                <w:szCs w:val="16"/>
                <w:color w:val="0000FF"/>
              </w:rPr>
            </w:pPr>
            <w:hyperlink w:anchor="page74">
              <w:r>
                <w:rPr>
                  <w:rFonts w:ascii="Arial" w:cs="Arial" w:eastAsia="Arial" w:hAnsi="Arial"/>
                  <w:sz w:val="16"/>
                  <w:szCs w:val="16"/>
                  <w:color w:val="0000FF"/>
                </w:rPr>
                <w:t>74</w:t>
              </w:r>
            </w:hyperlink>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tcBorders>
              <w:left w:val="single" w:sz="8" w:color="0000FF"/>
            </w:tcBorders>
            <w:gridSpan w:val="3"/>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00" w:type="dxa"/>
            <w:vAlign w:val="bottom"/>
          </w:tcPr>
          <w:p>
            <w:pPr>
              <w:spacing w:after="0"/>
              <w:rPr>
                <w:sz w:val="15"/>
                <w:szCs w:val="15"/>
                <w:color w:val="auto"/>
              </w:rPr>
            </w:pPr>
          </w:p>
        </w:tc>
        <w:tc>
          <w:tcPr>
            <w:tcW w:w="560" w:type="dxa"/>
            <w:vAlign w:val="bottom"/>
            <w:gridSpan w:val="4"/>
          </w:tcPr>
          <w:p>
            <w:pPr>
              <w:spacing w:after="0" w:line="181" w:lineRule="exact"/>
              <w:rPr>
                <w:rFonts w:ascii="Arial" w:cs="Arial" w:eastAsia="Arial" w:hAnsi="Arial"/>
                <w:sz w:val="16"/>
                <w:szCs w:val="16"/>
                <w:color w:val="0000FF"/>
                <w:w w:val="92"/>
              </w:rPr>
            </w:pPr>
            <w:hyperlink w:anchor="page133">
              <w:r>
                <w:rPr>
                  <w:rFonts w:ascii="Arial" w:cs="Arial" w:eastAsia="Arial" w:hAnsi="Arial"/>
                  <w:sz w:val="16"/>
                  <w:szCs w:val="16"/>
                  <w:color w:val="0000FF"/>
                  <w:w w:val="92"/>
                </w:rPr>
                <w:t>ITEM 9.</w:t>
              </w:r>
            </w:hyperlink>
          </w:p>
        </w:tc>
        <w:tc>
          <w:tcPr>
            <w:tcW w:w="760" w:type="dxa"/>
            <w:vAlign w:val="bottom"/>
            <w:gridSpan w:val="2"/>
          </w:tcPr>
          <w:p>
            <w:pPr>
              <w:spacing w:after="0"/>
              <w:rPr>
                <w:sz w:val="15"/>
                <w:szCs w:val="15"/>
                <w:color w:val="auto"/>
              </w:rPr>
            </w:pPr>
          </w:p>
        </w:tc>
        <w:tc>
          <w:tcPr>
            <w:tcW w:w="7980" w:type="dxa"/>
            <w:vAlign w:val="bottom"/>
            <w:gridSpan w:val="16"/>
          </w:tcPr>
          <w:p>
            <w:pPr>
              <w:spacing w:after="0" w:line="181" w:lineRule="exact"/>
              <w:rPr>
                <w:rFonts w:ascii="Arial" w:cs="Arial" w:eastAsia="Arial" w:hAnsi="Arial"/>
                <w:sz w:val="16"/>
                <w:szCs w:val="16"/>
                <w:color w:val="0000FF"/>
                <w:w w:val="96"/>
              </w:rPr>
            </w:pPr>
            <w:hyperlink w:anchor="page133">
              <w:r>
                <w:rPr>
                  <w:rFonts w:ascii="Arial" w:cs="Arial" w:eastAsia="Arial" w:hAnsi="Arial"/>
                  <w:sz w:val="16"/>
                  <w:szCs w:val="16"/>
                  <w:color w:val="0000FF"/>
                  <w:w w:val="96"/>
                </w:rPr>
                <w:t>CHANGES IN AND DISAGREEMENTS WITH ACCOUNTANTS ON ACCOUNTING AND FINANCIAL DISCLOSURE</w:t>
              </w:r>
            </w:hyperlink>
          </w:p>
        </w:tc>
        <w:tc>
          <w:tcPr>
            <w:tcW w:w="640" w:type="dxa"/>
            <w:vAlign w:val="bottom"/>
            <w:gridSpan w:val="3"/>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gridSpan w:val="4"/>
          </w:tcPr>
          <w:p>
            <w:pPr>
              <w:jc w:val="right"/>
              <w:ind w:right="20"/>
              <w:spacing w:after="0" w:line="181" w:lineRule="exact"/>
              <w:rPr>
                <w:rFonts w:ascii="Arial" w:cs="Arial" w:eastAsia="Arial" w:hAnsi="Arial"/>
                <w:sz w:val="16"/>
                <w:szCs w:val="16"/>
                <w:color w:val="0000FF"/>
                <w:w w:val="82"/>
              </w:rPr>
            </w:pPr>
            <w:hyperlink w:anchor="page133">
              <w:r>
                <w:rPr>
                  <w:rFonts w:ascii="Arial" w:cs="Arial" w:eastAsia="Arial" w:hAnsi="Arial"/>
                  <w:sz w:val="16"/>
                  <w:szCs w:val="16"/>
                  <w:color w:val="0000FF"/>
                  <w:w w:val="82"/>
                </w:rPr>
                <w:t>134</w:t>
              </w:r>
            </w:hyperlink>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tcBorders>
              <w:left w:val="single" w:sz="8" w:color="0000FF"/>
            </w:tcBorders>
            <w:gridSpan w:val="3"/>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00" w:type="dxa"/>
            <w:vAlign w:val="bottom"/>
          </w:tcPr>
          <w:p>
            <w:pPr>
              <w:spacing w:after="0"/>
              <w:rPr>
                <w:sz w:val="15"/>
                <w:szCs w:val="15"/>
                <w:color w:val="auto"/>
              </w:rPr>
            </w:pPr>
          </w:p>
        </w:tc>
        <w:tc>
          <w:tcPr>
            <w:tcW w:w="620" w:type="dxa"/>
            <w:vAlign w:val="bottom"/>
            <w:gridSpan w:val="5"/>
          </w:tcPr>
          <w:p>
            <w:pPr>
              <w:spacing w:after="0" w:line="181" w:lineRule="exact"/>
              <w:rPr>
                <w:rFonts w:ascii="Arial" w:cs="Arial" w:eastAsia="Arial" w:hAnsi="Arial"/>
                <w:sz w:val="16"/>
                <w:szCs w:val="16"/>
                <w:color w:val="0000FF"/>
                <w:w w:val="86"/>
              </w:rPr>
            </w:pPr>
            <w:hyperlink w:anchor="page134">
              <w:r>
                <w:rPr>
                  <w:rFonts w:ascii="Arial" w:cs="Arial" w:eastAsia="Arial" w:hAnsi="Arial"/>
                  <w:sz w:val="16"/>
                  <w:szCs w:val="16"/>
                  <w:color w:val="0000FF"/>
                  <w:w w:val="86"/>
                </w:rPr>
                <w:t>ITEM 9A.</w:t>
              </w:r>
            </w:hyperlink>
          </w:p>
        </w:tc>
        <w:tc>
          <w:tcPr>
            <w:tcW w:w="700" w:type="dxa"/>
            <w:vAlign w:val="bottom"/>
          </w:tcPr>
          <w:p>
            <w:pPr>
              <w:spacing w:after="0"/>
              <w:rPr>
                <w:sz w:val="15"/>
                <w:szCs w:val="15"/>
                <w:color w:val="auto"/>
              </w:rPr>
            </w:pPr>
          </w:p>
        </w:tc>
        <w:tc>
          <w:tcPr>
            <w:tcW w:w="8620" w:type="dxa"/>
            <w:vAlign w:val="bottom"/>
            <w:gridSpan w:val="19"/>
          </w:tcPr>
          <w:p>
            <w:pPr>
              <w:spacing w:after="0" w:line="181" w:lineRule="exact"/>
              <w:rPr>
                <w:rFonts w:ascii="Arial" w:cs="Arial" w:eastAsia="Arial" w:hAnsi="Arial"/>
                <w:sz w:val="16"/>
                <w:szCs w:val="16"/>
                <w:color w:val="0000FF"/>
              </w:rPr>
            </w:pPr>
            <w:hyperlink w:anchor="page134">
              <w:r>
                <w:rPr>
                  <w:rFonts w:ascii="Arial" w:cs="Arial" w:eastAsia="Arial" w:hAnsi="Arial"/>
                  <w:sz w:val="16"/>
                  <w:szCs w:val="16"/>
                  <w:color w:val="0000FF"/>
                </w:rPr>
                <w:t>CONTROLS AND PROCEDURES</w:t>
              </w:r>
            </w:hyperlink>
          </w:p>
        </w:tc>
        <w:tc>
          <w:tcPr>
            <w:tcW w:w="1180" w:type="dxa"/>
            <w:vAlign w:val="bottom"/>
            <w:gridSpan w:val="5"/>
          </w:tcPr>
          <w:p>
            <w:pPr>
              <w:jc w:val="right"/>
              <w:ind w:right="20"/>
              <w:spacing w:after="0" w:line="181" w:lineRule="exact"/>
              <w:rPr>
                <w:rFonts w:ascii="Arial" w:cs="Arial" w:eastAsia="Arial" w:hAnsi="Arial"/>
                <w:sz w:val="16"/>
                <w:szCs w:val="16"/>
                <w:color w:val="0000FF"/>
              </w:rPr>
            </w:pPr>
            <w:hyperlink w:anchor="page134">
              <w:r>
                <w:rPr>
                  <w:rFonts w:ascii="Arial" w:cs="Arial" w:eastAsia="Arial" w:hAnsi="Arial"/>
                  <w:sz w:val="16"/>
                  <w:szCs w:val="16"/>
                  <w:color w:val="0000FF"/>
                </w:rPr>
                <w:t>134</w:t>
              </w:r>
            </w:hyperlink>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tcBorders>
              <w:left w:val="single" w:sz="8" w:color="0000FF"/>
            </w:tcBorders>
            <w:gridSpan w:val="3"/>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00" w:type="dxa"/>
            <w:vAlign w:val="bottom"/>
          </w:tcPr>
          <w:p>
            <w:pPr>
              <w:spacing w:after="0"/>
              <w:rPr>
                <w:sz w:val="15"/>
                <w:szCs w:val="15"/>
                <w:color w:val="auto"/>
              </w:rPr>
            </w:pPr>
          </w:p>
        </w:tc>
        <w:tc>
          <w:tcPr>
            <w:tcW w:w="620" w:type="dxa"/>
            <w:vAlign w:val="bottom"/>
            <w:gridSpan w:val="5"/>
          </w:tcPr>
          <w:p>
            <w:pPr>
              <w:spacing w:after="0" w:line="181" w:lineRule="exact"/>
              <w:rPr>
                <w:rFonts w:ascii="Arial" w:cs="Arial" w:eastAsia="Arial" w:hAnsi="Arial"/>
                <w:sz w:val="16"/>
                <w:szCs w:val="16"/>
                <w:color w:val="0000FF"/>
                <w:w w:val="86"/>
              </w:rPr>
            </w:pPr>
            <w:hyperlink w:anchor="page135">
              <w:r>
                <w:rPr>
                  <w:rFonts w:ascii="Arial" w:cs="Arial" w:eastAsia="Arial" w:hAnsi="Arial"/>
                  <w:sz w:val="16"/>
                  <w:szCs w:val="16"/>
                  <w:color w:val="0000FF"/>
                  <w:w w:val="86"/>
                </w:rPr>
                <w:t>ITEM 9B.</w:t>
              </w:r>
            </w:hyperlink>
          </w:p>
        </w:tc>
        <w:tc>
          <w:tcPr>
            <w:tcW w:w="700" w:type="dxa"/>
            <w:vAlign w:val="bottom"/>
          </w:tcPr>
          <w:p>
            <w:pPr>
              <w:spacing w:after="0"/>
              <w:rPr>
                <w:sz w:val="15"/>
                <w:szCs w:val="15"/>
                <w:color w:val="auto"/>
              </w:rPr>
            </w:pPr>
          </w:p>
        </w:tc>
        <w:tc>
          <w:tcPr>
            <w:tcW w:w="1640" w:type="dxa"/>
            <w:vAlign w:val="bottom"/>
            <w:gridSpan w:val="5"/>
          </w:tcPr>
          <w:p>
            <w:pPr>
              <w:spacing w:after="0" w:line="181" w:lineRule="exact"/>
              <w:rPr>
                <w:rFonts w:ascii="Arial" w:cs="Arial" w:eastAsia="Arial" w:hAnsi="Arial"/>
                <w:sz w:val="16"/>
                <w:szCs w:val="16"/>
                <w:color w:val="0000FF"/>
                <w:w w:val="92"/>
              </w:rPr>
            </w:pPr>
            <w:hyperlink w:anchor="page135">
              <w:r>
                <w:rPr>
                  <w:rFonts w:ascii="Arial" w:cs="Arial" w:eastAsia="Arial" w:hAnsi="Arial"/>
                  <w:sz w:val="16"/>
                  <w:szCs w:val="16"/>
                  <w:color w:val="0000FF"/>
                  <w:w w:val="92"/>
                </w:rPr>
                <w:t>OTHER INFORMATION</w:t>
              </w:r>
            </w:hyperlink>
          </w:p>
        </w:tc>
        <w:tc>
          <w:tcPr>
            <w:tcW w:w="640" w:type="dxa"/>
            <w:vAlign w:val="bottom"/>
            <w:gridSpan w:val="2"/>
          </w:tcPr>
          <w:p>
            <w:pPr>
              <w:spacing w:after="0"/>
              <w:rPr>
                <w:sz w:val="15"/>
                <w:szCs w:val="15"/>
                <w:color w:val="auto"/>
              </w:rPr>
            </w:pPr>
          </w:p>
        </w:tc>
        <w:tc>
          <w:tcPr>
            <w:tcW w:w="6340" w:type="dxa"/>
            <w:vAlign w:val="bottom"/>
            <w:gridSpan w:val="12"/>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gridSpan w:val="4"/>
          </w:tcPr>
          <w:p>
            <w:pPr>
              <w:jc w:val="right"/>
              <w:ind w:right="20"/>
              <w:spacing w:after="0" w:line="181" w:lineRule="exact"/>
              <w:rPr>
                <w:rFonts w:ascii="Arial" w:cs="Arial" w:eastAsia="Arial" w:hAnsi="Arial"/>
                <w:sz w:val="16"/>
                <w:szCs w:val="16"/>
                <w:color w:val="0000FF"/>
                <w:w w:val="82"/>
              </w:rPr>
            </w:pPr>
            <w:hyperlink w:anchor="page135">
              <w:r>
                <w:rPr>
                  <w:rFonts w:ascii="Arial" w:cs="Arial" w:eastAsia="Arial" w:hAnsi="Arial"/>
                  <w:sz w:val="16"/>
                  <w:szCs w:val="16"/>
                  <w:color w:val="0000FF"/>
                  <w:w w:val="82"/>
                </w:rPr>
                <w:t>136</w:t>
              </w:r>
            </w:hyperlink>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580" w:type="dxa"/>
            <w:vAlign w:val="bottom"/>
            <w:tcBorders>
              <w:bottom w:val="single" w:sz="8" w:color="0000FF"/>
            </w:tcBorders>
            <w:gridSpan w:val="4"/>
          </w:tcPr>
          <w:p>
            <w:pPr>
              <w:spacing w:after="0"/>
              <w:rPr>
                <w:rFonts w:ascii="Arial" w:cs="Arial" w:eastAsia="Arial" w:hAnsi="Arial"/>
                <w:sz w:val="16"/>
                <w:szCs w:val="16"/>
                <w:color w:val="0000FF"/>
                <w:w w:val="92"/>
              </w:rPr>
            </w:pPr>
            <w:hyperlink w:anchor="page136">
              <w:r>
                <w:rPr>
                  <w:rFonts w:ascii="Arial" w:cs="Arial" w:eastAsia="Arial" w:hAnsi="Arial"/>
                  <w:sz w:val="16"/>
                  <w:szCs w:val="16"/>
                  <w:color w:val="0000FF"/>
                  <w:w w:val="92"/>
                </w:rPr>
                <w:t>PART III</w:t>
              </w:r>
            </w:hyperlink>
          </w:p>
        </w:tc>
        <w:tc>
          <w:tcPr>
            <w:tcW w:w="840" w:type="dxa"/>
            <w:vAlign w:val="bottom"/>
            <w:gridSpan w:val="3"/>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100" w:type="dxa"/>
            <w:vAlign w:val="bottom"/>
          </w:tcPr>
          <w:p>
            <w:pPr>
              <w:spacing w:after="0"/>
              <w:rPr>
                <w:sz w:val="15"/>
                <w:szCs w:val="15"/>
                <w:color w:val="auto"/>
              </w:rPr>
            </w:pPr>
          </w:p>
        </w:tc>
        <w:tc>
          <w:tcPr>
            <w:tcW w:w="620" w:type="dxa"/>
            <w:vAlign w:val="bottom"/>
            <w:gridSpan w:val="5"/>
          </w:tcPr>
          <w:p>
            <w:pPr>
              <w:spacing w:after="0" w:line="181" w:lineRule="exact"/>
              <w:rPr>
                <w:rFonts w:ascii="Arial" w:cs="Arial" w:eastAsia="Arial" w:hAnsi="Arial"/>
                <w:sz w:val="16"/>
                <w:szCs w:val="16"/>
                <w:color w:val="0000FF"/>
                <w:w w:val="89"/>
              </w:rPr>
            </w:pPr>
            <w:hyperlink w:anchor="page137">
              <w:r>
                <w:rPr>
                  <w:rFonts w:ascii="Arial" w:cs="Arial" w:eastAsia="Arial" w:hAnsi="Arial"/>
                  <w:sz w:val="16"/>
                  <w:szCs w:val="16"/>
                  <w:color w:val="0000FF"/>
                  <w:w w:val="89"/>
                </w:rPr>
                <w:t>ITEM 10.</w:t>
              </w:r>
            </w:hyperlink>
          </w:p>
        </w:tc>
        <w:tc>
          <w:tcPr>
            <w:tcW w:w="700" w:type="dxa"/>
            <w:vAlign w:val="bottom"/>
          </w:tcPr>
          <w:p>
            <w:pPr>
              <w:spacing w:after="0"/>
              <w:rPr>
                <w:sz w:val="15"/>
                <w:szCs w:val="15"/>
                <w:color w:val="auto"/>
              </w:rPr>
            </w:pPr>
          </w:p>
        </w:tc>
        <w:tc>
          <w:tcPr>
            <w:tcW w:w="8620" w:type="dxa"/>
            <w:vAlign w:val="bottom"/>
            <w:gridSpan w:val="19"/>
          </w:tcPr>
          <w:p>
            <w:pPr>
              <w:spacing w:after="0" w:line="181" w:lineRule="exact"/>
              <w:rPr>
                <w:rFonts w:ascii="Arial" w:cs="Arial" w:eastAsia="Arial" w:hAnsi="Arial"/>
                <w:sz w:val="16"/>
                <w:szCs w:val="16"/>
                <w:color w:val="0000FF"/>
              </w:rPr>
            </w:pPr>
            <w:hyperlink w:anchor="page137">
              <w:r>
                <w:rPr>
                  <w:rFonts w:ascii="Arial" w:cs="Arial" w:eastAsia="Arial" w:hAnsi="Arial"/>
                  <w:sz w:val="16"/>
                  <w:szCs w:val="16"/>
                  <w:color w:val="0000FF"/>
                </w:rPr>
                <w:t>DIRECTORS, EXECUTIVE OFFICERS, AND CORPORATE GOVERNANCE</w:t>
              </w:r>
            </w:hyperlink>
          </w:p>
        </w:tc>
        <w:tc>
          <w:tcPr>
            <w:tcW w:w="1180" w:type="dxa"/>
            <w:vAlign w:val="bottom"/>
            <w:gridSpan w:val="5"/>
          </w:tcPr>
          <w:p>
            <w:pPr>
              <w:jc w:val="right"/>
              <w:ind w:right="20"/>
              <w:spacing w:after="0" w:line="181" w:lineRule="exact"/>
              <w:rPr>
                <w:rFonts w:ascii="Arial" w:cs="Arial" w:eastAsia="Arial" w:hAnsi="Arial"/>
                <w:sz w:val="16"/>
                <w:szCs w:val="16"/>
                <w:color w:val="0000FF"/>
              </w:rPr>
            </w:pPr>
            <w:hyperlink w:anchor="page137">
              <w:r>
                <w:rPr>
                  <w:rFonts w:ascii="Arial" w:cs="Arial" w:eastAsia="Arial" w:hAnsi="Arial"/>
                  <w:sz w:val="16"/>
                  <w:szCs w:val="16"/>
                  <w:color w:val="0000FF"/>
                </w:rPr>
                <w:t>138</w:t>
              </w:r>
            </w:hyperlink>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200" w:type="dxa"/>
            <w:vAlign w:val="bottom"/>
            <w:tcBorders>
              <w:left w:val="single" w:sz="8" w:color="0000FF"/>
            </w:tcBorders>
            <w:gridSpan w:val="4"/>
            <w:shd w:val="clear" w:color="auto" w:fill="0000FF"/>
          </w:tcPr>
          <w:p>
            <w:pPr>
              <w:spacing w:after="0" w:line="20" w:lineRule="exact"/>
              <w:rPr>
                <w:sz w:val="1"/>
                <w:szCs w:val="1"/>
                <w:color w:val="auto"/>
              </w:rPr>
            </w:pPr>
          </w:p>
        </w:tc>
        <w:tc>
          <w:tcPr>
            <w:tcW w:w="1360" w:type="dxa"/>
            <w:vAlign w:val="bottom"/>
            <w:tcBorders>
              <w:left w:val="single" w:sz="8" w:color="0000FF"/>
            </w:tcBorders>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00" w:type="dxa"/>
            <w:vAlign w:val="bottom"/>
          </w:tcPr>
          <w:p>
            <w:pPr>
              <w:spacing w:after="0"/>
              <w:rPr>
                <w:sz w:val="15"/>
                <w:szCs w:val="15"/>
                <w:color w:val="auto"/>
              </w:rPr>
            </w:pPr>
          </w:p>
        </w:tc>
        <w:tc>
          <w:tcPr>
            <w:tcW w:w="620" w:type="dxa"/>
            <w:vAlign w:val="bottom"/>
            <w:gridSpan w:val="5"/>
          </w:tcPr>
          <w:p>
            <w:pPr>
              <w:spacing w:after="0" w:line="181" w:lineRule="exact"/>
              <w:rPr>
                <w:rFonts w:ascii="Arial" w:cs="Arial" w:eastAsia="Arial" w:hAnsi="Arial"/>
                <w:sz w:val="16"/>
                <w:szCs w:val="16"/>
                <w:color w:val="0000FF"/>
                <w:w w:val="89"/>
              </w:rPr>
            </w:pPr>
            <w:hyperlink w:anchor="page138">
              <w:r>
                <w:rPr>
                  <w:rFonts w:ascii="Arial" w:cs="Arial" w:eastAsia="Arial" w:hAnsi="Arial"/>
                  <w:sz w:val="16"/>
                  <w:szCs w:val="16"/>
                  <w:color w:val="0000FF"/>
                  <w:w w:val="89"/>
                </w:rPr>
                <w:t>ITEM 11.</w:t>
              </w:r>
            </w:hyperlink>
          </w:p>
        </w:tc>
        <w:tc>
          <w:tcPr>
            <w:tcW w:w="700" w:type="dxa"/>
            <w:vAlign w:val="bottom"/>
          </w:tcPr>
          <w:p>
            <w:pPr>
              <w:spacing w:after="0"/>
              <w:rPr>
                <w:sz w:val="15"/>
                <w:szCs w:val="15"/>
                <w:color w:val="auto"/>
              </w:rPr>
            </w:pPr>
          </w:p>
        </w:tc>
        <w:tc>
          <w:tcPr>
            <w:tcW w:w="5120" w:type="dxa"/>
            <w:vAlign w:val="bottom"/>
            <w:gridSpan w:val="12"/>
          </w:tcPr>
          <w:p>
            <w:pPr>
              <w:spacing w:after="0" w:line="181" w:lineRule="exact"/>
              <w:rPr>
                <w:rFonts w:ascii="Arial" w:cs="Arial" w:eastAsia="Arial" w:hAnsi="Arial"/>
                <w:sz w:val="16"/>
                <w:szCs w:val="16"/>
                <w:color w:val="0000FF"/>
              </w:rPr>
            </w:pPr>
            <w:hyperlink w:anchor="page138">
              <w:r>
                <w:rPr>
                  <w:rFonts w:ascii="Arial" w:cs="Arial" w:eastAsia="Arial" w:hAnsi="Arial"/>
                  <w:sz w:val="16"/>
                  <w:szCs w:val="16"/>
                  <w:color w:val="0000FF"/>
                </w:rPr>
                <w:t>EXECUTIVE COMPENSATION</w:t>
              </w:r>
            </w:hyperlink>
          </w:p>
        </w:tc>
        <w:tc>
          <w:tcPr>
            <w:tcW w:w="3500" w:type="dxa"/>
            <w:vAlign w:val="bottom"/>
            <w:gridSpan w:val="7"/>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gridSpan w:val="4"/>
          </w:tcPr>
          <w:p>
            <w:pPr>
              <w:jc w:val="right"/>
              <w:ind w:right="20"/>
              <w:spacing w:after="0" w:line="181" w:lineRule="exact"/>
              <w:rPr>
                <w:rFonts w:ascii="Arial" w:cs="Arial" w:eastAsia="Arial" w:hAnsi="Arial"/>
                <w:sz w:val="16"/>
                <w:szCs w:val="16"/>
                <w:color w:val="0000FF"/>
                <w:w w:val="82"/>
              </w:rPr>
            </w:pPr>
            <w:hyperlink w:anchor="page138">
              <w:r>
                <w:rPr>
                  <w:rFonts w:ascii="Arial" w:cs="Arial" w:eastAsia="Arial" w:hAnsi="Arial"/>
                  <w:sz w:val="16"/>
                  <w:szCs w:val="16"/>
                  <w:color w:val="0000FF"/>
                  <w:w w:val="82"/>
                </w:rPr>
                <w:t>139</w:t>
              </w:r>
            </w:hyperlink>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200" w:type="dxa"/>
            <w:vAlign w:val="bottom"/>
            <w:tcBorders>
              <w:left w:val="single" w:sz="8" w:color="0000FF"/>
            </w:tcBorders>
            <w:gridSpan w:val="4"/>
            <w:shd w:val="clear" w:color="auto" w:fill="0000FF"/>
          </w:tcPr>
          <w:p>
            <w:pPr>
              <w:spacing w:after="0" w:line="20" w:lineRule="exact"/>
              <w:rPr>
                <w:sz w:val="1"/>
                <w:szCs w:val="1"/>
                <w:color w:val="auto"/>
              </w:rPr>
            </w:pPr>
          </w:p>
        </w:tc>
        <w:tc>
          <w:tcPr>
            <w:tcW w:w="1360" w:type="dxa"/>
            <w:vAlign w:val="bottom"/>
            <w:tcBorders>
              <w:left w:val="single" w:sz="8" w:color="0000FF"/>
            </w:tcBorders>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60" w:type="dxa"/>
            <w:vAlign w:val="bottom"/>
            <w:gridSpan w:val="4"/>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00" w:type="dxa"/>
            <w:vAlign w:val="bottom"/>
          </w:tcPr>
          <w:p>
            <w:pPr>
              <w:spacing w:after="0"/>
              <w:rPr>
                <w:sz w:val="15"/>
                <w:szCs w:val="15"/>
                <w:color w:val="auto"/>
              </w:rPr>
            </w:pPr>
          </w:p>
        </w:tc>
        <w:tc>
          <w:tcPr>
            <w:tcW w:w="1320" w:type="dxa"/>
            <w:vAlign w:val="bottom"/>
            <w:gridSpan w:val="6"/>
          </w:tcPr>
          <w:p>
            <w:pPr>
              <w:spacing w:after="0" w:line="181" w:lineRule="exact"/>
              <w:rPr>
                <w:rFonts w:ascii="Arial" w:cs="Arial" w:eastAsia="Arial" w:hAnsi="Arial"/>
                <w:sz w:val="16"/>
                <w:szCs w:val="16"/>
                <w:color w:val="0000FF"/>
              </w:rPr>
            </w:pPr>
            <w:hyperlink w:anchor="page139">
              <w:r>
                <w:rPr>
                  <w:rFonts w:ascii="Arial" w:cs="Arial" w:eastAsia="Arial" w:hAnsi="Arial"/>
                  <w:sz w:val="16"/>
                  <w:szCs w:val="16"/>
                  <w:color w:val="0000FF"/>
                </w:rPr>
                <w:t>ITEM 12.</w:t>
              </w:r>
            </w:hyperlink>
          </w:p>
        </w:tc>
        <w:tc>
          <w:tcPr>
            <w:tcW w:w="8620" w:type="dxa"/>
            <w:vAlign w:val="bottom"/>
            <w:gridSpan w:val="19"/>
          </w:tcPr>
          <w:p>
            <w:pPr>
              <w:spacing w:after="0" w:line="181" w:lineRule="exact"/>
              <w:rPr>
                <w:rFonts w:ascii="Arial" w:cs="Arial" w:eastAsia="Arial" w:hAnsi="Arial"/>
                <w:sz w:val="16"/>
                <w:szCs w:val="16"/>
                <w:color w:val="0000FF"/>
              </w:rPr>
            </w:pPr>
            <w:hyperlink w:anchor="page139">
              <w:r>
                <w:rPr>
                  <w:rFonts w:ascii="Arial" w:cs="Arial" w:eastAsia="Arial" w:hAnsi="Arial"/>
                  <w:sz w:val="16"/>
                  <w:szCs w:val="16"/>
                  <w:color w:val="0000FF"/>
                </w:rPr>
                <w:t>SECURITY OWNERSHIP OF CERTAIN BENEFICIAL OWNERS AND MANAGEMENT AND RELATED STOCKHOLDER</w:t>
              </w:r>
            </w:hyperlink>
          </w:p>
        </w:tc>
        <w:tc>
          <w:tcPr>
            <w:tcW w:w="1180" w:type="dxa"/>
            <w:vAlign w:val="bottom"/>
            <w:gridSpan w:val="5"/>
            <w:vMerge w:val="restart"/>
          </w:tcPr>
          <w:p>
            <w:pPr>
              <w:jc w:val="right"/>
              <w:ind w:right="20"/>
              <w:spacing w:after="0"/>
              <w:rPr>
                <w:rFonts w:ascii="Arial" w:cs="Arial" w:eastAsia="Arial" w:hAnsi="Arial"/>
                <w:sz w:val="16"/>
                <w:szCs w:val="16"/>
                <w:color w:val="0000FF"/>
              </w:rPr>
            </w:pPr>
            <w:hyperlink w:anchor="page139">
              <w:r>
                <w:rPr>
                  <w:rFonts w:ascii="Arial" w:cs="Arial" w:eastAsia="Arial" w:hAnsi="Arial"/>
                  <w:sz w:val="16"/>
                  <w:szCs w:val="16"/>
                  <w:color w:val="0000FF"/>
                </w:rPr>
                <w:t>140</w:t>
              </w:r>
            </w:hyperlink>
          </w:p>
        </w:tc>
        <w:tc>
          <w:tcPr>
            <w:tcW w:w="0" w:type="dxa"/>
            <w:vAlign w:val="bottom"/>
          </w:tcPr>
          <w:p>
            <w:pPr>
              <w:spacing w:after="0"/>
              <w:rPr>
                <w:sz w:val="1"/>
                <w:szCs w:val="1"/>
                <w:color w:val="auto"/>
              </w:rPr>
            </w:pPr>
          </w:p>
        </w:tc>
      </w:tr>
      <w:tr>
        <w:trPr>
          <w:trHeight w:val="134"/>
        </w:trPr>
        <w:tc>
          <w:tcPr>
            <w:tcW w:w="100" w:type="dxa"/>
            <w:vAlign w:val="bottom"/>
          </w:tcPr>
          <w:p>
            <w:pPr>
              <w:spacing w:after="0"/>
              <w:rPr>
                <w:sz w:val="11"/>
                <w:szCs w:val="11"/>
                <w:color w:val="auto"/>
              </w:rPr>
            </w:pPr>
          </w:p>
        </w:tc>
        <w:tc>
          <w:tcPr>
            <w:tcW w:w="38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700" w:type="dxa"/>
            <w:vAlign w:val="bottom"/>
          </w:tcPr>
          <w:p>
            <w:pPr>
              <w:spacing w:after="0"/>
              <w:rPr>
                <w:sz w:val="11"/>
                <w:szCs w:val="11"/>
                <w:color w:val="auto"/>
              </w:rPr>
            </w:pPr>
          </w:p>
        </w:tc>
        <w:tc>
          <w:tcPr>
            <w:tcW w:w="8220" w:type="dxa"/>
            <w:vAlign w:val="bottom"/>
            <w:tcBorders>
              <w:top w:val="single" w:sz="8" w:color="0000FF"/>
            </w:tcBorders>
            <w:gridSpan w:val="17"/>
          </w:tcPr>
          <w:p>
            <w:pPr>
              <w:spacing w:after="0" w:line="134" w:lineRule="exact"/>
              <w:rPr>
                <w:rFonts w:ascii="Arial" w:cs="Arial" w:eastAsia="Arial" w:hAnsi="Arial"/>
                <w:sz w:val="15"/>
                <w:szCs w:val="15"/>
                <w:color w:val="0000FF"/>
              </w:rPr>
            </w:pPr>
            <w:hyperlink w:anchor="page139">
              <w:r>
                <w:rPr>
                  <w:rFonts w:ascii="Arial" w:cs="Arial" w:eastAsia="Arial" w:hAnsi="Arial"/>
                  <w:sz w:val="15"/>
                  <w:szCs w:val="15"/>
                  <w:color w:val="0000FF"/>
                </w:rPr>
                <w:t>MATTERS</w:t>
              </w:r>
            </w:hyperlink>
          </w:p>
        </w:tc>
        <w:tc>
          <w:tcPr>
            <w:tcW w:w="400" w:type="dxa"/>
            <w:vAlign w:val="bottom"/>
            <w:gridSpan w:val="2"/>
          </w:tcPr>
          <w:p>
            <w:pPr>
              <w:spacing w:after="0"/>
              <w:rPr>
                <w:sz w:val="11"/>
                <w:szCs w:val="11"/>
                <w:color w:val="auto"/>
              </w:rPr>
            </w:pPr>
          </w:p>
        </w:tc>
        <w:tc>
          <w:tcPr>
            <w:tcW w:w="118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60" w:type="dxa"/>
            <w:vAlign w:val="bottom"/>
            <w:gridSpan w:val="7"/>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60" w:type="dxa"/>
            <w:vAlign w:val="bottom"/>
            <w:gridSpan w:val="4"/>
          </w:tcPr>
          <w:p>
            <w:pPr>
              <w:spacing w:after="0" w:line="20" w:lineRule="exact"/>
              <w:rPr>
                <w:sz w:val="1"/>
                <w:szCs w:val="1"/>
                <w:color w:val="auto"/>
              </w:rPr>
            </w:pPr>
          </w:p>
        </w:tc>
        <w:tc>
          <w:tcPr>
            <w:tcW w:w="186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00" w:type="dxa"/>
            <w:vAlign w:val="bottom"/>
          </w:tcPr>
          <w:p>
            <w:pPr>
              <w:spacing w:after="0"/>
              <w:rPr>
                <w:sz w:val="15"/>
                <w:szCs w:val="15"/>
                <w:color w:val="auto"/>
              </w:rPr>
            </w:pPr>
          </w:p>
        </w:tc>
        <w:tc>
          <w:tcPr>
            <w:tcW w:w="620" w:type="dxa"/>
            <w:vAlign w:val="bottom"/>
            <w:gridSpan w:val="5"/>
          </w:tcPr>
          <w:p>
            <w:pPr>
              <w:spacing w:after="0" w:line="181" w:lineRule="exact"/>
              <w:rPr>
                <w:rFonts w:ascii="Arial" w:cs="Arial" w:eastAsia="Arial" w:hAnsi="Arial"/>
                <w:sz w:val="16"/>
                <w:szCs w:val="16"/>
                <w:color w:val="0000FF"/>
                <w:w w:val="89"/>
              </w:rPr>
            </w:pPr>
            <w:hyperlink w:anchor="page140">
              <w:r>
                <w:rPr>
                  <w:rFonts w:ascii="Arial" w:cs="Arial" w:eastAsia="Arial" w:hAnsi="Arial"/>
                  <w:sz w:val="16"/>
                  <w:szCs w:val="16"/>
                  <w:color w:val="0000FF"/>
                  <w:w w:val="89"/>
                </w:rPr>
                <w:t>ITEM 13.</w:t>
              </w:r>
            </w:hyperlink>
          </w:p>
        </w:tc>
        <w:tc>
          <w:tcPr>
            <w:tcW w:w="700" w:type="dxa"/>
            <w:vAlign w:val="bottom"/>
          </w:tcPr>
          <w:p>
            <w:pPr>
              <w:spacing w:after="0"/>
              <w:rPr>
                <w:sz w:val="15"/>
                <w:szCs w:val="15"/>
                <w:color w:val="auto"/>
              </w:rPr>
            </w:pPr>
          </w:p>
        </w:tc>
        <w:tc>
          <w:tcPr>
            <w:tcW w:w="6760" w:type="dxa"/>
            <w:vAlign w:val="bottom"/>
            <w:gridSpan w:val="14"/>
          </w:tcPr>
          <w:p>
            <w:pPr>
              <w:spacing w:after="0" w:line="181" w:lineRule="exact"/>
              <w:rPr>
                <w:rFonts w:ascii="Arial" w:cs="Arial" w:eastAsia="Arial" w:hAnsi="Arial"/>
                <w:sz w:val="16"/>
                <w:szCs w:val="16"/>
                <w:color w:val="0000FF"/>
                <w:w w:val="94"/>
              </w:rPr>
            </w:pPr>
            <w:hyperlink w:anchor="page140">
              <w:r>
                <w:rPr>
                  <w:rFonts w:ascii="Arial" w:cs="Arial" w:eastAsia="Arial" w:hAnsi="Arial"/>
                  <w:sz w:val="16"/>
                  <w:szCs w:val="16"/>
                  <w:color w:val="0000FF"/>
                  <w:w w:val="94"/>
                </w:rPr>
                <w:t>CERTAIN RELATIONSHIPS AND RELATED TRANSACTIONS, AND DIRECTOR INDEPENDENCE</w:t>
              </w:r>
            </w:hyperlink>
          </w:p>
        </w:tc>
        <w:tc>
          <w:tcPr>
            <w:tcW w:w="1860" w:type="dxa"/>
            <w:vAlign w:val="bottom"/>
            <w:gridSpan w:val="5"/>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gridSpan w:val="4"/>
          </w:tcPr>
          <w:p>
            <w:pPr>
              <w:jc w:val="right"/>
              <w:ind w:right="20"/>
              <w:spacing w:after="0" w:line="181" w:lineRule="exact"/>
              <w:rPr>
                <w:rFonts w:ascii="Arial" w:cs="Arial" w:eastAsia="Arial" w:hAnsi="Arial"/>
                <w:sz w:val="16"/>
                <w:szCs w:val="16"/>
                <w:color w:val="0000FF"/>
                <w:w w:val="82"/>
              </w:rPr>
            </w:pPr>
            <w:hyperlink w:anchor="page140">
              <w:r>
                <w:rPr>
                  <w:rFonts w:ascii="Arial" w:cs="Arial" w:eastAsia="Arial" w:hAnsi="Arial"/>
                  <w:sz w:val="16"/>
                  <w:szCs w:val="16"/>
                  <w:color w:val="0000FF"/>
                  <w:w w:val="82"/>
                </w:rPr>
                <w:t>141</w:t>
              </w:r>
            </w:hyperlink>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00" w:type="dxa"/>
            <w:vAlign w:val="bottom"/>
          </w:tcPr>
          <w:p>
            <w:pPr>
              <w:spacing w:after="0"/>
              <w:rPr>
                <w:sz w:val="15"/>
                <w:szCs w:val="15"/>
                <w:color w:val="auto"/>
              </w:rPr>
            </w:pPr>
          </w:p>
        </w:tc>
        <w:tc>
          <w:tcPr>
            <w:tcW w:w="620" w:type="dxa"/>
            <w:vAlign w:val="bottom"/>
            <w:gridSpan w:val="5"/>
          </w:tcPr>
          <w:p>
            <w:pPr>
              <w:spacing w:after="0" w:line="181" w:lineRule="exact"/>
              <w:rPr>
                <w:rFonts w:ascii="Arial" w:cs="Arial" w:eastAsia="Arial" w:hAnsi="Arial"/>
                <w:sz w:val="16"/>
                <w:szCs w:val="16"/>
                <w:color w:val="0000FF"/>
                <w:w w:val="89"/>
              </w:rPr>
            </w:pPr>
            <w:hyperlink w:anchor="page141">
              <w:r>
                <w:rPr>
                  <w:rFonts w:ascii="Arial" w:cs="Arial" w:eastAsia="Arial" w:hAnsi="Arial"/>
                  <w:sz w:val="16"/>
                  <w:szCs w:val="16"/>
                  <w:color w:val="0000FF"/>
                  <w:w w:val="89"/>
                </w:rPr>
                <w:t>ITEM 14.</w:t>
              </w:r>
            </w:hyperlink>
          </w:p>
        </w:tc>
        <w:tc>
          <w:tcPr>
            <w:tcW w:w="700" w:type="dxa"/>
            <w:vAlign w:val="bottom"/>
          </w:tcPr>
          <w:p>
            <w:pPr>
              <w:spacing w:after="0"/>
              <w:rPr>
                <w:sz w:val="15"/>
                <w:szCs w:val="15"/>
                <w:color w:val="auto"/>
              </w:rPr>
            </w:pPr>
          </w:p>
        </w:tc>
        <w:tc>
          <w:tcPr>
            <w:tcW w:w="3480" w:type="dxa"/>
            <w:vAlign w:val="bottom"/>
            <w:gridSpan w:val="9"/>
          </w:tcPr>
          <w:p>
            <w:pPr>
              <w:spacing w:after="0" w:line="181" w:lineRule="exact"/>
              <w:rPr>
                <w:rFonts w:ascii="Arial" w:cs="Arial" w:eastAsia="Arial" w:hAnsi="Arial"/>
                <w:sz w:val="16"/>
                <w:szCs w:val="16"/>
                <w:color w:val="0000FF"/>
                <w:w w:val="93"/>
              </w:rPr>
            </w:pPr>
            <w:hyperlink w:anchor="page141">
              <w:r>
                <w:rPr>
                  <w:rFonts w:ascii="Arial" w:cs="Arial" w:eastAsia="Arial" w:hAnsi="Arial"/>
                  <w:sz w:val="16"/>
                  <w:szCs w:val="16"/>
                  <w:color w:val="0000FF"/>
                  <w:w w:val="93"/>
                </w:rPr>
                <w:t>PRINCIPAL ACCOUNTANT FEES AND SERVICES</w:t>
              </w:r>
            </w:hyperlink>
          </w:p>
        </w:tc>
        <w:tc>
          <w:tcPr>
            <w:tcW w:w="3280" w:type="dxa"/>
            <w:vAlign w:val="bottom"/>
            <w:gridSpan w:val="5"/>
          </w:tcPr>
          <w:p>
            <w:pPr>
              <w:spacing w:after="0"/>
              <w:rPr>
                <w:sz w:val="15"/>
                <w:szCs w:val="15"/>
                <w:color w:val="auto"/>
              </w:rPr>
            </w:pPr>
          </w:p>
        </w:tc>
        <w:tc>
          <w:tcPr>
            <w:tcW w:w="1860" w:type="dxa"/>
            <w:vAlign w:val="bottom"/>
            <w:gridSpan w:val="5"/>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gridSpan w:val="4"/>
          </w:tcPr>
          <w:p>
            <w:pPr>
              <w:jc w:val="right"/>
              <w:ind w:right="20"/>
              <w:spacing w:after="0" w:line="181" w:lineRule="exact"/>
              <w:rPr>
                <w:rFonts w:ascii="Arial" w:cs="Arial" w:eastAsia="Arial" w:hAnsi="Arial"/>
                <w:sz w:val="16"/>
                <w:szCs w:val="16"/>
                <w:color w:val="0000FF"/>
                <w:w w:val="82"/>
              </w:rPr>
            </w:pPr>
            <w:hyperlink w:anchor="page141">
              <w:r>
                <w:rPr>
                  <w:rFonts w:ascii="Arial" w:cs="Arial" w:eastAsia="Arial" w:hAnsi="Arial"/>
                  <w:sz w:val="16"/>
                  <w:szCs w:val="16"/>
                  <w:color w:val="0000FF"/>
                  <w:w w:val="82"/>
                </w:rPr>
                <w:t>142</w:t>
              </w:r>
            </w:hyperlink>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1420" w:type="dxa"/>
            <w:vAlign w:val="bottom"/>
            <w:gridSpan w:val="7"/>
          </w:tcPr>
          <w:p>
            <w:pPr>
              <w:spacing w:after="0"/>
              <w:rPr>
                <w:rFonts w:ascii="Arial" w:cs="Arial" w:eastAsia="Arial" w:hAnsi="Arial"/>
                <w:sz w:val="16"/>
                <w:szCs w:val="16"/>
                <w:color w:val="0000FF"/>
              </w:rPr>
            </w:pPr>
            <w:hyperlink w:anchor="page142">
              <w:r>
                <w:rPr>
                  <w:rFonts w:ascii="Arial" w:cs="Arial" w:eastAsia="Arial" w:hAnsi="Arial"/>
                  <w:sz w:val="16"/>
                  <w:szCs w:val="16"/>
                  <w:color w:val="0000FF"/>
                </w:rPr>
                <w:t>PART IV</w:t>
              </w:r>
            </w:hyperlink>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980" w:type="dxa"/>
            <w:vAlign w:val="bottom"/>
            <w:gridSpan w:val="8"/>
          </w:tcPr>
          <w:p>
            <w:pPr>
              <w:spacing w:after="0" w:line="20" w:lineRule="exact"/>
              <w:rPr>
                <w:sz w:val="1"/>
                <w:szCs w:val="1"/>
                <w:color w:val="auto"/>
              </w:rPr>
            </w:pPr>
          </w:p>
        </w:tc>
        <w:tc>
          <w:tcPr>
            <w:tcW w:w="4720" w:type="dxa"/>
            <w:vAlign w:val="bottom"/>
            <w:gridSpan w:val="9"/>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00" w:type="dxa"/>
            <w:vAlign w:val="bottom"/>
          </w:tcPr>
          <w:p>
            <w:pPr>
              <w:spacing w:after="0"/>
              <w:rPr>
                <w:sz w:val="15"/>
                <w:szCs w:val="15"/>
                <w:color w:val="auto"/>
              </w:rPr>
            </w:pPr>
          </w:p>
        </w:tc>
        <w:tc>
          <w:tcPr>
            <w:tcW w:w="620" w:type="dxa"/>
            <w:vAlign w:val="bottom"/>
            <w:gridSpan w:val="5"/>
          </w:tcPr>
          <w:p>
            <w:pPr>
              <w:spacing w:after="0" w:line="181" w:lineRule="exact"/>
              <w:rPr>
                <w:rFonts w:ascii="Arial" w:cs="Arial" w:eastAsia="Arial" w:hAnsi="Arial"/>
                <w:sz w:val="16"/>
                <w:szCs w:val="16"/>
                <w:color w:val="0000FF"/>
                <w:w w:val="89"/>
              </w:rPr>
            </w:pPr>
            <w:hyperlink w:anchor="page143">
              <w:r>
                <w:rPr>
                  <w:rFonts w:ascii="Arial" w:cs="Arial" w:eastAsia="Arial" w:hAnsi="Arial"/>
                  <w:sz w:val="16"/>
                  <w:szCs w:val="16"/>
                  <w:color w:val="0000FF"/>
                  <w:w w:val="89"/>
                </w:rPr>
                <w:t>ITEM 15.</w:t>
              </w:r>
            </w:hyperlink>
          </w:p>
        </w:tc>
        <w:tc>
          <w:tcPr>
            <w:tcW w:w="700" w:type="dxa"/>
            <w:vAlign w:val="bottom"/>
          </w:tcPr>
          <w:p>
            <w:pPr>
              <w:spacing w:after="0"/>
              <w:rPr>
                <w:sz w:val="15"/>
                <w:szCs w:val="15"/>
                <w:color w:val="auto"/>
              </w:rPr>
            </w:pPr>
          </w:p>
        </w:tc>
        <w:tc>
          <w:tcPr>
            <w:tcW w:w="3900" w:type="dxa"/>
            <w:vAlign w:val="bottom"/>
            <w:gridSpan w:val="10"/>
          </w:tcPr>
          <w:p>
            <w:pPr>
              <w:spacing w:after="0" w:line="181" w:lineRule="exact"/>
              <w:rPr>
                <w:rFonts w:ascii="Arial" w:cs="Arial" w:eastAsia="Arial" w:hAnsi="Arial"/>
                <w:sz w:val="16"/>
                <w:szCs w:val="16"/>
                <w:color w:val="0000FF"/>
                <w:w w:val="96"/>
              </w:rPr>
            </w:pPr>
            <w:hyperlink w:anchor="page143">
              <w:r>
                <w:rPr>
                  <w:rFonts w:ascii="Arial" w:cs="Arial" w:eastAsia="Arial" w:hAnsi="Arial"/>
                  <w:sz w:val="16"/>
                  <w:szCs w:val="16"/>
                  <w:color w:val="0000FF"/>
                  <w:w w:val="96"/>
                </w:rPr>
                <w:t>EXHIBITS AND FINANCIAL STATEMENT SCHEDULES</w:t>
              </w:r>
            </w:hyperlink>
          </w:p>
        </w:tc>
        <w:tc>
          <w:tcPr>
            <w:tcW w:w="4720" w:type="dxa"/>
            <w:vAlign w:val="bottom"/>
            <w:gridSpan w:val="9"/>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gridSpan w:val="4"/>
          </w:tcPr>
          <w:p>
            <w:pPr>
              <w:jc w:val="right"/>
              <w:ind w:right="20"/>
              <w:spacing w:after="0" w:line="181" w:lineRule="exact"/>
              <w:rPr>
                <w:rFonts w:ascii="Arial" w:cs="Arial" w:eastAsia="Arial" w:hAnsi="Arial"/>
                <w:sz w:val="16"/>
                <w:szCs w:val="16"/>
                <w:color w:val="0000FF"/>
                <w:w w:val="82"/>
              </w:rPr>
            </w:pPr>
            <w:hyperlink w:anchor="page143">
              <w:r>
                <w:rPr>
                  <w:rFonts w:ascii="Arial" w:cs="Arial" w:eastAsia="Arial" w:hAnsi="Arial"/>
                  <w:sz w:val="16"/>
                  <w:szCs w:val="16"/>
                  <w:color w:val="0000FF"/>
                  <w:w w:val="82"/>
                </w:rPr>
                <w:t>143</w:t>
              </w:r>
            </w:hyperlink>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980" w:type="dxa"/>
            <w:vAlign w:val="bottom"/>
            <w:tcBorders>
              <w:left w:val="single" w:sz="8" w:color="0000FF"/>
            </w:tcBorders>
            <w:gridSpan w:val="8"/>
            <w:shd w:val="clear" w:color="auto" w:fill="0000FF"/>
          </w:tcPr>
          <w:p>
            <w:pPr>
              <w:spacing w:after="0" w:line="20" w:lineRule="exact"/>
              <w:rPr>
                <w:sz w:val="1"/>
                <w:szCs w:val="1"/>
                <w:color w:val="auto"/>
              </w:rPr>
            </w:pPr>
          </w:p>
        </w:tc>
        <w:tc>
          <w:tcPr>
            <w:tcW w:w="4720" w:type="dxa"/>
            <w:vAlign w:val="bottom"/>
            <w:gridSpan w:val="9"/>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900" w:type="dxa"/>
            <w:vAlign w:val="bottom"/>
            <w:gridSpan w:val="10"/>
          </w:tcPr>
          <w:p>
            <w:pPr>
              <w:spacing w:after="0" w:line="181" w:lineRule="exact"/>
              <w:rPr>
                <w:rFonts w:ascii="Arial" w:cs="Arial" w:eastAsia="Arial" w:hAnsi="Arial"/>
                <w:sz w:val="16"/>
                <w:szCs w:val="16"/>
                <w:color w:val="0000FF"/>
              </w:rPr>
            </w:pPr>
            <w:hyperlink w:anchor="page146">
              <w:r>
                <w:rPr>
                  <w:rFonts w:ascii="Arial" w:cs="Arial" w:eastAsia="Arial" w:hAnsi="Arial"/>
                  <w:sz w:val="16"/>
                  <w:szCs w:val="16"/>
                  <w:color w:val="0000FF"/>
                </w:rPr>
                <w:t>SIGNATURES</w:t>
              </w:r>
            </w:hyperlink>
          </w:p>
        </w:tc>
        <w:tc>
          <w:tcPr>
            <w:tcW w:w="4720" w:type="dxa"/>
            <w:vAlign w:val="bottom"/>
            <w:gridSpan w:val="9"/>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gridSpan w:val="4"/>
          </w:tcPr>
          <w:p>
            <w:pPr>
              <w:jc w:val="right"/>
              <w:ind w:right="20"/>
              <w:spacing w:after="0" w:line="181" w:lineRule="exact"/>
              <w:rPr>
                <w:rFonts w:ascii="Arial" w:cs="Arial" w:eastAsia="Arial" w:hAnsi="Arial"/>
                <w:sz w:val="16"/>
                <w:szCs w:val="16"/>
                <w:color w:val="0000FF"/>
                <w:w w:val="82"/>
              </w:rPr>
            </w:pPr>
            <w:hyperlink w:anchor="page146">
              <w:r>
                <w:rPr>
                  <w:rFonts w:ascii="Arial" w:cs="Arial" w:eastAsia="Arial" w:hAnsi="Arial"/>
                  <w:sz w:val="16"/>
                  <w:szCs w:val="16"/>
                  <w:color w:val="0000FF"/>
                  <w:w w:val="82"/>
                </w:rPr>
                <w:t>147</w:t>
              </w:r>
            </w:hyperlink>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5" w:lineRule="exact"/>
        <w:rPr>
          <w:sz w:val="20"/>
          <w:szCs w:val="20"/>
          <w:color w:val="auto"/>
        </w:rPr>
      </w:pPr>
    </w:p>
    <w:p>
      <w:pPr>
        <w:ind w:right="800" w:firstLine="568"/>
        <w:spacing w:after="0" w:line="341" w:lineRule="auto"/>
        <w:rPr>
          <w:sz w:val="20"/>
          <w:szCs w:val="20"/>
          <w:color w:val="auto"/>
        </w:rPr>
      </w:pPr>
      <w:r>
        <w:rPr>
          <w:rFonts w:ascii="Arial" w:cs="Arial" w:eastAsia="Arial" w:hAnsi="Arial"/>
          <w:sz w:val="14"/>
          <w:szCs w:val="14"/>
          <w:color w:val="auto"/>
        </w:rPr>
        <w:t>Unless the context otherwise requires, the terms “we,” “us,” “our,” “Virtu” and the “Company” refer to Virtu Financial, Inc., a Delaware corporation, and its consolidated subsidiaries and the term “Virtu Financial” refers to Virtu Financial LLC, a Delaware limited liability company and a consolidated subsidiary of ours.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798"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6"/>
          <w:szCs w:val="16"/>
          <w:b w:val="1"/>
          <w:bCs w:val="1"/>
          <w:color w:val="auto"/>
        </w:rPr>
        <w:t>PART I</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CAUTIONARY NOTE REGARDING FORWARD LOOKING STATEMENTS</w:t>
      </w:r>
    </w:p>
    <w:p>
      <w:pPr>
        <w:spacing w:after="0" w:line="104" w:lineRule="exact"/>
        <w:rPr>
          <w:sz w:val="20"/>
          <w:szCs w:val="20"/>
          <w:color w:val="auto"/>
        </w:rPr>
      </w:pPr>
    </w:p>
    <w:p>
      <w:pPr>
        <w:ind w:firstLine="568"/>
        <w:spacing w:after="0" w:line="266" w:lineRule="auto"/>
        <w:rPr>
          <w:sz w:val="20"/>
          <w:szCs w:val="20"/>
          <w:color w:val="auto"/>
        </w:rPr>
      </w:pPr>
      <w:r>
        <w:rPr>
          <w:rFonts w:ascii="Arial" w:cs="Arial" w:eastAsia="Arial" w:hAnsi="Arial"/>
          <w:sz w:val="15"/>
          <w:szCs w:val="15"/>
          <w:color w:val="auto"/>
        </w:rPr>
        <w:t>This Annual Report on Form 10-K contains forward-looking statements. You should not place undue reliance on forward-looking statements because they are subject to numerous uncertainties and factors relating to our operations and business environment, all of which are difficult to predict and many of which are beyond our control. Forward-looking statements include information concerning our possible or assumed future results of operations, including descriptions of our business strategy. These forward-looking statements can be identified by the use of forward-looking terminology, including the terms “may,” “will,” “should,” “believe,” “expect,” “anticipate,” “intend,” “plan,” “estimate,” “project” or, in each case, their negative, or other variations or comparable terminology and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Annual Report on Form 10-K, you should understand that forward-looking statements are not guarantees of performance or results and that our actual results of operations, financial condition and liquidity, and the development of the industry in which we operate, may differ materially from those made in or suggested by the forward-looking statements contained in this Annual Report on Form 10-K. By their nature, forward-looking statements involve known and unknown risks and uncertainties, including those described under the heading “Risk Factors” in this Annual Report on Form 10-K, because they relate to events and depend on circumstances that may or may not occur in the future. Although we believe that the forward-looking statements contained in this Annual Report on Form 10-K are based on reasonable assumptions, you should be aware that many factors, including those described under the heading “Risk Factors” in this Annual Report on Form 10-K, could affect our actual financial results or results of operations and cash flows, and could cause actual results to differ materially from those in such forward-looking statements, including but not limited to:</w:t>
      </w:r>
    </w:p>
    <w:p>
      <w:pPr>
        <w:spacing w:after="0" w:line="283" w:lineRule="exact"/>
        <w:rPr>
          <w:sz w:val="20"/>
          <w:szCs w:val="20"/>
          <w:color w:val="auto"/>
        </w:rPr>
      </w:pPr>
    </w:p>
    <w:p>
      <w:pPr>
        <w:ind w:left="840" w:right="220" w:hanging="135"/>
        <w:spacing w:after="0" w:line="311" w:lineRule="auto"/>
        <w:tabs>
          <w:tab w:leader="none" w:pos="836"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continuing impacts of COVID-19 and the governmental and other responses thereto, including but not limited to the risk of employees and executives contracting COVID-19 and the deployment of our business continuity plan pursuant to which a significant number of our employees may work remotely and our return to office plan, each of which may increase operational risk, as well as increases in market, counterparty and other forms of operational risk;</w:t>
      </w:r>
    </w:p>
    <w:p>
      <w:pPr>
        <w:spacing w:after="0" w:line="37" w:lineRule="exact"/>
        <w:rPr>
          <w:rFonts w:ascii="Arial" w:cs="Arial" w:eastAsia="Arial" w:hAnsi="Arial"/>
          <w:sz w:val="14"/>
          <w:szCs w:val="14"/>
          <w:color w:val="auto"/>
        </w:rPr>
      </w:pPr>
    </w:p>
    <w:p>
      <w:pPr>
        <w:ind w:left="840" w:hanging="135"/>
        <w:spacing w:after="0"/>
        <w:tabs>
          <w:tab w:leader="none" w:pos="840" w:val="left"/>
        </w:tabs>
        <w:numPr>
          <w:ilvl w:val="0"/>
          <w:numId w:val="3"/>
        </w:numPr>
        <w:rPr>
          <w:rFonts w:ascii="Arial" w:cs="Arial" w:eastAsia="Arial" w:hAnsi="Arial"/>
          <w:sz w:val="16"/>
          <w:szCs w:val="16"/>
          <w:color w:val="auto"/>
        </w:rPr>
      </w:pPr>
      <w:r>
        <w:rPr>
          <w:rFonts w:ascii="Arial" w:cs="Arial" w:eastAsia="Arial" w:hAnsi="Arial"/>
          <w:sz w:val="16"/>
          <w:szCs w:val="16"/>
          <w:color w:val="auto"/>
        </w:rPr>
        <w:t>volatility in levels of overall trading activity;</w:t>
      </w:r>
    </w:p>
    <w:p>
      <w:pPr>
        <w:spacing w:after="0" w:line="100" w:lineRule="exact"/>
        <w:rPr>
          <w:rFonts w:ascii="Arial" w:cs="Arial" w:eastAsia="Arial" w:hAnsi="Arial"/>
          <w:sz w:val="16"/>
          <w:szCs w:val="16"/>
          <w:color w:val="auto"/>
        </w:rPr>
      </w:pPr>
    </w:p>
    <w:p>
      <w:pPr>
        <w:ind w:left="840" w:hanging="135"/>
        <w:spacing w:after="0"/>
        <w:tabs>
          <w:tab w:leader="none" w:pos="840" w:val="left"/>
        </w:tabs>
        <w:numPr>
          <w:ilvl w:val="0"/>
          <w:numId w:val="3"/>
        </w:numPr>
        <w:rPr>
          <w:rFonts w:ascii="Arial" w:cs="Arial" w:eastAsia="Arial" w:hAnsi="Arial"/>
          <w:sz w:val="16"/>
          <w:szCs w:val="16"/>
          <w:color w:val="auto"/>
        </w:rPr>
      </w:pPr>
      <w:r>
        <w:rPr>
          <w:rFonts w:ascii="Arial" w:cs="Arial" w:eastAsia="Arial" w:hAnsi="Arial"/>
          <w:sz w:val="16"/>
          <w:szCs w:val="16"/>
          <w:color w:val="auto"/>
        </w:rPr>
        <w:t>dependence upon trading counterparties and clearing houses performing their obligations to us;</w:t>
      </w:r>
    </w:p>
    <w:p>
      <w:pPr>
        <w:spacing w:after="0" w:line="100" w:lineRule="exact"/>
        <w:rPr>
          <w:rFonts w:ascii="Arial" w:cs="Arial" w:eastAsia="Arial" w:hAnsi="Arial"/>
          <w:sz w:val="16"/>
          <w:szCs w:val="16"/>
          <w:color w:val="auto"/>
        </w:rPr>
      </w:pPr>
    </w:p>
    <w:p>
      <w:pPr>
        <w:ind w:left="840" w:hanging="135"/>
        <w:spacing w:after="0"/>
        <w:tabs>
          <w:tab w:leader="none" w:pos="840" w:val="left"/>
        </w:tabs>
        <w:numPr>
          <w:ilvl w:val="0"/>
          <w:numId w:val="3"/>
        </w:numPr>
        <w:rPr>
          <w:rFonts w:ascii="Arial" w:cs="Arial" w:eastAsia="Arial" w:hAnsi="Arial"/>
          <w:sz w:val="16"/>
          <w:szCs w:val="16"/>
          <w:color w:val="auto"/>
        </w:rPr>
      </w:pPr>
      <w:r>
        <w:rPr>
          <w:rFonts w:ascii="Arial" w:cs="Arial" w:eastAsia="Arial" w:hAnsi="Arial"/>
          <w:sz w:val="16"/>
          <w:szCs w:val="16"/>
          <w:color w:val="auto"/>
        </w:rPr>
        <w:t>failures of our customized trading platform;</w:t>
      </w:r>
    </w:p>
    <w:p>
      <w:pPr>
        <w:spacing w:after="0" w:line="100" w:lineRule="exact"/>
        <w:rPr>
          <w:rFonts w:ascii="Arial" w:cs="Arial" w:eastAsia="Arial" w:hAnsi="Arial"/>
          <w:sz w:val="16"/>
          <w:szCs w:val="16"/>
          <w:color w:val="auto"/>
        </w:rPr>
      </w:pPr>
    </w:p>
    <w:p>
      <w:pPr>
        <w:ind w:left="840" w:hanging="135"/>
        <w:spacing w:after="0"/>
        <w:tabs>
          <w:tab w:leader="none" w:pos="8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inherent to the electronic market making business and trading generally;</w:t>
      </w:r>
    </w:p>
    <w:p>
      <w:pPr>
        <w:spacing w:after="0" w:line="100" w:lineRule="exact"/>
        <w:rPr>
          <w:rFonts w:ascii="Arial" w:cs="Arial" w:eastAsia="Arial" w:hAnsi="Arial"/>
          <w:sz w:val="16"/>
          <w:szCs w:val="16"/>
          <w:color w:val="auto"/>
        </w:rPr>
      </w:pPr>
    </w:p>
    <w:p>
      <w:pPr>
        <w:ind w:left="840" w:right="120" w:hanging="135"/>
        <w:spacing w:after="0" w:line="257" w:lineRule="auto"/>
        <w:tabs>
          <w:tab w:leader="none" w:pos="836" w:val="left"/>
        </w:tabs>
        <w:numPr>
          <w:ilvl w:val="0"/>
          <w:numId w:val="3"/>
        </w:numPr>
        <w:rPr>
          <w:rFonts w:ascii="Arial" w:cs="Arial" w:eastAsia="Arial" w:hAnsi="Arial"/>
          <w:sz w:val="16"/>
          <w:szCs w:val="16"/>
          <w:color w:val="auto"/>
        </w:rPr>
      </w:pPr>
      <w:r>
        <w:rPr>
          <w:rFonts w:ascii="Arial" w:cs="Arial" w:eastAsia="Arial" w:hAnsi="Arial"/>
          <w:sz w:val="16"/>
          <w:szCs w:val="16"/>
          <w:color w:val="auto"/>
        </w:rPr>
        <w:t>enhanced regulatory and media scrutiny, including attention to electronic trading, wholesale market making and off-exchange trading, payment for order flow, and other market structure topics and both the impact of potential changes in regulation or law which could have an adverse effect on our business as well as the potential impact upon public perception of us or of companies in our industry;</w:t>
      </w:r>
    </w:p>
    <w:p>
      <w:pPr>
        <w:spacing w:after="0" w:line="71" w:lineRule="exact"/>
        <w:rPr>
          <w:rFonts w:ascii="Arial" w:cs="Arial" w:eastAsia="Arial" w:hAnsi="Arial"/>
          <w:sz w:val="16"/>
          <w:szCs w:val="16"/>
          <w:color w:val="auto"/>
        </w:rPr>
      </w:pPr>
    </w:p>
    <w:p>
      <w:pPr>
        <w:ind w:left="840" w:hanging="135"/>
        <w:spacing w:after="0"/>
        <w:tabs>
          <w:tab w:leader="none" w:pos="8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increased competition in market making activities and execution services;</w:t>
      </w:r>
    </w:p>
    <w:p>
      <w:pPr>
        <w:spacing w:after="0" w:line="100" w:lineRule="exact"/>
        <w:rPr>
          <w:rFonts w:ascii="Arial" w:cs="Arial" w:eastAsia="Arial" w:hAnsi="Arial"/>
          <w:sz w:val="16"/>
          <w:szCs w:val="16"/>
          <w:color w:val="auto"/>
        </w:rPr>
      </w:pPr>
    </w:p>
    <w:p>
      <w:pPr>
        <w:ind w:left="840" w:hanging="135"/>
        <w:spacing w:after="0"/>
        <w:tabs>
          <w:tab w:leader="none" w:pos="840" w:val="left"/>
        </w:tabs>
        <w:numPr>
          <w:ilvl w:val="0"/>
          <w:numId w:val="3"/>
        </w:numPr>
        <w:rPr>
          <w:rFonts w:ascii="Arial" w:cs="Arial" w:eastAsia="Arial" w:hAnsi="Arial"/>
          <w:sz w:val="16"/>
          <w:szCs w:val="16"/>
          <w:color w:val="auto"/>
        </w:rPr>
      </w:pPr>
      <w:r>
        <w:rPr>
          <w:rFonts w:ascii="Arial" w:cs="Arial" w:eastAsia="Arial" w:hAnsi="Arial"/>
          <w:sz w:val="16"/>
          <w:szCs w:val="16"/>
          <w:color w:val="auto"/>
        </w:rPr>
        <w:t>dependence on continued access to sources of liquidity;</w:t>
      </w:r>
    </w:p>
    <w:p>
      <w:pPr>
        <w:spacing w:after="0" w:line="100" w:lineRule="exact"/>
        <w:rPr>
          <w:rFonts w:ascii="Arial" w:cs="Arial" w:eastAsia="Arial" w:hAnsi="Arial"/>
          <w:sz w:val="16"/>
          <w:szCs w:val="16"/>
          <w:color w:val="auto"/>
        </w:rPr>
      </w:pPr>
    </w:p>
    <w:p>
      <w:pPr>
        <w:ind w:left="840" w:hanging="135"/>
        <w:spacing w:after="0"/>
        <w:tabs>
          <w:tab w:leader="none" w:pos="8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associated with self-clearing and other operational elements of our business, including but not limited to risks related to funding and liquidity;</w:t>
      </w:r>
    </w:p>
    <w:p>
      <w:pPr>
        <w:spacing w:after="0" w:line="100" w:lineRule="exact"/>
        <w:rPr>
          <w:rFonts w:ascii="Arial" w:cs="Arial" w:eastAsia="Arial" w:hAnsi="Arial"/>
          <w:sz w:val="16"/>
          <w:szCs w:val="16"/>
          <w:color w:val="auto"/>
        </w:rPr>
      </w:pPr>
    </w:p>
    <w:p>
      <w:pPr>
        <w:ind w:left="840" w:hanging="135"/>
        <w:spacing w:after="0"/>
        <w:tabs>
          <w:tab w:leader="none" w:pos="8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obligations to comply with applicable regulatory capital requirements;</w:t>
      </w:r>
    </w:p>
    <w:p>
      <w:pPr>
        <w:spacing w:after="0" w:line="100" w:lineRule="exact"/>
        <w:rPr>
          <w:rFonts w:ascii="Arial" w:cs="Arial" w:eastAsia="Arial" w:hAnsi="Arial"/>
          <w:sz w:val="16"/>
          <w:szCs w:val="16"/>
          <w:color w:val="auto"/>
        </w:rPr>
      </w:pPr>
    </w:p>
    <w:p>
      <w:pPr>
        <w:ind w:left="840" w:hanging="135"/>
        <w:spacing w:after="0"/>
        <w:tabs>
          <w:tab w:leader="none" w:pos="840" w:val="left"/>
        </w:tabs>
        <w:numPr>
          <w:ilvl w:val="0"/>
          <w:numId w:val="3"/>
        </w:numPr>
        <w:rPr>
          <w:rFonts w:ascii="Arial" w:cs="Arial" w:eastAsia="Arial" w:hAnsi="Arial"/>
          <w:sz w:val="16"/>
          <w:szCs w:val="16"/>
          <w:color w:val="auto"/>
        </w:rPr>
      </w:pPr>
      <w:r>
        <w:rPr>
          <w:rFonts w:ascii="Arial" w:cs="Arial" w:eastAsia="Arial" w:hAnsi="Arial"/>
          <w:sz w:val="16"/>
          <w:szCs w:val="16"/>
          <w:color w:val="auto"/>
        </w:rPr>
        <w:t>litigation or other legal and regulatory-based liabilities;</w:t>
      </w:r>
    </w:p>
    <w:p>
      <w:pPr>
        <w:spacing w:after="0" w:line="100" w:lineRule="exact"/>
        <w:rPr>
          <w:rFonts w:ascii="Arial" w:cs="Arial" w:eastAsia="Arial" w:hAnsi="Arial"/>
          <w:sz w:val="16"/>
          <w:szCs w:val="16"/>
          <w:color w:val="auto"/>
        </w:rPr>
      </w:pPr>
    </w:p>
    <w:p>
      <w:pPr>
        <w:ind w:left="840" w:right="80" w:hanging="135"/>
        <w:spacing w:after="0" w:line="341" w:lineRule="auto"/>
        <w:tabs>
          <w:tab w:leader="none" w:pos="836" w:val="left"/>
        </w:tabs>
        <w:numPr>
          <w:ilvl w:val="0"/>
          <w:numId w:val="3"/>
        </w:numPr>
        <w:rPr>
          <w:rFonts w:ascii="Arial" w:cs="Arial" w:eastAsia="Arial" w:hAnsi="Arial"/>
          <w:sz w:val="14"/>
          <w:szCs w:val="14"/>
          <w:color w:val="auto"/>
        </w:rPr>
      </w:pPr>
      <w:r>
        <w:rPr>
          <w:rFonts w:ascii="Arial" w:cs="Arial" w:eastAsia="Arial" w:hAnsi="Arial"/>
          <w:sz w:val="14"/>
          <w:szCs w:val="14"/>
          <w:color w:val="auto"/>
        </w:rPr>
        <w:t>changes in laws, rules or regulations, including proposed legislation that would impose taxes on certain financial transactions in the European Union, the U.S. (and certain states therein) and other jurisdictions and other potential changes which could increase our corporate or other tax obligations in one or more jurisdictions;</w:t>
      </w:r>
    </w:p>
    <w:p>
      <w:pPr>
        <w:spacing w:after="0" w:line="16" w:lineRule="exact"/>
        <w:rPr>
          <w:rFonts w:ascii="Arial" w:cs="Arial" w:eastAsia="Arial" w:hAnsi="Arial"/>
          <w:sz w:val="14"/>
          <w:szCs w:val="14"/>
          <w:color w:val="auto"/>
        </w:rPr>
      </w:pPr>
    </w:p>
    <w:p>
      <w:pPr>
        <w:ind w:left="840" w:hanging="135"/>
        <w:spacing w:after="0"/>
        <w:tabs>
          <w:tab w:leader="none" w:pos="8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obligations to comply with laws and regulations applicable to our operations in the U.S. and abroad;</w:t>
      </w:r>
    </w:p>
    <w:p>
      <w:pPr>
        <w:spacing w:after="0" w:line="100" w:lineRule="exact"/>
        <w:rPr>
          <w:rFonts w:ascii="Arial" w:cs="Arial" w:eastAsia="Arial" w:hAnsi="Arial"/>
          <w:sz w:val="16"/>
          <w:szCs w:val="16"/>
          <w:color w:val="auto"/>
        </w:rPr>
      </w:pPr>
    </w:p>
    <w:p>
      <w:pPr>
        <w:ind w:left="840" w:hanging="135"/>
        <w:spacing w:after="0"/>
        <w:tabs>
          <w:tab w:leader="none" w:pos="840" w:val="left"/>
        </w:tabs>
        <w:numPr>
          <w:ilvl w:val="0"/>
          <w:numId w:val="3"/>
        </w:numPr>
        <w:rPr>
          <w:rFonts w:ascii="Arial" w:cs="Arial" w:eastAsia="Arial" w:hAnsi="Arial"/>
          <w:sz w:val="16"/>
          <w:szCs w:val="16"/>
          <w:color w:val="auto"/>
        </w:rPr>
      </w:pPr>
      <w:r>
        <w:rPr>
          <w:rFonts w:ascii="Arial" w:cs="Arial" w:eastAsia="Arial" w:hAnsi="Arial"/>
          <w:sz w:val="16"/>
          <w:szCs w:val="16"/>
          <w:color w:val="auto"/>
        </w:rPr>
        <w:t>need to maintain and continue developing proprietary technologies;</w:t>
      </w:r>
    </w:p>
    <w:p>
      <w:pPr>
        <w:spacing w:after="0" w:line="100" w:lineRule="exact"/>
        <w:rPr>
          <w:rFonts w:ascii="Arial" w:cs="Arial" w:eastAsia="Arial" w:hAnsi="Arial"/>
          <w:sz w:val="16"/>
          <w:szCs w:val="16"/>
          <w:color w:val="auto"/>
        </w:rPr>
      </w:pPr>
    </w:p>
    <w:p>
      <w:pPr>
        <w:ind w:left="840" w:right="200" w:hanging="135"/>
        <w:spacing w:after="0" w:line="268" w:lineRule="auto"/>
        <w:tabs>
          <w:tab w:leader="none" w:pos="836"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effect of the Acquisition of KCG and the ITG Acquisition (as defined below) on ongoing business operations generally, including the assumption of potential liabilities and risks relating to these historical acquisitions;</w:t>
      </w:r>
    </w:p>
    <w:p>
      <w:pPr>
        <w:spacing w:after="0" w:line="62" w:lineRule="exact"/>
        <w:rPr>
          <w:rFonts w:ascii="Arial" w:cs="Arial" w:eastAsia="Arial" w:hAnsi="Arial"/>
          <w:sz w:val="16"/>
          <w:szCs w:val="16"/>
          <w:color w:val="auto"/>
        </w:rPr>
      </w:pPr>
    </w:p>
    <w:p>
      <w:pPr>
        <w:ind w:left="840" w:hanging="135"/>
        <w:spacing w:after="0"/>
        <w:tabs>
          <w:tab w:leader="none" w:pos="840" w:val="left"/>
        </w:tabs>
        <w:numPr>
          <w:ilvl w:val="0"/>
          <w:numId w:val="3"/>
        </w:numPr>
        <w:rPr>
          <w:rFonts w:ascii="Arial" w:cs="Arial" w:eastAsia="Arial" w:hAnsi="Arial"/>
          <w:sz w:val="16"/>
          <w:szCs w:val="16"/>
          <w:color w:val="auto"/>
        </w:rPr>
      </w:pPr>
      <w:r>
        <w:rPr>
          <w:rFonts w:ascii="Arial" w:cs="Arial" w:eastAsia="Arial" w:hAnsi="Arial"/>
          <w:sz w:val="16"/>
          <w:szCs w:val="16"/>
          <w:color w:val="auto"/>
        </w:rPr>
        <w:t>capacity constraints, system failures, and delays;</w:t>
      </w: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987" w:right="359" w:bottom="1440" w:gutter="0" w:footer="0" w:header="0"/>
        </w:sectPr>
      </w:pPr>
    </w:p>
    <w:bookmarkStart w:id="3" w:name="page4"/>
    <w:bookmarkEnd w:id="3"/>
    <w:p>
      <w:pPr>
        <w:ind w:left="840" w:hanging="135"/>
        <w:spacing w:after="0"/>
        <w:tabs>
          <w:tab w:leader="none" w:pos="840" w:val="left"/>
        </w:tabs>
        <w:numPr>
          <w:ilvl w:val="0"/>
          <w:numId w:val="4"/>
        </w:numPr>
        <w:rPr>
          <w:rFonts w:ascii="Arial" w:cs="Arial" w:eastAsia="Arial" w:hAnsi="Arial"/>
          <w:sz w:val="16"/>
          <w:szCs w:val="16"/>
          <w:color w:val="auto"/>
        </w:rPr>
      </w:pPr>
      <w:r>
        <w:rPr>
          <w:rFonts w:ascii="Arial" w:cs="Arial" w:eastAsia="Arial" w:hAnsi="Arial"/>
          <w:sz w:val="16"/>
          <w:szCs w:val="16"/>
          <w:color w:val="auto"/>
        </w:rPr>
        <w:t>dependence on third-party infrastructure or systems;</w:t>
      </w:r>
    </w:p>
    <w:p>
      <w:pPr>
        <w:spacing w:after="0" w:line="100" w:lineRule="exact"/>
        <w:rPr>
          <w:rFonts w:ascii="Arial" w:cs="Arial" w:eastAsia="Arial" w:hAnsi="Arial"/>
          <w:sz w:val="16"/>
          <w:szCs w:val="16"/>
          <w:color w:val="auto"/>
        </w:rPr>
      </w:pPr>
    </w:p>
    <w:p>
      <w:pPr>
        <w:ind w:left="840" w:hanging="135"/>
        <w:spacing w:after="0"/>
        <w:tabs>
          <w:tab w:leader="none" w:pos="840" w:val="left"/>
        </w:tabs>
        <w:numPr>
          <w:ilvl w:val="0"/>
          <w:numId w:val="4"/>
        </w:numPr>
        <w:rPr>
          <w:rFonts w:ascii="Arial" w:cs="Arial" w:eastAsia="Arial" w:hAnsi="Arial"/>
          <w:sz w:val="16"/>
          <w:szCs w:val="16"/>
          <w:color w:val="auto"/>
        </w:rPr>
      </w:pPr>
      <w:r>
        <w:rPr>
          <w:rFonts w:ascii="Arial" w:cs="Arial" w:eastAsia="Arial" w:hAnsi="Arial"/>
          <w:sz w:val="16"/>
          <w:szCs w:val="16"/>
          <w:color w:val="auto"/>
        </w:rPr>
        <w:t>use of open source software;</w:t>
      </w:r>
    </w:p>
    <w:p>
      <w:pPr>
        <w:spacing w:after="0" w:line="100" w:lineRule="exact"/>
        <w:rPr>
          <w:rFonts w:ascii="Arial" w:cs="Arial" w:eastAsia="Arial" w:hAnsi="Arial"/>
          <w:sz w:val="16"/>
          <w:szCs w:val="16"/>
          <w:color w:val="auto"/>
        </w:rPr>
      </w:pPr>
    </w:p>
    <w:p>
      <w:pPr>
        <w:ind w:left="840" w:hanging="135"/>
        <w:spacing w:after="0"/>
        <w:tabs>
          <w:tab w:leader="none" w:pos="840" w:val="left"/>
        </w:tabs>
        <w:numPr>
          <w:ilvl w:val="0"/>
          <w:numId w:val="4"/>
        </w:numPr>
        <w:rPr>
          <w:rFonts w:ascii="Arial" w:cs="Arial" w:eastAsia="Arial" w:hAnsi="Arial"/>
          <w:sz w:val="16"/>
          <w:szCs w:val="16"/>
          <w:color w:val="auto"/>
        </w:rPr>
      </w:pPr>
      <w:r>
        <w:rPr>
          <w:rFonts w:ascii="Arial" w:cs="Arial" w:eastAsia="Arial" w:hAnsi="Arial"/>
          <w:sz w:val="16"/>
          <w:szCs w:val="16"/>
          <w:color w:val="auto"/>
        </w:rPr>
        <w:t>failure to protect or enforce our intellectual property rights in our proprietary technology;</w:t>
      </w:r>
    </w:p>
    <w:p>
      <w:pPr>
        <w:spacing w:after="0" w:line="100" w:lineRule="exact"/>
        <w:rPr>
          <w:rFonts w:ascii="Arial" w:cs="Arial" w:eastAsia="Arial" w:hAnsi="Arial"/>
          <w:sz w:val="16"/>
          <w:szCs w:val="16"/>
          <w:color w:val="auto"/>
        </w:rPr>
      </w:pPr>
    </w:p>
    <w:p>
      <w:pPr>
        <w:ind w:left="840" w:hanging="135"/>
        <w:spacing w:after="0"/>
        <w:tabs>
          <w:tab w:leader="none" w:pos="840" w:val="left"/>
        </w:tabs>
        <w:numPr>
          <w:ilvl w:val="0"/>
          <w:numId w:val="4"/>
        </w:numPr>
        <w:rPr>
          <w:rFonts w:ascii="Arial" w:cs="Arial" w:eastAsia="Arial" w:hAnsi="Arial"/>
          <w:sz w:val="16"/>
          <w:szCs w:val="16"/>
          <w:color w:val="auto"/>
        </w:rPr>
      </w:pPr>
      <w:r>
        <w:rPr>
          <w:rFonts w:ascii="Arial" w:cs="Arial" w:eastAsia="Arial" w:hAnsi="Arial"/>
          <w:sz w:val="16"/>
          <w:szCs w:val="16"/>
          <w:color w:val="auto"/>
        </w:rPr>
        <w:t>failure to protect confidential and proprietary information;</w:t>
      </w:r>
    </w:p>
    <w:p>
      <w:pPr>
        <w:spacing w:after="0" w:line="100" w:lineRule="exact"/>
        <w:rPr>
          <w:rFonts w:ascii="Arial" w:cs="Arial" w:eastAsia="Arial" w:hAnsi="Arial"/>
          <w:sz w:val="16"/>
          <w:szCs w:val="16"/>
          <w:color w:val="auto"/>
        </w:rPr>
      </w:pPr>
    </w:p>
    <w:p>
      <w:pPr>
        <w:ind w:left="840" w:right="540" w:hanging="135"/>
        <w:spacing w:after="0" w:line="268" w:lineRule="auto"/>
        <w:tabs>
          <w:tab w:leader="none" w:pos="836" w:val="left"/>
        </w:tabs>
        <w:numPr>
          <w:ilvl w:val="0"/>
          <w:numId w:val="4"/>
        </w:numPr>
        <w:rPr>
          <w:rFonts w:ascii="Arial" w:cs="Arial" w:eastAsia="Arial" w:hAnsi="Arial"/>
          <w:sz w:val="16"/>
          <w:szCs w:val="16"/>
          <w:color w:val="auto"/>
        </w:rPr>
      </w:pPr>
      <w:r>
        <w:rPr>
          <w:rFonts w:ascii="Arial" w:cs="Arial" w:eastAsia="Arial" w:hAnsi="Arial"/>
          <w:sz w:val="16"/>
          <w:szCs w:val="16"/>
          <w:color w:val="auto"/>
        </w:rPr>
        <w:t>failure to protect our systems from internal or external cyber threats that could result in damage to our computer systems, business interruption, loss of data, monetary payment demands or other consequences;</w:t>
      </w:r>
    </w:p>
    <w:p>
      <w:pPr>
        <w:spacing w:after="0" w:line="62" w:lineRule="exact"/>
        <w:rPr>
          <w:rFonts w:ascii="Arial" w:cs="Arial" w:eastAsia="Arial" w:hAnsi="Arial"/>
          <w:sz w:val="16"/>
          <w:szCs w:val="16"/>
          <w:color w:val="auto"/>
        </w:rPr>
      </w:pPr>
    </w:p>
    <w:p>
      <w:pPr>
        <w:ind w:left="840" w:hanging="135"/>
        <w:spacing w:after="0"/>
        <w:tabs>
          <w:tab w:leader="none" w:pos="840" w:val="left"/>
        </w:tabs>
        <w:numPr>
          <w:ilvl w:val="0"/>
          <w:numId w:val="4"/>
        </w:numPr>
        <w:rPr>
          <w:rFonts w:ascii="Arial" w:cs="Arial" w:eastAsia="Arial" w:hAnsi="Arial"/>
          <w:sz w:val="16"/>
          <w:szCs w:val="16"/>
          <w:color w:val="auto"/>
        </w:rPr>
      </w:pPr>
      <w:r>
        <w:rPr>
          <w:rFonts w:ascii="Arial" w:cs="Arial" w:eastAsia="Arial" w:hAnsi="Arial"/>
          <w:sz w:val="16"/>
          <w:szCs w:val="16"/>
          <w:color w:val="auto"/>
        </w:rPr>
        <w:t>risks associated with international operations and expansion, including failed acquisitions or dispositions;</w:t>
      </w:r>
    </w:p>
    <w:p>
      <w:pPr>
        <w:spacing w:after="0" w:line="100" w:lineRule="exact"/>
        <w:rPr>
          <w:rFonts w:ascii="Arial" w:cs="Arial" w:eastAsia="Arial" w:hAnsi="Arial"/>
          <w:sz w:val="16"/>
          <w:szCs w:val="16"/>
          <w:color w:val="auto"/>
        </w:rPr>
      </w:pPr>
    </w:p>
    <w:p>
      <w:pPr>
        <w:jc w:val="both"/>
        <w:ind w:left="840" w:right="20" w:hanging="135"/>
        <w:spacing w:after="0" w:line="311" w:lineRule="auto"/>
        <w:tabs>
          <w:tab w:leader="none" w:pos="836"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effects of and changes in economic conditions (such as volatility in the financial markets, inflation, monetary conditions and foreign currency and exchange rate fluctuations, foreign currency controls and/or government mandated pricing controls, as well as in trade, monetary, fiscal and tax policies in international markets), political conditions (such as military actions and terrorist activities), and other global events such as fires, natural disasters, pandemics or extreme weather;</w:t>
      </w:r>
    </w:p>
    <w:p>
      <w:pPr>
        <w:spacing w:after="0" w:line="37" w:lineRule="exact"/>
        <w:rPr>
          <w:rFonts w:ascii="Arial" w:cs="Arial" w:eastAsia="Arial" w:hAnsi="Arial"/>
          <w:sz w:val="14"/>
          <w:szCs w:val="14"/>
          <w:color w:val="auto"/>
        </w:rPr>
      </w:pPr>
    </w:p>
    <w:p>
      <w:pPr>
        <w:ind w:left="840" w:hanging="135"/>
        <w:spacing w:after="0"/>
        <w:tabs>
          <w:tab w:leader="none" w:pos="840" w:val="left"/>
        </w:tabs>
        <w:numPr>
          <w:ilvl w:val="0"/>
          <w:numId w:val="4"/>
        </w:numPr>
        <w:rPr>
          <w:rFonts w:ascii="Arial" w:cs="Arial" w:eastAsia="Arial" w:hAnsi="Arial"/>
          <w:sz w:val="16"/>
          <w:szCs w:val="16"/>
          <w:color w:val="auto"/>
        </w:rPr>
      </w:pPr>
      <w:r>
        <w:rPr>
          <w:rFonts w:ascii="Arial" w:cs="Arial" w:eastAsia="Arial" w:hAnsi="Arial"/>
          <w:sz w:val="16"/>
          <w:szCs w:val="16"/>
          <w:color w:val="auto"/>
        </w:rPr>
        <w:t>risks associated with potential growth and associated corporate actions;</w:t>
      </w:r>
    </w:p>
    <w:p>
      <w:pPr>
        <w:spacing w:after="0" w:line="100" w:lineRule="exact"/>
        <w:rPr>
          <w:rFonts w:ascii="Arial" w:cs="Arial" w:eastAsia="Arial" w:hAnsi="Arial"/>
          <w:sz w:val="16"/>
          <w:szCs w:val="16"/>
          <w:color w:val="auto"/>
        </w:rPr>
      </w:pPr>
    </w:p>
    <w:p>
      <w:pPr>
        <w:ind w:left="840" w:hanging="135"/>
        <w:spacing w:after="0"/>
        <w:tabs>
          <w:tab w:leader="none" w:pos="84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inability to access, or delay in accessing the capital markets to sell shares or raise additional capital;</w:t>
      </w:r>
    </w:p>
    <w:p>
      <w:pPr>
        <w:spacing w:after="0" w:line="100" w:lineRule="exact"/>
        <w:rPr>
          <w:rFonts w:ascii="Arial" w:cs="Arial" w:eastAsia="Arial" w:hAnsi="Arial"/>
          <w:sz w:val="16"/>
          <w:szCs w:val="16"/>
          <w:color w:val="auto"/>
        </w:rPr>
      </w:pPr>
    </w:p>
    <w:p>
      <w:pPr>
        <w:ind w:left="840" w:hanging="135"/>
        <w:spacing w:after="0"/>
        <w:tabs>
          <w:tab w:leader="none" w:pos="840" w:val="left"/>
        </w:tabs>
        <w:numPr>
          <w:ilvl w:val="0"/>
          <w:numId w:val="4"/>
        </w:numPr>
        <w:rPr>
          <w:rFonts w:ascii="Arial" w:cs="Arial" w:eastAsia="Arial" w:hAnsi="Arial"/>
          <w:sz w:val="16"/>
          <w:szCs w:val="16"/>
          <w:color w:val="auto"/>
        </w:rPr>
      </w:pPr>
      <w:r>
        <w:rPr>
          <w:rFonts w:ascii="Arial" w:cs="Arial" w:eastAsia="Arial" w:hAnsi="Arial"/>
          <w:sz w:val="16"/>
          <w:szCs w:val="16"/>
          <w:color w:val="auto"/>
        </w:rPr>
        <w:t>loss of key executives and failure to recruit and retain qualified personnel; and</w:t>
      </w:r>
    </w:p>
    <w:p>
      <w:pPr>
        <w:spacing w:after="0" w:line="100" w:lineRule="exact"/>
        <w:rPr>
          <w:rFonts w:ascii="Arial" w:cs="Arial" w:eastAsia="Arial" w:hAnsi="Arial"/>
          <w:sz w:val="16"/>
          <w:szCs w:val="16"/>
          <w:color w:val="auto"/>
        </w:rPr>
      </w:pPr>
    </w:p>
    <w:p>
      <w:pPr>
        <w:ind w:left="840" w:hanging="135"/>
        <w:spacing w:after="0"/>
        <w:tabs>
          <w:tab w:leader="none" w:pos="840" w:val="left"/>
        </w:tabs>
        <w:numPr>
          <w:ilvl w:val="0"/>
          <w:numId w:val="4"/>
        </w:numPr>
        <w:rPr>
          <w:rFonts w:ascii="Arial" w:cs="Arial" w:eastAsia="Arial" w:hAnsi="Arial"/>
          <w:sz w:val="16"/>
          <w:szCs w:val="16"/>
          <w:color w:val="auto"/>
        </w:rPr>
      </w:pPr>
      <w:r>
        <w:rPr>
          <w:rFonts w:ascii="Arial" w:cs="Arial" w:eastAsia="Arial" w:hAnsi="Arial"/>
          <w:sz w:val="16"/>
          <w:szCs w:val="16"/>
          <w:color w:val="auto"/>
        </w:rPr>
        <w:t>risks associated with losing access to a significant exchange or other trading venue.</w:t>
      </w:r>
    </w:p>
    <w:p>
      <w:pPr>
        <w:spacing w:after="0" w:line="313" w:lineRule="exact"/>
        <w:rPr>
          <w:sz w:val="20"/>
          <w:szCs w:val="20"/>
          <w:color w:val="auto"/>
        </w:rPr>
      </w:pPr>
    </w:p>
    <w:p>
      <w:pPr>
        <w:ind w:right="220" w:firstLine="568"/>
        <w:spacing w:after="0" w:line="268" w:lineRule="auto"/>
        <w:rPr>
          <w:sz w:val="20"/>
          <w:szCs w:val="20"/>
          <w:color w:val="auto"/>
        </w:rPr>
      </w:pPr>
      <w:r>
        <w:rPr>
          <w:rFonts w:ascii="Arial" w:cs="Arial" w:eastAsia="Arial" w:hAnsi="Arial"/>
          <w:sz w:val="16"/>
          <w:szCs w:val="16"/>
          <w:color w:val="auto"/>
        </w:rPr>
        <w:t>We undertake no obligation to publicly update or revise any forward-looking statements to reflect events or circumstances that may arise after the date of this Annual Report on Form 10-K.</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BUSINESS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23" w:lineRule="exact"/>
        <w:rPr>
          <w:sz w:val="20"/>
          <w:szCs w:val="20"/>
          <w:color w:val="auto"/>
        </w:rPr>
      </w:pPr>
    </w:p>
    <w:p>
      <w:pPr>
        <w:ind w:right="20" w:firstLine="568"/>
        <w:spacing w:after="0" w:line="269" w:lineRule="auto"/>
        <w:rPr>
          <w:sz w:val="20"/>
          <w:szCs w:val="20"/>
          <w:color w:val="auto"/>
        </w:rPr>
      </w:pPr>
      <w:r>
        <w:rPr>
          <w:rFonts w:ascii="Arial" w:cs="Arial" w:eastAsia="Arial" w:hAnsi="Arial"/>
          <w:sz w:val="15"/>
          <w:szCs w:val="15"/>
          <w:color w:val="auto"/>
        </w:rPr>
        <w:t>We are a leading financial firm that leverages cutting edge technology to deliver liquidity to the global markets and innovative, transparent trading solutions to our clients. Leveraging our global market structure expertise and scaled, multi-asset infrastructure, we provide our clients a robust product suite including offerings in execution, liquidity sourcing, analytics and broker-neutral, multi-dealer platforms in workflow technology. Our product offerings allow our clients to trade on hundreds of venues across over 50 countries and in multiple asset classes, including global equities, Exchange Traded Funds ("ETFs"), foreign exchange, futures, fixed income, cryptocurrencies, and myriad other commodities. Our integrated, multi-asset analytics platform provides a range of pre- and post-trade services, data products and compliance tools that our clients rely upon to invest, trade and manage risk across global markets. We believe that our broad diversification, in combination with our proprietary technology platform and low-cost structure, gives us the scale necessary to grow our business around the globe as we service clients and facilitate risk transfer between global capital markets participants by providing liquidity, while at the same time earning attractive margins and returns.</w:t>
      </w:r>
    </w:p>
    <w:p>
      <w:pPr>
        <w:spacing w:after="0" w:line="182" w:lineRule="exact"/>
        <w:rPr>
          <w:sz w:val="20"/>
          <w:szCs w:val="20"/>
          <w:color w:val="auto"/>
        </w:rPr>
      </w:pPr>
    </w:p>
    <w:p>
      <w:pPr>
        <w:ind w:right="20" w:firstLine="568"/>
        <w:spacing w:after="0" w:line="192" w:lineRule="exact"/>
        <w:rPr>
          <w:sz w:val="20"/>
          <w:szCs w:val="20"/>
          <w:color w:val="auto"/>
        </w:rPr>
      </w:pPr>
      <w:r>
        <w:rPr>
          <w:rFonts w:ascii="Arial" w:cs="Arial" w:eastAsia="Arial" w:hAnsi="Arial"/>
          <w:sz w:val="15"/>
          <w:szCs w:val="15"/>
          <w:color w:val="auto"/>
        </w:rPr>
        <w:t>Technology and operational efficiency are at the core of our business, and our focus on market making and order routing technology is a key element of our success. We have developed a proprietary, multi</w:t>
      </w:r>
      <w:r>
        <w:rPr>
          <w:rFonts w:ascii="MS PGothic" w:cs="MS PGothic" w:eastAsia="MS PGothic" w:hAnsi="MS PGothic"/>
          <w:sz w:val="15"/>
          <w:szCs w:val="15"/>
          <w:color w:val="auto"/>
        </w:rPr>
        <w:t>‑</w:t>
      </w:r>
      <w:r>
        <w:rPr>
          <w:rFonts w:ascii="Arial" w:cs="Arial" w:eastAsia="Arial" w:hAnsi="Arial"/>
          <w:sz w:val="15"/>
          <w:szCs w:val="15"/>
          <w:color w:val="auto"/>
        </w:rPr>
        <w:t>asset, multi-currency technology platform that is highly reliable, scalable and modular, and we integrate directly with exchanges, liquidity centers, and our clients. Our market data, order routing, transaction processing, risk management and market surveillance technology modules manage our market making and institutional agency activities in an efficient manner that enables us to scale our activities globally, across additional securities and other financial instruments and asset classes, without significant incremental costs or third-party licensing or processing fees.</w:t>
      </w:r>
    </w:p>
    <w:p>
      <w:pPr>
        <w:spacing w:after="0" w:line="204" w:lineRule="exact"/>
        <w:rPr>
          <w:sz w:val="20"/>
          <w:szCs w:val="20"/>
          <w:color w:val="auto"/>
        </w:rPr>
      </w:pPr>
    </w:p>
    <w:p>
      <w:pPr>
        <w:ind w:firstLine="568"/>
        <w:spacing w:after="0" w:line="257" w:lineRule="auto"/>
        <w:rPr>
          <w:sz w:val="20"/>
          <w:szCs w:val="20"/>
          <w:color w:val="auto"/>
        </w:rPr>
      </w:pPr>
      <w:r>
        <w:rPr>
          <w:rFonts w:ascii="Arial" w:cs="Arial" w:eastAsia="Arial" w:hAnsi="Arial"/>
          <w:sz w:val="16"/>
          <w:szCs w:val="16"/>
          <w:color w:val="auto"/>
        </w:rPr>
        <w:t>We believe that technology-enabled market makers like Virtu serve an important role in maintaining and improving the overall health and efficiency of the global capital markets by providing market participants with an efficient means to transfer risk and analyze the quality of execution. We believe that market participants benefit from the increased liquidity, lower overall trading costs and execution transparency that Virtu provides.</w:t>
      </w:r>
    </w:p>
    <w:p>
      <w:pPr>
        <w:spacing w:after="0" w:line="190" w:lineRule="exact"/>
        <w:rPr>
          <w:sz w:val="20"/>
          <w:szCs w:val="20"/>
          <w:color w:val="auto"/>
        </w:rPr>
      </w:pPr>
    </w:p>
    <w:p>
      <w:pPr>
        <w:ind w:right="140" w:firstLine="568"/>
        <w:spacing w:after="0" w:line="257" w:lineRule="auto"/>
        <w:rPr>
          <w:sz w:val="20"/>
          <w:szCs w:val="20"/>
          <w:color w:val="auto"/>
        </w:rPr>
      </w:pPr>
      <w:r>
        <w:rPr>
          <w:rFonts w:ascii="Arial" w:cs="Arial" w:eastAsia="Arial" w:hAnsi="Arial"/>
          <w:sz w:val="16"/>
          <w:szCs w:val="16"/>
          <w:color w:val="auto"/>
        </w:rPr>
        <w:t>Our execution services and client solutions products are designed to be transparent, because we believe transparency makes markets more efficient and helps investors make better, more informed decisions. We use the latest technology to create and deliver liquidity to global markets and innovative trading solutions and analytics tools to our clients. We interact directly</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802" w:right="359" w:bottom="1440" w:gutter="0" w:footer="0" w:header="0"/>
        </w:sectPr>
      </w:pPr>
    </w:p>
    <w:bookmarkStart w:id="4" w:name="page5"/>
    <w:bookmarkEnd w:id="4"/>
    <w:p>
      <w:pPr>
        <w:spacing w:after="0"/>
        <w:rPr>
          <w:sz w:val="20"/>
          <w:szCs w:val="20"/>
          <w:color w:val="auto"/>
        </w:rPr>
      </w:pPr>
      <w:r>
        <w:rPr>
          <w:rFonts w:ascii="Arial" w:cs="Arial" w:eastAsia="Arial" w:hAnsi="Arial"/>
          <w:sz w:val="16"/>
          <w:szCs w:val="16"/>
          <w:color w:val="auto"/>
        </w:rPr>
        <w:t>with hundreds of retail brokers, Registered Investment Advisors, private client networks, sell-side brokers, and buy-side institutions.</w:t>
      </w:r>
    </w:p>
    <w:p>
      <w:pPr>
        <w:spacing w:after="0" w:line="219" w:lineRule="exact"/>
        <w:rPr>
          <w:sz w:val="20"/>
          <w:szCs w:val="20"/>
          <w:color w:val="auto"/>
        </w:rPr>
      </w:pPr>
    </w:p>
    <w:p>
      <w:pPr>
        <w:ind w:right="260" w:firstLine="568"/>
        <w:spacing w:after="0" w:line="268" w:lineRule="auto"/>
        <w:rPr>
          <w:sz w:val="20"/>
          <w:szCs w:val="20"/>
          <w:color w:val="auto"/>
        </w:rPr>
      </w:pPr>
      <w:r>
        <w:rPr>
          <w:rFonts w:ascii="Arial" w:cs="Arial" w:eastAsia="Arial" w:hAnsi="Arial"/>
          <w:sz w:val="16"/>
          <w:szCs w:val="16"/>
          <w:color w:val="auto"/>
        </w:rPr>
        <w:t>We have two operating segments: Market Making and Execution Services, and one non-operating segment: Corporate. Our management allocates resources, assesses performance and manages our business according to these segments.</w:t>
      </w:r>
    </w:p>
    <w:p>
      <w:pPr>
        <w:spacing w:after="0" w:line="169" w:lineRule="exact"/>
        <w:rPr>
          <w:sz w:val="20"/>
          <w:szCs w:val="20"/>
          <w:color w:val="auto"/>
        </w:rPr>
      </w:pPr>
    </w:p>
    <w:p>
      <w:pPr>
        <w:ind w:right="20" w:firstLine="568"/>
        <w:spacing w:after="0" w:line="170" w:lineRule="exact"/>
        <w:rPr>
          <w:sz w:val="20"/>
          <w:szCs w:val="20"/>
          <w:color w:val="auto"/>
        </w:rPr>
      </w:pPr>
      <w:r>
        <w:rPr>
          <w:rFonts w:ascii="Arial" w:cs="Arial" w:eastAsia="Arial" w:hAnsi="Arial"/>
          <w:sz w:val="15"/>
          <w:szCs w:val="15"/>
          <w:color w:val="auto"/>
        </w:rPr>
        <w:t>We primarily conduct our Americas equities business through our SEC registered broker</w:t>
      </w:r>
      <w:r>
        <w:rPr>
          <w:rFonts w:ascii="MS PGothic" w:cs="MS PGothic" w:eastAsia="MS PGothic" w:hAnsi="MS PGothic"/>
          <w:sz w:val="15"/>
          <w:szCs w:val="15"/>
          <w:color w:val="auto"/>
        </w:rPr>
        <w:t>‑</w:t>
      </w:r>
      <w:r>
        <w:rPr>
          <w:rFonts w:ascii="Arial" w:cs="Arial" w:eastAsia="Arial" w:hAnsi="Arial"/>
          <w:sz w:val="15"/>
          <w:szCs w:val="15"/>
          <w:color w:val="auto"/>
        </w:rPr>
        <w:t>dealer, Virtu Americas, LLC ("VAL"). We are registered with the Central Bank of Ireland ("CBI") and the Financial Conduct Authority ("FCA") in the UK for our European trading, the Investment Industry Regulatory Organization of Canada (“IIROC”) and the Ontario Securities Commission for our Canadian trading, and the Monetary Authority of Singapore ("MAS"), Securities and Futures Commission of Hong Kong ("SFC"), and Australian Securities and Investments Commission ("ASIC") for our Asia-Pacific (“APAC”) trading. We are registered as a market maker or liquidity provider and/or enter into direct obligations to provide liquidity on nearly every exchange or venue that offers such programs. We engage regularly with regulators around the world on issues affecting electronic trading and other matters that may affect our business and the operation of the financial markets and advocate for increased transparency. In the U.S., we conduct our business from our headquarters in New York, New York and our offices in Boston, Massachusetts, Austin, Texas, Chicago, Illinois, Short Hills, New Jersey, and Palm Beach Gardens, Florida. Abroad, we conduct our business through trading centers located in London, England, Dublin, Ireland, Paris, France, Singapore, Hong Kong, Toronto, Canada, and Sydney, Australia.</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 Making</w:t>
      </w:r>
    </w:p>
    <w:p>
      <w:pPr>
        <w:spacing w:after="0" w:line="223" w:lineRule="exact"/>
        <w:rPr>
          <w:sz w:val="20"/>
          <w:szCs w:val="20"/>
          <w:color w:val="auto"/>
        </w:rPr>
      </w:pPr>
    </w:p>
    <w:p>
      <w:pPr>
        <w:ind w:firstLine="568"/>
        <w:spacing w:after="0" w:line="191" w:lineRule="exact"/>
        <w:rPr>
          <w:sz w:val="20"/>
          <w:szCs w:val="20"/>
          <w:color w:val="auto"/>
        </w:rPr>
      </w:pPr>
      <w:r>
        <w:rPr>
          <w:rFonts w:ascii="Arial" w:cs="Arial" w:eastAsia="Arial" w:hAnsi="Arial"/>
          <w:sz w:val="16"/>
          <w:szCs w:val="16"/>
          <w:color w:val="auto"/>
        </w:rPr>
        <w:t>Our Market Making segment principally consists of market making in the cash, futures, and options markets across global equities, fixed income, currencies, cryptocurrencies, and commodities. As a leading, low</w:t>
      </w:r>
      <w:r>
        <w:rPr>
          <w:rFonts w:ascii="MS PGothic" w:cs="MS PGothic" w:eastAsia="MS PGothic" w:hAnsi="MS PGothic"/>
          <w:sz w:val="16"/>
          <w:szCs w:val="16"/>
          <w:color w:val="auto"/>
        </w:rPr>
        <w:t>‑</w:t>
      </w:r>
      <w:r>
        <w:rPr>
          <w:rFonts w:ascii="Arial" w:cs="Arial" w:eastAsia="Arial" w:hAnsi="Arial"/>
          <w:sz w:val="16"/>
          <w:szCs w:val="16"/>
          <w:color w:val="auto"/>
        </w:rPr>
        <w:t>cost market maker dedicated to improving efficiency and providing liquidity across multiple asset classes and geographies, we aim to provide critical market functionality and robust price competition in the securities and other financial instruments in which we provide liquidity. The scale and diversity of our market making activities provide added liquidity and transparency to the financial markets, which we believe are necessary and valuable components to the efficient functioning of markets and benefit all market participants. We support transparent and efficient, technologically advanced marketplaces, and advocate for legislation and regulation that promotes fair and transparent access to the financial markets.</w:t>
      </w:r>
    </w:p>
    <w:p>
      <w:pPr>
        <w:spacing w:after="0" w:line="204" w:lineRule="exact"/>
        <w:rPr>
          <w:sz w:val="20"/>
          <w:szCs w:val="20"/>
          <w:color w:val="auto"/>
        </w:rPr>
      </w:pPr>
    </w:p>
    <w:p>
      <w:pPr>
        <w:ind w:right="200" w:firstLine="568"/>
        <w:spacing w:after="0" w:line="254" w:lineRule="auto"/>
        <w:rPr>
          <w:sz w:val="20"/>
          <w:szCs w:val="20"/>
          <w:color w:val="auto"/>
        </w:rPr>
      </w:pPr>
      <w:r>
        <w:rPr>
          <w:rFonts w:ascii="Arial" w:cs="Arial" w:eastAsia="Arial" w:hAnsi="Arial"/>
          <w:sz w:val="16"/>
          <w:szCs w:val="16"/>
          <w:color w:val="auto"/>
        </w:rPr>
        <w:t>As a market maker, we commit capital on a principal basis by offering to buy securities from, or sell securities to, broker dealers, banks and institutions. We engage in principal trading in the Market Making segment direct to clients as well as in a supplemental capacity on exchanges, Electronic Communications Networks ("ECNs)" and on alternative trading systems (“ATSs”). As a complement to electronic market making, our cash trading business handles specialized orders and transacts on the OTC Link ATS operated by OTC Markets Group Inc.</w:t>
      </w:r>
    </w:p>
    <w:p>
      <w:pPr>
        <w:spacing w:after="0" w:line="192" w:lineRule="exact"/>
        <w:rPr>
          <w:sz w:val="20"/>
          <w:szCs w:val="20"/>
          <w:color w:val="auto"/>
        </w:rPr>
      </w:pPr>
    </w:p>
    <w:p>
      <w:pPr>
        <w:ind w:right="80" w:firstLine="568"/>
        <w:spacing w:after="0" w:line="268" w:lineRule="auto"/>
        <w:rPr>
          <w:sz w:val="20"/>
          <w:szCs w:val="20"/>
          <w:color w:val="auto"/>
        </w:rPr>
      </w:pPr>
      <w:r>
        <w:rPr>
          <w:rFonts w:ascii="Arial" w:cs="Arial" w:eastAsia="Arial" w:hAnsi="Arial"/>
          <w:sz w:val="16"/>
          <w:szCs w:val="16"/>
          <w:color w:val="auto"/>
        </w:rPr>
        <w:t>We make markets in a number of different asset classes, which are discussed in more detail below. We register as market makers and liquidity providers where available and support affirmative market making obligations.</w:t>
      </w:r>
    </w:p>
    <w:p>
      <w:pPr>
        <w:spacing w:after="0" w:line="181" w:lineRule="exact"/>
        <w:rPr>
          <w:sz w:val="20"/>
          <w:szCs w:val="20"/>
          <w:color w:val="auto"/>
        </w:rPr>
      </w:pPr>
    </w:p>
    <w:p>
      <w:pPr>
        <w:ind w:right="400" w:firstLine="568"/>
        <w:spacing w:after="0" w:line="302" w:lineRule="auto"/>
        <w:rPr>
          <w:sz w:val="20"/>
          <w:szCs w:val="20"/>
          <w:color w:val="auto"/>
        </w:rPr>
      </w:pPr>
      <w:r>
        <w:rPr>
          <w:rFonts w:ascii="Arial" w:cs="Arial" w:eastAsia="Arial" w:hAnsi="Arial"/>
          <w:sz w:val="15"/>
          <w:szCs w:val="15"/>
          <w:color w:val="auto"/>
        </w:rPr>
        <w:t>We provide competitive and deep liquidity that helps to create more efficient markets around the world. We stand ready, at any time, to buy or sell a broad range of securities, and we generate revenue by buying and selling large volumes of securities and other financial instruments while earning small bid/ask spreads.</w:t>
      </w:r>
    </w:p>
    <w:p>
      <w:pPr>
        <w:spacing w:after="0" w:line="158" w:lineRule="exact"/>
        <w:rPr>
          <w:sz w:val="20"/>
          <w:szCs w:val="20"/>
          <w:color w:val="auto"/>
        </w:rPr>
      </w:pPr>
    </w:p>
    <w:p>
      <w:pPr>
        <w:ind w:right="120" w:firstLine="568"/>
        <w:spacing w:after="0" w:line="257" w:lineRule="auto"/>
        <w:rPr>
          <w:sz w:val="20"/>
          <w:szCs w:val="20"/>
          <w:color w:val="auto"/>
        </w:rPr>
      </w:pPr>
      <w:r>
        <w:rPr>
          <w:rFonts w:ascii="Arial" w:cs="Arial" w:eastAsia="Arial" w:hAnsi="Arial"/>
          <w:sz w:val="16"/>
          <w:szCs w:val="16"/>
          <w:color w:val="auto"/>
        </w:rPr>
        <w:t>We believe the overall level of volumes and realized volatility in the various markets we serve have the greatest impact on our businesses. Increases in market volatility can cause bid/ask spreads to temporarily widen as market participants are more willing to transact immediately and as a result market makers’ capture rate per notional amount transacted increases.</w:t>
      </w:r>
    </w:p>
    <w:p>
      <w:pPr>
        <w:spacing w:after="0" w:line="190" w:lineRule="exact"/>
        <w:rPr>
          <w:sz w:val="20"/>
          <w:szCs w:val="20"/>
          <w:color w:val="auto"/>
        </w:rPr>
      </w:pPr>
    </w:p>
    <w:p>
      <w:pPr>
        <w:ind w:right="40" w:firstLine="568"/>
        <w:spacing w:after="0" w:line="257" w:lineRule="auto"/>
        <w:rPr>
          <w:sz w:val="20"/>
          <w:szCs w:val="20"/>
          <w:color w:val="auto"/>
        </w:rPr>
      </w:pPr>
      <w:r>
        <w:rPr>
          <w:rFonts w:ascii="Arial" w:cs="Arial" w:eastAsia="Arial" w:hAnsi="Arial"/>
          <w:sz w:val="16"/>
          <w:szCs w:val="16"/>
          <w:color w:val="auto"/>
        </w:rPr>
        <w:t>Technology is at the core of our business. Our team of in-house software engineers develops our software and applications, and we utilize optimized infrastructure to integrate directly with the exchanges and other trading venues on which we provide liquidity. Our focus on technology and our ability to leverage our technology enables us to be one of the lowest cost providers of liquidity to the global electronic trading marketplace.</w:t>
      </w:r>
    </w:p>
    <w:p>
      <w:pPr>
        <w:spacing w:after="0" w:line="190" w:lineRule="exact"/>
        <w:rPr>
          <w:sz w:val="20"/>
          <w:szCs w:val="20"/>
          <w:color w:val="auto"/>
        </w:rPr>
      </w:pPr>
    </w:p>
    <w:p>
      <w:pPr>
        <w:ind w:right="340" w:firstLine="568"/>
        <w:spacing w:after="0" w:line="283" w:lineRule="auto"/>
        <w:rPr>
          <w:sz w:val="20"/>
          <w:szCs w:val="20"/>
          <w:color w:val="auto"/>
        </w:rPr>
      </w:pPr>
      <w:r>
        <w:rPr>
          <w:rFonts w:ascii="Arial" w:cs="Arial" w:eastAsia="Arial" w:hAnsi="Arial"/>
          <w:sz w:val="15"/>
          <w:szCs w:val="15"/>
          <w:color w:val="auto"/>
        </w:rPr>
        <w:t>Leveraging the scalability and low costs of our platform, we are able to test and rapidly deploy new liquidity provisioning strategies, expand to new securities, asset classes and geographies and increase transaction volumes at little incremental cost. These efficiencies are central to our ability to deliver consistently positive Adjusted Net Trading Income (as defined below) as our profitability per trade and per instrument is not significant, particularly in U.S. equities.</w:t>
      </w:r>
    </w:p>
    <w:p>
      <w:pPr>
        <w:spacing w:after="0" w:line="171" w:lineRule="exact"/>
        <w:rPr>
          <w:sz w:val="20"/>
          <w:szCs w:val="20"/>
          <w:color w:val="auto"/>
        </w:rPr>
      </w:pPr>
    </w:p>
    <w:p>
      <w:pPr>
        <w:ind w:right="180" w:firstLine="568"/>
        <w:spacing w:after="0" w:line="268" w:lineRule="auto"/>
        <w:rPr>
          <w:sz w:val="20"/>
          <w:szCs w:val="20"/>
          <w:color w:val="auto"/>
        </w:rPr>
      </w:pPr>
      <w:r>
        <w:rPr>
          <w:rFonts w:ascii="Arial" w:cs="Arial" w:eastAsia="Arial" w:hAnsi="Arial"/>
          <w:sz w:val="16"/>
          <w:szCs w:val="16"/>
          <w:color w:val="auto"/>
        </w:rPr>
        <w:t>Our transaction processing is automated over the full life cycle of a trade. Our market making platform generates and disseminates continuous bid and offer quotes. At the moment when a trade is executed, our systems capture and deliver this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802" w:right="319" w:bottom="1440" w:gutter="0" w:footer="0" w:header="0"/>
        </w:sectPr>
      </w:pPr>
    </w:p>
    <w:bookmarkStart w:id="5" w:name="page6"/>
    <w:bookmarkEnd w:id="5"/>
    <w:p>
      <w:pPr>
        <w:ind w:right="360"/>
        <w:spacing w:after="0" w:line="268" w:lineRule="auto"/>
        <w:rPr>
          <w:sz w:val="20"/>
          <w:szCs w:val="20"/>
          <w:color w:val="auto"/>
        </w:rPr>
      </w:pPr>
      <w:r>
        <w:rPr>
          <w:rFonts w:ascii="Arial" w:cs="Arial" w:eastAsia="Arial" w:hAnsi="Arial"/>
          <w:sz w:val="16"/>
          <w:szCs w:val="16"/>
          <w:color w:val="auto"/>
        </w:rPr>
        <w:t>information back to the source, in most cases within a fraction of a second, and the trade record is written into our clearing system, where it flows through a chain of control accounts that allow us to automatically and efficiently reconcile trades, positions and payments until the final settlement occurs.</w:t>
      </w:r>
    </w:p>
    <w:p>
      <w:pPr>
        <w:spacing w:after="0" w:line="181" w:lineRule="exact"/>
        <w:rPr>
          <w:sz w:val="20"/>
          <w:szCs w:val="20"/>
          <w:color w:val="auto"/>
        </w:rPr>
      </w:pPr>
    </w:p>
    <w:p>
      <w:pPr>
        <w:ind w:right="20" w:firstLine="568"/>
        <w:spacing w:after="0" w:line="254" w:lineRule="auto"/>
        <w:rPr>
          <w:sz w:val="20"/>
          <w:szCs w:val="20"/>
          <w:color w:val="auto"/>
        </w:rPr>
      </w:pPr>
      <w:r>
        <w:rPr>
          <w:rFonts w:ascii="Arial" w:cs="Arial" w:eastAsia="Arial" w:hAnsi="Arial"/>
          <w:sz w:val="16"/>
          <w:szCs w:val="16"/>
          <w:color w:val="auto"/>
        </w:rPr>
        <w:t>We have built and continuously refine our automated and integrated, real time systems for global trading, risk management, clearing and cash management, among other purposes. We have also assembled a proprietary connectivity network between us and exchanges around the world. Efficiency and speed in performing prescribed functions are always crucial requirements for our systems, and generally we focus on opportunities in markets that are sufficiently advanced to allow the seamless deployment of our automated strategies, risk management system and core technology.</w:t>
      </w:r>
    </w:p>
    <w:p>
      <w:pPr>
        <w:spacing w:after="0" w:line="192" w:lineRule="exact"/>
        <w:rPr>
          <w:sz w:val="20"/>
          <w:szCs w:val="20"/>
          <w:color w:val="auto"/>
        </w:rPr>
      </w:pPr>
    </w:p>
    <w:p>
      <w:pPr>
        <w:ind w:right="540" w:firstLine="568"/>
        <w:spacing w:after="0" w:line="302" w:lineRule="auto"/>
        <w:rPr>
          <w:sz w:val="20"/>
          <w:szCs w:val="20"/>
          <w:color w:val="auto"/>
        </w:rPr>
      </w:pPr>
      <w:r>
        <w:rPr>
          <w:rFonts w:ascii="Arial" w:cs="Arial" w:eastAsia="Arial" w:hAnsi="Arial"/>
          <w:sz w:val="15"/>
          <w:szCs w:val="15"/>
          <w:color w:val="auto"/>
        </w:rPr>
        <w:t>Our core operations team across our offices in North America, APAC and Europe monitors our systems 24 hours a day, five days a week. This function provides coverage for our full technology platform, including our market data, order routing, transaction processing, and risk management technology modules.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Clients and Products</w:t>
      </w:r>
    </w:p>
    <w:p>
      <w:pPr>
        <w:spacing w:after="0" w:line="219" w:lineRule="exact"/>
        <w:rPr>
          <w:sz w:val="20"/>
          <w:szCs w:val="20"/>
          <w:color w:val="auto"/>
        </w:rPr>
      </w:pPr>
    </w:p>
    <w:p>
      <w:pPr>
        <w:jc w:val="both"/>
        <w:ind w:right="20" w:firstLine="568"/>
        <w:spacing w:after="0" w:line="341" w:lineRule="auto"/>
        <w:rPr>
          <w:sz w:val="20"/>
          <w:szCs w:val="20"/>
          <w:color w:val="auto"/>
        </w:rPr>
      </w:pPr>
      <w:r>
        <w:rPr>
          <w:rFonts w:ascii="Arial" w:cs="Arial" w:eastAsia="Arial" w:hAnsi="Arial"/>
          <w:sz w:val="14"/>
          <w:szCs w:val="14"/>
          <w:color w:val="auto"/>
        </w:rPr>
        <w:t>We offer direct-to-client market making services across multiple asset classes primarily to sell-side clients including global, national and regional broker dealers and banks as well as buy-side clients comprising, among others, mutual funds, pension plans, plan sponsors, hedge funds, trusts and endowments in North America, Europe and Asia.</w:t>
      </w:r>
    </w:p>
    <w:p>
      <w:pPr>
        <w:spacing w:after="0" w:line="134" w:lineRule="exact"/>
        <w:rPr>
          <w:sz w:val="20"/>
          <w:szCs w:val="20"/>
          <w:color w:val="auto"/>
        </w:rPr>
      </w:pPr>
    </w:p>
    <w:p>
      <w:pPr>
        <w:jc w:val="both"/>
        <w:ind w:right="40" w:firstLine="568"/>
        <w:spacing w:after="0" w:line="283" w:lineRule="auto"/>
        <w:rPr>
          <w:sz w:val="20"/>
          <w:szCs w:val="20"/>
          <w:color w:val="auto"/>
        </w:rPr>
      </w:pPr>
      <w:r>
        <w:rPr>
          <w:rFonts w:ascii="Arial" w:cs="Arial" w:eastAsia="Arial" w:hAnsi="Arial"/>
          <w:sz w:val="15"/>
          <w:szCs w:val="15"/>
          <w:color w:val="auto"/>
        </w:rPr>
        <w:t>We generally compete based on execution quality, market coverage, and client service. In direct-to-client electronic market making in U.S. equities, execution quality is generally measured based on factors that include speed of execution, fulfillment rates, opportunity and amounts of price improvement, using metrics defined in SEC Rule 605. In other asset classes, metrics for execution quality are not prescribed by applicable regulation, and in many cases, are client defined.</w:t>
      </w:r>
    </w:p>
    <w:p>
      <w:pPr>
        <w:spacing w:after="0" w:line="171" w:lineRule="exact"/>
        <w:rPr>
          <w:sz w:val="20"/>
          <w:szCs w:val="20"/>
          <w:color w:val="auto"/>
        </w:rPr>
      </w:pPr>
    </w:p>
    <w:p>
      <w:pPr>
        <w:ind w:right="260" w:firstLine="568"/>
        <w:spacing w:after="0" w:line="268" w:lineRule="auto"/>
        <w:rPr>
          <w:sz w:val="20"/>
          <w:szCs w:val="20"/>
          <w:color w:val="auto"/>
        </w:rPr>
      </w:pPr>
      <w:r>
        <w:rPr>
          <w:rFonts w:ascii="Arial" w:cs="Arial" w:eastAsia="Arial" w:hAnsi="Arial"/>
          <w:sz w:val="16"/>
          <w:szCs w:val="16"/>
          <w:color w:val="auto"/>
        </w:rPr>
        <w:t>We continually work to provide clients with high quality, low-cost trade executions that enable them to satisfy their fiduciary obligation to seek the best execution on behalf of their customer. We continually refine our automated order routing models so that we may remain competitive.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Global Equities</w:t>
      </w:r>
    </w:p>
    <w:p>
      <w:pPr>
        <w:spacing w:after="0" w:line="219" w:lineRule="exact"/>
        <w:rPr>
          <w:sz w:val="20"/>
          <w:szCs w:val="20"/>
          <w:color w:val="auto"/>
        </w:rPr>
      </w:pPr>
    </w:p>
    <w:p>
      <w:pPr>
        <w:ind w:right="120" w:firstLine="568"/>
        <w:spacing w:after="0" w:line="254" w:lineRule="auto"/>
        <w:rPr>
          <w:sz w:val="20"/>
          <w:szCs w:val="20"/>
          <w:color w:val="auto"/>
        </w:rPr>
      </w:pPr>
      <w:r>
        <w:rPr>
          <w:rFonts w:ascii="Arial" w:cs="Arial" w:eastAsia="Arial" w:hAnsi="Arial"/>
          <w:sz w:val="16"/>
          <w:szCs w:val="16"/>
          <w:color w:val="auto"/>
        </w:rPr>
        <w:t>We trade over 25,000 listed and over-the-counter ("OTC") securities including, among others, equity related futures and exchange traded products ("ETPs"), on sixteen U.S. Securities and Exchange Commission (“SEC”) registered exchanges and other market centers around the world, including the New York Stock Exchange (“NYSE”), the NASDAQ, NYSE Arca, Cboe BATS, Chicago Stock Exchange, the TSX in Canada, Bovespa in Brazil and BMV in Mexico, as well as other ATSs and more than 20 private liquidity pools.</w:t>
      </w:r>
    </w:p>
    <w:p>
      <w:pPr>
        <w:spacing w:after="0" w:line="192" w:lineRule="exact"/>
        <w:rPr>
          <w:sz w:val="20"/>
          <w:szCs w:val="20"/>
          <w:color w:val="auto"/>
        </w:rPr>
      </w:pPr>
    </w:p>
    <w:p>
      <w:pPr>
        <w:ind w:firstLine="158"/>
        <w:spacing w:after="0" w:line="257" w:lineRule="auto"/>
        <w:rPr>
          <w:sz w:val="20"/>
          <w:szCs w:val="20"/>
          <w:color w:val="auto"/>
        </w:rPr>
      </w:pPr>
      <w:r>
        <w:rPr>
          <w:rFonts w:ascii="Arial" w:cs="Arial" w:eastAsia="Arial" w:hAnsi="Arial"/>
          <w:sz w:val="16"/>
          <w:szCs w:val="16"/>
          <w:color w:val="auto"/>
        </w:rPr>
        <w:t>Our strategy in the Americas and the rest of world is to utilize high speed, efficient connections to all of the registered exchanges and market centers, including the London Stock Exchange, Cboe Europe Equities, Euronext, Six Swiss Exchange, Australian Securities Exchange, Tokyo Stock Exchange and Singapore Exchange, as well as other trading venues and additional pools of liquidity to which we can gain access either directly or through a broker.</w:t>
      </w:r>
    </w:p>
    <w:p>
      <w:pPr>
        <w:spacing w:after="0" w:line="190" w:lineRule="exact"/>
        <w:rPr>
          <w:sz w:val="20"/>
          <w:szCs w:val="20"/>
          <w:color w:val="auto"/>
        </w:rPr>
      </w:pPr>
    </w:p>
    <w:p>
      <w:pPr>
        <w:ind w:firstLine="568"/>
        <w:spacing w:after="0" w:line="257" w:lineRule="auto"/>
        <w:rPr>
          <w:sz w:val="20"/>
          <w:szCs w:val="20"/>
          <w:color w:val="auto"/>
        </w:rPr>
      </w:pPr>
      <w:r>
        <w:rPr>
          <w:rFonts w:ascii="Arial" w:cs="Arial" w:eastAsia="Arial" w:hAnsi="Arial"/>
          <w:sz w:val="16"/>
          <w:szCs w:val="16"/>
          <w:color w:val="auto"/>
        </w:rPr>
        <w:t>As ETPs and other similar products have proliferated both domestically and internationally, demand has increased for trading the underlying assets or hedging such funds. Our technology has enabled us to expand into providing liquidity to this growing area by making markets across these assets in a variety of trading venues globally. We are authorized participants, and can create and/or redeem ETPs.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Global Fixed Income, Currencies and Commodities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FICC</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Options, and Other</w:t>
      </w:r>
    </w:p>
    <w:p>
      <w:pPr>
        <w:spacing w:after="0" w:line="223" w:lineRule="exact"/>
        <w:rPr>
          <w:sz w:val="20"/>
          <w:szCs w:val="20"/>
          <w:color w:val="auto"/>
        </w:rPr>
      </w:pPr>
    </w:p>
    <w:p>
      <w:pPr>
        <w:jc w:val="both"/>
        <w:ind w:firstLine="568"/>
        <w:spacing w:after="0" w:line="257" w:lineRule="auto"/>
        <w:rPr>
          <w:sz w:val="20"/>
          <w:szCs w:val="20"/>
          <w:color w:val="auto"/>
        </w:rPr>
      </w:pPr>
      <w:r>
        <w:rPr>
          <w:rFonts w:ascii="Arial" w:cs="Arial" w:eastAsia="Arial" w:hAnsi="Arial"/>
          <w:sz w:val="16"/>
          <w:szCs w:val="16"/>
          <w:color w:val="auto"/>
        </w:rPr>
        <w:t>Our Fixed Income market making includes our activity in U.S. Treasury securities and other sovereign debt, corporate bonds, and other debt instruments. We trade these products on a variety of specialized exchanges, direct to counterparties, and other trading venues, including BrokerTec, eSpeed, DealerWeb, Bloomberg, Tradeweb, MarketAxess, and BGC’s Fenics UTS.</w:t>
      </w:r>
    </w:p>
    <w:p>
      <w:pPr>
        <w:spacing w:after="0" w:line="190" w:lineRule="exact"/>
        <w:rPr>
          <w:sz w:val="20"/>
          <w:szCs w:val="20"/>
          <w:color w:val="auto"/>
        </w:rPr>
      </w:pPr>
    </w:p>
    <w:p>
      <w:pPr>
        <w:ind w:right="120" w:firstLine="568"/>
        <w:spacing w:after="0" w:line="257" w:lineRule="auto"/>
        <w:rPr>
          <w:sz w:val="20"/>
          <w:szCs w:val="20"/>
          <w:color w:val="auto"/>
        </w:rPr>
      </w:pPr>
      <w:r>
        <w:rPr>
          <w:rFonts w:ascii="Arial" w:cs="Arial" w:eastAsia="Arial" w:hAnsi="Arial"/>
          <w:sz w:val="16"/>
          <w:szCs w:val="16"/>
          <w:color w:val="auto"/>
        </w:rPr>
        <w:t>Our Currencies market making, including spot, futures and forwards, comprises our activity in over 80 currencies, including deliverable, non-deliverable, fiat, and digital currencies, across dozens of venues and direct to counterparties. We are a leading participant in the major foreign exchange venues, including LSEG, Currenex, Cboe FX and CME.</w:t>
      </w:r>
    </w:p>
    <w:p>
      <w:pPr>
        <w:spacing w:after="0" w:line="190" w:lineRule="exact"/>
        <w:rPr>
          <w:sz w:val="20"/>
          <w:szCs w:val="20"/>
          <w:color w:val="auto"/>
        </w:rPr>
      </w:pPr>
    </w:p>
    <w:p>
      <w:pPr>
        <w:ind w:right="120" w:firstLine="568"/>
        <w:spacing w:after="0" w:line="268" w:lineRule="auto"/>
        <w:rPr>
          <w:sz w:val="20"/>
          <w:szCs w:val="20"/>
          <w:color w:val="auto"/>
        </w:rPr>
      </w:pPr>
      <w:r>
        <w:rPr>
          <w:rFonts w:ascii="Arial" w:cs="Arial" w:eastAsia="Arial" w:hAnsi="Arial"/>
          <w:sz w:val="16"/>
          <w:szCs w:val="16"/>
          <w:color w:val="auto"/>
        </w:rPr>
        <w:t>Our Commodities market making takes place on the CME, ICE, and Nasdaq Futures in crude oil, natural gas, heating oil, and gasoline futures. We trade approximately 100 energy products and futures on the ICE, CME, and TOCOM. We also</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802"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color w:val="auto"/>
        </w:rPr>
        <w:t>actively trade precious metals, including gold, silver, platinum and palladium, as well as base metals such as aluminum and copper.</w:t>
      </w:r>
    </w:p>
    <w:p>
      <w:pPr>
        <w:spacing w:after="0" w:line="219" w:lineRule="exact"/>
        <w:rPr>
          <w:sz w:val="20"/>
          <w:szCs w:val="20"/>
          <w:color w:val="auto"/>
        </w:rPr>
      </w:pPr>
    </w:p>
    <w:p>
      <w:pPr>
        <w:ind w:right="40" w:firstLine="568"/>
        <w:spacing w:after="0" w:line="242" w:lineRule="auto"/>
        <w:rPr>
          <w:sz w:val="20"/>
          <w:szCs w:val="20"/>
          <w:color w:val="auto"/>
        </w:rPr>
      </w:pPr>
      <w:r>
        <w:rPr>
          <w:rFonts w:ascii="Arial" w:cs="Arial" w:eastAsia="Arial" w:hAnsi="Arial"/>
          <w:sz w:val="16"/>
          <w:szCs w:val="16"/>
          <w:color w:val="auto"/>
        </w:rPr>
        <w:t>Our Options and Other market making includes our activity on all of the U.S. options exchanges of which we are a member (i.e., Cboe, ISE and NYSE Arca) and on the U.S. futures exchanges, as well as our activity in cryptocurrencies. Our cryptocurrency market making includes spot, perpetuals, futures, and ETFs and takes place across eight venues and exchanges.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Execution Services</w:t>
      </w:r>
    </w:p>
    <w:p>
      <w:pPr>
        <w:spacing w:after="0" w:line="223" w:lineRule="exact"/>
        <w:rPr>
          <w:sz w:val="20"/>
          <w:szCs w:val="20"/>
          <w:color w:val="auto"/>
        </w:rPr>
      </w:pPr>
    </w:p>
    <w:p>
      <w:pPr>
        <w:jc w:val="both"/>
        <w:ind w:right="620" w:firstLine="568"/>
        <w:spacing w:after="0" w:line="257" w:lineRule="auto"/>
        <w:rPr>
          <w:sz w:val="20"/>
          <w:szCs w:val="20"/>
          <w:color w:val="auto"/>
        </w:rPr>
      </w:pPr>
      <w:r>
        <w:rPr>
          <w:rFonts w:ascii="Arial" w:cs="Arial" w:eastAsia="Arial" w:hAnsi="Arial"/>
          <w:sz w:val="16"/>
          <w:szCs w:val="16"/>
          <w:color w:val="auto"/>
        </w:rPr>
        <w:t xml:space="preserve">We offer agency execution services and trading venues that provide transparent trading in global equities, ETFs, fixed income, currencies, and commodities </w:t>
      </w:r>
      <w:r>
        <w:rPr>
          <w:rFonts w:ascii="Arial" w:cs="Arial" w:eastAsia="Arial" w:hAnsi="Arial"/>
          <w:sz w:val="16"/>
          <w:szCs w:val="16"/>
          <w:color w:val="222222"/>
        </w:rPr>
        <w:t>to</w:t>
      </w:r>
      <w:r>
        <w:rPr>
          <w:rFonts w:ascii="Arial" w:cs="Arial" w:eastAsia="Arial" w:hAnsi="Arial"/>
          <w:sz w:val="16"/>
          <w:szCs w:val="16"/>
          <w:color w:val="auto"/>
        </w:rPr>
        <w:t xml:space="preserve"> </w:t>
      </w:r>
      <w:r>
        <w:rPr>
          <w:rFonts w:ascii="Arial" w:cs="Arial" w:eastAsia="Arial" w:hAnsi="Arial"/>
          <w:sz w:val="16"/>
          <w:szCs w:val="16"/>
          <w:color w:val="222222"/>
        </w:rPr>
        <w:t xml:space="preserve">institutions, banks and broker dealers. We generally earn commissions </w:t>
      </w:r>
      <w:r>
        <w:rPr>
          <w:rFonts w:ascii="Arial" w:cs="Arial" w:eastAsia="Arial" w:hAnsi="Arial"/>
          <w:sz w:val="16"/>
          <w:szCs w:val="16"/>
          <w:color w:val="000000"/>
        </w:rPr>
        <w:t>when transacting as an agent for our clients.</w:t>
      </w:r>
      <w:r>
        <w:rPr>
          <w:rFonts w:ascii="Arial" w:cs="Arial" w:eastAsia="Arial" w:hAnsi="Arial"/>
          <w:sz w:val="16"/>
          <w:szCs w:val="16"/>
          <w:color w:val="222222"/>
        </w:rPr>
        <w:t xml:space="preserve"> Within the Execution Services segment, we offer the following categories of products and services:</w:t>
      </w:r>
    </w:p>
    <w:p>
      <w:pPr>
        <w:spacing w:after="0" w:line="190" w:lineRule="exact"/>
        <w:rPr>
          <w:sz w:val="20"/>
          <w:szCs w:val="20"/>
          <w:color w:val="auto"/>
        </w:rPr>
      </w:pPr>
    </w:p>
    <w:p>
      <w:pPr>
        <w:ind w:left="560" w:hanging="281"/>
        <w:spacing w:after="0"/>
        <w:tabs>
          <w:tab w:leader="none" w:pos="5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Agency-based, execution-only trading, done through a variety of access points including:</w:t>
      </w:r>
    </w:p>
    <w:p>
      <w:pPr>
        <w:spacing w:after="0" w:line="16" w:lineRule="exact"/>
        <w:rPr>
          <w:rFonts w:ascii="Arial" w:cs="Arial" w:eastAsia="Arial" w:hAnsi="Arial"/>
          <w:sz w:val="16"/>
          <w:szCs w:val="16"/>
          <w:color w:val="auto"/>
        </w:rPr>
      </w:pPr>
    </w:p>
    <w:p>
      <w:pPr>
        <w:ind w:left="1120" w:hanging="273"/>
        <w:spacing w:after="0"/>
        <w:tabs>
          <w:tab w:leader="none" w:pos="1120" w:val="left"/>
        </w:tabs>
        <w:numPr>
          <w:ilvl w:val="1"/>
          <w:numId w:val="5"/>
        </w:numPr>
        <w:rPr>
          <w:rFonts w:ascii="Arial" w:cs="Arial" w:eastAsia="Arial" w:hAnsi="Arial"/>
          <w:sz w:val="16"/>
          <w:szCs w:val="16"/>
          <w:color w:val="auto"/>
        </w:rPr>
      </w:pPr>
      <w:r>
        <w:rPr>
          <w:rFonts w:ascii="Arial" w:cs="Arial" w:eastAsia="Arial" w:hAnsi="Arial"/>
          <w:sz w:val="16"/>
          <w:szCs w:val="16"/>
          <w:color w:val="auto"/>
        </w:rPr>
        <w:t>algorithmic trading and order routing;</w:t>
      </w:r>
    </w:p>
    <w:p>
      <w:pPr>
        <w:spacing w:after="0" w:line="5" w:lineRule="exact"/>
        <w:rPr>
          <w:rFonts w:ascii="Arial" w:cs="Arial" w:eastAsia="Arial" w:hAnsi="Arial"/>
          <w:sz w:val="16"/>
          <w:szCs w:val="16"/>
          <w:color w:val="auto"/>
        </w:rPr>
      </w:pPr>
    </w:p>
    <w:p>
      <w:pPr>
        <w:ind w:left="1140" w:right="400" w:hanging="293"/>
        <w:spacing w:after="0" w:line="247" w:lineRule="auto"/>
        <w:tabs>
          <w:tab w:leader="none" w:pos="1137" w:val="left"/>
        </w:tabs>
        <w:numPr>
          <w:ilvl w:val="1"/>
          <w:numId w:val="5"/>
        </w:numPr>
        <w:rPr>
          <w:rFonts w:ascii="Arial" w:cs="Arial" w:eastAsia="Arial" w:hAnsi="Arial"/>
          <w:sz w:val="16"/>
          <w:szCs w:val="16"/>
          <w:color w:val="auto"/>
        </w:rPr>
      </w:pPr>
      <w:r>
        <w:rPr>
          <w:rFonts w:ascii="Arial" w:cs="Arial" w:eastAsia="Arial" w:hAnsi="Arial"/>
          <w:sz w:val="16"/>
          <w:szCs w:val="16"/>
          <w:color w:val="auto"/>
        </w:rPr>
        <w:t>institutional sales traders who offer portfolio trading and single stock sales trading providing execution expertise for program, block and riskless principal trades in global equities and ETFs; and</w:t>
      </w:r>
    </w:p>
    <w:p>
      <w:pPr>
        <w:ind w:left="1120" w:hanging="273"/>
        <w:spacing w:after="0"/>
        <w:tabs>
          <w:tab w:leader="none" w:pos="1120" w:val="left"/>
        </w:tabs>
        <w:numPr>
          <w:ilvl w:val="1"/>
          <w:numId w:val="5"/>
        </w:numPr>
        <w:rPr>
          <w:rFonts w:ascii="Arial" w:cs="Arial" w:eastAsia="Arial" w:hAnsi="Arial"/>
          <w:sz w:val="16"/>
          <w:szCs w:val="16"/>
          <w:color w:val="auto"/>
        </w:rPr>
      </w:pPr>
      <w:r>
        <w:rPr>
          <w:rFonts w:ascii="Arial" w:cs="Arial" w:eastAsia="Arial" w:hAnsi="Arial"/>
          <w:sz w:val="16"/>
          <w:szCs w:val="16"/>
          <w:color w:val="auto"/>
        </w:rPr>
        <w:t>matching of client conditional orders via POSIT Alert and in our ATSs, including Virtu MatchIt and POSIT.</w:t>
      </w:r>
    </w:p>
    <w:p>
      <w:pPr>
        <w:spacing w:after="0" w:line="207" w:lineRule="exact"/>
        <w:rPr>
          <w:rFonts w:ascii="Arial" w:cs="Arial" w:eastAsia="Arial" w:hAnsi="Arial"/>
          <w:sz w:val="16"/>
          <w:szCs w:val="16"/>
          <w:color w:val="auto"/>
        </w:rPr>
      </w:pPr>
    </w:p>
    <w:p>
      <w:pPr>
        <w:ind w:left="560" w:right="600" w:hanging="281"/>
        <w:spacing w:after="0" w:line="268" w:lineRule="auto"/>
        <w:tabs>
          <w:tab w:leader="none" w:pos="556" w:val="left"/>
        </w:tabs>
        <w:numPr>
          <w:ilvl w:val="0"/>
          <w:numId w:val="5"/>
        </w:numPr>
        <w:rPr>
          <w:rFonts w:ascii="Arial" w:cs="Arial" w:eastAsia="Arial" w:hAnsi="Arial"/>
          <w:sz w:val="16"/>
          <w:szCs w:val="16"/>
          <w:color w:val="auto"/>
        </w:rPr>
      </w:pPr>
      <w:r>
        <w:rPr>
          <w:rFonts w:ascii="Arial" w:cs="Arial" w:eastAsia="Arial" w:hAnsi="Arial"/>
          <w:sz w:val="16"/>
          <w:szCs w:val="16"/>
          <w:color w:val="auto"/>
        </w:rPr>
        <w:t>Workflow Technology, and our integrated, broker-neutral trading tools delivered across the globe including order and execution management systems and order management software applications and network connectivity; and</w:t>
      </w:r>
    </w:p>
    <w:p>
      <w:pPr>
        <w:spacing w:after="0" w:line="181" w:lineRule="exact"/>
        <w:rPr>
          <w:rFonts w:ascii="Arial" w:cs="Arial" w:eastAsia="Arial" w:hAnsi="Arial"/>
          <w:sz w:val="16"/>
          <w:szCs w:val="16"/>
          <w:color w:val="auto"/>
        </w:rPr>
      </w:pPr>
    </w:p>
    <w:p>
      <w:pPr>
        <w:ind w:left="560" w:hanging="281"/>
        <w:spacing w:after="0"/>
        <w:tabs>
          <w:tab w:leader="none" w:pos="5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Trading Analytics, including</w:t>
      </w:r>
    </w:p>
    <w:p>
      <w:pPr>
        <w:spacing w:after="0" w:line="16" w:lineRule="exact"/>
        <w:rPr>
          <w:rFonts w:ascii="Arial" w:cs="Arial" w:eastAsia="Arial" w:hAnsi="Arial"/>
          <w:sz w:val="16"/>
          <w:szCs w:val="16"/>
          <w:color w:val="auto"/>
        </w:rPr>
      </w:pPr>
    </w:p>
    <w:p>
      <w:pPr>
        <w:ind w:left="1120" w:hanging="273"/>
        <w:spacing w:after="0"/>
        <w:tabs>
          <w:tab w:leader="none" w:pos="1120" w:val="left"/>
        </w:tabs>
        <w:numPr>
          <w:ilvl w:val="1"/>
          <w:numId w:val="5"/>
        </w:numPr>
        <w:rPr>
          <w:rFonts w:ascii="Arial" w:cs="Arial" w:eastAsia="Arial" w:hAnsi="Arial"/>
          <w:sz w:val="16"/>
          <w:szCs w:val="16"/>
          <w:color w:val="auto"/>
        </w:rPr>
      </w:pPr>
      <w:r>
        <w:rPr>
          <w:rFonts w:ascii="Arial" w:cs="Arial" w:eastAsia="Arial" w:hAnsi="Arial"/>
          <w:sz w:val="16"/>
          <w:szCs w:val="16"/>
          <w:color w:val="auto"/>
        </w:rPr>
        <w:t>tools enabling portfolio managers and traders to improve pre-trade and real-time execution performance and post-trade analysis;</w:t>
      </w:r>
    </w:p>
    <w:p>
      <w:pPr>
        <w:spacing w:after="0" w:line="5" w:lineRule="exact"/>
        <w:rPr>
          <w:rFonts w:ascii="Arial" w:cs="Arial" w:eastAsia="Arial" w:hAnsi="Arial"/>
          <w:sz w:val="16"/>
          <w:szCs w:val="16"/>
          <w:color w:val="auto"/>
        </w:rPr>
      </w:pPr>
    </w:p>
    <w:p>
      <w:pPr>
        <w:ind w:left="1120" w:hanging="273"/>
        <w:spacing w:after="0"/>
        <w:tabs>
          <w:tab w:leader="none" w:pos="1120" w:val="left"/>
        </w:tabs>
        <w:numPr>
          <w:ilvl w:val="1"/>
          <w:numId w:val="5"/>
        </w:numPr>
        <w:rPr>
          <w:rFonts w:ascii="Arial" w:cs="Arial" w:eastAsia="Arial" w:hAnsi="Arial"/>
          <w:sz w:val="16"/>
          <w:szCs w:val="16"/>
          <w:color w:val="auto"/>
        </w:rPr>
      </w:pPr>
      <w:r>
        <w:rPr>
          <w:rFonts w:ascii="Arial" w:cs="Arial" w:eastAsia="Arial" w:hAnsi="Arial"/>
          <w:sz w:val="16"/>
          <w:szCs w:val="16"/>
          <w:color w:val="auto"/>
        </w:rPr>
        <w:t>portfolio construction and optimization decisions; and</w:t>
      </w:r>
    </w:p>
    <w:p>
      <w:pPr>
        <w:spacing w:after="0" w:line="5" w:lineRule="exact"/>
        <w:rPr>
          <w:rFonts w:ascii="Arial" w:cs="Arial" w:eastAsia="Arial" w:hAnsi="Arial"/>
          <w:sz w:val="16"/>
          <w:szCs w:val="16"/>
          <w:color w:val="auto"/>
        </w:rPr>
      </w:pPr>
    </w:p>
    <w:p>
      <w:pPr>
        <w:ind w:left="1120" w:hanging="273"/>
        <w:spacing w:after="0"/>
        <w:tabs>
          <w:tab w:leader="none" w:pos="1120" w:val="left"/>
        </w:tabs>
        <w:numPr>
          <w:ilvl w:val="1"/>
          <w:numId w:val="5"/>
        </w:numPr>
        <w:rPr>
          <w:rFonts w:ascii="Arial" w:cs="Arial" w:eastAsia="Arial" w:hAnsi="Arial"/>
          <w:sz w:val="16"/>
          <w:szCs w:val="16"/>
          <w:color w:val="auto"/>
        </w:rPr>
      </w:pPr>
      <w:r>
        <w:rPr>
          <w:rFonts w:ascii="Arial" w:cs="Arial" w:eastAsia="Arial" w:hAnsi="Arial"/>
          <w:sz w:val="16"/>
          <w:szCs w:val="16"/>
          <w:color w:val="auto"/>
        </w:rPr>
        <w:t>securities valuation.</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22222"/>
        </w:rPr>
        <w:t>Clients and Products</w:t>
      </w:r>
    </w:p>
    <w:p>
      <w:pPr>
        <w:spacing w:after="0" w:line="219" w:lineRule="exact"/>
        <w:rPr>
          <w:sz w:val="20"/>
          <w:szCs w:val="20"/>
          <w:color w:val="auto"/>
        </w:rPr>
      </w:pPr>
    </w:p>
    <w:p>
      <w:pPr>
        <w:jc w:val="both"/>
        <w:ind w:firstLine="568"/>
        <w:spacing w:after="0" w:line="257" w:lineRule="auto"/>
        <w:rPr>
          <w:sz w:val="20"/>
          <w:szCs w:val="20"/>
          <w:color w:val="auto"/>
        </w:rPr>
      </w:pPr>
      <w:r>
        <w:rPr>
          <w:rFonts w:ascii="Arial" w:cs="Arial" w:eastAsia="Arial" w:hAnsi="Arial"/>
          <w:sz w:val="16"/>
          <w:szCs w:val="16"/>
          <w:color w:val="222222"/>
        </w:rPr>
        <w:t>We offer agency execution services across multiple asset classes to buy-side clients including mutual funds, pension plans, plan sponsors, hedge funds, trusts and endowments and sell-side clients including global, national and regional broker dealers and banks in North America, Europe and Asia. In 2021, our Execution Services segment did not have any client that accounted for more than 10% of our total commissions earned.</w:t>
      </w:r>
    </w:p>
    <w:p>
      <w:pPr>
        <w:spacing w:after="0" w:line="190" w:lineRule="exact"/>
        <w:rPr>
          <w:sz w:val="20"/>
          <w:szCs w:val="20"/>
          <w:color w:val="auto"/>
        </w:rPr>
      </w:pPr>
    </w:p>
    <w:p>
      <w:pPr>
        <w:ind w:right="20" w:firstLine="568"/>
        <w:spacing w:after="0" w:line="273" w:lineRule="auto"/>
        <w:rPr>
          <w:sz w:val="20"/>
          <w:szCs w:val="20"/>
          <w:color w:val="auto"/>
        </w:rPr>
      </w:pPr>
      <w:r>
        <w:rPr>
          <w:rFonts w:ascii="Arial" w:cs="Arial" w:eastAsia="Arial" w:hAnsi="Arial"/>
          <w:sz w:val="15"/>
          <w:szCs w:val="15"/>
          <w:color w:val="222222"/>
        </w:rPr>
        <w:t xml:space="preserve">Clients may access a broad range of products and services that includes electronic execution services in global equities via algorithmic trading, order routing and an execution management system (“EMS”) as well as internal crossing through our registered ATSs. Our ATSs provide clients with important sources of non-displayed liquidity. We also offer clients voice access to global markets including sales and trading for equities, ETFs and options. Certain broker-dealer affiliates </w:t>
      </w:r>
      <w:r>
        <w:rPr>
          <w:rFonts w:ascii="Arial" w:cs="Arial" w:eastAsia="Arial" w:hAnsi="Arial"/>
          <w:sz w:val="15"/>
          <w:szCs w:val="15"/>
          <w:color w:val="000000"/>
        </w:rPr>
        <w:t>also engage in foreign exchange</w:t>
      </w:r>
      <w:r>
        <w:rPr>
          <w:rFonts w:ascii="Arial" w:cs="Arial" w:eastAsia="Arial" w:hAnsi="Arial"/>
          <w:sz w:val="15"/>
          <w:szCs w:val="15"/>
          <w:color w:val="222222"/>
        </w:rPr>
        <w:t xml:space="preserve"> </w:t>
      </w:r>
      <w:r>
        <w:rPr>
          <w:rFonts w:ascii="Arial" w:cs="Arial" w:eastAsia="Arial" w:hAnsi="Arial"/>
          <w:sz w:val="15"/>
          <w:szCs w:val="15"/>
          <w:color w:val="000000"/>
        </w:rPr>
        <w:t xml:space="preserve">trading to facilitate equity trades by clients in different currencies as well as other client foreign exchange trades unrelated to equity trades. </w:t>
      </w:r>
      <w:r>
        <w:rPr>
          <w:rFonts w:ascii="Arial" w:cs="Arial" w:eastAsia="Arial" w:hAnsi="Arial"/>
          <w:sz w:val="15"/>
          <w:szCs w:val="15"/>
          <w:color w:val="222222"/>
        </w:rPr>
        <w:t>We handle large complex trades,</w:t>
      </w:r>
      <w:r>
        <w:rPr>
          <w:rFonts w:ascii="Arial" w:cs="Arial" w:eastAsia="Arial" w:hAnsi="Arial"/>
          <w:sz w:val="15"/>
          <w:szCs w:val="15"/>
          <w:color w:val="000000"/>
        </w:rPr>
        <w:t xml:space="preserve"> </w:t>
      </w:r>
      <w:r>
        <w:rPr>
          <w:rFonts w:ascii="Arial" w:cs="Arial" w:eastAsia="Arial" w:hAnsi="Arial"/>
          <w:sz w:val="15"/>
          <w:szCs w:val="15"/>
          <w:color w:val="222222"/>
        </w:rPr>
        <w:t>accessing liquidity from our order flow and other sources. We provide soft dollar and commission recapture programs.</w:t>
      </w:r>
    </w:p>
    <w:p>
      <w:pPr>
        <w:spacing w:after="0" w:line="179" w:lineRule="exact"/>
        <w:rPr>
          <w:sz w:val="20"/>
          <w:szCs w:val="20"/>
          <w:color w:val="auto"/>
        </w:rPr>
      </w:pPr>
    </w:p>
    <w:p>
      <w:pPr>
        <w:ind w:right="160" w:firstLine="568"/>
        <w:spacing w:after="0" w:line="256" w:lineRule="auto"/>
        <w:rPr>
          <w:sz w:val="20"/>
          <w:szCs w:val="20"/>
          <w:color w:val="auto"/>
        </w:rPr>
      </w:pPr>
      <w:r>
        <w:rPr>
          <w:rFonts w:ascii="Arial" w:cs="Arial" w:eastAsia="Arial" w:hAnsi="Arial"/>
          <w:sz w:val="15"/>
          <w:szCs w:val="15"/>
          <w:color w:val="222222"/>
        </w:rPr>
        <w:t xml:space="preserve">In this segment, we generally compete on trading technology, execution performance, costs, client service, market coverage, liquidity, platform capabilities and anonymity. We draw on in-house developed trading technologies to meet client criteria for execution quality and for managing trading costs. As a result, we are able to attract a diverse array of clients in terms of strategy, size and style. We also provide algorithmic trading and order routing that combine technology, access to our differentiated liquidity and support from experienced professionals to help clients execute trades. </w:t>
      </w:r>
      <w:r>
        <w:rPr>
          <w:rFonts w:ascii="Arial" w:cs="Arial" w:eastAsia="Arial" w:hAnsi="Arial"/>
          <w:sz w:val="15"/>
          <w:szCs w:val="15"/>
          <w:color w:val="000000"/>
        </w:rPr>
        <w:t>The segment also includes the results of our capital markets business, in which we act as an agent for</w:t>
      </w:r>
      <w:r>
        <w:rPr>
          <w:rFonts w:ascii="Arial" w:cs="Arial" w:eastAsia="Arial" w:hAnsi="Arial"/>
          <w:sz w:val="15"/>
          <w:szCs w:val="15"/>
          <w:color w:val="222222"/>
        </w:rPr>
        <w:t xml:space="preserve"> </w:t>
      </w:r>
      <w:r>
        <w:rPr>
          <w:rFonts w:ascii="Arial" w:cs="Arial" w:eastAsia="Arial" w:hAnsi="Arial"/>
          <w:sz w:val="15"/>
          <w:szCs w:val="15"/>
          <w:color w:val="000000"/>
        </w:rPr>
        <w:t>issuers in connection with at-the-market offerings and buyback programs.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22222"/>
        </w:rPr>
        <w:t>Agency-based, Execution-only Trading</w:t>
      </w:r>
    </w:p>
    <w:p>
      <w:pPr>
        <w:spacing w:after="0" w:line="195" w:lineRule="exact"/>
        <w:rPr>
          <w:sz w:val="20"/>
          <w:szCs w:val="20"/>
          <w:color w:val="auto"/>
        </w:rPr>
      </w:pPr>
    </w:p>
    <w:p>
      <w:pPr>
        <w:jc w:val="both"/>
        <w:ind w:right="40" w:firstLine="568"/>
        <w:spacing w:after="0" w:line="193" w:lineRule="exact"/>
        <w:rPr>
          <w:sz w:val="20"/>
          <w:szCs w:val="20"/>
          <w:color w:val="auto"/>
        </w:rPr>
      </w:pPr>
      <w:r>
        <w:rPr>
          <w:rFonts w:ascii="Arial" w:cs="Arial" w:eastAsia="Arial" w:hAnsi="Arial"/>
          <w:sz w:val="15"/>
          <w:szCs w:val="15"/>
          <w:color w:val="222222"/>
        </w:rPr>
        <w:t xml:space="preserve">Our clients may access a broad range of products and services that includes electronic execution services in global equities via algorithmic trading, order routing and an EMS as well as internal crossing through our registered ATSs. </w:t>
      </w:r>
      <w:r>
        <w:rPr>
          <w:rFonts w:ascii="Arial" w:cs="Arial" w:eastAsia="Arial" w:hAnsi="Arial"/>
          <w:sz w:val="15"/>
          <w:szCs w:val="15"/>
          <w:color w:val="000000"/>
        </w:rPr>
        <w:t>Our algorithms and order routers help portfolio managers and traders to trade orders quickly, comprehensively and</w:t>
      </w:r>
      <w:r>
        <w:rPr>
          <w:rFonts w:ascii="Arial" w:cs="Arial" w:eastAsia="Arial" w:hAnsi="Arial"/>
          <w:sz w:val="15"/>
          <w:szCs w:val="15"/>
          <w:color w:val="222222"/>
        </w:rPr>
        <w:t xml:space="preserve"> </w:t>
      </w:r>
      <w:r>
        <w:rPr>
          <w:rFonts w:ascii="Arial" w:cs="Arial" w:eastAsia="Arial" w:hAnsi="Arial"/>
          <w:sz w:val="15"/>
          <w:szCs w:val="15"/>
          <w:color w:val="000000"/>
        </w:rPr>
        <w:t>cost</w:t>
      </w:r>
      <w:r>
        <w:rPr>
          <w:rFonts w:ascii="MS PGothic" w:cs="MS PGothic" w:eastAsia="MS PGothic" w:hAnsi="MS PGothic"/>
          <w:sz w:val="15"/>
          <w:szCs w:val="15"/>
          <w:color w:val="000000"/>
        </w:rPr>
        <w:t>‑</w:t>
      </w:r>
      <w:r>
        <w:rPr>
          <w:rFonts w:ascii="Arial" w:cs="Arial" w:eastAsia="Arial" w:hAnsi="Arial"/>
          <w:sz w:val="15"/>
          <w:szCs w:val="15"/>
          <w:color w:val="000000"/>
        </w:rPr>
        <w:t>efficiently from our EMS or our Order Management System (“OMS”) and most third</w:t>
      </w:r>
      <w:r>
        <w:rPr>
          <w:rFonts w:ascii="MS PGothic" w:cs="MS PGothic" w:eastAsia="MS PGothic" w:hAnsi="MS PGothic"/>
          <w:sz w:val="15"/>
          <w:szCs w:val="15"/>
          <w:color w:val="000000"/>
        </w:rPr>
        <w:t>‑</w:t>
      </w:r>
      <w:r>
        <w:rPr>
          <w:rFonts w:ascii="Arial" w:cs="Arial" w:eastAsia="Arial" w:hAnsi="Arial"/>
          <w:sz w:val="15"/>
          <w:szCs w:val="15"/>
          <w:color w:val="000000"/>
        </w:rPr>
        <w:t>party trading platforms. Our institutional sales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802" w:right="339" w:bottom="1440" w:gutter="0" w:footer="0" w:header="0"/>
        </w:sectPr>
      </w:pPr>
    </w:p>
    <w:bookmarkStart w:id="7" w:name="page8"/>
    <w:bookmarkEnd w:id="7"/>
    <w:p>
      <w:pPr>
        <w:spacing w:after="0"/>
        <w:rPr>
          <w:sz w:val="20"/>
          <w:szCs w:val="20"/>
          <w:color w:val="auto"/>
        </w:rPr>
      </w:pPr>
      <w:r>
        <w:rPr>
          <w:rFonts w:ascii="Arial" w:cs="Arial" w:eastAsia="Arial" w:hAnsi="Arial"/>
          <w:sz w:val="14"/>
          <w:szCs w:val="14"/>
          <w:color w:val="auto"/>
        </w:rPr>
        <w:t>traders offer portfolio trading and single stock sales trading which provides execution expertise for program, block and riskless principal trades in global equities and ETFs.</w:t>
      </w:r>
    </w:p>
    <w:p>
      <w:pPr>
        <w:spacing w:after="0" w:line="242" w:lineRule="exact"/>
        <w:rPr>
          <w:sz w:val="20"/>
          <w:szCs w:val="20"/>
          <w:color w:val="auto"/>
        </w:rPr>
      </w:pPr>
    </w:p>
    <w:p>
      <w:pPr>
        <w:ind w:firstLine="568"/>
        <w:spacing w:after="0" w:line="192" w:lineRule="exact"/>
        <w:rPr>
          <w:sz w:val="20"/>
          <w:szCs w:val="20"/>
          <w:color w:val="auto"/>
        </w:rPr>
      </w:pPr>
      <w:r>
        <w:rPr>
          <w:rFonts w:ascii="Arial" w:cs="Arial" w:eastAsia="Arial" w:hAnsi="Arial"/>
          <w:sz w:val="15"/>
          <w:szCs w:val="15"/>
          <w:color w:val="auto"/>
        </w:rPr>
        <w:t>We provide matching of client orders in our ATSs, including Virtu MatchIt, POSIT ATS, and POSIT MTF. MatchIt provides two crossing sessions, a Main Session and a Conditional Session. The Main Session provides continuous crossing with price/time priority and is available to our subsidiaries and external subscribers. The Conditional Session accepts conditional orders with price/size priority, and is only available to our subsidiaries. POSIT provides continuous crossing of non</w:t>
      </w:r>
      <w:r>
        <w:rPr>
          <w:rFonts w:ascii="MS PGothic" w:cs="MS PGothic" w:eastAsia="MS PGothic" w:hAnsi="MS PGothic"/>
          <w:sz w:val="15"/>
          <w:szCs w:val="15"/>
          <w:color w:val="auto"/>
        </w:rPr>
        <w:t>‑</w:t>
      </w:r>
      <w:r>
        <w:rPr>
          <w:rFonts w:ascii="Arial" w:cs="Arial" w:eastAsia="Arial" w:hAnsi="Arial"/>
          <w:sz w:val="15"/>
          <w:szCs w:val="15"/>
          <w:color w:val="auto"/>
        </w:rPr>
        <w:t>displayed (or dark) equity orders and price improvement opportunities within the published best bid and offer price. POSIT Alert is a block crossing mechanism within POSIT. POSIT Alert unites liquidity sourced directly from trader OMSs with conditional orders from electronic participants for matching using a conditional order process. In addition, POSIT MTF Auction provides frequent batch auctions which display indicative size/price prior to trade execution.</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22222"/>
        </w:rPr>
        <w:t>Workflow Technology</w:t>
      </w:r>
    </w:p>
    <w:p>
      <w:pPr>
        <w:spacing w:after="0" w:line="219" w:lineRule="exact"/>
        <w:rPr>
          <w:sz w:val="20"/>
          <w:szCs w:val="20"/>
          <w:color w:val="auto"/>
        </w:rPr>
      </w:pPr>
    </w:p>
    <w:p>
      <w:pPr>
        <w:ind w:right="20" w:firstLine="568"/>
        <w:spacing w:after="0" w:line="191" w:lineRule="exact"/>
        <w:rPr>
          <w:sz w:val="20"/>
          <w:szCs w:val="20"/>
          <w:color w:val="auto"/>
        </w:rPr>
      </w:pPr>
      <w:r>
        <w:rPr>
          <w:rFonts w:ascii="Arial" w:cs="Arial" w:eastAsia="Arial" w:hAnsi="Arial"/>
          <w:sz w:val="15"/>
          <w:szCs w:val="15"/>
          <w:color w:val="auto"/>
        </w:rPr>
        <w:t>Our workflow technology tools are designed to meet the needs of a broad range of trading styles. As an example, Triton Valor, the most recent release of our multi</w:t>
      </w:r>
      <w:r>
        <w:rPr>
          <w:rFonts w:ascii="MS PGothic" w:cs="MS PGothic" w:eastAsia="MS PGothic" w:hAnsi="MS PGothic"/>
          <w:sz w:val="15"/>
          <w:szCs w:val="15"/>
          <w:color w:val="auto"/>
        </w:rPr>
        <w:t>‑</w:t>
      </w:r>
      <w:r>
        <w:rPr>
          <w:rFonts w:ascii="Arial" w:cs="Arial" w:eastAsia="Arial" w:hAnsi="Arial"/>
          <w:sz w:val="15"/>
          <w:szCs w:val="15"/>
          <w:color w:val="auto"/>
        </w:rPr>
        <w:t>asset and broker</w:t>
      </w:r>
      <w:r>
        <w:rPr>
          <w:rFonts w:ascii="MS PGothic" w:cs="MS PGothic" w:eastAsia="MS PGothic" w:hAnsi="MS PGothic"/>
          <w:sz w:val="15"/>
          <w:szCs w:val="15"/>
          <w:color w:val="auto"/>
        </w:rPr>
        <w:t>‑</w:t>
      </w:r>
      <w:r>
        <w:rPr>
          <w:rFonts w:ascii="Arial" w:cs="Arial" w:eastAsia="Arial" w:hAnsi="Arial"/>
          <w:sz w:val="15"/>
          <w:szCs w:val="15"/>
          <w:color w:val="auto"/>
        </w:rPr>
        <w:t>neutral Triton EMS, helps to bring integrated execution and analytical tools to the user’s desktop, including the Algo Wheel, an algorithmic way for a portfolio manager to intelligently allocate volume between different providers. Triton supports global list</w:t>
      </w:r>
      <w:r>
        <w:rPr>
          <w:rFonts w:ascii="MS PGothic" w:cs="MS PGothic" w:eastAsia="MS PGothic" w:hAnsi="MS PGothic"/>
          <w:sz w:val="15"/>
          <w:szCs w:val="15"/>
          <w:color w:val="auto"/>
        </w:rPr>
        <w:t>‑</w:t>
      </w:r>
      <w:r>
        <w:rPr>
          <w:rFonts w:ascii="Arial" w:cs="Arial" w:eastAsia="Arial" w:hAnsi="Arial"/>
          <w:sz w:val="15"/>
          <w:szCs w:val="15"/>
          <w:color w:val="auto"/>
        </w:rPr>
        <w:t>based and single</w:t>
      </w:r>
      <w:r>
        <w:rPr>
          <w:rFonts w:ascii="MS PGothic" w:cs="MS PGothic" w:eastAsia="MS PGothic" w:hAnsi="MS PGothic"/>
          <w:sz w:val="15"/>
          <w:szCs w:val="15"/>
          <w:color w:val="auto"/>
        </w:rPr>
        <w:t>‑</w:t>
      </w:r>
      <w:r>
        <w:rPr>
          <w:rFonts w:ascii="Arial" w:cs="Arial" w:eastAsia="Arial" w:hAnsi="Arial"/>
          <w:sz w:val="15"/>
          <w:szCs w:val="15"/>
          <w:color w:val="auto"/>
        </w:rPr>
        <w:t>stock trading, as well as futures and options capabilities and includes ITG Net, a fully integrated and supported financial services communications network. Triton also provides traders with access to scalable, low</w:t>
      </w:r>
      <w:r>
        <w:rPr>
          <w:rFonts w:ascii="MS PGothic" w:cs="MS PGothic" w:eastAsia="MS PGothic" w:hAnsi="MS PGothic"/>
          <w:sz w:val="15"/>
          <w:szCs w:val="15"/>
          <w:color w:val="auto"/>
        </w:rPr>
        <w:t>‑</w:t>
      </w:r>
      <w:r>
        <w:rPr>
          <w:rFonts w:ascii="Arial" w:cs="Arial" w:eastAsia="Arial" w:hAnsi="Arial"/>
          <w:sz w:val="15"/>
          <w:szCs w:val="15"/>
          <w:color w:val="auto"/>
        </w:rPr>
        <w:t>latency, multi</w:t>
      </w:r>
      <w:r>
        <w:rPr>
          <w:rFonts w:ascii="MS PGothic" w:cs="MS PGothic" w:eastAsia="MS PGothic" w:hAnsi="MS PGothic"/>
          <w:sz w:val="15"/>
          <w:szCs w:val="15"/>
          <w:color w:val="auto"/>
        </w:rPr>
        <w:t>‑</w:t>
      </w:r>
      <w:r>
        <w:rPr>
          <w:rFonts w:ascii="Arial" w:cs="Arial" w:eastAsia="Arial" w:hAnsi="Arial"/>
          <w:sz w:val="15"/>
          <w:szCs w:val="15"/>
          <w:color w:val="auto"/>
        </w:rPr>
        <w:t>asset trading opportunities. Our OMS combines portfolio management, compliance functionality, and a fully integrated and supported financial services communications network (ITG Net) with a consolidated, outsourced service for global trade matching and settlement that provides connectivity to the industry’s post</w:t>
      </w:r>
      <w:r>
        <w:rPr>
          <w:rFonts w:ascii="MS PGothic" w:cs="MS PGothic" w:eastAsia="MS PGothic" w:hAnsi="MS PGothic"/>
          <w:sz w:val="15"/>
          <w:szCs w:val="15"/>
          <w:color w:val="auto"/>
        </w:rPr>
        <w:t>‑</w:t>
      </w:r>
      <w:r>
        <w:rPr>
          <w:rFonts w:ascii="Arial" w:cs="Arial" w:eastAsia="Arial" w:hAnsi="Arial"/>
          <w:sz w:val="15"/>
          <w:szCs w:val="15"/>
          <w:color w:val="auto"/>
        </w:rPr>
        <w:t>trade utilities, as well as support for multiple, flexible settlement communication methods and a real</w:t>
      </w:r>
      <w:r>
        <w:rPr>
          <w:rFonts w:ascii="MS PGothic" w:cs="MS PGothic" w:eastAsia="MS PGothic" w:hAnsi="MS PGothic"/>
          <w:sz w:val="15"/>
          <w:szCs w:val="15"/>
          <w:color w:val="auto"/>
        </w:rPr>
        <w:t>‑</w:t>
      </w:r>
      <w:r>
        <w:rPr>
          <w:rFonts w:ascii="Arial" w:cs="Arial" w:eastAsia="Arial" w:hAnsi="Arial"/>
          <w:sz w:val="15"/>
          <w:szCs w:val="15"/>
          <w:color w:val="auto"/>
        </w:rPr>
        <w:t>time process monitor.</w:t>
      </w:r>
    </w:p>
    <w:p>
      <w:pPr>
        <w:spacing w:after="0" w:line="206" w:lineRule="exact"/>
        <w:rPr>
          <w:sz w:val="20"/>
          <w:szCs w:val="20"/>
          <w:color w:val="auto"/>
        </w:rPr>
      </w:pPr>
    </w:p>
    <w:p>
      <w:pPr>
        <w:jc w:val="both"/>
        <w:ind w:right="240" w:firstLine="568"/>
        <w:spacing w:after="0" w:line="193" w:lineRule="exact"/>
        <w:rPr>
          <w:sz w:val="20"/>
          <w:szCs w:val="20"/>
          <w:color w:val="auto"/>
        </w:rPr>
      </w:pPr>
      <w:r>
        <w:rPr>
          <w:rFonts w:ascii="Arial" w:cs="Arial" w:eastAsia="Arial" w:hAnsi="Arial"/>
          <w:sz w:val="14"/>
          <w:szCs w:val="14"/>
          <w:color w:val="auto"/>
        </w:rPr>
        <w:t>ITG Net is our global financial communications network that provides reliable and fully-supported connectivity between buy</w:t>
      </w:r>
      <w:r>
        <w:rPr>
          <w:rFonts w:ascii="MS PGothic" w:cs="MS PGothic" w:eastAsia="MS PGothic" w:hAnsi="MS PGothic"/>
          <w:sz w:val="14"/>
          <w:szCs w:val="14"/>
          <w:color w:val="auto"/>
        </w:rPr>
        <w:t>‑</w:t>
      </w:r>
      <w:r>
        <w:rPr>
          <w:rFonts w:ascii="Arial" w:cs="Arial" w:eastAsia="Arial" w:hAnsi="Arial"/>
          <w:sz w:val="14"/>
          <w:szCs w:val="14"/>
          <w:color w:val="auto"/>
        </w:rPr>
        <w:t>side and sell</w:t>
      </w:r>
      <w:r>
        <w:rPr>
          <w:rFonts w:ascii="MS PGothic" w:cs="MS PGothic" w:eastAsia="MS PGothic" w:hAnsi="MS PGothic"/>
          <w:sz w:val="14"/>
          <w:szCs w:val="14"/>
          <w:color w:val="auto"/>
        </w:rPr>
        <w:t>‑</w:t>
      </w:r>
      <w:r>
        <w:rPr>
          <w:rFonts w:ascii="Arial" w:cs="Arial" w:eastAsia="Arial" w:hAnsi="Arial"/>
          <w:sz w:val="14"/>
          <w:szCs w:val="14"/>
          <w:color w:val="auto"/>
        </w:rPr>
        <w:t>side firms for multi</w:t>
      </w:r>
      <w:r>
        <w:rPr>
          <w:rFonts w:ascii="MS PGothic" w:cs="MS PGothic" w:eastAsia="MS PGothic" w:hAnsi="MS PGothic"/>
          <w:sz w:val="14"/>
          <w:szCs w:val="14"/>
          <w:color w:val="auto"/>
        </w:rPr>
        <w:t>‑</w:t>
      </w:r>
      <w:r>
        <w:rPr>
          <w:rFonts w:ascii="Arial" w:cs="Arial" w:eastAsia="Arial" w:hAnsi="Arial"/>
          <w:sz w:val="14"/>
          <w:szCs w:val="14"/>
          <w:color w:val="auto"/>
        </w:rPr>
        <w:t>asset order routing and indication</w:t>
      </w:r>
      <w:r>
        <w:rPr>
          <w:rFonts w:ascii="MS PGothic" w:cs="MS PGothic" w:eastAsia="MS PGothic" w:hAnsi="MS PGothic"/>
          <w:sz w:val="14"/>
          <w:szCs w:val="14"/>
          <w:color w:val="auto"/>
        </w:rPr>
        <w:t>‑</w:t>
      </w:r>
      <w:r>
        <w:rPr>
          <w:rFonts w:ascii="Arial" w:cs="Arial" w:eastAsia="Arial" w:hAnsi="Arial"/>
          <w:sz w:val="14"/>
          <w:szCs w:val="14"/>
          <w:color w:val="auto"/>
        </w:rPr>
        <w:t>of</w:t>
      </w:r>
      <w:r>
        <w:rPr>
          <w:rFonts w:ascii="MS PGothic" w:cs="MS PGothic" w:eastAsia="MS PGothic" w:hAnsi="MS PGothic"/>
          <w:sz w:val="14"/>
          <w:szCs w:val="14"/>
          <w:color w:val="auto"/>
        </w:rPr>
        <w:t>‑</w:t>
      </w:r>
      <w:r>
        <w:rPr>
          <w:rFonts w:ascii="Arial" w:cs="Arial" w:eastAsia="Arial" w:hAnsi="Arial"/>
          <w:sz w:val="14"/>
          <w:szCs w:val="14"/>
          <w:color w:val="auto"/>
        </w:rPr>
        <w:t>interest messages with Virtu and third</w:t>
      </w:r>
      <w:r>
        <w:rPr>
          <w:rFonts w:ascii="MS PGothic" w:cs="MS PGothic" w:eastAsia="MS PGothic" w:hAnsi="MS PGothic"/>
          <w:sz w:val="14"/>
          <w:szCs w:val="14"/>
          <w:color w:val="auto"/>
        </w:rPr>
        <w:t>‑</w:t>
      </w:r>
      <w:r>
        <w:rPr>
          <w:rFonts w:ascii="Arial" w:cs="Arial" w:eastAsia="Arial" w:hAnsi="Arial"/>
          <w:sz w:val="14"/>
          <w:szCs w:val="14"/>
          <w:color w:val="auto"/>
        </w:rPr>
        <w:t>party trading platforms. ITG Net supports approximately 9,000 global billable connections to more than 600 unique execution destinations worldwide. ITG Net also integrates the trading products of third</w:t>
      </w:r>
      <w:r>
        <w:rPr>
          <w:rFonts w:ascii="MS PGothic" w:cs="MS PGothic" w:eastAsia="MS PGothic" w:hAnsi="MS PGothic"/>
          <w:sz w:val="14"/>
          <w:szCs w:val="14"/>
          <w:color w:val="auto"/>
        </w:rPr>
        <w:t>‑</w:t>
      </w:r>
      <w:r>
        <w:rPr>
          <w:rFonts w:ascii="Arial" w:cs="Arial" w:eastAsia="Arial" w:hAnsi="Arial"/>
          <w:sz w:val="14"/>
          <w:szCs w:val="14"/>
          <w:color w:val="auto"/>
        </w:rPr>
        <w:t>party brokers and ATSs into our OMS and EMS platforms.</w:t>
      </w:r>
    </w:p>
    <w:p>
      <w:pPr>
        <w:spacing w:after="0" w:line="204" w:lineRule="exact"/>
        <w:rPr>
          <w:sz w:val="20"/>
          <w:szCs w:val="20"/>
          <w:color w:val="auto"/>
        </w:rPr>
      </w:pPr>
    </w:p>
    <w:p>
      <w:pPr>
        <w:ind w:right="240" w:firstLine="568"/>
        <w:spacing w:after="0" w:line="193" w:lineRule="exact"/>
        <w:rPr>
          <w:sz w:val="20"/>
          <w:szCs w:val="20"/>
          <w:color w:val="auto"/>
        </w:rPr>
      </w:pPr>
      <w:r>
        <w:rPr>
          <w:rFonts w:ascii="Arial" w:cs="Arial" w:eastAsia="Arial" w:hAnsi="Arial"/>
          <w:sz w:val="14"/>
          <w:szCs w:val="14"/>
          <w:color w:val="auto"/>
        </w:rPr>
        <w:t>RFQ</w:t>
      </w:r>
      <w:r>
        <w:rPr>
          <w:rFonts w:ascii="MS PGothic" w:cs="MS PGothic" w:eastAsia="MS PGothic" w:hAnsi="MS PGothic"/>
          <w:sz w:val="14"/>
          <w:szCs w:val="14"/>
          <w:color w:val="auto"/>
        </w:rPr>
        <w:t>‑</w:t>
      </w:r>
      <w:r>
        <w:rPr>
          <w:rFonts w:ascii="Arial" w:cs="Arial" w:eastAsia="Arial" w:hAnsi="Arial"/>
          <w:sz w:val="14"/>
          <w:szCs w:val="14"/>
          <w:color w:val="auto"/>
        </w:rPr>
        <w:t>hub, a multi</w:t>
      </w:r>
      <w:r>
        <w:rPr>
          <w:rFonts w:ascii="MS PGothic" w:cs="MS PGothic" w:eastAsia="MS PGothic" w:hAnsi="MS PGothic"/>
          <w:sz w:val="14"/>
          <w:szCs w:val="14"/>
          <w:color w:val="auto"/>
        </w:rPr>
        <w:t>‑</w:t>
      </w:r>
      <w:r>
        <w:rPr>
          <w:rFonts w:ascii="Arial" w:cs="Arial" w:eastAsia="Arial" w:hAnsi="Arial"/>
          <w:sz w:val="14"/>
          <w:szCs w:val="14"/>
          <w:color w:val="auto"/>
        </w:rPr>
        <w:t>asset platform for global listed and over</w:t>
      </w:r>
      <w:r>
        <w:rPr>
          <w:rFonts w:ascii="MS PGothic" w:cs="MS PGothic" w:eastAsia="MS PGothic" w:hAnsi="MS PGothic"/>
          <w:sz w:val="14"/>
          <w:szCs w:val="14"/>
          <w:color w:val="auto"/>
        </w:rPr>
        <w:t>‑</w:t>
      </w:r>
      <w:r>
        <w:rPr>
          <w:rFonts w:ascii="Arial" w:cs="Arial" w:eastAsia="Arial" w:hAnsi="Arial"/>
          <w:sz w:val="14"/>
          <w:szCs w:val="14"/>
          <w:color w:val="auto"/>
        </w:rPr>
        <w:t>the</w:t>
      </w:r>
      <w:r>
        <w:rPr>
          <w:rFonts w:ascii="MS PGothic" w:cs="MS PGothic" w:eastAsia="MS PGothic" w:hAnsi="MS PGothic"/>
          <w:sz w:val="14"/>
          <w:szCs w:val="14"/>
          <w:color w:val="auto"/>
        </w:rPr>
        <w:t>‑</w:t>
      </w:r>
      <w:r>
        <w:rPr>
          <w:rFonts w:ascii="Arial" w:cs="Arial" w:eastAsia="Arial" w:hAnsi="Arial"/>
          <w:sz w:val="14"/>
          <w:szCs w:val="14"/>
          <w:color w:val="auto"/>
        </w:rPr>
        <w:t>counter (“OTC”) financial instruments, connects buy</w:t>
      </w:r>
      <w:r>
        <w:rPr>
          <w:rFonts w:ascii="MS PGothic" w:cs="MS PGothic" w:eastAsia="MS PGothic" w:hAnsi="MS PGothic"/>
          <w:sz w:val="14"/>
          <w:szCs w:val="14"/>
          <w:color w:val="auto"/>
        </w:rPr>
        <w:t>‑</w:t>
      </w:r>
      <w:r>
        <w:rPr>
          <w:rFonts w:ascii="Arial" w:cs="Arial" w:eastAsia="Arial" w:hAnsi="Arial"/>
          <w:sz w:val="14"/>
          <w:szCs w:val="14"/>
          <w:color w:val="auto"/>
        </w:rPr>
        <w:t>side trading desks and portfolio managers with a large network of sell</w:t>
      </w:r>
      <w:r>
        <w:rPr>
          <w:rFonts w:ascii="MS PGothic" w:cs="MS PGothic" w:eastAsia="MS PGothic" w:hAnsi="MS PGothic"/>
          <w:sz w:val="14"/>
          <w:szCs w:val="14"/>
          <w:color w:val="auto"/>
        </w:rPr>
        <w:t>‑</w:t>
      </w:r>
      <w:r>
        <w:rPr>
          <w:rFonts w:ascii="Arial" w:cs="Arial" w:eastAsia="Arial" w:hAnsi="Arial"/>
          <w:sz w:val="14"/>
          <w:szCs w:val="14"/>
          <w:color w:val="auto"/>
        </w:rPr>
        <w:t>side market makers in Europe, North America and the APAC region, allowing these trading desks to place requests</w:t>
      </w:r>
      <w:r>
        <w:rPr>
          <w:rFonts w:ascii="MS PGothic" w:cs="MS PGothic" w:eastAsia="MS PGothic" w:hAnsi="MS PGothic"/>
          <w:sz w:val="14"/>
          <w:szCs w:val="14"/>
          <w:color w:val="auto"/>
        </w:rPr>
        <w:t>‑</w:t>
      </w:r>
      <w:r>
        <w:rPr>
          <w:rFonts w:ascii="Arial" w:cs="Arial" w:eastAsia="Arial" w:hAnsi="Arial"/>
          <w:sz w:val="14"/>
          <w:szCs w:val="14"/>
          <w:color w:val="auto"/>
        </w:rPr>
        <w:t>for</w:t>
      </w:r>
      <w:r>
        <w:rPr>
          <w:rFonts w:ascii="MS PGothic" w:cs="MS PGothic" w:eastAsia="MS PGothic" w:hAnsi="MS PGothic"/>
          <w:sz w:val="14"/>
          <w:szCs w:val="14"/>
          <w:color w:val="auto"/>
        </w:rPr>
        <w:t>‑</w:t>
      </w:r>
      <w:r>
        <w:rPr>
          <w:rFonts w:ascii="Arial" w:cs="Arial" w:eastAsia="Arial" w:hAnsi="Arial"/>
          <w:sz w:val="14"/>
          <w:szCs w:val="14"/>
          <w:color w:val="auto"/>
        </w:rPr>
        <w:t>quotes (“RFQ”) in negotiated equities, futures, options, swaps, convertible bonds, structured products and commodities. RFQ</w:t>
      </w:r>
      <w:r>
        <w:rPr>
          <w:rFonts w:ascii="MS PGothic" w:cs="MS PGothic" w:eastAsia="MS PGothic" w:hAnsi="MS PGothic"/>
          <w:sz w:val="14"/>
          <w:szCs w:val="14"/>
          <w:color w:val="auto"/>
        </w:rPr>
        <w:t>‑</w:t>
      </w:r>
      <w:r>
        <w:rPr>
          <w:rFonts w:ascii="Arial" w:cs="Arial" w:eastAsia="Arial" w:hAnsi="Arial"/>
          <w:sz w:val="14"/>
          <w:szCs w:val="14"/>
          <w:color w:val="auto"/>
        </w:rPr>
        <w:t>hub is available as a stand</w:t>
      </w:r>
      <w:r>
        <w:rPr>
          <w:rFonts w:ascii="MS PGothic" w:cs="MS PGothic" w:eastAsia="MS PGothic" w:hAnsi="MS PGothic"/>
          <w:sz w:val="14"/>
          <w:szCs w:val="14"/>
          <w:color w:val="auto"/>
        </w:rPr>
        <w:t>‑</w:t>
      </w:r>
      <w:r>
        <w:rPr>
          <w:rFonts w:ascii="Arial" w:cs="Arial" w:eastAsia="Arial" w:hAnsi="Arial"/>
          <w:sz w:val="14"/>
          <w:szCs w:val="14"/>
          <w:color w:val="auto"/>
        </w:rPr>
        <w:t>alone platform and is also integrated with Triton.</w:t>
      </w:r>
    </w:p>
    <w:p>
      <w:pPr>
        <w:spacing w:after="0" w:line="204" w:lineRule="exact"/>
        <w:rPr>
          <w:sz w:val="20"/>
          <w:szCs w:val="20"/>
          <w:color w:val="auto"/>
        </w:rPr>
      </w:pPr>
    </w:p>
    <w:p>
      <w:pPr>
        <w:ind w:right="60" w:firstLine="568"/>
        <w:spacing w:after="0" w:line="192" w:lineRule="exact"/>
        <w:rPr>
          <w:sz w:val="20"/>
          <w:szCs w:val="20"/>
          <w:color w:val="auto"/>
        </w:rPr>
      </w:pPr>
      <w:r>
        <w:rPr>
          <w:rFonts w:ascii="Arial" w:cs="Arial" w:eastAsia="Arial" w:hAnsi="Arial"/>
          <w:sz w:val="15"/>
          <w:szCs w:val="15"/>
          <w:color w:val="auto"/>
        </w:rPr>
        <w:t>We offer administration and consolidation of client commission arrangements across a wide range of our clients’ preferred brokerage and research providers through Commission Manager, a robust, multi</w:t>
      </w:r>
      <w:r>
        <w:rPr>
          <w:rFonts w:ascii="MS PGothic" w:cs="MS PGothic" w:eastAsia="MS PGothic" w:hAnsi="MS PGothic"/>
          <w:sz w:val="15"/>
          <w:szCs w:val="15"/>
          <w:color w:val="auto"/>
        </w:rPr>
        <w:t>‑</w:t>
      </w:r>
      <w:r>
        <w:rPr>
          <w:rFonts w:ascii="Arial" w:cs="Arial" w:eastAsia="Arial" w:hAnsi="Arial"/>
          <w:sz w:val="15"/>
          <w:szCs w:val="15"/>
          <w:color w:val="auto"/>
        </w:rPr>
        <w:t>asset, web</w:t>
      </w:r>
      <w:r>
        <w:rPr>
          <w:rFonts w:ascii="MS PGothic" w:cs="MS PGothic" w:eastAsia="MS PGothic" w:hAnsi="MS PGothic"/>
          <w:sz w:val="15"/>
          <w:szCs w:val="15"/>
          <w:color w:val="auto"/>
        </w:rPr>
        <w:t>‑</w:t>
      </w:r>
      <w:r>
        <w:rPr>
          <w:rFonts w:ascii="Arial" w:cs="Arial" w:eastAsia="Arial" w:hAnsi="Arial"/>
          <w:sz w:val="15"/>
          <w:szCs w:val="15"/>
          <w:color w:val="auto"/>
        </w:rPr>
        <w:t>based commission management portal, and Budget Tracker, which enables asset managers to set research allocations and create and track budgets for their end clients. We also offer a comprehensive research payment account solution, enabling clients to unbundle research and execution payments to comply with the European Markets in Financial Instruments Directive (“MiFID”) II regulations.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22222"/>
        </w:rPr>
        <w:t>Analytics</w:t>
      </w:r>
    </w:p>
    <w:p>
      <w:pPr>
        <w:spacing w:after="0" w:line="195" w:lineRule="exact"/>
        <w:rPr>
          <w:sz w:val="20"/>
          <w:szCs w:val="20"/>
          <w:color w:val="auto"/>
        </w:rPr>
      </w:pPr>
    </w:p>
    <w:p>
      <w:pPr>
        <w:ind w:firstLine="568"/>
        <w:spacing w:after="0" w:line="191" w:lineRule="exact"/>
        <w:rPr>
          <w:sz w:val="20"/>
          <w:szCs w:val="20"/>
          <w:color w:val="auto"/>
        </w:rPr>
      </w:pPr>
      <w:r>
        <w:rPr>
          <w:rFonts w:ascii="Arial" w:cs="Arial" w:eastAsia="Arial" w:hAnsi="Arial"/>
          <w:sz w:val="16"/>
          <w:szCs w:val="16"/>
          <w:color w:val="auto"/>
        </w:rPr>
        <w:t>Our trading analytics suite helps enable portfolio managers and traders to analyze execution performance before the trade happens (pre</w:t>
      </w:r>
      <w:r>
        <w:rPr>
          <w:rFonts w:ascii="MS PGothic" w:cs="MS PGothic" w:eastAsia="MS PGothic" w:hAnsi="MS PGothic"/>
          <w:sz w:val="16"/>
          <w:szCs w:val="16"/>
          <w:color w:val="auto"/>
        </w:rPr>
        <w:t>‑</w:t>
      </w:r>
      <w:r>
        <w:rPr>
          <w:rFonts w:ascii="Arial" w:cs="Arial" w:eastAsia="Arial" w:hAnsi="Arial"/>
          <w:sz w:val="16"/>
          <w:szCs w:val="16"/>
          <w:color w:val="auto"/>
        </w:rPr>
        <w:t>trade) and during trading (real</w:t>
      </w:r>
      <w:r>
        <w:rPr>
          <w:rFonts w:ascii="MS PGothic" w:cs="MS PGothic" w:eastAsia="MS PGothic" w:hAnsi="MS PGothic"/>
          <w:sz w:val="16"/>
          <w:szCs w:val="16"/>
          <w:color w:val="auto"/>
        </w:rPr>
        <w:t>‑</w:t>
      </w:r>
      <w:r>
        <w:rPr>
          <w:rFonts w:ascii="Arial" w:cs="Arial" w:eastAsia="Arial" w:hAnsi="Arial"/>
          <w:sz w:val="16"/>
          <w:szCs w:val="16"/>
          <w:color w:val="auto"/>
        </w:rPr>
        <w:t>time) by providing trading analytics and risk models that help them perform predictive analysis, manage risk, change strategy and reduce trading costs. Trading costs are affected by multiple factors, such as execution strategies, time horizon, volatility, spread, volume and order size. Our trading analytics suite is designed to gauge the effects of these factors and aid in the understanding of the trade</w:t>
      </w:r>
      <w:r>
        <w:rPr>
          <w:rFonts w:ascii="MS PGothic" w:cs="MS PGothic" w:eastAsia="MS PGothic" w:hAnsi="MS PGothic"/>
          <w:sz w:val="16"/>
          <w:szCs w:val="16"/>
          <w:color w:val="auto"/>
        </w:rPr>
        <w:t>‑</w:t>
      </w:r>
      <w:r>
        <w:rPr>
          <w:rFonts w:ascii="Arial" w:cs="Arial" w:eastAsia="Arial" w:hAnsi="Arial"/>
          <w:sz w:val="16"/>
          <w:szCs w:val="16"/>
          <w:color w:val="auto"/>
        </w:rPr>
        <w:t>off between market impact and opportunity cost. For example, our transaction cost analysis (“TCA”) offers measurement and reporting capabilities to analyze costs and performance across the trading continuum. TCA assesses trading performance and implicit costs under various market conditions so users can adjust strategies and potentially reduce costs and boost investment performance. TCA is also available for foreign exchange transactions (FX TCA) and for corporate and sovereign bond trading (FI TCA).</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w:t>
      </w:r>
    </w:p>
    <w:p>
      <w:pPr>
        <w:spacing w:after="0" w:line="223" w:lineRule="exact"/>
        <w:rPr>
          <w:sz w:val="20"/>
          <w:szCs w:val="20"/>
          <w:color w:val="auto"/>
        </w:rPr>
      </w:pPr>
    </w:p>
    <w:p>
      <w:pPr>
        <w:ind w:right="180" w:firstLine="568"/>
        <w:spacing w:after="0" w:line="268" w:lineRule="auto"/>
        <w:rPr>
          <w:sz w:val="20"/>
          <w:szCs w:val="20"/>
          <w:color w:val="auto"/>
        </w:rPr>
      </w:pPr>
      <w:r>
        <w:rPr>
          <w:rFonts w:ascii="Arial" w:cs="Arial" w:eastAsia="Arial" w:hAnsi="Arial"/>
          <w:sz w:val="16"/>
          <w:szCs w:val="16"/>
          <w:color w:val="auto"/>
        </w:rPr>
        <w:t>Our Corporate segment contains investments principally in strategic financial services-oriented opportunities and maintains corporate overhead expenses and all other income and expenses that are not attributable to our operating segments.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802"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color w:val="auto"/>
        </w:rPr>
        <w:t>Risk Management</w:t>
      </w:r>
    </w:p>
    <w:p>
      <w:pPr>
        <w:spacing w:after="0" w:line="223" w:lineRule="exact"/>
        <w:rPr>
          <w:sz w:val="20"/>
          <w:szCs w:val="20"/>
          <w:color w:val="auto"/>
        </w:rPr>
      </w:pPr>
    </w:p>
    <w:p>
      <w:pPr>
        <w:ind w:right="80" w:firstLine="568"/>
        <w:spacing w:after="0" w:line="257" w:lineRule="auto"/>
        <w:rPr>
          <w:sz w:val="20"/>
          <w:szCs w:val="20"/>
          <w:color w:val="auto"/>
        </w:rPr>
      </w:pPr>
      <w:r>
        <w:rPr>
          <w:rFonts w:ascii="Arial" w:cs="Arial" w:eastAsia="Arial" w:hAnsi="Arial"/>
          <w:sz w:val="16"/>
          <w:szCs w:val="16"/>
          <w:color w:val="auto"/>
        </w:rPr>
        <w:t>We are acutely focused on risk management. Our market making activities involve taking on risk positions and our execution services business involves providing trading, clearing and related services on behalf of customers and clients. These activities expose us to market, counterparty, operational, and regulatory risk. We aim to mitigate these risks through prudent risk management practices.</w:t>
      </w:r>
    </w:p>
    <w:p>
      <w:pPr>
        <w:spacing w:after="0" w:line="190" w:lineRule="exact"/>
        <w:rPr>
          <w:sz w:val="20"/>
          <w:szCs w:val="20"/>
          <w:color w:val="auto"/>
        </w:rPr>
      </w:pPr>
    </w:p>
    <w:p>
      <w:pPr>
        <w:ind w:firstLine="568"/>
        <w:spacing w:after="0" w:line="273" w:lineRule="auto"/>
        <w:rPr>
          <w:sz w:val="20"/>
          <w:szCs w:val="20"/>
          <w:color w:val="auto"/>
        </w:rPr>
      </w:pPr>
      <w:r>
        <w:rPr>
          <w:rFonts w:ascii="Arial" w:cs="Arial" w:eastAsia="Arial" w:hAnsi="Arial"/>
          <w:sz w:val="15"/>
          <w:szCs w:val="15"/>
          <w:color w:val="auto"/>
        </w:rPr>
        <w:t>We have a Chief Risk Officer (“CRO”) who reports independently into the Board Risk Committee. We also have a Risk Advisory Committee, which includes key personnel from each of our regions globally and comprises our CRO and our Chief Compliance Officer (“CCO”), members of our senior management team, senior technologists and traders, and certain other senior officers. Our Risk Advisory Committee provides advice to our CRO and our senior management team in connection with our key risk management policies, procedures and risk limits. Our Board of Directors, through the Board Risk Committee, is periodically apprised of risk events, risk profiles, trends and the activities of our Risk Advisory Committee, including our risk management policies, procedures and controls.</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approach to managing risk includes the following practices:</w:t>
      </w:r>
    </w:p>
    <w:p>
      <w:pPr>
        <w:spacing w:after="0" w:line="219" w:lineRule="exact"/>
        <w:rPr>
          <w:sz w:val="20"/>
          <w:szCs w:val="20"/>
          <w:color w:val="auto"/>
        </w:rPr>
      </w:pPr>
    </w:p>
    <w:p>
      <w:pPr>
        <w:ind w:left="560" w:right="320" w:hanging="281"/>
        <w:spacing w:after="0" w:line="257" w:lineRule="auto"/>
        <w:tabs>
          <w:tab w:leader="none" w:pos="556"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Pre-Trade Risk Controls</w:t>
      </w:r>
      <w:r>
        <w:rPr>
          <w:rFonts w:ascii="Arial" w:cs="Arial" w:eastAsia="Arial" w:hAnsi="Arial"/>
          <w:sz w:val="16"/>
          <w:szCs w:val="16"/>
          <w:color w:val="auto"/>
        </w:rPr>
        <w:t>. Messages that leave our trading environment must first pass through a series of preset risk controls, which are intended to minimize the</w:t>
      </w:r>
      <w:r>
        <w:rPr>
          <w:rFonts w:ascii="Arial" w:cs="Arial" w:eastAsia="Arial" w:hAnsi="Arial"/>
          <w:sz w:val="16"/>
          <w:szCs w:val="16"/>
          <w:i w:val="1"/>
          <w:iCs w:val="1"/>
          <w:color w:val="auto"/>
        </w:rPr>
        <w:t xml:space="preserve"> </w:t>
      </w:r>
      <w:r>
        <w:rPr>
          <w:rFonts w:ascii="Arial" w:cs="Arial" w:eastAsia="Arial" w:hAnsi="Arial"/>
          <w:sz w:val="16"/>
          <w:szCs w:val="16"/>
          <w:color w:val="auto"/>
        </w:rPr>
        <w:t>likelihood of unintended activities by our algorithms. Certain risk controls, when triggered, result in a strategy lockdown, which requires a manual reset in order to restart the strategy.</w:t>
      </w:r>
    </w:p>
    <w:p>
      <w:pPr>
        <w:spacing w:after="0" w:line="190" w:lineRule="exact"/>
        <w:rPr>
          <w:rFonts w:ascii="Arial" w:cs="Arial" w:eastAsia="Arial" w:hAnsi="Arial"/>
          <w:sz w:val="16"/>
          <w:szCs w:val="16"/>
          <w:color w:val="auto"/>
        </w:rPr>
      </w:pPr>
    </w:p>
    <w:p>
      <w:pPr>
        <w:ind w:left="560" w:right="40" w:hanging="281"/>
        <w:spacing w:after="0" w:line="257" w:lineRule="auto"/>
        <w:tabs>
          <w:tab w:leader="none" w:pos="556"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Model Restrictions</w:t>
      </w:r>
      <w:r>
        <w:rPr>
          <w:rFonts w:ascii="Arial" w:cs="Arial" w:eastAsia="Arial" w:hAnsi="Arial"/>
          <w:sz w:val="16"/>
          <w:szCs w:val="16"/>
          <w:color w:val="auto"/>
        </w:rPr>
        <w:t>. Trading models have limits in place which restrict individual position sizes, sector exposures and imbalanced portfolios with significant directional</w:t>
      </w:r>
      <w:r>
        <w:rPr>
          <w:rFonts w:ascii="Arial" w:cs="Arial" w:eastAsia="Arial" w:hAnsi="Arial"/>
          <w:sz w:val="16"/>
          <w:szCs w:val="16"/>
          <w:i w:val="1"/>
          <w:iCs w:val="1"/>
          <w:color w:val="auto"/>
        </w:rPr>
        <w:t xml:space="preserve"> </w:t>
      </w:r>
      <w:r>
        <w:rPr>
          <w:rFonts w:ascii="Arial" w:cs="Arial" w:eastAsia="Arial" w:hAnsi="Arial"/>
          <w:sz w:val="16"/>
          <w:szCs w:val="16"/>
          <w:color w:val="auto"/>
        </w:rPr>
        <w:t>risks. Trading strategies are designed to automatically reduce exposures when limits are reached. The models are monitored continuously by the trading team and the risk managers.</w:t>
      </w:r>
    </w:p>
    <w:p>
      <w:pPr>
        <w:spacing w:after="0" w:line="190" w:lineRule="exact"/>
        <w:rPr>
          <w:rFonts w:ascii="Arial" w:cs="Arial" w:eastAsia="Arial" w:hAnsi="Arial"/>
          <w:sz w:val="16"/>
          <w:szCs w:val="16"/>
          <w:color w:val="auto"/>
        </w:rPr>
      </w:pPr>
    </w:p>
    <w:p>
      <w:pPr>
        <w:ind w:left="560" w:right="80" w:hanging="281"/>
        <w:spacing w:after="0" w:line="195" w:lineRule="exact"/>
        <w:tabs>
          <w:tab w:leader="none" w:pos="556"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Aggregate Exposure Monitoring. </w:t>
      </w:r>
      <w:r>
        <w:rPr>
          <w:rFonts w:ascii="Arial" w:cs="Arial" w:eastAsia="Arial" w:hAnsi="Arial"/>
          <w:sz w:val="16"/>
          <w:szCs w:val="16"/>
          <w:color w:val="auto"/>
        </w:rPr>
        <w:t>Pursuant to our risk management policies, our automated management information systems monitor in real</w:t>
      </w:r>
      <w:r>
        <w:rPr>
          <w:rFonts w:ascii="MS PGothic" w:cs="MS PGothic" w:eastAsia="MS PGothic" w:hAnsi="MS PGothic"/>
          <w:sz w:val="16"/>
          <w:szCs w:val="16"/>
          <w:color w:val="auto"/>
        </w:rPr>
        <w:t>‑</w:t>
      </w:r>
      <w:r>
        <w:rPr>
          <w:rFonts w:ascii="Arial" w:cs="Arial" w:eastAsia="Arial" w:hAnsi="Arial"/>
          <w:sz w:val="16"/>
          <w:szCs w:val="16"/>
          <w:color w:val="auto"/>
        </w:rPr>
        <w:t>time and generate reports</w:t>
      </w:r>
      <w:r>
        <w:rPr>
          <w:rFonts w:ascii="Arial" w:cs="Arial" w:eastAsia="Arial" w:hAnsi="Arial"/>
          <w:sz w:val="16"/>
          <w:szCs w:val="16"/>
          <w:i w:val="1"/>
          <w:iCs w:val="1"/>
          <w:color w:val="auto"/>
        </w:rPr>
        <w:t xml:space="preserve"> </w:t>
      </w:r>
      <w:r>
        <w:rPr>
          <w:rFonts w:ascii="Arial" w:cs="Arial" w:eastAsia="Arial" w:hAnsi="Arial"/>
          <w:sz w:val="16"/>
          <w:szCs w:val="16"/>
          <w:color w:val="auto"/>
        </w:rPr>
        <w:t>on daily and periodic bases. Exposures monitored include:</w:t>
      </w:r>
    </w:p>
    <w:p>
      <w:pPr>
        <w:spacing w:after="0" w:line="202" w:lineRule="exact"/>
        <w:rPr>
          <w:rFonts w:ascii="Arial" w:cs="Arial" w:eastAsia="Arial" w:hAnsi="Arial"/>
          <w:sz w:val="16"/>
          <w:szCs w:val="16"/>
          <w:color w:val="auto"/>
        </w:rPr>
      </w:pPr>
    </w:p>
    <w:p>
      <w:pPr>
        <w:ind w:left="1120" w:hanging="273"/>
        <w:spacing w:after="0"/>
        <w:tabs>
          <w:tab w:leader="none" w:pos="1120" w:val="left"/>
        </w:tabs>
        <w:numPr>
          <w:ilvl w:val="1"/>
          <w:numId w:val="6"/>
        </w:numPr>
        <w:rPr>
          <w:rFonts w:ascii="Arial" w:cs="Arial" w:eastAsia="Arial" w:hAnsi="Arial"/>
          <w:sz w:val="16"/>
          <w:szCs w:val="16"/>
          <w:color w:val="auto"/>
        </w:rPr>
      </w:pPr>
      <w:r>
        <w:rPr>
          <w:rFonts w:ascii="Arial" w:cs="Arial" w:eastAsia="Arial" w:hAnsi="Arial"/>
          <w:sz w:val="16"/>
          <w:szCs w:val="16"/>
          <w:color w:val="auto"/>
        </w:rPr>
        <w:t>Risk Profiles</w:t>
      </w:r>
    </w:p>
    <w:p>
      <w:pPr>
        <w:spacing w:after="0" w:line="16" w:lineRule="exact"/>
        <w:rPr>
          <w:rFonts w:ascii="Arial" w:cs="Arial" w:eastAsia="Arial" w:hAnsi="Arial"/>
          <w:sz w:val="16"/>
          <w:szCs w:val="16"/>
          <w:color w:val="auto"/>
        </w:rPr>
      </w:pPr>
    </w:p>
    <w:p>
      <w:pPr>
        <w:ind w:left="1120" w:hanging="273"/>
        <w:spacing w:after="0"/>
        <w:tabs>
          <w:tab w:leader="none" w:pos="1120" w:val="left"/>
        </w:tabs>
        <w:numPr>
          <w:ilvl w:val="1"/>
          <w:numId w:val="6"/>
        </w:numPr>
        <w:rPr>
          <w:rFonts w:ascii="Arial" w:cs="Arial" w:eastAsia="Arial" w:hAnsi="Arial"/>
          <w:sz w:val="16"/>
          <w:szCs w:val="16"/>
          <w:color w:val="auto"/>
        </w:rPr>
      </w:pPr>
      <w:r>
        <w:rPr>
          <w:rFonts w:ascii="Arial" w:cs="Arial" w:eastAsia="Arial" w:hAnsi="Arial"/>
          <w:sz w:val="16"/>
          <w:szCs w:val="16"/>
          <w:color w:val="auto"/>
        </w:rPr>
        <w:t>Statistical Risk Measures including Value at Risk (“VaR”), and Equity Betas</w:t>
      </w:r>
    </w:p>
    <w:p>
      <w:pPr>
        <w:spacing w:after="0" w:line="5" w:lineRule="exact"/>
        <w:rPr>
          <w:rFonts w:ascii="Arial" w:cs="Arial" w:eastAsia="Arial" w:hAnsi="Arial"/>
          <w:sz w:val="16"/>
          <w:szCs w:val="16"/>
          <w:color w:val="auto"/>
        </w:rPr>
      </w:pPr>
    </w:p>
    <w:p>
      <w:pPr>
        <w:ind w:left="1120" w:hanging="273"/>
        <w:spacing w:after="0"/>
        <w:tabs>
          <w:tab w:leader="none" w:pos="1120" w:val="left"/>
        </w:tabs>
        <w:numPr>
          <w:ilvl w:val="1"/>
          <w:numId w:val="6"/>
        </w:numPr>
        <w:rPr>
          <w:rFonts w:ascii="Arial" w:cs="Arial" w:eastAsia="Arial" w:hAnsi="Arial"/>
          <w:sz w:val="16"/>
          <w:szCs w:val="16"/>
          <w:color w:val="auto"/>
        </w:rPr>
      </w:pPr>
      <w:r>
        <w:rPr>
          <w:rFonts w:ascii="Arial" w:cs="Arial" w:eastAsia="Arial" w:hAnsi="Arial"/>
          <w:sz w:val="16"/>
          <w:szCs w:val="16"/>
          <w:color w:val="auto"/>
        </w:rPr>
        <w:t>Stress and Scenario analysis</w:t>
      </w:r>
    </w:p>
    <w:p>
      <w:pPr>
        <w:spacing w:after="0" w:line="5" w:lineRule="exact"/>
        <w:rPr>
          <w:rFonts w:ascii="Arial" w:cs="Arial" w:eastAsia="Arial" w:hAnsi="Arial"/>
          <w:sz w:val="16"/>
          <w:szCs w:val="16"/>
          <w:color w:val="auto"/>
        </w:rPr>
      </w:pPr>
    </w:p>
    <w:p>
      <w:pPr>
        <w:ind w:left="1120" w:hanging="273"/>
        <w:spacing w:after="0"/>
        <w:tabs>
          <w:tab w:leader="none" w:pos="1120" w:val="left"/>
        </w:tabs>
        <w:numPr>
          <w:ilvl w:val="1"/>
          <w:numId w:val="6"/>
        </w:numPr>
        <w:rPr>
          <w:rFonts w:ascii="Arial" w:cs="Arial" w:eastAsia="Arial" w:hAnsi="Arial"/>
          <w:sz w:val="16"/>
          <w:szCs w:val="16"/>
          <w:color w:val="auto"/>
        </w:rPr>
      </w:pPr>
      <w:r>
        <w:rPr>
          <w:rFonts w:ascii="Arial" w:cs="Arial" w:eastAsia="Arial" w:hAnsi="Arial"/>
          <w:sz w:val="16"/>
          <w:szCs w:val="16"/>
          <w:color w:val="auto"/>
        </w:rPr>
        <w:t>Concentration measures</w:t>
      </w:r>
    </w:p>
    <w:p>
      <w:pPr>
        <w:spacing w:after="0" w:line="5" w:lineRule="exact"/>
        <w:rPr>
          <w:rFonts w:ascii="Arial" w:cs="Arial" w:eastAsia="Arial" w:hAnsi="Arial"/>
          <w:sz w:val="16"/>
          <w:szCs w:val="16"/>
          <w:color w:val="auto"/>
        </w:rPr>
      </w:pPr>
    </w:p>
    <w:p>
      <w:pPr>
        <w:ind w:left="1120" w:hanging="273"/>
        <w:spacing w:after="0"/>
        <w:tabs>
          <w:tab w:leader="none" w:pos="1120" w:val="left"/>
        </w:tabs>
        <w:numPr>
          <w:ilvl w:val="1"/>
          <w:numId w:val="6"/>
        </w:numPr>
        <w:rPr>
          <w:rFonts w:ascii="Arial" w:cs="Arial" w:eastAsia="Arial" w:hAnsi="Arial"/>
          <w:sz w:val="16"/>
          <w:szCs w:val="16"/>
          <w:color w:val="auto"/>
        </w:rPr>
      </w:pPr>
      <w:r>
        <w:rPr>
          <w:rFonts w:ascii="Arial" w:cs="Arial" w:eastAsia="Arial" w:hAnsi="Arial"/>
          <w:sz w:val="16"/>
          <w:szCs w:val="16"/>
          <w:color w:val="auto"/>
        </w:rPr>
        <w:t>Profit and Loss analysis</w:t>
      </w:r>
    </w:p>
    <w:p>
      <w:pPr>
        <w:spacing w:after="0" w:line="5" w:lineRule="exact"/>
        <w:rPr>
          <w:rFonts w:ascii="Arial" w:cs="Arial" w:eastAsia="Arial" w:hAnsi="Arial"/>
          <w:sz w:val="16"/>
          <w:szCs w:val="16"/>
          <w:color w:val="auto"/>
        </w:rPr>
      </w:pPr>
    </w:p>
    <w:p>
      <w:pPr>
        <w:ind w:left="1120" w:hanging="273"/>
        <w:spacing w:after="0"/>
        <w:tabs>
          <w:tab w:leader="none" w:pos="1120" w:val="left"/>
        </w:tabs>
        <w:numPr>
          <w:ilvl w:val="1"/>
          <w:numId w:val="6"/>
        </w:numPr>
        <w:rPr>
          <w:rFonts w:ascii="Arial" w:cs="Arial" w:eastAsia="Arial" w:hAnsi="Arial"/>
          <w:sz w:val="16"/>
          <w:szCs w:val="16"/>
          <w:color w:val="auto"/>
        </w:rPr>
      </w:pPr>
      <w:r>
        <w:rPr>
          <w:rFonts w:ascii="Arial" w:cs="Arial" w:eastAsia="Arial" w:hAnsi="Arial"/>
          <w:sz w:val="16"/>
          <w:szCs w:val="16"/>
          <w:color w:val="auto"/>
        </w:rPr>
        <w:t>Trading performance reports</w:t>
      </w:r>
    </w:p>
    <w:p>
      <w:pPr>
        <w:spacing w:after="0" w:line="207" w:lineRule="exact"/>
        <w:rPr>
          <w:rFonts w:ascii="Arial" w:cs="Arial" w:eastAsia="Arial" w:hAnsi="Arial"/>
          <w:sz w:val="16"/>
          <w:szCs w:val="16"/>
          <w:color w:val="auto"/>
        </w:rPr>
      </w:pPr>
    </w:p>
    <w:p>
      <w:pPr>
        <w:ind w:left="560" w:right="760" w:hanging="281"/>
        <w:spacing w:after="0" w:line="195" w:lineRule="exact"/>
        <w:tabs>
          <w:tab w:leader="none" w:pos="556"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trading assets and liabilities are marked</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market daily for financial reporting purposes by reference to official exchange prices, and they are re</w:t>
      </w:r>
      <w:r>
        <w:rPr>
          <w:rFonts w:ascii="MS PGothic" w:cs="MS PGothic" w:eastAsia="MS PGothic" w:hAnsi="MS PGothic"/>
          <w:sz w:val="16"/>
          <w:szCs w:val="16"/>
          <w:color w:val="auto"/>
        </w:rPr>
        <w:t>‑</w:t>
      </w:r>
      <w:r>
        <w:rPr>
          <w:rFonts w:ascii="Arial" w:cs="Arial" w:eastAsia="Arial" w:hAnsi="Arial"/>
          <w:sz w:val="16"/>
          <w:szCs w:val="16"/>
          <w:color w:val="auto"/>
        </w:rPr>
        <w:t>valued continuously throughout the trading day for risk management and asset/liability management purposes.</w:t>
      </w:r>
    </w:p>
    <w:p>
      <w:pPr>
        <w:spacing w:after="0" w:line="202" w:lineRule="exact"/>
        <w:rPr>
          <w:rFonts w:ascii="Arial" w:cs="Arial" w:eastAsia="Arial" w:hAnsi="Arial"/>
          <w:sz w:val="16"/>
          <w:szCs w:val="16"/>
          <w:color w:val="auto"/>
        </w:rPr>
      </w:pPr>
    </w:p>
    <w:p>
      <w:pPr>
        <w:ind w:left="560" w:hanging="281"/>
        <w:spacing w:after="0"/>
        <w:tabs>
          <w:tab w:leader="none" w:pos="56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Operational Controls. </w:t>
      </w:r>
      <w:r>
        <w:rPr>
          <w:rFonts w:ascii="Arial" w:cs="Arial" w:eastAsia="Arial" w:hAnsi="Arial"/>
          <w:sz w:val="16"/>
          <w:szCs w:val="16"/>
          <w:color w:val="auto"/>
        </w:rPr>
        <w:t>We have a series of automated controls over our business. Key automated controls include:</w:t>
      </w:r>
    </w:p>
    <w:p>
      <w:pPr>
        <w:spacing w:after="0" w:line="218" w:lineRule="exact"/>
        <w:rPr>
          <w:rFonts w:ascii="Arial" w:cs="Arial" w:eastAsia="Arial" w:hAnsi="Arial"/>
          <w:sz w:val="16"/>
          <w:szCs w:val="16"/>
          <w:color w:val="auto"/>
        </w:rPr>
      </w:pPr>
    </w:p>
    <w:p>
      <w:pPr>
        <w:ind w:left="1120" w:hanging="273"/>
        <w:spacing w:after="0"/>
        <w:tabs>
          <w:tab w:leader="none" w:pos="1120" w:val="left"/>
        </w:tabs>
        <w:numPr>
          <w:ilvl w:val="1"/>
          <w:numId w:val="6"/>
        </w:numPr>
        <w:rPr>
          <w:rFonts w:ascii="Arial" w:cs="Arial" w:eastAsia="Arial" w:hAnsi="Arial"/>
          <w:sz w:val="15"/>
          <w:szCs w:val="15"/>
          <w:color w:val="auto"/>
        </w:rPr>
      </w:pPr>
      <w:r>
        <w:rPr>
          <w:rFonts w:ascii="Arial" w:cs="Arial" w:eastAsia="Arial" w:hAnsi="Arial"/>
          <w:sz w:val="15"/>
          <w:szCs w:val="15"/>
          <w:color w:val="auto"/>
        </w:rPr>
        <w:t>Our technical operations system continuously monitors our network and the proper functioning of each of our trading centers around the world;</w:t>
      </w:r>
    </w:p>
    <w:p>
      <w:pPr>
        <w:spacing w:after="0" w:line="28" w:lineRule="exact"/>
        <w:rPr>
          <w:rFonts w:ascii="Arial" w:cs="Arial" w:eastAsia="Arial" w:hAnsi="Arial"/>
          <w:sz w:val="15"/>
          <w:szCs w:val="15"/>
          <w:color w:val="auto"/>
        </w:rPr>
      </w:pPr>
    </w:p>
    <w:p>
      <w:pPr>
        <w:ind w:left="1140" w:right="120" w:hanging="293"/>
        <w:spacing w:after="0" w:line="190" w:lineRule="exact"/>
        <w:tabs>
          <w:tab w:leader="none" w:pos="1137" w:val="left"/>
        </w:tabs>
        <w:numPr>
          <w:ilvl w:val="1"/>
          <w:numId w:val="6"/>
        </w:numPr>
        <w:rPr>
          <w:rFonts w:ascii="Arial" w:cs="Arial" w:eastAsia="Arial" w:hAnsi="Arial"/>
          <w:sz w:val="16"/>
          <w:szCs w:val="16"/>
          <w:color w:val="auto"/>
        </w:rPr>
      </w:pPr>
      <w:r>
        <w:rPr>
          <w:rFonts w:ascii="Arial" w:cs="Arial" w:eastAsia="Arial" w:hAnsi="Arial"/>
          <w:sz w:val="16"/>
          <w:szCs w:val="16"/>
          <w:color w:val="auto"/>
        </w:rPr>
        <w:t>Our market making system continuously evaluates the listed securities and other financial products in which we provide bid and offer quotes and changes its bids and offers in such a way as to minimize exposure to directional price movements. The speed of communicating with exchanges and market centers is maximized through continuous software and network engineering innovation, allowing us to achieve real</w:t>
      </w:r>
      <w:r>
        <w:rPr>
          <w:rFonts w:ascii="MS PGothic" w:cs="MS PGothic" w:eastAsia="MS PGothic" w:hAnsi="MS PGothic"/>
          <w:sz w:val="16"/>
          <w:szCs w:val="16"/>
          <w:color w:val="auto"/>
        </w:rPr>
        <w:t>‑</w:t>
      </w:r>
      <w:r>
        <w:rPr>
          <w:rFonts w:ascii="Arial" w:cs="Arial" w:eastAsia="Arial" w:hAnsi="Arial"/>
          <w:sz w:val="16"/>
          <w:szCs w:val="16"/>
          <w:color w:val="auto"/>
        </w:rPr>
        <w:t>time controls over market exposure. We connect to exchanges and other electronic venues through a network of co</w:t>
      </w:r>
      <w:r>
        <w:rPr>
          <w:rFonts w:ascii="MS PGothic" w:cs="MS PGothic" w:eastAsia="MS PGothic" w:hAnsi="MS PGothic"/>
          <w:sz w:val="16"/>
          <w:szCs w:val="16"/>
          <w:color w:val="auto"/>
        </w:rPr>
        <w:t>‑</w:t>
      </w:r>
      <w:r>
        <w:rPr>
          <w:rFonts w:ascii="Arial" w:cs="Arial" w:eastAsia="Arial" w:hAnsi="Arial"/>
          <w:sz w:val="16"/>
          <w:szCs w:val="16"/>
          <w:color w:val="auto"/>
        </w:rPr>
        <w:t>location</w:t>
      </w:r>
    </w:p>
    <w:p>
      <w:pPr>
        <w:spacing w:after="0" w:line="200" w:lineRule="exact"/>
        <w:rPr>
          <w:sz w:val="20"/>
          <w:szCs w:val="20"/>
          <w:color w:val="auto"/>
        </w:rPr>
      </w:pPr>
    </w:p>
    <w:p>
      <w:pPr>
        <w:spacing w:after="0" w:line="27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60"/>
          </w:cols>
          <w:pgMar w:left="320" w:top="1011" w:right="419" w:bottom="1440" w:gutter="0" w:footer="0" w:header="0"/>
        </w:sectPr>
      </w:pPr>
    </w:p>
    <w:bookmarkStart w:id="9" w:name="page10"/>
    <w:bookmarkEnd w:id="9"/>
    <w:p>
      <w:pPr>
        <w:ind w:left="1140"/>
        <w:spacing w:after="0"/>
        <w:rPr>
          <w:sz w:val="20"/>
          <w:szCs w:val="20"/>
          <w:color w:val="auto"/>
        </w:rPr>
      </w:pPr>
      <w:r>
        <w:rPr>
          <w:rFonts w:ascii="Arial" w:cs="Arial" w:eastAsia="Arial" w:hAnsi="Arial"/>
          <w:sz w:val="16"/>
          <w:szCs w:val="16"/>
          <w:color w:val="auto"/>
        </w:rPr>
        <w:t>facilities around the world that are monitored 24 hours a day, five days a week, by our staff of experienced network professionals;</w:t>
      </w:r>
    </w:p>
    <w:p>
      <w:pPr>
        <w:spacing w:after="0" w:line="17" w:lineRule="exact"/>
        <w:rPr>
          <w:sz w:val="20"/>
          <w:szCs w:val="20"/>
          <w:color w:val="auto"/>
        </w:rPr>
      </w:pPr>
    </w:p>
    <w:p>
      <w:pPr>
        <w:ind w:left="1140" w:right="60" w:hanging="293"/>
        <w:spacing w:after="0" w:line="247" w:lineRule="auto"/>
        <w:tabs>
          <w:tab w:leader="none" w:pos="1137"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clearing system captures trades in real-time and performs automated reconciliations of trades and positions, corporate action processing, options exercises, securities lending and inventory management, allowing us to effectively manage operational risk; and</w:t>
      </w:r>
    </w:p>
    <w:p>
      <w:pPr>
        <w:ind w:left="1120" w:hanging="273"/>
        <w:spacing w:after="0"/>
        <w:tabs>
          <w:tab w:leader="none" w:pos="1120" w:val="left"/>
        </w:tabs>
        <w:numPr>
          <w:ilvl w:val="0"/>
          <w:numId w:val="7"/>
        </w:numPr>
        <w:rPr>
          <w:rFonts w:ascii="Arial" w:cs="Arial" w:eastAsia="Arial" w:hAnsi="Arial"/>
          <w:sz w:val="16"/>
          <w:szCs w:val="16"/>
          <w:color w:val="auto"/>
        </w:rPr>
      </w:pPr>
      <w:r>
        <w:rPr>
          <w:rFonts w:ascii="Arial" w:cs="Arial" w:eastAsia="Arial" w:hAnsi="Arial"/>
          <w:sz w:val="16"/>
          <w:szCs w:val="16"/>
          <w:color w:val="auto"/>
        </w:rPr>
        <w:t>Software developed to support our market making systems performs daily profit and loss and position reconciliations.</w:t>
      </w:r>
    </w:p>
    <w:p>
      <w:pPr>
        <w:spacing w:after="0" w:line="20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Additionally, we conduct after event reviews where operational issues are evaluated and risk mitigations are identified and subsequently implemented.</w:t>
      </w:r>
    </w:p>
    <w:p>
      <w:pPr>
        <w:spacing w:after="0" w:line="219" w:lineRule="exact"/>
        <w:rPr>
          <w:sz w:val="20"/>
          <w:szCs w:val="20"/>
          <w:color w:val="auto"/>
        </w:rPr>
      </w:pPr>
    </w:p>
    <w:p>
      <w:pPr>
        <w:ind w:left="560" w:hanging="281"/>
        <w:spacing w:after="0"/>
        <w:tabs>
          <w:tab w:leader="none" w:pos="560" w:val="left"/>
        </w:tabs>
        <w:numPr>
          <w:ilvl w:val="0"/>
          <w:numId w:val="8"/>
        </w:numPr>
        <w:rPr>
          <w:rFonts w:ascii="Arial" w:cs="Arial" w:eastAsia="Arial" w:hAnsi="Arial"/>
          <w:sz w:val="14"/>
          <w:szCs w:val="14"/>
          <w:color w:val="auto"/>
        </w:rPr>
      </w:pPr>
      <w:r>
        <w:rPr>
          <w:rFonts w:ascii="Arial" w:cs="Arial" w:eastAsia="Arial" w:hAnsi="Arial"/>
          <w:sz w:val="14"/>
          <w:szCs w:val="14"/>
          <w:i w:val="1"/>
          <w:iCs w:val="1"/>
          <w:color w:val="auto"/>
        </w:rPr>
        <w:t>Credit Controls</w:t>
      </w:r>
      <w:r>
        <w:rPr>
          <w:rFonts w:ascii="Arial" w:cs="Arial" w:eastAsia="Arial" w:hAnsi="Arial"/>
          <w:sz w:val="14"/>
          <w:szCs w:val="14"/>
          <w:color w:val="auto"/>
        </w:rPr>
        <w:t>. Trading notional limits are applied to customers and counterparts. These are monitored throughout the day by trading support and risk professionals.</w:t>
      </w:r>
    </w:p>
    <w:p>
      <w:pPr>
        <w:spacing w:after="0" w:line="241" w:lineRule="exact"/>
        <w:rPr>
          <w:rFonts w:ascii="Arial" w:cs="Arial" w:eastAsia="Arial" w:hAnsi="Arial"/>
          <w:sz w:val="14"/>
          <w:szCs w:val="14"/>
          <w:color w:val="auto"/>
        </w:rPr>
      </w:pPr>
    </w:p>
    <w:p>
      <w:pPr>
        <w:ind w:left="560" w:hanging="281"/>
        <w:spacing w:after="0" w:line="268" w:lineRule="auto"/>
        <w:tabs>
          <w:tab w:leader="none" w:pos="556"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Liquidity Controls</w:t>
      </w:r>
      <w:r>
        <w:rPr>
          <w:rFonts w:ascii="Arial" w:cs="Arial" w:eastAsia="Arial" w:hAnsi="Arial"/>
          <w:sz w:val="16"/>
          <w:szCs w:val="16"/>
          <w:color w:val="auto"/>
        </w:rPr>
        <w:t>. We seek to minimize liquidity risk by focusing the majority of trading in highly active and liquid instruments. Less liquid securities are identified and</w:t>
      </w:r>
      <w:r>
        <w:rPr>
          <w:rFonts w:ascii="Arial" w:cs="Arial" w:eastAsia="Arial" w:hAnsi="Arial"/>
          <w:sz w:val="16"/>
          <w:szCs w:val="16"/>
          <w:i w:val="1"/>
          <w:iCs w:val="1"/>
          <w:color w:val="auto"/>
        </w:rPr>
        <w:t xml:space="preserve"> </w:t>
      </w:r>
      <w:r>
        <w:rPr>
          <w:rFonts w:ascii="Arial" w:cs="Arial" w:eastAsia="Arial" w:hAnsi="Arial"/>
          <w:sz w:val="16"/>
          <w:szCs w:val="16"/>
          <w:color w:val="auto"/>
        </w:rPr>
        <w:t>restrictions are in place as to the size of positions we hold in such instruments.</w:t>
      </w:r>
    </w:p>
    <w:p>
      <w:pPr>
        <w:spacing w:after="0" w:line="181" w:lineRule="exact"/>
        <w:rPr>
          <w:sz w:val="20"/>
          <w:szCs w:val="20"/>
          <w:color w:val="auto"/>
        </w:rPr>
      </w:pPr>
    </w:p>
    <w:p>
      <w:pPr>
        <w:ind w:right="280" w:firstLine="568"/>
        <w:spacing w:after="0" w:line="302" w:lineRule="auto"/>
        <w:rPr>
          <w:sz w:val="20"/>
          <w:szCs w:val="20"/>
          <w:color w:val="auto"/>
        </w:rPr>
      </w:pPr>
      <w:r>
        <w:rPr>
          <w:rFonts w:ascii="Arial" w:cs="Arial" w:eastAsia="Arial" w:hAnsi="Arial"/>
          <w:sz w:val="15"/>
          <w:szCs w:val="15"/>
          <w:color w:val="auto"/>
        </w:rPr>
        <w:t>Our approach to risk mitigation can in some cases limit our overall opportunities, including by adding a degree of latency to our trading infrastructure which can, for example, prevent us from earning outsized returns in times of extreme market volatility. We believe that these trade-offs are necessary to properly limit risk.</w:t>
      </w:r>
    </w:p>
    <w:p>
      <w:pPr>
        <w:spacing w:after="0" w:line="158" w:lineRule="exact"/>
        <w:rPr>
          <w:sz w:val="20"/>
          <w:szCs w:val="20"/>
          <w:color w:val="auto"/>
        </w:rPr>
      </w:pPr>
    </w:p>
    <w:p>
      <w:pPr>
        <w:ind w:right="20" w:firstLine="568"/>
        <w:spacing w:after="0" w:line="250" w:lineRule="auto"/>
        <w:rPr>
          <w:sz w:val="20"/>
          <w:szCs w:val="20"/>
          <w:color w:val="auto"/>
        </w:rPr>
      </w:pPr>
      <w:r>
        <w:rPr>
          <w:rFonts w:ascii="Arial" w:cs="Arial" w:eastAsia="Arial" w:hAnsi="Arial"/>
          <w:sz w:val="16"/>
          <w:szCs w:val="16"/>
          <w:color w:val="auto"/>
        </w:rPr>
        <w:t>We rely on technology and automation to perform many functions within Virtu. Cyber threats are a risk that we are exposed to as a result of our heavy reliance on technology. These threats could include the introduction of malicious code or unauthorized access, and could result in data loss or destruction, business interruption, financial loss, and the unavailability of service and other risks. We have taken steps to mitigate the various cyber threats, and we devote resources to maintain and regularly upgrade our systems and networks and review the ever-changing threat landscape. Cybersecurity risk is managed as part of our overall information technology risk framework under the direction of our Chief Information Security Officer. We periodically review policies and procedures to seek to ensure they are effective in mitigating current cyber and other information security threats. In addition to the policy reviews, we continue to look to implement technology solutions that enhance preventive and detection capabilities. We also maintain insurance coverage that may, subject to policy terms and conditions, cover certain aspects of cyber risks. However, such insurance may be insufficient to cover all losses or may not provide any coverage.</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w:t>
      </w:r>
    </w:p>
    <w:p>
      <w:pPr>
        <w:spacing w:after="0" w:line="223" w:lineRule="exact"/>
        <w:rPr>
          <w:sz w:val="20"/>
          <w:szCs w:val="20"/>
          <w:color w:val="auto"/>
        </w:rPr>
      </w:pPr>
    </w:p>
    <w:p>
      <w:pPr>
        <w:ind w:right="160" w:firstLine="568"/>
        <w:spacing w:after="0" w:line="257" w:lineRule="auto"/>
        <w:rPr>
          <w:sz w:val="20"/>
          <w:szCs w:val="20"/>
          <w:color w:val="auto"/>
        </w:rPr>
      </w:pPr>
      <w:r>
        <w:rPr>
          <w:rFonts w:ascii="Arial" w:cs="Arial" w:eastAsia="Arial" w:hAnsi="Arial"/>
          <w:sz w:val="16"/>
          <w:szCs w:val="16"/>
          <w:color w:val="auto"/>
        </w:rPr>
        <w:t>The financial services industry generally, and the institutional securities brokerage business in which we operate, are extremely competitive, and we expect them to remain so for the foreseeable future. Our full suite of products does not directly compete with any particular firm; however, individual products compete with various firms and consortia.</w:t>
      </w:r>
    </w:p>
    <w:p>
      <w:pPr>
        <w:spacing w:after="0" w:line="190" w:lineRule="exact"/>
        <w:rPr>
          <w:sz w:val="20"/>
          <w:szCs w:val="20"/>
          <w:color w:val="auto"/>
        </w:rPr>
      </w:pPr>
    </w:p>
    <w:p>
      <w:pPr>
        <w:ind w:right="260" w:firstLine="568"/>
        <w:spacing w:after="0" w:line="193" w:lineRule="exact"/>
        <w:rPr>
          <w:sz w:val="20"/>
          <w:szCs w:val="20"/>
          <w:color w:val="auto"/>
        </w:rPr>
      </w:pPr>
      <w:r>
        <w:rPr>
          <w:rFonts w:ascii="Arial" w:cs="Arial" w:eastAsia="Arial" w:hAnsi="Arial"/>
          <w:sz w:val="14"/>
          <w:szCs w:val="14"/>
          <w:color w:val="auto"/>
        </w:rPr>
        <w:t>Within the market making segment, our competition has been registered market making firms ranging from sole proprietors with very limited resources to large, integrated broker</w:t>
      </w:r>
      <w:r>
        <w:rPr>
          <w:rFonts w:ascii="MS PGothic" w:cs="MS PGothic" w:eastAsia="MS PGothic" w:hAnsi="MS PGothic"/>
          <w:sz w:val="14"/>
          <w:szCs w:val="14"/>
          <w:color w:val="auto"/>
        </w:rPr>
        <w:t>‑</w:t>
      </w:r>
      <w:r>
        <w:rPr>
          <w:rFonts w:ascii="Arial" w:cs="Arial" w:eastAsia="Arial" w:hAnsi="Arial"/>
          <w:sz w:val="14"/>
          <w:szCs w:val="14"/>
          <w:color w:val="auto"/>
        </w:rPr>
        <w:t>dealers. Today, a range of market participants may compete with us for revenues generated by market making activities across one or more asset classes and geographies, including market participants, such as Citadel Securities, Susquehanna International Group LLP, Two Sigma, Jane Street, DRW Holdings, IMC, and Optiver.</w:t>
      </w:r>
    </w:p>
    <w:p>
      <w:pPr>
        <w:spacing w:after="0" w:line="204" w:lineRule="exact"/>
        <w:rPr>
          <w:sz w:val="20"/>
          <w:szCs w:val="20"/>
          <w:color w:val="auto"/>
        </w:rPr>
      </w:pPr>
    </w:p>
    <w:p>
      <w:pPr>
        <w:ind w:right="200" w:firstLine="568"/>
        <w:spacing w:after="0" w:line="192" w:lineRule="exact"/>
        <w:rPr>
          <w:sz w:val="20"/>
          <w:szCs w:val="20"/>
          <w:color w:val="auto"/>
        </w:rPr>
      </w:pPr>
      <w:r>
        <w:rPr>
          <w:rFonts w:ascii="Arial" w:cs="Arial" w:eastAsia="Arial" w:hAnsi="Arial"/>
          <w:sz w:val="14"/>
          <w:szCs w:val="14"/>
          <w:color w:val="auto"/>
        </w:rPr>
        <w:t>In the execution services segment, our algorithmic and smart routing products, as well as our high</w:t>
      </w:r>
      <w:r>
        <w:rPr>
          <w:rFonts w:ascii="MS PGothic" w:cs="MS PGothic" w:eastAsia="MS PGothic" w:hAnsi="MS PGothic"/>
          <w:sz w:val="14"/>
          <w:szCs w:val="14"/>
          <w:color w:val="auto"/>
        </w:rPr>
        <w:t>‑</w:t>
      </w:r>
      <w:r>
        <w:rPr>
          <w:rFonts w:ascii="Arial" w:cs="Arial" w:eastAsia="Arial" w:hAnsi="Arial"/>
          <w:sz w:val="14"/>
          <w:szCs w:val="14"/>
          <w:color w:val="auto"/>
        </w:rPr>
        <w:t>touch agency execution and portfolio trading internalizers services, compete with agency</w:t>
      </w:r>
      <w:r>
        <w:rPr>
          <w:rFonts w:ascii="MS PGothic" w:cs="MS PGothic" w:eastAsia="MS PGothic" w:hAnsi="MS PGothic"/>
          <w:sz w:val="14"/>
          <w:szCs w:val="14"/>
          <w:color w:val="auto"/>
        </w:rPr>
        <w:t>‑</w:t>
      </w:r>
      <w:r>
        <w:rPr>
          <w:rFonts w:ascii="Arial" w:cs="Arial" w:eastAsia="Arial" w:hAnsi="Arial"/>
          <w:sz w:val="14"/>
          <w:szCs w:val="14"/>
          <w:color w:val="auto"/>
        </w:rPr>
        <w:t>only and other sell</w:t>
      </w:r>
      <w:r>
        <w:rPr>
          <w:rFonts w:ascii="MS PGothic" w:cs="MS PGothic" w:eastAsia="MS PGothic" w:hAnsi="MS PGothic"/>
          <w:sz w:val="14"/>
          <w:szCs w:val="14"/>
          <w:color w:val="auto"/>
        </w:rPr>
        <w:t>‑</w:t>
      </w:r>
      <w:r>
        <w:rPr>
          <w:rFonts w:ascii="Arial" w:cs="Arial" w:eastAsia="Arial" w:hAnsi="Arial"/>
          <w:sz w:val="14"/>
          <w:szCs w:val="14"/>
          <w:color w:val="auto"/>
        </w:rPr>
        <w:t>side firms. Our trading and portfolio analytics compete with offerings from several sell</w:t>
      </w:r>
      <w:r>
        <w:rPr>
          <w:rFonts w:ascii="MS PGothic" w:cs="MS PGothic" w:eastAsia="MS PGothic" w:hAnsi="MS PGothic"/>
          <w:sz w:val="14"/>
          <w:szCs w:val="14"/>
          <w:color w:val="auto"/>
        </w:rPr>
        <w:t>‑</w:t>
      </w:r>
      <w:r>
        <w:rPr>
          <w:rFonts w:ascii="Arial" w:cs="Arial" w:eastAsia="Arial" w:hAnsi="Arial"/>
          <w:sz w:val="14"/>
          <w:szCs w:val="14"/>
          <w:color w:val="auto"/>
        </w:rPr>
        <w:t>side</w:t>
      </w:r>
      <w:r>
        <w:rPr>
          <w:rFonts w:ascii="MS PGothic" w:cs="MS PGothic" w:eastAsia="MS PGothic" w:hAnsi="MS PGothic"/>
          <w:sz w:val="14"/>
          <w:szCs w:val="14"/>
          <w:color w:val="auto"/>
        </w:rPr>
        <w:t>‑</w:t>
      </w:r>
      <w:r>
        <w:rPr>
          <w:rFonts w:ascii="Arial" w:cs="Arial" w:eastAsia="Arial" w:hAnsi="Arial"/>
          <w:sz w:val="14"/>
          <w:szCs w:val="14"/>
          <w:color w:val="auto"/>
        </w:rPr>
        <w:t>affiliated and independent companies. POSIT and MatchIt compete with various national and regional securities exchanges, ATSs, Electronic Communication Networks, MTFs and systematic internalizers for trade execution services. Our EMS, OMS, connectivity and RFQ services compete with offerings from independent vendors, agency</w:t>
      </w:r>
      <w:r>
        <w:rPr>
          <w:rFonts w:ascii="MS PGothic" w:cs="MS PGothic" w:eastAsia="MS PGothic" w:hAnsi="MS PGothic"/>
          <w:sz w:val="14"/>
          <w:szCs w:val="14"/>
          <w:color w:val="auto"/>
        </w:rPr>
        <w:t>‑</w:t>
      </w:r>
      <w:r>
        <w:rPr>
          <w:rFonts w:ascii="Arial" w:cs="Arial" w:eastAsia="Arial" w:hAnsi="Arial"/>
          <w:sz w:val="14"/>
          <w:szCs w:val="14"/>
          <w:color w:val="auto"/>
        </w:rPr>
        <w:t>only firms and other sell</w:t>
      </w:r>
      <w:r>
        <w:rPr>
          <w:rFonts w:ascii="MS PGothic" w:cs="MS PGothic" w:eastAsia="MS PGothic" w:hAnsi="MS PGothic"/>
          <w:sz w:val="14"/>
          <w:szCs w:val="14"/>
          <w:color w:val="auto"/>
        </w:rPr>
        <w:t>‑</w:t>
      </w:r>
      <w:r>
        <w:rPr>
          <w:rFonts w:ascii="Arial" w:cs="Arial" w:eastAsia="Arial" w:hAnsi="Arial"/>
          <w:sz w:val="14"/>
          <w:szCs w:val="14"/>
          <w:color w:val="auto"/>
        </w:rPr>
        <w:t>side firms.</w:t>
      </w:r>
    </w:p>
    <w:p>
      <w:pPr>
        <w:spacing w:after="0" w:line="203" w:lineRule="exact"/>
        <w:rPr>
          <w:sz w:val="20"/>
          <w:szCs w:val="20"/>
          <w:color w:val="auto"/>
        </w:rPr>
      </w:pPr>
    </w:p>
    <w:p>
      <w:pPr>
        <w:ind w:right="80" w:firstLine="568"/>
        <w:spacing w:after="0" w:line="254" w:lineRule="auto"/>
        <w:rPr>
          <w:sz w:val="20"/>
          <w:szCs w:val="20"/>
          <w:color w:val="auto"/>
        </w:rPr>
      </w:pPr>
      <w:r>
        <w:rPr>
          <w:rFonts w:ascii="Arial" w:cs="Arial" w:eastAsia="Arial" w:hAnsi="Arial"/>
          <w:sz w:val="16"/>
          <w:szCs w:val="16"/>
          <w:color w:val="auto"/>
        </w:rPr>
        <w:t>Some of our competitors in market making and execution services are larger than we are and have more captive order flow in certain assets. We believe that the high cost of developing a competitive technological framework is a significant barrier to entry by new market participants. Technology and software innovation is a primary focus for us, rather than relying solely on the speed of our network. We believe that our scalable technology allows us to access new markets and increase volumes with limited incremental costs.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802"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color w:val="auto"/>
        </w:rPr>
        <w:t>Intellectual Property and Other Proprietary Rights</w:t>
      </w:r>
    </w:p>
    <w:p>
      <w:pPr>
        <w:spacing w:after="0" w:line="223" w:lineRule="exact"/>
        <w:rPr>
          <w:sz w:val="20"/>
          <w:szCs w:val="20"/>
          <w:color w:val="auto"/>
        </w:rPr>
      </w:pPr>
    </w:p>
    <w:p>
      <w:pPr>
        <w:ind w:right="440" w:firstLine="568"/>
        <w:spacing w:after="0" w:line="193" w:lineRule="exact"/>
        <w:rPr>
          <w:sz w:val="20"/>
          <w:szCs w:val="20"/>
          <w:color w:val="auto"/>
        </w:rPr>
      </w:pPr>
      <w:r>
        <w:rPr>
          <w:rFonts w:ascii="Arial" w:cs="Arial" w:eastAsia="Arial" w:hAnsi="Arial"/>
          <w:sz w:val="14"/>
          <w:szCs w:val="14"/>
          <w:color w:val="auto"/>
        </w:rPr>
        <w:t>We rely on federal, state and international laws that govern trade secrets, trademarks, domain names, patents, copyright and contract law to protect our intellectual property and proprietary technology. We enter into confidentiality, intellectual property invention assignment and/or non</w:t>
      </w:r>
      <w:r>
        <w:rPr>
          <w:rFonts w:ascii="MS PGothic" w:cs="MS PGothic" w:eastAsia="MS PGothic" w:hAnsi="MS PGothic"/>
          <w:sz w:val="14"/>
          <w:szCs w:val="14"/>
          <w:color w:val="auto"/>
        </w:rPr>
        <w:t>‑</w:t>
      </w:r>
      <w:r>
        <w:rPr>
          <w:rFonts w:ascii="Arial" w:cs="Arial" w:eastAsia="Arial" w:hAnsi="Arial"/>
          <w:sz w:val="14"/>
          <w:szCs w:val="14"/>
          <w:color w:val="auto"/>
        </w:rPr>
        <w:t>competition and non</w:t>
      </w:r>
      <w:r>
        <w:rPr>
          <w:rFonts w:ascii="MS PGothic" w:cs="MS PGothic" w:eastAsia="MS PGothic" w:hAnsi="MS PGothic"/>
          <w:sz w:val="14"/>
          <w:szCs w:val="14"/>
          <w:color w:val="auto"/>
        </w:rPr>
        <w:t>‑</w:t>
      </w:r>
      <w:r>
        <w:rPr>
          <w:rFonts w:ascii="Arial" w:cs="Arial" w:eastAsia="Arial" w:hAnsi="Arial"/>
          <w:sz w:val="14"/>
          <w:szCs w:val="14"/>
          <w:color w:val="auto"/>
        </w:rPr>
        <w:t>solicitation agreements or restrictions with our employees, independent contractors and business partners, and we control access to, and distribution of, our intellectual property.</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Human Capital Resources</w:t>
      </w:r>
    </w:p>
    <w:p>
      <w:pPr>
        <w:spacing w:after="0" w:line="223" w:lineRule="exact"/>
        <w:rPr>
          <w:sz w:val="20"/>
          <w:szCs w:val="20"/>
          <w:color w:val="auto"/>
        </w:rPr>
      </w:pPr>
    </w:p>
    <w:p>
      <w:pPr>
        <w:jc w:val="both"/>
        <w:ind w:right="40" w:firstLine="568"/>
        <w:spacing w:after="0" w:line="193" w:lineRule="exact"/>
        <w:rPr>
          <w:sz w:val="20"/>
          <w:szCs w:val="20"/>
          <w:color w:val="auto"/>
        </w:rPr>
      </w:pPr>
      <w:r>
        <w:rPr>
          <w:rFonts w:ascii="Arial" w:cs="Arial" w:eastAsia="Arial" w:hAnsi="Arial"/>
          <w:sz w:val="16"/>
          <w:szCs w:val="16"/>
          <w:color w:val="auto"/>
        </w:rPr>
        <w:t>As of February 11, 2022, we had approximately 973 employees, located in nine countries around the world, all of whom were employed on a full</w:t>
      </w:r>
      <w:r>
        <w:rPr>
          <w:rFonts w:ascii="MS PGothic" w:cs="MS PGothic" w:eastAsia="MS PGothic" w:hAnsi="MS PGothic"/>
          <w:sz w:val="16"/>
          <w:szCs w:val="16"/>
          <w:color w:val="auto"/>
        </w:rPr>
        <w:t>‑</w:t>
      </w:r>
      <w:r>
        <w:rPr>
          <w:rFonts w:ascii="Arial" w:cs="Arial" w:eastAsia="Arial" w:hAnsi="Arial"/>
          <w:sz w:val="16"/>
          <w:szCs w:val="16"/>
          <w:color w:val="auto"/>
        </w:rPr>
        <w:t>time basis and in good standing. The approximate regional representation of our workforce is as follows: 73% Americas, 17% EMEA and 10% APAC. None of our employees are covered by collective bargaining agreements. We believe that our employee relations are good.</w:t>
      </w:r>
    </w:p>
    <w:p>
      <w:pPr>
        <w:spacing w:after="0" w:line="204" w:lineRule="exact"/>
        <w:rPr>
          <w:sz w:val="20"/>
          <w:szCs w:val="20"/>
          <w:color w:val="auto"/>
        </w:rPr>
      </w:pPr>
    </w:p>
    <w:p>
      <w:pPr>
        <w:ind w:firstLine="568"/>
        <w:spacing w:after="0" w:line="292" w:lineRule="auto"/>
        <w:rPr>
          <w:sz w:val="20"/>
          <w:szCs w:val="20"/>
          <w:color w:val="auto"/>
        </w:rPr>
      </w:pPr>
      <w:r>
        <w:rPr>
          <w:rFonts w:ascii="Arial" w:cs="Arial" w:eastAsia="Arial" w:hAnsi="Arial"/>
          <w:sz w:val="14"/>
          <w:szCs w:val="14"/>
          <w:color w:val="auto"/>
        </w:rPr>
        <w:t>In shaping our culture, we aim to combine a high standard of excellence, technological innovation and agility and operational and financial discipline. We believe that our flat and transparent structure and our collaborative and collegial approach enable our employees to grow, develop and maximize their impact on our organization. To attract and retain top talent in our highly competitive industry, we have designed our compensation and benefits programs to promote the retention and growth of our employees along with their health, well-being and financial security. Our short- and long-term incentive programs are aligned with key business objectives and are intended to motivate strong performance. Our employees are eligible for medical, dental and vision insurance, a savings/retirement plan, life and disability insurance, and various wellness programs and we review the competitiveness of our compensation and benefits periodically. As an equal opportunity employer, all qualified applicants receive consideration without regard to race, national origin, gender, gender identity, sexual orientation, protected veteran status, disability, age or any other legally protected status.</w:t>
      </w:r>
    </w:p>
    <w:p>
      <w:pPr>
        <w:spacing w:after="0" w:line="168" w:lineRule="exact"/>
        <w:rPr>
          <w:sz w:val="20"/>
          <w:szCs w:val="20"/>
          <w:color w:val="auto"/>
        </w:rPr>
      </w:pPr>
    </w:p>
    <w:p>
      <w:pPr>
        <w:ind w:right="20" w:firstLine="568"/>
        <w:spacing w:after="0" w:line="271" w:lineRule="auto"/>
        <w:rPr>
          <w:sz w:val="20"/>
          <w:szCs w:val="20"/>
          <w:color w:val="auto"/>
        </w:rPr>
      </w:pPr>
      <w:r>
        <w:rPr>
          <w:rFonts w:ascii="Arial" w:cs="Arial" w:eastAsia="Arial" w:hAnsi="Arial"/>
          <w:sz w:val="15"/>
          <w:szCs w:val="15"/>
          <w:color w:val="auto"/>
        </w:rPr>
        <w:t>We seek to create an inclusive, equitable, culturally competent, and supportive environment where our management and employees model behavior that enriches our workplace. In 2020, we formed a Diversity and Inclusion Committee (now known as the Diversity, Equity and Inclusion Committee, the "DE&amp;I Committee") to help further these goals and objectives. The DE&amp;I Committee has focused on broadening recruitment efforts, increasing awareness of diversity and inclusiveness related issues through internal trainings and communications, and internal and external mentorship, including mentorships with New York City high school students. Additionally, we have hosted an annual Women's Winternship program since 2019, which provides a week-long internship program aimed at introducing sophomore-level female college students to a career path in financial services and features over 30 instructors across the firm from various business lines and disciplines.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Regulation</w:t>
      </w:r>
    </w:p>
    <w:p>
      <w:pPr>
        <w:spacing w:after="0" w:line="223" w:lineRule="exact"/>
        <w:rPr>
          <w:sz w:val="20"/>
          <w:szCs w:val="20"/>
          <w:color w:val="auto"/>
        </w:rPr>
      </w:pPr>
    </w:p>
    <w:p>
      <w:pPr>
        <w:jc w:val="both"/>
        <w:ind w:right="80" w:firstLine="568"/>
        <w:spacing w:after="0" w:line="193" w:lineRule="exact"/>
        <w:rPr>
          <w:sz w:val="20"/>
          <w:szCs w:val="20"/>
          <w:color w:val="auto"/>
        </w:rPr>
      </w:pPr>
      <w:r>
        <w:rPr>
          <w:rFonts w:ascii="Arial" w:cs="Arial" w:eastAsia="Arial" w:hAnsi="Arial"/>
          <w:sz w:val="16"/>
          <w:szCs w:val="16"/>
          <w:color w:val="auto"/>
        </w:rPr>
        <w:t>We conduct our U.S. equities and options market making and provide execution services through VAL, our SEC</w:t>
      </w:r>
      <w:r>
        <w:rPr>
          <w:rFonts w:ascii="MS PGothic" w:cs="MS PGothic" w:eastAsia="MS PGothic" w:hAnsi="MS PGothic"/>
          <w:sz w:val="16"/>
          <w:szCs w:val="16"/>
          <w:color w:val="auto"/>
        </w:rPr>
        <w:t>‑</w:t>
      </w:r>
      <w:r>
        <w:rPr>
          <w:rFonts w:ascii="Arial" w:cs="Arial" w:eastAsia="Arial" w:hAnsi="Arial"/>
          <w:sz w:val="16"/>
          <w:szCs w:val="16"/>
          <w:color w:val="auto"/>
        </w:rPr>
        <w:t>registered broker</w:t>
      </w:r>
      <w:r>
        <w:rPr>
          <w:rFonts w:ascii="MS PGothic" w:cs="MS PGothic" w:eastAsia="MS PGothic" w:hAnsi="MS PGothic"/>
          <w:sz w:val="16"/>
          <w:szCs w:val="16"/>
          <w:color w:val="auto"/>
        </w:rPr>
        <w:t>‑</w:t>
      </w:r>
      <w:r>
        <w:rPr>
          <w:rFonts w:ascii="Arial" w:cs="Arial" w:eastAsia="Arial" w:hAnsi="Arial"/>
          <w:sz w:val="16"/>
          <w:szCs w:val="16"/>
          <w:color w:val="auto"/>
        </w:rPr>
        <w:t>dealer. VAL is regulated by the SEC and its designated examining authority is the Financial Industry Regulatory Authority, Inc. (“FINRA”). VAL is also registered as a floor trader firm with the Commodity Futures Trading Commission (“CFTC”).</w:t>
      </w:r>
    </w:p>
    <w:p>
      <w:pPr>
        <w:spacing w:after="0" w:line="204" w:lineRule="exact"/>
        <w:rPr>
          <w:sz w:val="20"/>
          <w:szCs w:val="20"/>
          <w:color w:val="auto"/>
        </w:rPr>
      </w:pPr>
    </w:p>
    <w:p>
      <w:pPr>
        <w:ind w:right="180" w:firstLine="568"/>
        <w:spacing w:after="0" w:line="192" w:lineRule="exact"/>
        <w:rPr>
          <w:sz w:val="20"/>
          <w:szCs w:val="20"/>
          <w:color w:val="auto"/>
        </w:rPr>
      </w:pPr>
      <w:r>
        <w:rPr>
          <w:rFonts w:ascii="Arial" w:cs="Arial" w:eastAsia="Arial" w:hAnsi="Arial"/>
          <w:sz w:val="15"/>
          <w:szCs w:val="15"/>
          <w:color w:val="auto"/>
        </w:rPr>
        <w:t>Our activities in U.S. equities are both self</w:t>
      </w:r>
      <w:r>
        <w:rPr>
          <w:rFonts w:ascii="MS PGothic" w:cs="MS PGothic" w:eastAsia="MS PGothic" w:hAnsi="MS PGothic"/>
          <w:sz w:val="15"/>
          <w:szCs w:val="15"/>
          <w:color w:val="auto"/>
        </w:rPr>
        <w:t>‑</w:t>
      </w:r>
      <w:r>
        <w:rPr>
          <w:rFonts w:ascii="Arial" w:cs="Arial" w:eastAsia="Arial" w:hAnsi="Arial"/>
          <w:sz w:val="15"/>
          <w:szCs w:val="15"/>
          <w:color w:val="auto"/>
        </w:rPr>
        <w:t>cleared and rely on fully-disclosed clearing arrangements with third-party clearing firms. We are a full clearing member of the National Securities Clearing Corporation (“NSCC”) and the Depository Trust &amp; Clearing Corporation (“DTCC”). We use the services of prime brokers, primarily in other asset classes, who provide us direct market access to markets and often cross</w:t>
      </w:r>
      <w:r>
        <w:rPr>
          <w:rFonts w:ascii="MS PGothic" w:cs="MS PGothic" w:eastAsia="MS PGothic" w:hAnsi="MS PGothic"/>
          <w:sz w:val="15"/>
          <w:szCs w:val="15"/>
          <w:color w:val="auto"/>
        </w:rPr>
        <w:t>‑</w:t>
      </w:r>
      <w:r>
        <w:rPr>
          <w:rFonts w:ascii="Arial" w:cs="Arial" w:eastAsia="Arial" w:hAnsi="Arial"/>
          <w:sz w:val="15"/>
          <w:szCs w:val="15"/>
          <w:color w:val="auto"/>
        </w:rPr>
        <w:t>margining and margin financing in return for execution and clearing fees. We continually monitor the credit quality of our prime brokers and rely on large multinational banks for most of our execution and clearing needs globally.</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energy, commodities and currency market making and trading activities are primarily conducted through Virtu Financial Global Markets LLC.</w:t>
      </w:r>
    </w:p>
    <w:p>
      <w:pPr>
        <w:spacing w:after="0" w:line="219" w:lineRule="exact"/>
        <w:rPr>
          <w:sz w:val="20"/>
          <w:szCs w:val="20"/>
          <w:color w:val="auto"/>
        </w:rPr>
      </w:pPr>
    </w:p>
    <w:p>
      <w:pPr>
        <w:ind w:right="40" w:firstLine="568"/>
        <w:spacing w:after="0" w:line="297" w:lineRule="auto"/>
        <w:rPr>
          <w:sz w:val="20"/>
          <w:szCs w:val="20"/>
          <w:color w:val="auto"/>
        </w:rPr>
      </w:pPr>
      <w:r>
        <w:rPr>
          <w:rFonts w:ascii="Arial" w:cs="Arial" w:eastAsia="Arial" w:hAnsi="Arial"/>
          <w:sz w:val="14"/>
          <w:szCs w:val="14"/>
          <w:color w:val="auto"/>
        </w:rPr>
        <w:t>We conduct our European, Middle Eastern and African (“EMEA”) market making activities from Dublin and through our subsidiary Virtu Financial Ireland Limited ("VFIL"), which is authorized as an “Investment Firm” with the CBI. VFIL maintains a branch office in London. We conduct our EMEA execution services trading activity from Dublin, London, and Paris through our subsidiary Virtu ITG Europe Limited ("VIEL"). VIEL is authorized and regulated by the CBI as an “Investment Firm” and maintains branch offices in London and Paris. The London branch offices of VFIL and VIEL currently utilize the U.K. FCA's Temporary Permissions Regime and are therefore deemed to be authorized and regulated by the FCA. VIEL's Paris branch is registered with the Banque de France. VIEL also operates a multi-lateral trading facility (“MTF”) in</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798" w:right="339" w:bottom="1440" w:gutter="0" w:footer="0" w:header="0"/>
        </w:sectPr>
      </w:pPr>
    </w:p>
    <w:bookmarkStart w:id="11" w:name="page12"/>
    <w:bookmarkEnd w:id="11"/>
    <w:p>
      <w:pPr>
        <w:spacing w:after="0"/>
        <w:rPr>
          <w:sz w:val="20"/>
          <w:szCs w:val="20"/>
          <w:color w:val="auto"/>
        </w:rPr>
      </w:pPr>
      <w:r>
        <w:rPr>
          <w:rFonts w:ascii="Arial" w:cs="Arial" w:eastAsia="Arial" w:hAnsi="Arial"/>
          <w:sz w:val="15"/>
          <w:szCs w:val="15"/>
          <w:color w:val="auto"/>
        </w:rPr>
        <w:t>Ireland and Virtu ITG UK Limited ("VIUK"), a U.K. investment firm, operates a MTF in the U.K. VIUK is an investment firm which is authorized and regulated by the FCA.</w:t>
      </w:r>
    </w:p>
    <w:p>
      <w:pPr>
        <w:spacing w:after="0" w:line="230" w:lineRule="exact"/>
        <w:rPr>
          <w:sz w:val="20"/>
          <w:szCs w:val="20"/>
          <w:color w:val="auto"/>
        </w:rPr>
      </w:pPr>
    </w:p>
    <w:p>
      <w:pPr>
        <w:ind w:right="120" w:firstLine="568"/>
        <w:spacing w:after="0" w:line="270" w:lineRule="auto"/>
        <w:rPr>
          <w:sz w:val="20"/>
          <w:szCs w:val="20"/>
          <w:color w:val="auto"/>
        </w:rPr>
      </w:pPr>
      <w:r>
        <w:rPr>
          <w:rFonts w:ascii="Arial" w:cs="Arial" w:eastAsia="Arial" w:hAnsi="Arial"/>
          <w:sz w:val="15"/>
          <w:szCs w:val="15"/>
          <w:color w:val="auto"/>
        </w:rPr>
        <w:t>We conduct our APAC market making, including most of our cryptocurrency market making activity from Singapore and through our Singapore subsidiary, Virtu Financial Singapore Pte. Ltd. Virtu Financial Singapore Pte. Ltd. is registered with the MAS for an investment incentive arrangement. We conduct our APAC execution services trading activity from Singapore, Hong Kong, and Australia through our subsidiaries Virtu ITG Singapore Pte. Limited, Virtu ITG Hong Kong Limited, and Virtu ITG Australia Limited. Virtu ITG Singapore Pte. Limited is a holder of a Capital Markets Services License from the MAS, which is its principal regulator. Virtu ITG Hong Kong Limited is a participating organization of the Hong Kong Stock Exchange and a holder of a securities dealer’s license issued by the SFC, which is its principal regulator. Virtu ITG Australia Limited is a market participant of the Australian Securities Exchange (“ASX”) and Chi-X Australia Limited, and is also a holder of an Australian Financial Services License issued by the ASIC. Virtu ITG Australia Limited’s principal regulators are the ASX and ASIC.</w:t>
      </w:r>
    </w:p>
    <w:p>
      <w:pPr>
        <w:spacing w:after="0" w:line="181" w:lineRule="exact"/>
        <w:rPr>
          <w:sz w:val="20"/>
          <w:szCs w:val="20"/>
          <w:color w:val="auto"/>
        </w:rPr>
      </w:pPr>
    </w:p>
    <w:p>
      <w:pPr>
        <w:ind w:right="200" w:firstLine="568"/>
        <w:spacing w:after="0" w:line="191" w:lineRule="exact"/>
        <w:rPr>
          <w:sz w:val="20"/>
          <w:szCs w:val="20"/>
          <w:color w:val="auto"/>
        </w:rPr>
      </w:pPr>
      <w:r>
        <w:rPr>
          <w:rFonts w:ascii="Arial" w:cs="Arial" w:eastAsia="Arial" w:hAnsi="Arial"/>
          <w:sz w:val="16"/>
          <w:szCs w:val="16"/>
          <w:color w:val="auto"/>
        </w:rPr>
        <w:t>Our Canadian market making activities are conducted through our subsidiary Virtu Financial Canada ULC. Virtu Financial Canada ULC is a Canadian broker</w:t>
      </w:r>
      <w:r>
        <w:rPr>
          <w:rFonts w:ascii="MS PGothic" w:cs="MS PGothic" w:eastAsia="MS PGothic" w:hAnsi="MS PGothic"/>
          <w:sz w:val="16"/>
          <w:szCs w:val="16"/>
          <w:color w:val="auto"/>
        </w:rPr>
        <w:t>‑</w:t>
      </w:r>
      <w:r>
        <w:rPr>
          <w:rFonts w:ascii="Arial" w:cs="Arial" w:eastAsia="Arial" w:hAnsi="Arial"/>
          <w:sz w:val="16"/>
          <w:szCs w:val="16"/>
          <w:color w:val="auto"/>
        </w:rPr>
        <w:t>dealer registered as an investment dealer with the IIROC. Our Canadian execution services trading activities are conducted through our subsidiary Virtu ITG Canada Corp. Virtu ITG Canada Corp. is a Canadian broker</w:t>
      </w:r>
      <w:r>
        <w:rPr>
          <w:rFonts w:ascii="MS PGothic" w:cs="MS PGothic" w:eastAsia="MS PGothic" w:hAnsi="MS PGothic"/>
          <w:sz w:val="16"/>
          <w:szCs w:val="16"/>
          <w:color w:val="auto"/>
        </w:rPr>
        <w:t>‑</w:t>
      </w:r>
      <w:r>
        <w:rPr>
          <w:rFonts w:ascii="Arial" w:cs="Arial" w:eastAsia="Arial" w:hAnsi="Arial"/>
          <w:sz w:val="16"/>
          <w:szCs w:val="16"/>
          <w:color w:val="auto"/>
        </w:rPr>
        <w:t>dealer registered as an investment dealer with IIROC, Ontario Securities Commission (“OSC”), the Autorité Des Marchés Financiers in Quebec, Alberta Securities Commission (“ASC”), British Columbia Securities Commission, Manitoba Securities Commission, New Brunswick Securities Commission, Nova Scotia Securities Commission and Saskatchewan Financial Services Commission. Virtu ITG Canada Corp. is also registered as a Futures Commission Merchant in Ontario and Manitoba and Derivatives Dealer in Quebec.</w:t>
      </w:r>
    </w:p>
    <w:p>
      <w:pPr>
        <w:spacing w:after="0" w:line="204" w:lineRule="exact"/>
        <w:rPr>
          <w:sz w:val="20"/>
          <w:szCs w:val="20"/>
          <w:color w:val="auto"/>
        </w:rPr>
      </w:pPr>
    </w:p>
    <w:p>
      <w:pPr>
        <w:ind w:left="560"/>
        <w:spacing w:after="0"/>
        <w:rPr>
          <w:sz w:val="20"/>
          <w:szCs w:val="20"/>
          <w:color w:val="auto"/>
        </w:rPr>
      </w:pPr>
      <w:r>
        <w:rPr>
          <w:rFonts w:ascii="Arial" w:cs="Arial" w:eastAsia="Arial" w:hAnsi="Arial"/>
          <w:sz w:val="14"/>
          <w:szCs w:val="14"/>
          <w:color w:val="auto"/>
        </w:rPr>
        <w:t>Most aspects of our business are subject to regulation under federal, state and foreign laws and regulations, as well as the rules of the various self-regulatory organization</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(“SROs”) of which our broker-dealer subsidiaries are members. The SEC, FINRA, CFTC, NFA, U.S. state securities regulators, the European Securities and Markets Authority</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(“ESMA”) in the European Union, the CBI in Ireland, FCA in the U.K., Banque de France in France, MAS in Singapore, SFC in Hong Kong, ASX and ASIC in Australia,</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IIROC and OSC in Canada, other SROs and other U.S. and foreign governmental regulatory bodies promulgate numerous rules and regulations that may impact our business. As</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a matter of public policy, regulatory bodies are charged with safeguarding the integrity of the securities and other financial markets and with protecting the interests of investors</w:t>
      </w:r>
    </w:p>
    <w:p>
      <w:pPr>
        <w:spacing w:after="0" w:line="28" w:lineRule="exact"/>
        <w:rPr>
          <w:sz w:val="20"/>
          <w:szCs w:val="20"/>
          <w:color w:val="auto"/>
        </w:rPr>
      </w:pPr>
    </w:p>
    <w:p>
      <w:pPr>
        <w:spacing w:after="0" w:line="173" w:lineRule="exact"/>
        <w:rPr>
          <w:sz w:val="20"/>
          <w:szCs w:val="20"/>
          <w:color w:val="auto"/>
        </w:rPr>
      </w:pPr>
      <w:r>
        <w:rPr>
          <w:rFonts w:ascii="Arial" w:cs="Arial" w:eastAsia="Arial" w:hAnsi="Arial"/>
          <w:sz w:val="15"/>
          <w:szCs w:val="15"/>
          <w:color w:val="auto"/>
        </w:rPr>
        <w:t>in those markets, including, but not limited to, trading practices, order handling, best execution practices, anti</w:t>
      </w:r>
      <w:r>
        <w:rPr>
          <w:rFonts w:ascii="MS PGothic" w:cs="MS PGothic" w:eastAsia="MS PGothic" w:hAnsi="MS PGothic"/>
          <w:sz w:val="15"/>
          <w:szCs w:val="15"/>
          <w:color w:val="auto"/>
        </w:rPr>
        <w:t>‑</w:t>
      </w:r>
      <w:r>
        <w:rPr>
          <w:rFonts w:ascii="Arial" w:cs="Arial" w:eastAsia="Arial" w:hAnsi="Arial"/>
          <w:sz w:val="15"/>
          <w:szCs w:val="15"/>
          <w:color w:val="auto"/>
        </w:rPr>
        <w:t>money laundering and financial crimes, handling of material</w:t>
      </w:r>
    </w:p>
    <w:p>
      <w:pPr>
        <w:spacing w:after="0" w:line="17" w:lineRule="exact"/>
        <w:rPr>
          <w:sz w:val="20"/>
          <w:szCs w:val="20"/>
          <w:color w:val="auto"/>
        </w:rPr>
      </w:pPr>
    </w:p>
    <w:p>
      <w:pPr>
        <w:spacing w:after="0" w:line="161" w:lineRule="exact"/>
        <w:rPr>
          <w:sz w:val="20"/>
          <w:szCs w:val="20"/>
          <w:color w:val="auto"/>
        </w:rPr>
      </w:pPr>
      <w:r>
        <w:rPr>
          <w:rFonts w:ascii="Arial" w:cs="Arial" w:eastAsia="Arial" w:hAnsi="Arial"/>
          <w:sz w:val="14"/>
          <w:szCs w:val="14"/>
          <w:color w:val="auto"/>
        </w:rPr>
        <w:t>non</w:t>
      </w:r>
      <w:r>
        <w:rPr>
          <w:rFonts w:ascii="MS PGothic" w:cs="MS PGothic" w:eastAsia="MS PGothic" w:hAnsi="MS PGothic"/>
          <w:sz w:val="14"/>
          <w:szCs w:val="14"/>
          <w:color w:val="auto"/>
        </w:rPr>
        <w:t>‑</w:t>
      </w:r>
      <w:r>
        <w:rPr>
          <w:rFonts w:ascii="Arial" w:cs="Arial" w:eastAsia="Arial" w:hAnsi="Arial"/>
          <w:sz w:val="14"/>
          <w:szCs w:val="14"/>
          <w:color w:val="auto"/>
        </w:rPr>
        <w:t>public information, safeguarding data, compliance with exchange and clearinghouse rules, capital adequacy, customer protection, reporting, record retention, market access</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and the conduct of officers, employees and other associated persons.</w:t>
      </w:r>
    </w:p>
    <w:p>
      <w:pPr>
        <w:spacing w:after="0" w:line="207" w:lineRule="exact"/>
        <w:rPr>
          <w:sz w:val="20"/>
          <w:szCs w:val="20"/>
          <w:color w:val="auto"/>
        </w:rPr>
      </w:pPr>
    </w:p>
    <w:p>
      <w:pPr>
        <w:ind w:right="440" w:firstLine="568"/>
        <w:spacing w:after="0" w:line="192" w:lineRule="exact"/>
        <w:rPr>
          <w:sz w:val="20"/>
          <w:szCs w:val="20"/>
          <w:color w:val="auto"/>
        </w:rPr>
      </w:pPr>
      <w:r>
        <w:rPr>
          <w:rFonts w:ascii="Arial" w:cs="Arial" w:eastAsia="Arial" w:hAnsi="Arial"/>
          <w:sz w:val="15"/>
          <w:szCs w:val="15"/>
          <w:color w:val="auto"/>
        </w:rPr>
        <w:t>Rulemaking by these and other regulators (foreign and domestic), including resulting market structure changes, has had an impact on our regulated subsidiaries by directly affecting our method of operation and, at times, our profitability. Legislation can impose, and has imposed, significant obligations on broker</w:t>
      </w:r>
      <w:r>
        <w:rPr>
          <w:rFonts w:ascii="MS PGothic" w:cs="MS PGothic" w:eastAsia="MS PGothic" w:hAnsi="MS PGothic"/>
          <w:sz w:val="15"/>
          <w:szCs w:val="15"/>
          <w:color w:val="auto"/>
        </w:rPr>
        <w:t>‑</w:t>
      </w:r>
      <w:r>
        <w:rPr>
          <w:rFonts w:ascii="Arial" w:cs="Arial" w:eastAsia="Arial" w:hAnsi="Arial"/>
          <w:sz w:val="15"/>
          <w:szCs w:val="15"/>
          <w:color w:val="auto"/>
        </w:rPr>
        <w:t>dealers, including our regulated subsidiaries. These increased obligations require the implementation and maintenance of internal practices, procedures and controls, and the need for additional employee resources, and have increased our costs, and may subject us to government and regulatory inquiries, claims or penalties. Changes in market structure can also necessitate restructuring our operations for compliance in certain jurisdictions which has cost implications.</w:t>
      </w:r>
    </w:p>
    <w:p>
      <w:pPr>
        <w:spacing w:after="0" w:line="204" w:lineRule="exact"/>
        <w:rPr>
          <w:sz w:val="20"/>
          <w:szCs w:val="20"/>
          <w:color w:val="auto"/>
        </w:rPr>
      </w:pPr>
    </w:p>
    <w:p>
      <w:pPr>
        <w:ind w:left="560"/>
        <w:spacing w:after="0"/>
        <w:rPr>
          <w:sz w:val="20"/>
          <w:szCs w:val="20"/>
          <w:color w:val="auto"/>
        </w:rPr>
      </w:pPr>
      <w:r>
        <w:rPr>
          <w:rFonts w:ascii="Arial" w:cs="Arial" w:eastAsia="Arial" w:hAnsi="Arial"/>
          <w:sz w:val="14"/>
          <w:szCs w:val="14"/>
          <w:color w:val="auto"/>
        </w:rPr>
        <w:t>Failure to comply with any laws, rules or regulations could result in administrative or court proceedings, censures, fines, penalties, judgments, disgorgement, restitution</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and censures, suspension or expulsion from a certain jurisdiction, SRO or market, the revocation or limitation of licenses and/or business activities, the issuance of</w:t>
      </w:r>
    </w:p>
    <w:p>
      <w:pPr>
        <w:spacing w:after="0" w:line="17" w:lineRule="exact"/>
        <w:rPr>
          <w:sz w:val="20"/>
          <w:szCs w:val="20"/>
          <w:color w:val="auto"/>
        </w:rPr>
      </w:pPr>
    </w:p>
    <w:p>
      <w:pPr>
        <w:spacing w:after="0" w:line="161" w:lineRule="exact"/>
        <w:rPr>
          <w:sz w:val="20"/>
          <w:szCs w:val="20"/>
          <w:color w:val="auto"/>
        </w:rPr>
      </w:pPr>
      <w:r>
        <w:rPr>
          <w:rFonts w:ascii="Arial" w:cs="Arial" w:eastAsia="Arial" w:hAnsi="Arial"/>
          <w:sz w:val="14"/>
          <w:szCs w:val="14"/>
          <w:color w:val="auto"/>
        </w:rPr>
        <w:t>cease</w:t>
      </w:r>
      <w:r>
        <w:rPr>
          <w:rFonts w:ascii="MS PGothic" w:cs="MS PGothic" w:eastAsia="MS PGothic" w:hAnsi="MS PGothic"/>
          <w:sz w:val="14"/>
          <w:szCs w:val="14"/>
          <w:color w:val="auto"/>
        </w:rPr>
        <w:t>‑</w:t>
      </w:r>
      <w:r>
        <w:rPr>
          <w:rFonts w:ascii="Arial" w:cs="Arial" w:eastAsia="Arial" w:hAnsi="Arial"/>
          <w:sz w:val="14"/>
          <w:szCs w:val="14"/>
          <w:color w:val="auto"/>
        </w:rPr>
        <w:t>and</w:t>
      </w:r>
      <w:r>
        <w:rPr>
          <w:rFonts w:ascii="MS PGothic" w:cs="MS PGothic" w:eastAsia="MS PGothic" w:hAnsi="MS PGothic"/>
          <w:sz w:val="14"/>
          <w:szCs w:val="14"/>
          <w:color w:val="auto"/>
        </w:rPr>
        <w:t>‑</w:t>
      </w:r>
      <w:r>
        <w:rPr>
          <w:rFonts w:ascii="Arial" w:cs="Arial" w:eastAsia="Arial" w:hAnsi="Arial"/>
          <w:sz w:val="14"/>
          <w:szCs w:val="14"/>
          <w:color w:val="auto"/>
        </w:rPr>
        <w:t>desist orders or injunctions or the suspension or disqualification of the entity and/or its officers, employees or other associated persons. From time to time, we are the</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subject of requests for information and documents from the SEC, FINRA and other regulators which could lead to administrative or court proceedings. It is our practice to</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cooperate and comply with the requests for information and documents. Regulatory inquiries can require substantial expenditures of time and money and can have an adverse</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impact on our reputation, customer relationship and profitability.</w:t>
      </w:r>
    </w:p>
    <w:p>
      <w:pPr>
        <w:spacing w:after="0" w:line="207" w:lineRule="exact"/>
        <w:rPr>
          <w:sz w:val="20"/>
          <w:szCs w:val="20"/>
          <w:color w:val="auto"/>
        </w:rPr>
      </w:pPr>
    </w:p>
    <w:p>
      <w:pPr>
        <w:ind w:right="40" w:firstLine="568"/>
        <w:spacing w:after="0" w:line="192" w:lineRule="exact"/>
        <w:rPr>
          <w:sz w:val="20"/>
          <w:szCs w:val="20"/>
          <w:color w:val="auto"/>
        </w:rPr>
      </w:pPr>
      <w:r>
        <w:rPr>
          <w:rFonts w:ascii="Arial" w:cs="Arial" w:eastAsia="Arial" w:hAnsi="Arial"/>
          <w:sz w:val="14"/>
          <w:szCs w:val="14"/>
          <w:color w:val="auto"/>
        </w:rPr>
        <w:t>The regulatory environment in which we operate is subject to constant change. Our business, financial condition and operating results may also be adversely affected as a result of new or revised legislation or regulations imposed by the U.S. Congress, foreign legislative bodies, state securities regulators, U.S. and foreign governmental regulatory bodies and SROs. Additional regulations, changes in existing laws and rules, or changes in interpretations or enforcement of existing laws and rules often directly affect the method of operation and profitability of regulated broker</w:t>
      </w:r>
      <w:r>
        <w:rPr>
          <w:rFonts w:ascii="MS PGothic" w:cs="MS PGothic" w:eastAsia="MS PGothic" w:hAnsi="MS PGothic"/>
          <w:sz w:val="14"/>
          <w:szCs w:val="14"/>
          <w:color w:val="auto"/>
        </w:rPr>
        <w:t>‑</w:t>
      </w:r>
      <w:r>
        <w:rPr>
          <w:rFonts w:ascii="Arial" w:cs="Arial" w:eastAsia="Arial" w:hAnsi="Arial"/>
          <w:sz w:val="14"/>
          <w:szCs w:val="14"/>
          <w:color w:val="auto"/>
        </w:rPr>
        <w:t>dealers. We cannot predict what effect, if any, future legislative or regulatory changes might have. However, there have been in the past, and could be in the future, significant technological, operational and compliance costs associated with the obligations which derive from compliance with</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802" w:right="319" w:bottom="1440" w:gutter="0" w:footer="0" w:header="0"/>
        </w:sectPr>
      </w:pPr>
    </w:p>
    <w:bookmarkStart w:id="12" w:name="page13"/>
    <w:bookmarkEnd w:id="12"/>
    <w:p>
      <w:pPr>
        <w:ind w:right="180"/>
        <w:spacing w:after="0" w:line="302" w:lineRule="auto"/>
        <w:rPr>
          <w:sz w:val="20"/>
          <w:szCs w:val="20"/>
          <w:color w:val="auto"/>
        </w:rPr>
      </w:pPr>
      <w:r>
        <w:rPr>
          <w:rFonts w:ascii="Arial" w:cs="Arial" w:eastAsia="Arial" w:hAnsi="Arial"/>
          <w:sz w:val="14"/>
          <w:szCs w:val="14"/>
          <w:color w:val="auto"/>
        </w:rPr>
        <w:t>such regulations. Regulators may propose market structure changes particularly considering the continued regulatory, congressional and media scrutiny of U.S. equities market structure, the retail trading environment in the U.S., wholesale market making and the relationships between retail broker-dealers and market making firms, including but not limited to payment for order flow arrangements, other remuneration arrangements such as profit-sharing relationships and exchange fee and rebate structures, ATSs and off-exchange trading more generally, high frequency trading, short selling, market fragmentation, colocation, and access to market data feeds.</w:t>
      </w:r>
    </w:p>
    <w:p>
      <w:pPr>
        <w:spacing w:after="0" w:line="149" w:lineRule="exact"/>
        <w:rPr>
          <w:sz w:val="20"/>
          <w:szCs w:val="20"/>
          <w:color w:val="auto"/>
        </w:rPr>
      </w:pPr>
    </w:p>
    <w:p>
      <w:pPr>
        <w:ind w:firstLine="568"/>
        <w:spacing w:after="0" w:line="256" w:lineRule="auto"/>
        <w:rPr>
          <w:sz w:val="20"/>
          <w:szCs w:val="20"/>
          <w:color w:val="auto"/>
        </w:rPr>
      </w:pPr>
      <w:r>
        <w:rPr>
          <w:rFonts w:ascii="Arial" w:cs="Arial" w:eastAsia="Arial" w:hAnsi="Arial"/>
          <w:sz w:val="14"/>
          <w:szCs w:val="14"/>
          <w:color w:val="auto"/>
        </w:rPr>
        <w:t>The SEC and other SROs have enacted and are actively considering rules that may affect our operations and profitability. Among these potential changes are bans on payment for order flow; changes to Regulation NMS that would alter the market structure for NMS securities in ways that would disfavor the current competing market center model and lessen the amount of volume executed off exchange in favor of a central limit order book model or other centralized model for order interaction; and revisions to SEC Rule 3b-16, Regulation ATS, and Regulation SCI. These potential changes would increase the number of technology platforms that meet the definition of an exchange and would then be required to register as an exchange or alternatively operate as an ATS, and/or operate under the more complex and costly Regulation SCI regime. Proposed changes to Regulation ATS would revise the format of Form ATS required to be filed and would impose additional disclosures and costs to rewrite and refile those forms. These changes and others may impose additional technological, operational and compliance costs on us and creates uncertainty with regard to their effects.</w:t>
      </w:r>
    </w:p>
    <w:p>
      <w:pPr>
        <w:spacing w:after="0" w:line="183" w:lineRule="exact"/>
        <w:rPr>
          <w:sz w:val="20"/>
          <w:szCs w:val="20"/>
          <w:color w:val="auto"/>
        </w:rPr>
      </w:pPr>
    </w:p>
    <w:p>
      <w:pPr>
        <w:ind w:firstLine="568"/>
        <w:spacing w:after="0" w:line="192" w:lineRule="exact"/>
        <w:rPr>
          <w:sz w:val="20"/>
          <w:szCs w:val="20"/>
          <w:color w:val="auto"/>
        </w:rPr>
      </w:pPr>
      <w:r>
        <w:rPr>
          <w:rFonts w:ascii="Arial" w:cs="Arial" w:eastAsia="Arial" w:hAnsi="Arial"/>
          <w:sz w:val="16"/>
          <w:szCs w:val="16"/>
          <w:color w:val="auto"/>
        </w:rPr>
        <w:t>On July 21, 2010, the Dodd</w:t>
      </w:r>
      <w:r>
        <w:rPr>
          <w:rFonts w:ascii="MS PGothic" w:cs="MS PGothic" w:eastAsia="MS PGothic" w:hAnsi="MS PGothic"/>
          <w:sz w:val="16"/>
          <w:szCs w:val="16"/>
          <w:color w:val="auto"/>
        </w:rPr>
        <w:t>‑</w:t>
      </w:r>
      <w:r>
        <w:rPr>
          <w:rFonts w:ascii="Arial" w:cs="Arial" w:eastAsia="Arial" w:hAnsi="Arial"/>
          <w:sz w:val="16"/>
          <w:szCs w:val="16"/>
          <w:color w:val="auto"/>
        </w:rPr>
        <w:t>Frank Act was enacted in the U.S. Implementation of the Dodd</w:t>
      </w:r>
      <w:r>
        <w:rPr>
          <w:rFonts w:ascii="MS PGothic" w:cs="MS PGothic" w:eastAsia="MS PGothic" w:hAnsi="MS PGothic"/>
          <w:sz w:val="16"/>
          <w:szCs w:val="16"/>
          <w:color w:val="auto"/>
        </w:rPr>
        <w:t>‑</w:t>
      </w:r>
      <w:r>
        <w:rPr>
          <w:rFonts w:ascii="Arial" w:cs="Arial" w:eastAsia="Arial" w:hAnsi="Arial"/>
          <w:sz w:val="16"/>
          <w:szCs w:val="16"/>
          <w:color w:val="auto"/>
        </w:rPr>
        <w:t>Frank Act has been accomplished through extensive rulemaking by the SEC, the CFTC and other governmental agencies. The Dodd</w:t>
      </w:r>
      <w:r>
        <w:rPr>
          <w:rFonts w:ascii="MS PGothic" w:cs="MS PGothic" w:eastAsia="MS PGothic" w:hAnsi="MS PGothic"/>
          <w:sz w:val="16"/>
          <w:szCs w:val="16"/>
          <w:color w:val="auto"/>
        </w:rPr>
        <w:t>‑</w:t>
      </w:r>
      <w:r>
        <w:rPr>
          <w:rFonts w:ascii="Arial" w:cs="Arial" w:eastAsia="Arial" w:hAnsi="Arial"/>
          <w:sz w:val="16"/>
          <w:szCs w:val="16"/>
          <w:color w:val="auto"/>
        </w:rPr>
        <w:t>Frank Act includes the “Volcker Rule,” which significantly limits the ability of banks and their affiliates to engage in proprietary trading, and Title VII, which provides a framework for the regulation of the swap markets. One of our subsidiaries is registered with the CFTC as a floor trader, and is exempt from registration as a swap dealer based on its current activity. Registration as a swap dealer would subject our subsidiary to various requirements, including those related to capital, conduct, and reporting.</w:t>
      </w:r>
    </w:p>
    <w:p>
      <w:pPr>
        <w:spacing w:after="0" w:line="190" w:lineRule="exact"/>
        <w:rPr>
          <w:sz w:val="20"/>
          <w:szCs w:val="20"/>
          <w:color w:val="auto"/>
        </w:rPr>
      </w:pPr>
    </w:p>
    <w:p>
      <w:pPr>
        <w:ind w:right="20" w:firstLine="568"/>
        <w:spacing w:after="0" w:line="249" w:lineRule="auto"/>
        <w:rPr>
          <w:sz w:val="20"/>
          <w:szCs w:val="20"/>
          <w:color w:val="auto"/>
        </w:rPr>
      </w:pPr>
      <w:r>
        <w:rPr>
          <w:rFonts w:ascii="Arial" w:cs="Arial" w:eastAsia="Arial" w:hAnsi="Arial"/>
          <w:sz w:val="14"/>
          <w:szCs w:val="14"/>
          <w:color w:val="auto"/>
        </w:rPr>
        <w:t>We have foreign subsidiaries and plan to continue to expand our international presence. The market making and execution services industry in many foreign countries is heavily regulated, much like in the U.S. The varying compliance requirements of these different regulatory jurisdictions and other factors may limit our ability to conduct business or expand internationally. MiFID II represented significant change in the operation of European capital markets and became effective on January 3, 2018. MiFID II introduced requirements for increased pre- and post-trade transparency, technological and organizational requirements for firms deploying algorithmic trading techniques, restrictions on dark trading, and the roll out of a new bi-lateral OTC equity trading regime called the Systematic Internaliser regime. MiFID II contains detailed rules as to the types of platform upon which European equities trading can be conducted, including Regulated Markets, MTFs, Organized Trading Facilities, Systematic Internalisers or equivalent third country venues. MiFID II also requires market makers, such as VFIL, to post firm quotes at competitive prices and contains supplemental requirements with regards to investment firms’ pre-trade risk controls relating to the safe operation of electronic systems. MiFID II also imposed additional requirements on trading platforms, such as additional technological requirements, clock synchronization, microsecond processing granularity, pre-trade risk controls, transaction reporting requirements and limits on the ratio of unexecuted orders to trades. The MiFID II regime is currently under review, with European Union authorities proposing to make further changes to the regime. Various consultation papers have been published on different aspects of the MiFID II regime, including, on February 4, 2020, an ESMA Consultation Paper entitled “MiFID II/MiFIR Review Report on the Transparency Regime for Equity and Equity-like Instruments, the Double Volume Cap Mechanism and the Trading Obligations for Shares”, on February 17, 2020, a European Commission public consultation on the review of the MiFIDII/MiFIR regulatory framework and on December 18, 2020 an ESMA Consultation Paper entitled "MiFID II/MiFIR Review Report on Algorithmic Trading". In its communication on “The European economic and financial system: fostering openness, strength and resilience” of January 19, 2021, the European Commission confirmed its intention to propose to make changes with a view to improving simplifying and further harmonizing capital markets’ transparency as part of the review of the MiFID II and MiFIR framework. On November 25, 2021, the European Commission published a “Proposal for a Directive of the European Parliament and of the Council amending Directive 2014/65/EU on markets in financial instruments” which is currently under comment from the E.U. Member States. Further, in light of the U.K.'s withdrawal of its membership from the E.U., which is commonly referred to as "Brexit", the passporting regime under MiFID II, which enables firms to provide services to countries across the E.U., no longer encompasses the U.K. VFIL and VIEL continue to service U.K. clients by means of their London branches, however, in light of Brexit, these branches operate in the U.K. not on the basis of MiFID II passporting rights, but on the basis of the U.K. FCA's Temporary Permissions Regime, pursuant to which the London branches of VFIL and VIEL are deemed to be authorized and regulated by the FCA. The U.K. FCA’s Temporary Permissions Regime is due to come to an end at the end of 2022. During the course of 2022, VIEL and VFIL will go through an authorization process with the FCA to secure the appropriate authorizations under the prevailing U.K. regulatory framework to seek to ensure the long-term operational footprint of VIEL and VFIL’s branches in the U.K.</w:t>
      </w:r>
    </w:p>
    <w:p>
      <w:pPr>
        <w:spacing w:after="0" w:line="195" w:lineRule="exact"/>
        <w:rPr>
          <w:sz w:val="20"/>
          <w:szCs w:val="20"/>
          <w:color w:val="auto"/>
        </w:rPr>
      </w:pPr>
    </w:p>
    <w:p>
      <w:pPr>
        <w:ind w:firstLine="568"/>
        <w:spacing w:after="0" w:line="268" w:lineRule="auto"/>
        <w:rPr>
          <w:sz w:val="20"/>
          <w:szCs w:val="20"/>
          <w:color w:val="auto"/>
        </w:rPr>
      </w:pPr>
      <w:r>
        <w:rPr>
          <w:rFonts w:ascii="Arial" w:cs="Arial" w:eastAsia="Arial" w:hAnsi="Arial"/>
          <w:sz w:val="16"/>
          <w:szCs w:val="16"/>
          <w:color w:val="auto"/>
        </w:rPr>
        <w:t>Each of these legislative and regulatory requirements imposes additional technological, operational and compliance costs on us. New laws, rules or regulations as well as any regulatory or legal actions or proceedings, changes in legislation or</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802" w:right="339" w:bottom="1440" w:gutter="0" w:footer="0" w:header="0"/>
        </w:sectPr>
      </w:pPr>
    </w:p>
    <w:bookmarkStart w:id="13" w:name="page14"/>
    <w:bookmarkEnd w:id="13"/>
    <w:p>
      <w:pPr>
        <w:spacing w:after="0"/>
        <w:rPr>
          <w:sz w:val="20"/>
          <w:szCs w:val="20"/>
          <w:color w:val="auto"/>
        </w:rPr>
      </w:pPr>
      <w:r>
        <w:rPr>
          <w:rFonts w:ascii="Arial" w:cs="Arial" w:eastAsia="Arial" w:hAnsi="Arial"/>
          <w:sz w:val="15"/>
          <w:szCs w:val="15"/>
          <w:color w:val="auto"/>
        </w:rPr>
        <w:t>regulation and changes in market customs and practices could have a material adverse effect on our business, financial condition, results of operations, and cash flows.</w:t>
      </w:r>
    </w:p>
    <w:p>
      <w:pPr>
        <w:spacing w:after="0" w:line="218" w:lineRule="exact"/>
        <w:rPr>
          <w:sz w:val="20"/>
          <w:szCs w:val="20"/>
          <w:color w:val="auto"/>
        </w:rPr>
      </w:pPr>
    </w:p>
    <w:p>
      <w:pPr>
        <w:ind w:firstLine="568"/>
        <w:spacing w:after="0" w:line="171" w:lineRule="exact"/>
        <w:rPr>
          <w:sz w:val="20"/>
          <w:szCs w:val="20"/>
          <w:color w:val="auto"/>
        </w:rPr>
      </w:pPr>
      <w:r>
        <w:rPr>
          <w:rFonts w:ascii="Arial" w:cs="Arial" w:eastAsia="Arial" w:hAnsi="Arial"/>
          <w:sz w:val="16"/>
          <w:szCs w:val="16"/>
          <w:color w:val="auto"/>
        </w:rPr>
        <w:t>Certain of our subsidiaries are subject to regulatory capital rules of the SEC, FINRA, other SROs and foreign regulators. These rules, which specify minimum capital requirements for our regulated subsidiaries, are designed to measure the general financial integrity and liquidity of a broker</w:t>
      </w:r>
      <w:r>
        <w:rPr>
          <w:rFonts w:ascii="MS PGothic" w:cs="MS PGothic" w:eastAsia="MS PGothic" w:hAnsi="MS PGothic"/>
          <w:sz w:val="16"/>
          <w:szCs w:val="16"/>
          <w:color w:val="auto"/>
        </w:rPr>
        <w:t>‑</w:t>
      </w:r>
      <w:r>
        <w:rPr>
          <w:rFonts w:ascii="Arial" w:cs="Arial" w:eastAsia="Arial" w:hAnsi="Arial"/>
          <w:sz w:val="16"/>
          <w:szCs w:val="16"/>
          <w:color w:val="auto"/>
        </w:rPr>
        <w:t>dealer and require that at least a minimum part of its assets be kept in relatively liquid form. Failure to maintain required minimum capital may subject a regulated subsidiary to a fine, requirement to cease conducting business, suspension, revocation of registration or expulsion by applicable regulatory authorities, and ultimately could require the relevant entity’s liquidation. See “Item 1A. Risk Factors - Risks Related to Our Business - Non-compliance with applicable laws or regulatory requirements could subject us to sanctions and could negatively impact our reputation, prospects, revenues and earnings.”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History</w:t>
      </w:r>
    </w:p>
    <w:p>
      <w:pPr>
        <w:spacing w:after="0" w:line="223" w:lineRule="exact"/>
        <w:rPr>
          <w:sz w:val="20"/>
          <w:szCs w:val="20"/>
          <w:color w:val="auto"/>
        </w:rPr>
      </w:pPr>
    </w:p>
    <w:p>
      <w:pPr>
        <w:jc w:val="both"/>
        <w:ind w:right="80" w:firstLine="568"/>
        <w:spacing w:after="0" w:line="257" w:lineRule="auto"/>
        <w:rPr>
          <w:sz w:val="20"/>
          <w:szCs w:val="20"/>
          <w:color w:val="auto"/>
        </w:rPr>
      </w:pPr>
      <w:r>
        <w:rPr>
          <w:rFonts w:ascii="Arial" w:cs="Arial" w:eastAsia="Arial" w:hAnsi="Arial"/>
          <w:sz w:val="16"/>
          <w:szCs w:val="16"/>
          <w:color w:val="auto"/>
        </w:rPr>
        <w:t>We and our predecessors have been in the electronic trading and market making business for more than 15 years. We conduct our business through Virtu Financial LLC (“Virtu Financial”) and its subsidiaries. We completed our initial public offering (“IPO”) in April 2015, after which shares of our Class A common stock, par value $0.00001 per share (the “Class A Common Stock”) began trading on NASDAQ under the ticker symbol “VIRT.”</w:t>
      </w:r>
    </w:p>
    <w:p>
      <w:pPr>
        <w:spacing w:after="0" w:line="190" w:lineRule="exact"/>
        <w:rPr>
          <w:sz w:val="20"/>
          <w:szCs w:val="20"/>
          <w:color w:val="auto"/>
        </w:rPr>
      </w:pPr>
    </w:p>
    <w:p>
      <w:pPr>
        <w:ind w:firstLine="568"/>
        <w:spacing w:after="0" w:line="288" w:lineRule="auto"/>
        <w:rPr>
          <w:sz w:val="20"/>
          <w:szCs w:val="20"/>
          <w:color w:val="auto"/>
        </w:rPr>
      </w:pPr>
      <w:r>
        <w:rPr>
          <w:rFonts w:ascii="Arial" w:cs="Arial" w:eastAsia="Arial" w:hAnsi="Arial"/>
          <w:sz w:val="14"/>
          <w:szCs w:val="14"/>
          <w:color w:val="auto"/>
        </w:rPr>
        <w:t>Prior to our IPO, we completed a series of reorganization transactions (the “Reorganization Transactions”) pursuant to which, among other things, we acquired equity interests in Virtu Financial as a result of certain mergers involving wholly owned subsidiaries of ours, an affiliate of Silver Lake Partners and Temasek Holdings (Private) Limited (“Temasek”), and an affiliate of Temasek (the “Temasek Pre-IPO Member”) (the “Mergers”), and in exchange we issued to an affiliate of Silver Lake Partners (such affiliate, the “Silver Lake Post-IPO Stockholder”) and an affiliate of Temasek (such affiliate, the “Temasek Post-IPO Stockholder”, and together with the Silver Lake Post-IPO Stockholder, the “Investor Post-IPO Stockholders”), shares of our Class A Common Stock and rights to receive payments under a tax receivable agreement described below, we became the sole managing member of Virtu Financial, all of the existing equity interests in Virtu Financial were reclassified into non-voting common interest units (“Virtu Financial Units”), our certificate of incorporation was amended and restated to authorize the issuance of four classes of common stock: Class A Common Stock, Class B Common Stock (as defined below), Class C Common Stock (as defined below) and Class D Common Stock (as defined below), and the holders of Virtu Financial Units other than us subscribed for shares of Class C common stock, par value $0.00001 per share (the “Class C Common Stock”) or Class D common stock, par value $0.00001 per share (the “Class D Common Stock”) (in the case of the Founder Post-IPO Member, as defined below) in an amount equal to the number of Virtu Financial Units held by such member.</w:t>
      </w:r>
    </w:p>
    <w:p>
      <w:pPr>
        <w:spacing w:after="0" w:line="175" w:lineRule="exact"/>
        <w:rPr>
          <w:sz w:val="20"/>
          <w:szCs w:val="20"/>
          <w:color w:val="auto"/>
        </w:rPr>
      </w:pPr>
    </w:p>
    <w:p>
      <w:pPr>
        <w:ind w:right="40" w:firstLine="568"/>
        <w:spacing w:after="0" w:line="252" w:lineRule="auto"/>
        <w:rPr>
          <w:sz w:val="20"/>
          <w:szCs w:val="20"/>
          <w:color w:val="auto"/>
        </w:rPr>
      </w:pPr>
      <w:r>
        <w:rPr>
          <w:rFonts w:ascii="Arial" w:cs="Arial" w:eastAsia="Arial" w:hAnsi="Arial"/>
          <w:sz w:val="16"/>
          <w:szCs w:val="16"/>
          <w:color w:val="auto"/>
        </w:rPr>
        <w:t>The Class A Common Stock and Class C Common Stock each provide holders with one vote on all matters submitted to a vote of stockholders, and the Class B Common Stock, par value $0.00001 per share (the “Class B Common Stock”) and Class D Common Stock each provide holders with 10 votes on all matters submitted to a vote of stockholders. The holders of Class C Common Stock and Class D Common Stock do not have any of the economic rights (including rights to dividends and distributions upon liquidation) provided to holders of Class A Common Stock and Class B Common Stock. Shares of our common stock generally vote together as a single class on all matters submitted to a vote of our stockholders.</w:t>
      </w:r>
    </w:p>
    <w:p>
      <w:pPr>
        <w:spacing w:after="0" w:line="171" w:lineRule="exact"/>
        <w:rPr>
          <w:sz w:val="20"/>
          <w:szCs w:val="20"/>
          <w:color w:val="auto"/>
        </w:rPr>
      </w:pPr>
    </w:p>
    <w:p>
      <w:pPr>
        <w:ind w:firstLine="568"/>
        <w:spacing w:after="0" w:line="269" w:lineRule="auto"/>
        <w:rPr>
          <w:sz w:val="20"/>
          <w:szCs w:val="20"/>
          <w:color w:val="auto"/>
        </w:rPr>
      </w:pPr>
      <w:r>
        <w:rPr>
          <w:rFonts w:ascii="Arial" w:cs="Arial" w:eastAsia="Arial" w:hAnsi="Arial"/>
          <w:sz w:val="15"/>
          <w:szCs w:val="15"/>
          <w:color w:val="auto"/>
        </w:rPr>
        <w:t>As a result of the completion of the IPO, the Reorganization Transactions, the July 2017 Private Placement (as defined below), and certain other secondary offerings and permitted exchanges by current and former employees of Virtu Financial Units for shares of the Company’s Class A Common Stock, the Company holds an approximately 62.7% interest in Virtu Financial at December 31, 2021. The remaining issued and outstanding Virtu Financial Units are held by an affiliate of Mr. Vincent Viola (the “Founder Post-IPO Member”), two entities whose equity holders include certain members of the management of Virtu Financial, and certain other current and former members of management of Virtu Financial (collectively, the “Virtu Post-IPO Members”). The Founder Post-IPO Member controls approximately 85.4% of the combined voting power of our outstanding common stock as of December 31, 2021. As a result, the Founder Post-IPO Member controls any actions requiring the general approval of our stockholders, including the election of our Board of Directors, the adoption of amendments to our certificate of incorporation and bylaws and the approval of any merger or sale of substantially all of our assets. The Founder Post-IPO Member is controlled by family members of Mr. Viola, our Founder and Chairman Emeritus.</w:t>
      </w:r>
    </w:p>
    <w:p>
      <w:pPr>
        <w:spacing w:after="0" w:line="182" w:lineRule="exact"/>
        <w:rPr>
          <w:sz w:val="20"/>
          <w:szCs w:val="20"/>
          <w:color w:val="auto"/>
        </w:rPr>
      </w:pPr>
    </w:p>
    <w:p>
      <w:pPr>
        <w:ind w:right="160" w:firstLine="568"/>
        <w:spacing w:after="0" w:line="341" w:lineRule="auto"/>
        <w:rPr>
          <w:sz w:val="20"/>
          <w:szCs w:val="20"/>
          <w:color w:val="auto"/>
        </w:rPr>
      </w:pPr>
      <w:r>
        <w:rPr>
          <w:rFonts w:ascii="Arial" w:cs="Arial" w:eastAsia="Arial" w:hAnsi="Arial"/>
          <w:sz w:val="14"/>
          <w:szCs w:val="14"/>
          <w:color w:val="auto"/>
        </w:rPr>
        <w:t>We have completed two significant acquisitions over the past five years that have expanded and complemented Virtu Financial's original electronic trading and market making business. On July 20, 2017 (the "KCG Closing Date"), the Company completed the all-cash acquisition (the "Acquisition of KCG") of KCG Holdings, Inc. ("KCG").</w:t>
      </w:r>
    </w:p>
    <w:p>
      <w:pPr>
        <w:spacing w:after="0" w:line="134" w:lineRule="exact"/>
        <w:rPr>
          <w:sz w:val="20"/>
          <w:szCs w:val="20"/>
          <w:color w:val="auto"/>
        </w:rPr>
      </w:pPr>
    </w:p>
    <w:p>
      <w:pPr>
        <w:ind w:right="660" w:firstLine="568"/>
        <w:spacing w:after="0" w:line="268" w:lineRule="auto"/>
        <w:rPr>
          <w:sz w:val="20"/>
          <w:szCs w:val="20"/>
          <w:color w:val="auto"/>
        </w:rPr>
      </w:pPr>
      <w:r>
        <w:rPr>
          <w:rFonts w:ascii="Arial" w:cs="Arial" w:eastAsia="Arial" w:hAnsi="Arial"/>
          <w:sz w:val="16"/>
          <w:szCs w:val="16"/>
          <w:color w:val="auto"/>
        </w:rPr>
        <w:t>On March 1, 2019 (the “ITG Closing Date”), we completed our acquisition of Investment Technology Group, Inc. (“ITG”) in an all-cash transaction (the “ITG Acquisition”). As described in “Acquisition of Investment Technology Group,</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802" w:right="339" w:bottom="1440" w:gutter="0" w:footer="0" w:header="0"/>
        </w:sectPr>
      </w:pPr>
    </w:p>
    <w:bookmarkStart w:id="14" w:name="page15"/>
    <w:bookmarkEnd w:id="14"/>
    <w:p>
      <w:pPr>
        <w:ind w:right="20"/>
        <w:spacing w:after="0" w:line="257" w:lineRule="auto"/>
        <w:rPr>
          <w:sz w:val="20"/>
          <w:szCs w:val="20"/>
          <w:color w:val="auto"/>
        </w:rPr>
      </w:pPr>
      <w:r>
        <w:rPr>
          <w:rFonts w:ascii="Arial" w:cs="Arial" w:eastAsia="Arial" w:hAnsi="Arial"/>
          <w:sz w:val="16"/>
          <w:szCs w:val="16"/>
          <w:color w:val="auto"/>
        </w:rPr>
        <w:t>Inc.” below, ITG was a global financial technology company that offered a suite of trading and financial technology products to help leading brokers and asset managers improve returns for investors around the world. ITG empowered traders and investors to reduce the end-to-end cost of implementing investment decisions via liquidity, execution, analytics and workflow technology solutions.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Available Information</w:t>
      </w:r>
    </w:p>
    <w:p>
      <w:pPr>
        <w:spacing w:after="0" w:line="223" w:lineRule="exact"/>
        <w:rPr>
          <w:sz w:val="20"/>
          <w:szCs w:val="20"/>
          <w:color w:val="auto"/>
        </w:rPr>
      </w:pPr>
    </w:p>
    <w:p>
      <w:pPr>
        <w:ind w:firstLine="568"/>
        <w:spacing w:after="0" w:line="254" w:lineRule="auto"/>
        <w:rPr>
          <w:sz w:val="20"/>
          <w:szCs w:val="20"/>
          <w:color w:val="auto"/>
        </w:rPr>
      </w:pPr>
      <w:r>
        <w:rPr>
          <w:rFonts w:ascii="Arial" w:cs="Arial" w:eastAsia="Arial" w:hAnsi="Arial"/>
          <w:sz w:val="16"/>
          <w:szCs w:val="16"/>
          <w:color w:val="auto"/>
        </w:rPr>
        <w:t>Our website address is www.virtu.com. The information on our website is not, and shall not be deemed to be, a part of this Annual Report on Form 10-K or incorporated into any other filings we make with the SEC. Our Annual Reports on Form 10-K, Quarterly Reports on Form 10-Q, Current Reports on Form 8-K and amendments to those reports filed or furnished pursuant to Section 13(a) or 15(d) of the Securities Exchange Act of 1934, as amended (the “Exchange Act”) are available free of charge on our website as soon as possible after we electronically file them with, or furnish them to, the SEC.</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Our Investor Relations Department can be contacted at Virtu Financial, Inc., </w:t>
      </w:r>
      <w:r>
        <w:rPr>
          <w:rFonts w:ascii="Arial" w:cs="Arial" w:eastAsia="Arial" w:hAnsi="Arial"/>
          <w:sz w:val="16"/>
          <w:szCs w:val="16"/>
          <w:color w:val="EE2724"/>
        </w:rPr>
        <w:t>1</w:t>
      </w:r>
      <w:r>
        <w:rPr>
          <w:rFonts w:ascii="Arial" w:cs="Arial" w:eastAsia="Arial" w:hAnsi="Arial"/>
          <w:sz w:val="16"/>
          <w:szCs w:val="16"/>
          <w:color w:val="auto"/>
        </w:rPr>
        <w:t>633 Broadway, New York, NY, 10019, Attn: Investor Relations, e-mail:</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investor_relations@virtu.com.</w:t>
      </w:r>
    </w:p>
    <w:p>
      <w:pPr>
        <w:spacing w:after="0" w:line="207" w:lineRule="exact"/>
        <w:rPr>
          <w:sz w:val="20"/>
          <w:szCs w:val="20"/>
          <w:color w:val="auto"/>
        </w:rPr>
      </w:pPr>
    </w:p>
    <w:p>
      <w:pPr>
        <w:ind w:firstLine="568"/>
        <w:spacing w:after="0" w:line="273" w:lineRule="auto"/>
        <w:rPr>
          <w:sz w:val="20"/>
          <w:szCs w:val="20"/>
          <w:color w:val="auto"/>
        </w:rPr>
      </w:pPr>
      <w:r>
        <w:rPr>
          <w:rFonts w:ascii="Arial" w:cs="Arial" w:eastAsia="Arial" w:hAnsi="Arial"/>
          <w:sz w:val="15"/>
          <w:szCs w:val="15"/>
          <w:color w:val="auto"/>
        </w:rPr>
        <w:t>From time to time, we use our website, public conference calls, and social media channels, including our Twitter account (twitter.com/virtufinancial), our LinkedIn account (linkedin.com/company/virtu-financial), and our Instagram account (instagram.com/virtu.financial), as additional means of disclosing public information to investors, the media and others interested in us. It is possible that certain information we post on our website and on social media could be deemed to be material information, and we encourage investors, the media and others interested in us to review the business and financial information we post on our website and on the social media channels identified above. The information on our website and our social media channels is not incorporated by reference into this Annual Report on Form 10-K.</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 Factors Summary</w:t>
      </w:r>
    </w:p>
    <w:p>
      <w:pPr>
        <w:spacing w:after="0" w:line="223" w:lineRule="exact"/>
        <w:rPr>
          <w:sz w:val="20"/>
          <w:szCs w:val="20"/>
          <w:color w:val="auto"/>
        </w:rPr>
      </w:pPr>
    </w:p>
    <w:p>
      <w:pPr>
        <w:ind w:right="440" w:firstLine="568"/>
        <w:spacing w:after="0" w:line="302" w:lineRule="auto"/>
        <w:rPr>
          <w:sz w:val="20"/>
          <w:szCs w:val="20"/>
          <w:color w:val="auto"/>
        </w:rPr>
      </w:pPr>
      <w:r>
        <w:rPr>
          <w:rFonts w:ascii="Arial" w:cs="Arial" w:eastAsia="Arial" w:hAnsi="Arial"/>
          <w:sz w:val="15"/>
          <w:szCs w:val="15"/>
          <w:color w:val="auto"/>
        </w:rPr>
        <w:t>The summary of risks below provides an overview of the principal risks we are exposed to in the normal course of our business activities. This summary does not contain all of the information that may be important to you, and you should read the more detailed discussion of risks that follows this summary.</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Business and Operations</w:t>
      </w:r>
    </w:p>
    <w:p>
      <w:pPr>
        <w:spacing w:after="0" w:line="219" w:lineRule="exact"/>
        <w:rPr>
          <w:sz w:val="20"/>
          <w:szCs w:val="20"/>
          <w:color w:val="auto"/>
        </w:rPr>
      </w:pPr>
    </w:p>
    <w:p>
      <w:pPr>
        <w:ind w:left="560" w:hanging="281"/>
        <w:spacing w:after="0"/>
        <w:tabs>
          <w:tab w:leader="none" w:pos="5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COVID-19 pandemic could adversely affect our business, results of operations and financial condition.</w:t>
      </w:r>
    </w:p>
    <w:p>
      <w:pPr>
        <w:spacing w:after="0" w:line="16" w:lineRule="exact"/>
        <w:rPr>
          <w:rFonts w:ascii="Arial" w:cs="Arial" w:eastAsia="Arial" w:hAnsi="Arial"/>
          <w:sz w:val="16"/>
          <w:szCs w:val="16"/>
          <w:color w:val="auto"/>
        </w:rPr>
      </w:pPr>
    </w:p>
    <w:p>
      <w:pPr>
        <w:ind w:left="560" w:right="200" w:hanging="281"/>
        <w:spacing w:after="0" w:line="247" w:lineRule="auto"/>
        <w:tabs>
          <w:tab w:leader="none" w:pos="556"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revenues and profitability depend on trading volume and volatility in the markets in which we operate and therefore are subject to factors beyond our control, are prone to significant fluctuations and are difficult to predict.</w:t>
      </w:r>
    </w:p>
    <w:p>
      <w:pPr>
        <w:ind w:left="560" w:hanging="281"/>
        <w:spacing w:after="0"/>
        <w:tabs>
          <w:tab w:leader="none" w:pos="56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are dependent upon our trading counterparties and clearing houses to perform their obligations to us.</w:t>
      </w:r>
    </w:p>
    <w:p>
      <w:pPr>
        <w:spacing w:after="0" w:line="5" w:lineRule="exact"/>
        <w:rPr>
          <w:rFonts w:ascii="Arial" w:cs="Arial" w:eastAsia="Arial" w:hAnsi="Arial"/>
          <w:sz w:val="16"/>
          <w:szCs w:val="16"/>
          <w:color w:val="auto"/>
        </w:rPr>
      </w:pPr>
    </w:p>
    <w:p>
      <w:pPr>
        <w:ind w:left="560" w:hanging="281"/>
        <w:spacing w:after="0" w:line="247" w:lineRule="auto"/>
        <w:tabs>
          <w:tab w:leader="none" w:pos="556"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may incur losses in our market making activities and our execution services businesses due to failures of our customized trading platform, due to market risk or from a lack of perfect information.</w:t>
      </w:r>
    </w:p>
    <w:p>
      <w:pPr>
        <w:ind w:left="560" w:right="100" w:hanging="281"/>
        <w:spacing w:after="0" w:line="247" w:lineRule="auto"/>
        <w:tabs>
          <w:tab w:leader="none" w:pos="556"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valuation of the securities we hold at any particular time may result in large and occasionally anomalous swings in the value of our positions and in our earnings in any period.</w:t>
      </w:r>
    </w:p>
    <w:p>
      <w:pPr>
        <w:ind w:left="560" w:hanging="281"/>
        <w:spacing w:after="0"/>
        <w:tabs>
          <w:tab w:leader="none" w:pos="56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face substantial competition and other competitive dynamics which could harm our financial performance.</w:t>
      </w:r>
    </w:p>
    <w:p>
      <w:pPr>
        <w:spacing w:after="0" w:line="5" w:lineRule="exact"/>
        <w:rPr>
          <w:rFonts w:ascii="Arial" w:cs="Arial" w:eastAsia="Arial" w:hAnsi="Arial"/>
          <w:sz w:val="16"/>
          <w:szCs w:val="16"/>
          <w:color w:val="auto"/>
        </w:rPr>
      </w:pPr>
    </w:p>
    <w:p>
      <w:pPr>
        <w:ind w:left="560" w:right="440" w:hanging="281"/>
        <w:spacing w:after="0" w:line="247" w:lineRule="auto"/>
        <w:tabs>
          <w:tab w:leader="none" w:pos="556"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market making business is concentrated in U.S. equities; accordingly, our operating results may be negatively impacted by changes that affect the U.S. equity markets.</w:t>
      </w:r>
    </w:p>
    <w:p>
      <w:pPr>
        <w:ind w:left="560" w:hanging="281"/>
        <w:spacing w:after="0"/>
        <w:tabs>
          <w:tab w:leader="none" w:pos="560" w:val="left"/>
        </w:tabs>
        <w:numPr>
          <w:ilvl w:val="0"/>
          <w:numId w:val="9"/>
        </w:numPr>
        <w:rPr>
          <w:rFonts w:ascii="Arial" w:cs="Arial" w:eastAsia="Arial" w:hAnsi="Arial"/>
          <w:sz w:val="14"/>
          <w:szCs w:val="14"/>
          <w:color w:val="auto"/>
        </w:rPr>
      </w:pPr>
      <w:r>
        <w:rPr>
          <w:rFonts w:ascii="Arial" w:cs="Arial" w:eastAsia="Arial" w:hAnsi="Arial"/>
          <w:sz w:val="14"/>
          <w:szCs w:val="14"/>
          <w:color w:val="auto"/>
        </w:rPr>
        <w:t>We could lose significant sources of revenues if we lose any of our larger clients or sources of order flow or lose access to an important exchange or other trading venue.</w:t>
      </w:r>
    </w:p>
    <w:p>
      <w:pPr>
        <w:spacing w:after="0" w:line="28" w:lineRule="exact"/>
        <w:rPr>
          <w:rFonts w:ascii="Arial" w:cs="Arial" w:eastAsia="Arial" w:hAnsi="Arial"/>
          <w:sz w:val="14"/>
          <w:szCs w:val="14"/>
          <w:color w:val="auto"/>
        </w:rPr>
      </w:pPr>
    </w:p>
    <w:p>
      <w:pPr>
        <w:ind w:left="560" w:hanging="281"/>
        <w:spacing w:after="0"/>
        <w:tabs>
          <w:tab w:leader="none" w:pos="56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are subject to liquidity risk in our operations.</w:t>
      </w:r>
    </w:p>
    <w:p>
      <w:pPr>
        <w:spacing w:after="0" w:line="5" w:lineRule="exact"/>
        <w:rPr>
          <w:rFonts w:ascii="Arial" w:cs="Arial" w:eastAsia="Arial" w:hAnsi="Arial"/>
          <w:sz w:val="16"/>
          <w:szCs w:val="16"/>
          <w:color w:val="auto"/>
        </w:rPr>
      </w:pPr>
    </w:p>
    <w:p>
      <w:pPr>
        <w:ind w:left="560" w:hanging="281"/>
        <w:spacing w:after="0" w:line="184" w:lineRule="exact"/>
        <w:tabs>
          <w:tab w:leader="none" w:pos="560" w:val="left"/>
        </w:tabs>
        <w:numPr>
          <w:ilvl w:val="0"/>
          <w:numId w:val="9"/>
        </w:numPr>
        <w:rPr>
          <w:rFonts w:ascii="Arial" w:cs="Arial" w:eastAsia="Arial" w:hAnsi="Arial"/>
          <w:sz w:val="16"/>
          <w:szCs w:val="16"/>
          <w:color w:val="auto"/>
        </w:rPr>
      </w:pPr>
      <w:r>
        <w:rPr>
          <w:rFonts w:ascii="Arial" w:cs="Arial" w:eastAsia="Arial" w:hAnsi="Arial"/>
          <w:sz w:val="16"/>
          <w:szCs w:val="16"/>
          <w:color w:val="auto"/>
        </w:rPr>
        <w:t>Self</w:t>
      </w:r>
      <w:r>
        <w:rPr>
          <w:rFonts w:ascii="MS PGothic" w:cs="MS PGothic" w:eastAsia="MS PGothic" w:hAnsi="MS PGothic"/>
          <w:sz w:val="16"/>
          <w:szCs w:val="16"/>
          <w:color w:val="auto"/>
        </w:rPr>
        <w:t>‑</w:t>
      </w:r>
      <w:r>
        <w:rPr>
          <w:rFonts w:ascii="Arial" w:cs="Arial" w:eastAsia="Arial" w:hAnsi="Arial"/>
          <w:sz w:val="16"/>
          <w:szCs w:val="16"/>
          <w:color w:val="auto"/>
        </w:rPr>
        <w:t>clearing and other elements of our trade processing expose us to operational, financial and liquidity risks.</w:t>
      </w:r>
    </w:p>
    <w:p>
      <w:pPr>
        <w:spacing w:after="0" w:line="5" w:lineRule="exact"/>
        <w:rPr>
          <w:rFonts w:ascii="Arial" w:cs="Arial" w:eastAsia="Arial" w:hAnsi="Arial"/>
          <w:sz w:val="16"/>
          <w:szCs w:val="16"/>
          <w:color w:val="auto"/>
        </w:rPr>
      </w:pPr>
    </w:p>
    <w:p>
      <w:pPr>
        <w:ind w:left="560" w:right="500" w:hanging="281"/>
        <w:spacing w:after="0" w:line="247" w:lineRule="auto"/>
        <w:tabs>
          <w:tab w:leader="none" w:pos="556"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have a substantial amount of indebtedness, which could negatively impact our business and financial condition, and may limit our flexibility in operating our business.</w:t>
      </w:r>
    </w:p>
    <w:p>
      <w:pPr>
        <w:ind w:left="560" w:hanging="281"/>
        <w:spacing w:after="0"/>
        <w:tabs>
          <w:tab w:leader="none" w:pos="56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depend on our technology and our results may be negatively impacted if we cannot remain competitive.</w:t>
      </w:r>
    </w:p>
    <w:p>
      <w:pPr>
        <w:spacing w:after="0" w:line="5" w:lineRule="exact"/>
        <w:rPr>
          <w:rFonts w:ascii="Arial" w:cs="Arial" w:eastAsia="Arial" w:hAnsi="Arial"/>
          <w:sz w:val="16"/>
          <w:szCs w:val="16"/>
          <w:color w:val="auto"/>
        </w:rPr>
      </w:pPr>
    </w:p>
    <w:p>
      <w:pPr>
        <w:ind w:left="560" w:right="40" w:hanging="281"/>
        <w:spacing w:after="0" w:line="247" w:lineRule="auto"/>
        <w:tabs>
          <w:tab w:leader="none" w:pos="556"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reliance on our computer systems and software could expose us to material financial and reputational harm if any of our computer systems or software were subject to any material disruption or corruption.</w:t>
      </w:r>
    </w:p>
    <w:p>
      <w:pPr>
        <w:ind w:left="560" w:right="140" w:hanging="281"/>
        <w:spacing w:after="0" w:line="247" w:lineRule="auto"/>
        <w:tabs>
          <w:tab w:leader="none" w:pos="556"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could be the target of a significant cyber-attack, threat or incident that impairs internal systems, results in adverse consequences to information our system process, store or transmit or causes reputation or monetary damages as a consequence.</w:t>
      </w:r>
    </w:p>
    <w:p>
      <w:pPr>
        <w:ind w:left="560" w:hanging="281"/>
        <w:spacing w:after="0"/>
        <w:tabs>
          <w:tab w:leader="none" w:pos="56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business may be harmed by computer and communication systems malfunctions, human error, failures and delays.</w:t>
      </w:r>
    </w:p>
    <w:p>
      <w:pPr>
        <w:spacing w:after="0" w:line="5" w:lineRule="exact"/>
        <w:rPr>
          <w:rFonts w:ascii="Arial" w:cs="Arial" w:eastAsia="Arial" w:hAnsi="Arial"/>
          <w:sz w:val="16"/>
          <w:szCs w:val="16"/>
          <w:color w:val="auto"/>
        </w:rPr>
      </w:pPr>
    </w:p>
    <w:p>
      <w:pPr>
        <w:ind w:left="560" w:hanging="281"/>
        <w:spacing w:after="0" w:line="184" w:lineRule="exact"/>
        <w:tabs>
          <w:tab w:leader="none" w:pos="560" w:val="left"/>
        </w:tabs>
        <w:numPr>
          <w:ilvl w:val="0"/>
          <w:numId w:val="9"/>
        </w:numPr>
        <w:rPr>
          <w:rFonts w:ascii="Arial" w:cs="Arial" w:eastAsia="Arial" w:hAnsi="Arial"/>
          <w:sz w:val="16"/>
          <w:szCs w:val="16"/>
          <w:color w:val="auto"/>
        </w:rPr>
      </w:pPr>
      <w:r>
        <w:rPr>
          <w:rFonts w:ascii="Arial" w:cs="Arial" w:eastAsia="Arial" w:hAnsi="Arial"/>
          <w:sz w:val="16"/>
          <w:szCs w:val="16"/>
          <w:color w:val="auto"/>
        </w:rPr>
        <w:t>Failure or poor performance of third</w:t>
      </w:r>
      <w:r>
        <w:rPr>
          <w:rFonts w:ascii="MS PGothic" w:cs="MS PGothic" w:eastAsia="MS PGothic" w:hAnsi="MS PGothic"/>
          <w:sz w:val="16"/>
          <w:szCs w:val="16"/>
          <w:color w:val="auto"/>
        </w:rPr>
        <w:t>‑</w:t>
      </w:r>
      <w:r>
        <w:rPr>
          <w:rFonts w:ascii="Arial" w:cs="Arial" w:eastAsia="Arial" w:hAnsi="Arial"/>
          <w:sz w:val="16"/>
          <w:szCs w:val="16"/>
          <w:color w:val="auto"/>
        </w:rPr>
        <w:t>party software, infrastructure or systems could adversely affect our business.</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802" w:right="359" w:bottom="1440" w:gutter="0" w:footer="0" w:header="0"/>
        </w:sectPr>
      </w:pPr>
    </w:p>
    <w:bookmarkStart w:id="15" w:name="page16"/>
    <w:bookmarkEnd w:id="15"/>
    <w:p>
      <w:pPr>
        <w:ind w:left="560" w:hanging="281"/>
        <w:spacing w:after="0"/>
        <w:tabs>
          <w:tab w:leader="none" w:pos="5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use of open source software may expose us to additional risks.</w:t>
      </w:r>
    </w:p>
    <w:p>
      <w:pPr>
        <w:spacing w:after="0" w:line="16" w:lineRule="exact"/>
        <w:rPr>
          <w:rFonts w:ascii="Arial" w:cs="Arial" w:eastAsia="Arial" w:hAnsi="Arial"/>
          <w:sz w:val="16"/>
          <w:szCs w:val="16"/>
          <w:color w:val="auto"/>
        </w:rPr>
      </w:pPr>
    </w:p>
    <w:p>
      <w:pPr>
        <w:ind w:left="560" w:hanging="281"/>
        <w:spacing w:after="0"/>
        <w:tabs>
          <w:tab w:leader="none" w:pos="5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may not be able to protect our intellectual property rights or may be prevented from using intellectual property necessary for our business.</w:t>
      </w:r>
    </w:p>
    <w:p>
      <w:pPr>
        <w:spacing w:after="0" w:line="5" w:lineRule="exact"/>
        <w:rPr>
          <w:rFonts w:ascii="Arial" w:cs="Arial" w:eastAsia="Arial" w:hAnsi="Arial"/>
          <w:sz w:val="16"/>
          <w:szCs w:val="16"/>
          <w:color w:val="auto"/>
        </w:rPr>
      </w:pPr>
    </w:p>
    <w:p>
      <w:pPr>
        <w:ind w:left="560" w:hanging="281"/>
        <w:spacing w:after="0"/>
        <w:tabs>
          <w:tab w:leader="none" w:pos="5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Fluctuations in currency exchange rates could negatively impact our earnings.</w:t>
      </w:r>
    </w:p>
    <w:p>
      <w:pPr>
        <w:spacing w:after="0" w:line="5" w:lineRule="exact"/>
        <w:rPr>
          <w:rFonts w:ascii="Arial" w:cs="Arial" w:eastAsia="Arial" w:hAnsi="Arial"/>
          <w:sz w:val="16"/>
          <w:szCs w:val="16"/>
          <w:color w:val="auto"/>
        </w:rPr>
      </w:pPr>
    </w:p>
    <w:p>
      <w:pPr>
        <w:ind w:left="560" w:right="20" w:hanging="281"/>
        <w:spacing w:after="0" w:line="247" w:lineRule="auto"/>
        <w:tabs>
          <w:tab w:leader="none" w:pos="556"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may incur material losses on foreign exchange transactions entered into on behalf of clients and be exposed to material liquidity risk due to counterparty defaults or errors.</w:t>
      </w:r>
    </w:p>
    <w:p>
      <w:pPr>
        <w:ind w:left="560" w:right="100" w:hanging="281"/>
        <w:spacing w:after="0" w:line="247" w:lineRule="auto"/>
        <w:tabs>
          <w:tab w:leader="none" w:pos="556"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may experience risks associated with future growth or expansion of our operations or acquisitions, strategic investments or dispositions of businesses, and we may never realize the anticipated benefits of such activities.</w:t>
      </w:r>
    </w:p>
    <w:p>
      <w:pPr>
        <w:ind w:left="560" w:hanging="281"/>
        <w:spacing w:after="0"/>
        <w:tabs>
          <w:tab w:leader="none" w:pos="5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future efforts to sell shares of our common stock or raise additional capital may be inhibited by regulations.</w:t>
      </w:r>
    </w:p>
    <w:p>
      <w:pPr>
        <w:spacing w:after="0" w:line="5" w:lineRule="exact"/>
        <w:rPr>
          <w:rFonts w:ascii="Arial" w:cs="Arial" w:eastAsia="Arial" w:hAnsi="Arial"/>
          <w:sz w:val="16"/>
          <w:szCs w:val="16"/>
          <w:color w:val="auto"/>
        </w:rPr>
      </w:pPr>
    </w:p>
    <w:p>
      <w:pPr>
        <w:ind w:left="560" w:right="40" w:hanging="281"/>
        <w:spacing w:after="0" w:line="247" w:lineRule="auto"/>
        <w:tabs>
          <w:tab w:leader="none" w:pos="556"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are dependent on the continued service of certain key executives, the loss or diminished performance of whom could have a material adverse effect on our business and our success depends, in part, on our ability to identify, recruit and retain skilled management and technical personnel.</w:t>
      </w:r>
    </w:p>
    <w:p>
      <w:pPr>
        <w:ind w:left="560" w:right="300" w:hanging="281"/>
        <w:spacing w:after="0" w:line="241" w:lineRule="auto"/>
        <w:tabs>
          <w:tab w:leader="none" w:pos="556"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may incur losses as a result of unforeseen or catastrophic events, including the emergence of another pandemic, social unrest, terrorist attacks, extreme weather events or other natural disasters.</w:t>
      </w:r>
    </w:p>
    <w:p>
      <w:pPr>
        <w:ind w:left="560" w:hanging="281"/>
        <w:spacing w:after="0" w:line="216" w:lineRule="auto"/>
        <w:tabs>
          <w:tab w:leader="none" w:pos="5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may be subject to increased risks or business disruption, incur losses or suffer reputational harm in relation to or as a result of climate change.</w:t>
      </w:r>
    </w:p>
    <w:p>
      <w:pPr>
        <w:ind w:left="560" w:hanging="281"/>
        <w:spacing w:after="0"/>
        <w:tabs>
          <w:tab w:leader="none" w:pos="5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Cryptocurrency is an emerging asset class that carries unique risk, including the risk of financial loss.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Legal and Regulatory</w:t>
      </w:r>
    </w:p>
    <w:p>
      <w:pPr>
        <w:spacing w:after="0" w:line="219" w:lineRule="exact"/>
        <w:rPr>
          <w:sz w:val="20"/>
          <w:szCs w:val="20"/>
          <w:color w:val="auto"/>
        </w:rPr>
      </w:pPr>
    </w:p>
    <w:p>
      <w:pPr>
        <w:ind w:left="560" w:hanging="281"/>
        <w:spacing w:after="0"/>
        <w:tabs>
          <w:tab w:leader="none" w:pos="5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Regulatory and legal uncertainties could harm our business.</w:t>
      </w:r>
    </w:p>
    <w:p>
      <w:pPr>
        <w:spacing w:after="0" w:line="16" w:lineRule="exact"/>
        <w:rPr>
          <w:rFonts w:ascii="Arial" w:cs="Arial" w:eastAsia="Arial" w:hAnsi="Arial"/>
          <w:sz w:val="16"/>
          <w:szCs w:val="16"/>
          <w:color w:val="auto"/>
        </w:rPr>
      </w:pPr>
    </w:p>
    <w:p>
      <w:pPr>
        <w:ind w:left="560" w:right="320" w:hanging="281"/>
        <w:spacing w:after="0" w:line="190" w:lineRule="exact"/>
        <w:tabs>
          <w:tab w:leader="none" w:pos="556" w:val="left"/>
        </w:tabs>
        <w:numPr>
          <w:ilvl w:val="0"/>
          <w:numId w:val="11"/>
        </w:numPr>
        <w:rPr>
          <w:rFonts w:ascii="Arial" w:cs="Arial" w:eastAsia="Arial" w:hAnsi="Arial"/>
          <w:sz w:val="16"/>
          <w:szCs w:val="16"/>
          <w:color w:val="auto"/>
        </w:rPr>
      </w:pPr>
      <w:r>
        <w:rPr>
          <w:rFonts w:ascii="Arial" w:cs="Arial" w:eastAsia="Arial" w:hAnsi="Arial"/>
          <w:sz w:val="16"/>
          <w:szCs w:val="16"/>
          <w:color w:val="auto"/>
        </w:rPr>
        <w:t>Non</w:t>
      </w:r>
      <w:r>
        <w:rPr>
          <w:rFonts w:ascii="MS PGothic" w:cs="MS PGothic" w:eastAsia="MS PGothic" w:hAnsi="MS PGothic"/>
          <w:sz w:val="16"/>
          <w:szCs w:val="16"/>
          <w:color w:val="auto"/>
        </w:rPr>
        <w:t>‑</w:t>
      </w:r>
      <w:r>
        <w:rPr>
          <w:rFonts w:ascii="Arial" w:cs="Arial" w:eastAsia="Arial" w:hAnsi="Arial"/>
          <w:sz w:val="16"/>
          <w:szCs w:val="16"/>
          <w:color w:val="auto"/>
        </w:rPr>
        <w:t>compliance with applicable laws or regulatory requirements could subject us to sanctions and could negatively impact our reputation, prospects, revenues and earnings.</w:t>
      </w:r>
    </w:p>
    <w:p>
      <w:pPr>
        <w:ind w:left="560" w:hanging="281"/>
        <w:spacing w:after="0"/>
        <w:tabs>
          <w:tab w:leader="none" w:pos="5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are subject to risks relating to litigation and potential securities law liability.</w:t>
      </w:r>
    </w:p>
    <w:p>
      <w:pPr>
        <w:spacing w:after="0" w:line="5" w:lineRule="exact"/>
        <w:rPr>
          <w:rFonts w:ascii="Arial" w:cs="Arial" w:eastAsia="Arial" w:hAnsi="Arial"/>
          <w:sz w:val="16"/>
          <w:szCs w:val="16"/>
          <w:color w:val="auto"/>
        </w:rPr>
      </w:pPr>
    </w:p>
    <w:p>
      <w:pPr>
        <w:ind w:left="560" w:right="260" w:hanging="281"/>
        <w:spacing w:after="0" w:line="247" w:lineRule="auto"/>
        <w:tabs>
          <w:tab w:leader="none" w:pos="556" w:val="left"/>
        </w:tabs>
        <w:numPr>
          <w:ilvl w:val="0"/>
          <w:numId w:val="11"/>
        </w:numPr>
        <w:rPr>
          <w:rFonts w:ascii="Arial" w:cs="Arial" w:eastAsia="Arial" w:hAnsi="Arial"/>
          <w:sz w:val="16"/>
          <w:szCs w:val="16"/>
          <w:color w:val="auto"/>
        </w:rPr>
      </w:pPr>
      <w:r>
        <w:rPr>
          <w:rFonts w:ascii="Arial" w:cs="Arial" w:eastAsia="Arial" w:hAnsi="Arial"/>
          <w:sz w:val="16"/>
          <w:szCs w:val="16"/>
          <w:color w:val="auto"/>
        </w:rPr>
        <w:t>Proposed legislation in the European Union, the U.S. and other jurisdictions that would impose taxes on certain financial transactions could have a material adverse effect on our business and financial results.</w:t>
      </w:r>
    </w:p>
    <w:p>
      <w:pPr>
        <w:ind w:left="560" w:right="140" w:hanging="281"/>
        <w:spacing w:after="0" w:line="247" w:lineRule="auto"/>
        <w:tabs>
          <w:tab w:leader="none" w:pos="556"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are exposed to risks associated with our international operations and expansion and failure to comply with laws and regulations applicable to such operations may increase costs, reduce profits, limit growth or subject us to liability.</w:t>
      </w:r>
    </w:p>
    <w:p>
      <w:pPr>
        <w:ind w:left="560" w:hanging="281"/>
        <w:spacing w:after="0" w:line="235" w:lineRule="auto"/>
        <w:tabs>
          <w:tab w:leader="none" w:pos="5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Brexit continues to pose a risk of negatively impacting the global economy, financial markets and our business.</w:t>
      </w:r>
    </w:p>
    <w:p>
      <w:pPr>
        <w:ind w:left="560" w:hanging="281"/>
        <w:spacing w:after="0"/>
        <w:tabs>
          <w:tab w:leader="none" w:pos="5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connection with our historical acquisitions, the Company is subject to potential liabilities that could materially and adversely affect our business.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Organization and Structure</w:t>
      </w:r>
    </w:p>
    <w:p>
      <w:pPr>
        <w:spacing w:after="0" w:line="207" w:lineRule="exact"/>
        <w:rPr>
          <w:sz w:val="20"/>
          <w:szCs w:val="20"/>
          <w:color w:val="auto"/>
        </w:rPr>
      </w:pPr>
    </w:p>
    <w:p>
      <w:pPr>
        <w:ind w:left="560" w:right="220" w:hanging="281"/>
        <w:spacing w:after="0" w:line="254" w:lineRule="auto"/>
        <w:tabs>
          <w:tab w:leader="none" w:pos="556"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are a holding company and our principal asset is our 62.7% of equity interest in Virtu Financial, and we are accordingly dependent upon distributions from Virtu Financial to pay dividends, if any, taxes and other expenses.</w:t>
      </w:r>
    </w:p>
    <w:p>
      <w:pPr>
        <w:ind w:left="560" w:right="700" w:hanging="281"/>
        <w:spacing w:after="0" w:line="190" w:lineRule="exact"/>
        <w:tabs>
          <w:tab w:leader="none" w:pos="556"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are controlled by the Founder Post</w:t>
      </w:r>
      <w:r>
        <w:rPr>
          <w:rFonts w:ascii="MS PGothic" w:cs="MS PGothic" w:eastAsia="MS PGothic" w:hAnsi="MS PGothic"/>
          <w:sz w:val="16"/>
          <w:szCs w:val="16"/>
          <w:color w:val="auto"/>
        </w:rPr>
        <w:t>‑</w:t>
      </w:r>
      <w:r>
        <w:rPr>
          <w:rFonts w:ascii="Arial" w:cs="Arial" w:eastAsia="Arial" w:hAnsi="Arial"/>
          <w:sz w:val="16"/>
          <w:szCs w:val="16"/>
          <w:color w:val="auto"/>
        </w:rPr>
        <w:t>IPO Member, whose interests in our business may be different than yours, and certain statutory provisions afforded to stockholders are not applicable to us.</w:t>
      </w:r>
    </w:p>
    <w:p>
      <w:pPr>
        <w:ind w:left="560" w:right="220" w:hanging="281"/>
        <w:spacing w:after="0" w:line="247" w:lineRule="auto"/>
        <w:tabs>
          <w:tab w:leader="none" w:pos="556"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may be unable to remain in compliance with the covenants contained in our Credit Agreement and our obligation to comply with these covenants may adversely affect our ability to operate our business.</w:t>
      </w:r>
    </w:p>
    <w:p>
      <w:pPr>
        <w:ind w:left="560" w:right="280" w:hanging="281"/>
        <w:spacing w:after="0" w:line="247" w:lineRule="auto"/>
        <w:tabs>
          <w:tab w:leader="none" w:pos="556"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are exempt from certain corporate governance requirements since we are a “controlled company” within the meaning of the NASDAQ rules, and as a result our stockholders do not have the protections afforded by these corporate governance requirements.</w:t>
      </w:r>
    </w:p>
    <w:p>
      <w:pPr>
        <w:ind w:left="560" w:right="80" w:hanging="281"/>
        <w:spacing w:after="0" w:line="190" w:lineRule="exact"/>
        <w:tabs>
          <w:tab w:leader="none" w:pos="556"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are required to pay the Virtu Post</w:t>
      </w:r>
      <w:r>
        <w:rPr>
          <w:rFonts w:ascii="MS PGothic" w:cs="MS PGothic" w:eastAsia="MS PGothic" w:hAnsi="MS PGothic"/>
          <w:sz w:val="16"/>
          <w:szCs w:val="16"/>
          <w:color w:val="auto"/>
        </w:rPr>
        <w:t>‑</w:t>
      </w:r>
      <w:r>
        <w:rPr>
          <w:rFonts w:ascii="Arial" w:cs="Arial" w:eastAsia="Arial" w:hAnsi="Arial"/>
          <w:sz w:val="16"/>
          <w:szCs w:val="16"/>
          <w:color w:val="auto"/>
        </w:rPr>
        <w:t>IPO Members and the Investor Post</w:t>
      </w:r>
      <w:r>
        <w:rPr>
          <w:rFonts w:ascii="MS PGothic" w:cs="MS PGothic" w:eastAsia="MS PGothic" w:hAnsi="MS PGothic"/>
          <w:sz w:val="16"/>
          <w:szCs w:val="16"/>
          <w:color w:val="auto"/>
        </w:rPr>
        <w:t>‑</w:t>
      </w:r>
      <w:r>
        <w:rPr>
          <w:rFonts w:ascii="Arial" w:cs="Arial" w:eastAsia="Arial" w:hAnsi="Arial"/>
          <w:sz w:val="16"/>
          <w:szCs w:val="16"/>
          <w:color w:val="auto"/>
        </w:rPr>
        <w:t>IPO Stockholders for certain tax benefits we may claim, and the amounts we may pay could be significant.</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Class A Common Stock</w:t>
      </w:r>
    </w:p>
    <w:p>
      <w:pPr>
        <w:spacing w:after="0" w:line="219" w:lineRule="exact"/>
        <w:rPr>
          <w:sz w:val="20"/>
          <w:szCs w:val="20"/>
          <w:color w:val="auto"/>
        </w:rPr>
      </w:pPr>
    </w:p>
    <w:p>
      <w:pPr>
        <w:ind w:left="560" w:hanging="281"/>
        <w:spacing w:after="0"/>
        <w:tabs>
          <w:tab w:leader="none" w:pos="5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Substantial future sales of shares of our Class A common stock in the public market could cause our stock price to fall.</w:t>
      </w:r>
    </w:p>
    <w:p>
      <w:pPr>
        <w:spacing w:after="0" w:line="16" w:lineRule="exact"/>
        <w:rPr>
          <w:rFonts w:ascii="Arial" w:cs="Arial" w:eastAsia="Arial" w:hAnsi="Arial"/>
          <w:sz w:val="16"/>
          <w:szCs w:val="16"/>
          <w:color w:val="auto"/>
        </w:rPr>
      </w:pPr>
    </w:p>
    <w:p>
      <w:pPr>
        <w:ind w:left="560" w:right="160" w:hanging="281"/>
        <w:spacing w:after="0" w:line="247" w:lineRule="auto"/>
        <w:tabs>
          <w:tab w:leader="none" w:pos="556" w:val="left"/>
        </w:tabs>
        <w:numPr>
          <w:ilvl w:val="0"/>
          <w:numId w:val="13"/>
        </w:numPr>
        <w:rPr>
          <w:rFonts w:ascii="Arial" w:cs="Arial" w:eastAsia="Arial" w:hAnsi="Arial"/>
          <w:sz w:val="16"/>
          <w:szCs w:val="16"/>
          <w:color w:val="auto"/>
        </w:rPr>
      </w:pPr>
      <w:r>
        <w:rPr>
          <w:rFonts w:ascii="Arial" w:cs="Arial" w:eastAsia="Arial" w:hAnsi="Arial"/>
          <w:sz w:val="16"/>
          <w:szCs w:val="16"/>
          <w:color w:val="auto"/>
        </w:rPr>
        <w:t>Failure to establish and maintain effective internal control over financial reporting could have a material adverse effect on our business, financial condition, results of operations and cash flows, and stock price.</w:t>
      </w:r>
    </w:p>
    <w:p>
      <w:pPr>
        <w:ind w:left="560" w:hanging="281"/>
        <w:spacing w:after="0" w:line="247" w:lineRule="auto"/>
        <w:tabs>
          <w:tab w:leader="none" w:pos="556"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intend to pay regular dividends to our stockholders, but our ability to do so may be limited by our holding company structure, contractual restrictions and regulatory requirements.</w:t>
      </w:r>
    </w:p>
    <w:p>
      <w:pPr>
        <w:ind w:left="560" w:hanging="281"/>
        <w:spacing w:after="0"/>
        <w:tabs>
          <w:tab w:leader="none" w:pos="5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Provisions in our charter documents and certain rules imposed by regulatory authorities may delay or prevent our acquisition by a third party.</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General</w:t>
      </w:r>
    </w:p>
    <w:p>
      <w:pPr>
        <w:spacing w:after="0" w:line="219" w:lineRule="exact"/>
        <w:rPr>
          <w:sz w:val="20"/>
          <w:szCs w:val="20"/>
          <w:color w:val="auto"/>
        </w:rPr>
      </w:pPr>
    </w:p>
    <w:p>
      <w:pPr>
        <w:ind w:left="560" w:hanging="281"/>
        <w:spacing w:after="0"/>
        <w:tabs>
          <w:tab w:leader="none" w:pos="560" w:val="left"/>
        </w:tabs>
        <w:numPr>
          <w:ilvl w:val="0"/>
          <w:numId w:val="14"/>
        </w:numPr>
        <w:rPr>
          <w:rFonts w:ascii="Arial" w:cs="Arial" w:eastAsia="Arial" w:hAnsi="Arial"/>
          <w:sz w:val="16"/>
          <w:szCs w:val="16"/>
          <w:b w:val="1"/>
          <w:bCs w:val="1"/>
          <w:i w:val="1"/>
          <w:iCs w:val="1"/>
          <w:color w:val="auto"/>
        </w:rPr>
      </w:pPr>
      <w:r>
        <w:rPr>
          <w:rFonts w:ascii="Arial" w:cs="Arial" w:eastAsia="Arial" w:hAnsi="Arial"/>
          <w:sz w:val="16"/>
          <w:szCs w:val="16"/>
          <w:color w:val="auto"/>
        </w:rPr>
        <w:t>Our stock price may be volatile.</w:t>
      </w:r>
    </w:p>
    <w:p>
      <w:pPr>
        <w:spacing w:after="0" w:line="200" w:lineRule="exact"/>
        <w:rPr>
          <w:sz w:val="20"/>
          <w:szCs w:val="20"/>
          <w:color w:val="auto"/>
        </w:rPr>
      </w:pPr>
    </w:p>
    <w:p>
      <w:pPr>
        <w:spacing w:after="0" w:line="29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60"/>
          </w:cols>
          <w:pgMar w:left="320" w:top="802" w:right="419" w:bottom="1440" w:gutter="0" w:footer="0" w:header="0"/>
        </w:sectPr>
      </w:pPr>
    </w:p>
    <w:bookmarkStart w:id="16" w:name="page17"/>
    <w:bookmarkEnd w:id="16"/>
    <w:p>
      <w:pPr>
        <w:ind w:left="560" w:hanging="281"/>
        <w:spacing w:after="0"/>
        <w:tabs>
          <w:tab w:leader="none" w:pos="5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incur increased costs as a result of being a public company.</w:t>
      </w:r>
    </w:p>
    <w:p>
      <w:pPr>
        <w:spacing w:after="0" w:line="16" w:lineRule="exact"/>
        <w:rPr>
          <w:rFonts w:ascii="Arial" w:cs="Arial" w:eastAsia="Arial" w:hAnsi="Arial"/>
          <w:sz w:val="16"/>
          <w:szCs w:val="16"/>
          <w:color w:val="auto"/>
        </w:rPr>
      </w:pPr>
    </w:p>
    <w:p>
      <w:pPr>
        <w:ind w:left="560" w:right="480" w:hanging="281"/>
        <w:spacing w:after="0" w:line="247" w:lineRule="auto"/>
        <w:tabs>
          <w:tab w:leader="none" w:pos="556"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stock price and trading volume could decline as a result of inaccurate or unfavorable research, or the cessation of research coverage, about us or our business published by securities or industry analysts.</w:t>
      </w:r>
    </w:p>
    <w:p>
      <w:pPr>
        <w:ind w:left="560" w:hanging="281"/>
        <w:spacing w:after="0"/>
        <w:tabs>
          <w:tab w:leader="none" w:pos="5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reported financial results depend on management’s selection of accounting methods and certain assumptions and estimates.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Business and Operations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COVID-19 pandemic could adversely affect our business, results of operations and financial condition.</w:t>
      </w:r>
    </w:p>
    <w:p>
      <w:pPr>
        <w:spacing w:after="0" w:line="219" w:lineRule="exact"/>
        <w:rPr>
          <w:sz w:val="20"/>
          <w:szCs w:val="20"/>
          <w:color w:val="auto"/>
        </w:rPr>
      </w:pPr>
    </w:p>
    <w:p>
      <w:pPr>
        <w:ind w:right="140" w:firstLine="568"/>
        <w:spacing w:after="0" w:line="252" w:lineRule="auto"/>
        <w:rPr>
          <w:sz w:val="20"/>
          <w:szCs w:val="20"/>
          <w:color w:val="auto"/>
        </w:rPr>
      </w:pPr>
      <w:r>
        <w:rPr>
          <w:rFonts w:ascii="Arial" w:cs="Arial" w:eastAsia="Arial" w:hAnsi="Arial"/>
          <w:sz w:val="16"/>
          <w:szCs w:val="16"/>
          <w:color w:val="auto"/>
        </w:rPr>
        <w:t>The ongoing coronavirus (COVID-19) pandemic has caused significant disruption in the international and United States economies and financial markets, and has caused, among other matters, illness, death, quarantines, cancellation of events and travel, business and school shutdowns, reduction in business activity, travel, and financial transactions, labor shortages, supply chain interruptions and product shortages and overall economic and financial market instability. The full impact this virus may have on the global financial markets and the overall economy is not currently known. Impacts to our business could be widespread and global, and material impacts may be possible, including the following:</w:t>
      </w:r>
    </w:p>
    <w:p>
      <w:pPr>
        <w:spacing w:after="0" w:line="194" w:lineRule="exact"/>
        <w:rPr>
          <w:sz w:val="20"/>
          <w:szCs w:val="20"/>
          <w:color w:val="auto"/>
        </w:rPr>
      </w:pPr>
    </w:p>
    <w:p>
      <w:pPr>
        <w:ind w:left="560" w:hanging="281"/>
        <w:spacing w:after="0"/>
        <w:tabs>
          <w:tab w:leader="none" w:pos="5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Employees, including our senior executives, contracting COVID-19;</w:t>
      </w:r>
    </w:p>
    <w:p>
      <w:pPr>
        <w:spacing w:after="0" w:line="16" w:lineRule="exact"/>
        <w:rPr>
          <w:rFonts w:ascii="Arial" w:cs="Arial" w:eastAsia="Arial" w:hAnsi="Arial"/>
          <w:sz w:val="16"/>
          <w:szCs w:val="16"/>
          <w:color w:val="auto"/>
        </w:rPr>
      </w:pPr>
    </w:p>
    <w:p>
      <w:pPr>
        <w:ind w:left="560" w:right="220" w:hanging="281"/>
        <w:spacing w:after="0" w:line="282" w:lineRule="auto"/>
        <w:tabs>
          <w:tab w:leader="none" w:pos="556"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Reductions in our operating effectiveness or efficiency or increases in risk as a result of the implementation of our business continuity plan, under which a significant number of our employees work from home, and potential disruptions or adverse impacts as and when we implement a return to office policy for certain employees;</w:t>
      </w:r>
    </w:p>
    <w:p>
      <w:pPr>
        <w:ind w:left="560" w:hanging="281"/>
        <w:spacing w:after="0"/>
        <w:tabs>
          <w:tab w:leader="none" w:pos="5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Unprecedented volatility in global financial markets, which may increase the risk or potential magnitude of operational errors;</w:t>
      </w:r>
    </w:p>
    <w:p>
      <w:pPr>
        <w:spacing w:after="0" w:line="5" w:lineRule="exact"/>
        <w:rPr>
          <w:rFonts w:ascii="Arial" w:cs="Arial" w:eastAsia="Arial" w:hAnsi="Arial"/>
          <w:sz w:val="16"/>
          <w:szCs w:val="16"/>
          <w:color w:val="auto"/>
        </w:rPr>
      </w:pPr>
    </w:p>
    <w:p>
      <w:pPr>
        <w:ind w:left="560" w:right="180" w:hanging="281"/>
        <w:spacing w:after="0" w:line="247" w:lineRule="auto"/>
        <w:tabs>
          <w:tab w:leader="none" w:pos="556"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Increases in liquidity needs, including but not limited to margin funding requirements with clearinghouses or prime brokers, for our business and challenges obtaining sufficient liquidity sources to meet such needs or requirements;</w:t>
      </w:r>
    </w:p>
    <w:p>
      <w:pPr>
        <w:ind w:left="560" w:hanging="281"/>
        <w:spacing w:after="0"/>
        <w:tabs>
          <w:tab w:leader="none" w:pos="5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Potential decreases in demand for our products and services, which would negatively impact our liquidity position and our results;</w:t>
      </w:r>
    </w:p>
    <w:p>
      <w:pPr>
        <w:spacing w:after="0" w:line="5" w:lineRule="exact"/>
        <w:rPr>
          <w:rFonts w:ascii="Arial" w:cs="Arial" w:eastAsia="Arial" w:hAnsi="Arial"/>
          <w:sz w:val="16"/>
          <w:szCs w:val="16"/>
          <w:color w:val="auto"/>
        </w:rPr>
      </w:pPr>
    </w:p>
    <w:p>
      <w:pPr>
        <w:ind w:left="560" w:right="180" w:hanging="281"/>
        <w:spacing w:after="0" w:line="247" w:lineRule="auto"/>
        <w:tabs>
          <w:tab w:leader="none" w:pos="556" w:val="left"/>
        </w:tabs>
        <w:numPr>
          <w:ilvl w:val="0"/>
          <w:numId w:val="16"/>
        </w:numPr>
        <w:rPr>
          <w:rFonts w:ascii="Arial" w:cs="Arial" w:eastAsia="Arial" w:hAnsi="Arial"/>
          <w:sz w:val="16"/>
          <w:szCs w:val="16"/>
          <w:color w:val="auto"/>
        </w:rPr>
      </w:pPr>
      <w:r>
        <w:rPr>
          <w:rFonts w:ascii="Arial" w:cs="Arial" w:eastAsia="Arial" w:hAnsi="Arial"/>
          <w:sz w:val="16"/>
          <w:szCs w:val="16"/>
          <w:color w:val="auto"/>
        </w:rPr>
        <w:t>Adverse impacts on our clients, counterparties, vendors and other business partners on whom we rely for order flow, funding, and critical technological or operational services and the potential increase in risk of counterparty default or insolvency event;</w:t>
      </w:r>
    </w:p>
    <w:p>
      <w:pPr>
        <w:ind w:left="560" w:hanging="281"/>
        <w:spacing w:after="0"/>
        <w:tabs>
          <w:tab w:leader="none" w:pos="5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Closures of our offices or the offices of our clients; and</w:t>
      </w:r>
    </w:p>
    <w:p>
      <w:pPr>
        <w:spacing w:after="0" w:line="5" w:lineRule="exact"/>
        <w:rPr>
          <w:rFonts w:ascii="Arial" w:cs="Arial" w:eastAsia="Arial" w:hAnsi="Arial"/>
          <w:sz w:val="16"/>
          <w:szCs w:val="16"/>
          <w:color w:val="auto"/>
        </w:rPr>
      </w:pPr>
    </w:p>
    <w:p>
      <w:pPr>
        <w:ind w:left="560" w:hanging="281"/>
        <w:spacing w:after="0"/>
        <w:tabs>
          <w:tab w:leader="none" w:pos="5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Travel restrictions limiting our ability to collaborate internally and engage with current and potential clients and counterparties externally.</w:t>
      </w:r>
    </w:p>
    <w:p>
      <w:pPr>
        <w:spacing w:after="0" w:line="207" w:lineRule="exact"/>
        <w:rPr>
          <w:sz w:val="20"/>
          <w:szCs w:val="20"/>
          <w:color w:val="auto"/>
        </w:rPr>
      </w:pPr>
    </w:p>
    <w:p>
      <w:pPr>
        <w:jc w:val="both"/>
        <w:ind w:right="160" w:firstLine="568"/>
        <w:spacing w:after="0" w:line="257" w:lineRule="auto"/>
        <w:rPr>
          <w:sz w:val="20"/>
          <w:szCs w:val="20"/>
          <w:color w:val="auto"/>
        </w:rPr>
      </w:pPr>
      <w:r>
        <w:rPr>
          <w:rFonts w:ascii="Arial" w:cs="Arial" w:eastAsia="Arial" w:hAnsi="Arial"/>
          <w:sz w:val="16"/>
          <w:szCs w:val="16"/>
          <w:color w:val="auto"/>
        </w:rPr>
        <w:t>We continue to monitor the development of existing, and emergence of new, COVID-19 variants and take designed precautions to protect the safety and well-being of our employees, customers and business partners. However, we cannot be certain that the steps we have taken or will take will be deemed to be adequate or appropriate, nor can we predict the level of disruption which will occur to our employee's ability to perform their functions.</w:t>
      </w:r>
    </w:p>
    <w:p>
      <w:pPr>
        <w:spacing w:after="0" w:line="190" w:lineRule="exact"/>
        <w:rPr>
          <w:sz w:val="20"/>
          <w:szCs w:val="20"/>
          <w:color w:val="auto"/>
        </w:rPr>
      </w:pPr>
    </w:p>
    <w:p>
      <w:pPr>
        <w:jc w:val="both"/>
        <w:ind w:right="20" w:firstLine="568"/>
        <w:spacing w:after="0" w:line="257" w:lineRule="auto"/>
        <w:rPr>
          <w:sz w:val="20"/>
          <w:szCs w:val="20"/>
          <w:color w:val="auto"/>
        </w:rPr>
      </w:pPr>
      <w:r>
        <w:rPr>
          <w:rFonts w:ascii="Arial" w:cs="Arial" w:eastAsia="Arial" w:hAnsi="Arial"/>
          <w:sz w:val="16"/>
          <w:szCs w:val="16"/>
          <w:color w:val="auto"/>
        </w:rPr>
        <w:t>The further spread of the COVID-19 outbreak, including potential new variants, may materially disrupt financial activity generally and in the areas in which we operate. Any one or more of these developments could have a material adverse effect on our and our consolidated subsidiaries' business, operations, consolidated financial condition, and consolidated results of operations.</w:t>
      </w:r>
    </w:p>
    <w:p>
      <w:pPr>
        <w:spacing w:after="0" w:line="190" w:lineRule="exact"/>
        <w:rPr>
          <w:sz w:val="20"/>
          <w:szCs w:val="20"/>
          <w:color w:val="auto"/>
        </w:rPr>
      </w:pPr>
    </w:p>
    <w:p>
      <w:pPr>
        <w:spacing w:after="0" w:line="268" w:lineRule="auto"/>
        <w:rPr>
          <w:sz w:val="20"/>
          <w:szCs w:val="20"/>
          <w:color w:val="auto"/>
        </w:rPr>
      </w:pPr>
      <w:r>
        <w:rPr>
          <w:rFonts w:ascii="Arial" w:cs="Arial" w:eastAsia="Arial" w:hAnsi="Arial"/>
          <w:sz w:val="16"/>
          <w:szCs w:val="16"/>
          <w:b w:val="1"/>
          <w:bCs w:val="1"/>
          <w:i w:val="1"/>
          <w:iCs w:val="1"/>
          <w:color w:val="auto"/>
        </w:rPr>
        <w:t>Our revenues and profitability depend on trading volume and volatility in the markets in which we operate, and therefore are subject to factors beyond our control, are prone to significant fluctuations and are difficult to predict.</w:t>
      </w:r>
    </w:p>
    <w:p>
      <w:pPr>
        <w:spacing w:after="0" w:line="181" w:lineRule="exact"/>
        <w:rPr>
          <w:sz w:val="20"/>
          <w:szCs w:val="20"/>
          <w:color w:val="auto"/>
        </w:rPr>
      </w:pPr>
    </w:p>
    <w:p>
      <w:pPr>
        <w:ind w:right="40" w:firstLine="568"/>
        <w:spacing w:after="0" w:line="289" w:lineRule="auto"/>
        <w:rPr>
          <w:sz w:val="20"/>
          <w:szCs w:val="20"/>
          <w:color w:val="auto"/>
        </w:rPr>
      </w:pPr>
      <w:r>
        <w:rPr>
          <w:rFonts w:ascii="Arial" w:cs="Arial" w:eastAsia="Arial" w:hAnsi="Arial"/>
          <w:sz w:val="14"/>
          <w:szCs w:val="14"/>
          <w:color w:val="auto"/>
        </w:rPr>
        <w:t>Our revenues and profitability depend in part on the level of trading activity of securities, derivatives and other financial products on exchanges and in other trading venues in the U.S. and abroad, which are directly affected by factors beyond our control, including economic and political conditions, emergencies and pandemics, broad trends in business and finance and changes in the markets in which such transactions occur. Weaknesses in the markets in which we operate, including economic slowdowns in recent years, have historically resulted in reduced trading volumes for us. Declines in trading volumes generally result in lower revenues from market making and transaction execution activities. Lower levels of volatility generally have the same directional impact. Declines in market values of securities or other financial instruments can also result in illiquid markets, which can also result in lower revenues and profitability from market making and transaction execution activities. Lower price levels of securities and other financial instruments, as well as compressed bid/ask spreads, which often follow lower pricing, can further result in reduced revenues and profitability. These factors can also increase the potential for losses on securities or other financial instruments held in inventory and failures of buyers and sellers to fulfill their obligations and settle their trades, as well as claims and litigation. Declines in the trading activity of institutional or “buy-side” market participants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802" w:right="359" w:bottom="1440" w:gutter="0" w:footer="0" w:header="0"/>
        </w:sectPr>
      </w:pPr>
    </w:p>
    <w:bookmarkStart w:id="17" w:name="page18"/>
    <w:bookmarkEnd w:id="17"/>
    <w:p>
      <w:pPr>
        <w:ind w:right="40"/>
        <w:spacing w:after="0" w:line="276" w:lineRule="auto"/>
        <w:rPr>
          <w:sz w:val="20"/>
          <w:szCs w:val="20"/>
          <w:color w:val="auto"/>
        </w:rPr>
      </w:pPr>
      <w:r>
        <w:rPr>
          <w:rFonts w:ascii="Arial" w:cs="Arial" w:eastAsia="Arial" w:hAnsi="Arial"/>
          <w:sz w:val="15"/>
          <w:szCs w:val="15"/>
          <w:color w:val="auto"/>
        </w:rPr>
        <w:t>may result in lower revenue and/or diminished opportunities for us to earn commissions from execution activities. Any of the foregoing factors could have a material adverse effect on our business, financial condition, results of operations and cash flows. In the past, our revenues and operating results have varied significantly from period to period due primarily to movements and trends in the underlying markets and to fluctuations in trading volumes and volatility levels. As a result, period to period comparisons of our revenues and operating results may not be meaningful, and future revenues and profitability may be subject to significant fluctuations or declines.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dependent upon our trading counterparties and clearing houses to perform their obligations to us.</w:t>
      </w:r>
    </w:p>
    <w:p>
      <w:pPr>
        <w:spacing w:after="0" w:line="219" w:lineRule="exact"/>
        <w:rPr>
          <w:sz w:val="20"/>
          <w:szCs w:val="20"/>
          <w:color w:val="auto"/>
        </w:rPr>
      </w:pPr>
    </w:p>
    <w:p>
      <w:pPr>
        <w:ind w:firstLine="568"/>
        <w:spacing w:after="0" w:line="191" w:lineRule="exact"/>
        <w:rPr>
          <w:sz w:val="20"/>
          <w:szCs w:val="20"/>
          <w:color w:val="auto"/>
        </w:rPr>
      </w:pPr>
      <w:r>
        <w:rPr>
          <w:rFonts w:ascii="Arial" w:cs="Arial" w:eastAsia="Arial" w:hAnsi="Arial"/>
          <w:sz w:val="14"/>
          <w:szCs w:val="14"/>
          <w:color w:val="auto"/>
        </w:rPr>
        <w:t>Our business consists of providing consistent two</w:t>
      </w:r>
      <w:r>
        <w:rPr>
          <w:rFonts w:ascii="MS PGothic" w:cs="MS PGothic" w:eastAsia="MS PGothic" w:hAnsi="MS PGothic"/>
          <w:sz w:val="14"/>
          <w:szCs w:val="14"/>
          <w:color w:val="auto"/>
        </w:rPr>
        <w:t>‑</w:t>
      </w:r>
      <w:r>
        <w:rPr>
          <w:rFonts w:ascii="Arial" w:cs="Arial" w:eastAsia="Arial" w:hAnsi="Arial"/>
          <w:sz w:val="14"/>
          <w:szCs w:val="14"/>
          <w:color w:val="auto"/>
        </w:rPr>
        <w:t>sided liquidity to market participants across numerous geographies and asset classes. In the event of a systemic market event, resulting from large price movements or otherwise, certain market participants may not be able to meet their obligations to their trading counterparties, who, in turn, may not be able to meet their obligations to their other trading counterparties, which could lead to major defaults by one or more market participants. Following the implementation of certain mandates under the Dodd</w:t>
      </w:r>
      <w:r>
        <w:rPr>
          <w:rFonts w:ascii="MS PGothic" w:cs="MS PGothic" w:eastAsia="MS PGothic" w:hAnsi="MS PGothic"/>
          <w:sz w:val="14"/>
          <w:szCs w:val="14"/>
          <w:color w:val="auto"/>
        </w:rPr>
        <w:t>‑</w:t>
      </w:r>
      <w:r>
        <w:rPr>
          <w:rFonts w:ascii="Arial" w:cs="Arial" w:eastAsia="Arial" w:hAnsi="Arial"/>
          <w:sz w:val="14"/>
          <w:szCs w:val="14"/>
          <w:color w:val="auto"/>
        </w:rPr>
        <w:t>Frank Act in the U.S. and similar legislation worldwide, many trades in the securities and futures markets, and an increasing number of trades in the over</w:t>
      </w:r>
      <w:r>
        <w:rPr>
          <w:rFonts w:ascii="MS PGothic" w:cs="MS PGothic" w:eastAsia="MS PGothic" w:hAnsi="MS PGothic"/>
          <w:sz w:val="14"/>
          <w:szCs w:val="14"/>
          <w:color w:val="auto"/>
        </w:rPr>
        <w:t>‑</w:t>
      </w:r>
      <w:r>
        <w:rPr>
          <w:rFonts w:ascii="Arial" w:cs="Arial" w:eastAsia="Arial" w:hAnsi="Arial"/>
          <w:sz w:val="14"/>
          <w:szCs w:val="14"/>
          <w:color w:val="auto"/>
        </w:rPr>
        <w:t>the</w:t>
      </w:r>
      <w:r>
        <w:rPr>
          <w:rFonts w:ascii="MS PGothic" w:cs="MS PGothic" w:eastAsia="MS PGothic" w:hAnsi="MS PGothic"/>
          <w:sz w:val="14"/>
          <w:szCs w:val="14"/>
          <w:color w:val="auto"/>
        </w:rPr>
        <w:t>‑</w:t>
      </w:r>
      <w:r>
        <w:rPr>
          <w:rFonts w:ascii="Arial" w:cs="Arial" w:eastAsia="Arial" w:hAnsi="Arial"/>
          <w:sz w:val="14"/>
          <w:szCs w:val="14"/>
          <w:color w:val="auto"/>
        </w:rPr>
        <w:t>counter derivatives markets, are cleared through central counterparties. These central counterparties assume, and specialize in managing, counterparty performance risk relating to such trades. However, even when trades are cleared in this manner, there can be no assurance that a clearing house’s risk management methodology will be adequate to manage one or more defaults. Given the concentration of counterparty performance risk that is concentrated in central clearing parties, any failure by a clearing house to properly manage a default could lead to a systemic market failure. If our trading counterparties do not meet their obligations to us, or if any central clearing parties fail to properly manage defaults by market participants, we could suffer a material adverse effect on our business, financial condition, results of operations and cash flows.</w:t>
      </w:r>
    </w:p>
    <w:p>
      <w:pPr>
        <w:spacing w:after="0" w:line="203" w:lineRule="exact"/>
        <w:rPr>
          <w:sz w:val="20"/>
          <w:szCs w:val="20"/>
          <w:color w:val="auto"/>
        </w:rPr>
      </w:pPr>
    </w:p>
    <w:p>
      <w:pPr>
        <w:ind w:right="180"/>
        <w:spacing w:after="0" w:line="268" w:lineRule="auto"/>
        <w:rPr>
          <w:sz w:val="20"/>
          <w:szCs w:val="20"/>
          <w:color w:val="auto"/>
        </w:rPr>
      </w:pPr>
      <w:r>
        <w:rPr>
          <w:rFonts w:ascii="Arial" w:cs="Arial" w:eastAsia="Arial" w:hAnsi="Arial"/>
          <w:sz w:val="16"/>
          <w:szCs w:val="16"/>
          <w:b w:val="1"/>
          <w:bCs w:val="1"/>
          <w:i w:val="1"/>
          <w:iCs w:val="1"/>
          <w:color w:val="auto"/>
        </w:rPr>
        <w:t>We may incur losses in our market making activities and our execution services businesses due to failures of our customized trading platform, due to market risk or from a lack of perfect information.</w:t>
      </w:r>
    </w:p>
    <w:p>
      <w:pPr>
        <w:spacing w:after="0" w:line="181" w:lineRule="exact"/>
        <w:rPr>
          <w:sz w:val="20"/>
          <w:szCs w:val="20"/>
          <w:color w:val="auto"/>
        </w:rPr>
      </w:pPr>
    </w:p>
    <w:p>
      <w:pPr>
        <w:ind w:right="20" w:firstLine="568"/>
        <w:spacing w:after="0" w:line="271" w:lineRule="auto"/>
        <w:rPr>
          <w:sz w:val="20"/>
          <w:szCs w:val="20"/>
          <w:color w:val="auto"/>
        </w:rPr>
      </w:pPr>
      <w:r>
        <w:rPr>
          <w:rFonts w:ascii="Arial" w:cs="Arial" w:eastAsia="Arial" w:hAnsi="Arial"/>
          <w:sz w:val="15"/>
          <w:szCs w:val="15"/>
          <w:color w:val="auto"/>
        </w:rPr>
        <w:t>The success of our business is substantially dependent on the accuracy and performance of our customized trading platform, which evaluates and monitors the risks inherent in our market making strategies and execution services business, assimilates market data and reevaluates our outstanding quotes and positions continuously throughout the trading day. Our strategies are designed to automatically rebalance our positions throughout the trading day to manage risk exposures on our positions. Flaws in our strategies, order management system, risk management processes, latencies or inaccuracies in the market data that we use to generate our quotes, or human error in managing risk parameters or other strategy inputs, may lead to unexpected and unprofitable trades, which may result in material trading losses and could have a material adverse effect on our business, financial condition, results of operations and cash flows.</w:t>
      </w:r>
    </w:p>
    <w:p>
      <w:pPr>
        <w:spacing w:after="0" w:line="181" w:lineRule="exact"/>
        <w:rPr>
          <w:sz w:val="20"/>
          <w:szCs w:val="20"/>
          <w:color w:val="auto"/>
        </w:rPr>
      </w:pPr>
    </w:p>
    <w:p>
      <w:pPr>
        <w:ind w:right="40" w:firstLine="568"/>
        <w:spacing w:after="0" w:line="270" w:lineRule="auto"/>
        <w:rPr>
          <w:sz w:val="20"/>
          <w:szCs w:val="20"/>
          <w:color w:val="auto"/>
        </w:rPr>
      </w:pPr>
      <w:r>
        <w:rPr>
          <w:rFonts w:ascii="Arial" w:cs="Arial" w:eastAsia="Arial" w:hAnsi="Arial"/>
          <w:sz w:val="15"/>
          <w:szCs w:val="15"/>
          <w:color w:val="auto"/>
        </w:rPr>
        <w:t>A significant portion of our revenues are derived from our trading as principal in our role as a formal or registered market maker and liquidity provider on various exchanges and markets, as well as direct to customer market making. We may incur trading losses relating to these activities since each primarily involves the purchase, sale or short sale of securities, futures and other financial instruments for our own account. In any period, we may incur significant trading losses for a variety of reasons, including price changes, performance, size and volatility of portfolios we may hold in connection with our customer market making activities, lack of liquidity in instruments in which we have positions and the required performance of our market making obligations. Furthermore, we may from time to time develop large position concentrations in securities or other financial instruments of a single issuer or issuers engaged in a specific industry, or alternatively a single future or other financial instrument, which would result in the risk of higher trading losses than if our concentration were lower.</w:t>
      </w:r>
    </w:p>
    <w:p>
      <w:pPr>
        <w:spacing w:after="0" w:line="181" w:lineRule="exact"/>
        <w:rPr>
          <w:sz w:val="20"/>
          <w:szCs w:val="20"/>
          <w:color w:val="auto"/>
        </w:rPr>
      </w:pPr>
    </w:p>
    <w:p>
      <w:pPr>
        <w:ind w:right="400" w:firstLine="568"/>
        <w:spacing w:after="0" w:line="341" w:lineRule="auto"/>
        <w:rPr>
          <w:sz w:val="20"/>
          <w:szCs w:val="20"/>
          <w:color w:val="auto"/>
        </w:rPr>
      </w:pPr>
      <w:r>
        <w:rPr>
          <w:rFonts w:ascii="Arial" w:cs="Arial" w:eastAsia="Arial" w:hAnsi="Arial"/>
          <w:sz w:val="14"/>
          <w:szCs w:val="14"/>
          <w:color w:val="auto"/>
        </w:rPr>
        <w:t>These risks may limit or restrict, for example, our ability to either resell securities we have purchased or to repurchase securities we have sold. In addition, we may experience difficulty borrowing securities to make delivery to purchasers to whom we have sold securities short or lenders from whom we have borrowed securities.</w:t>
      </w:r>
    </w:p>
    <w:p>
      <w:pPr>
        <w:spacing w:after="0" w:line="134" w:lineRule="exact"/>
        <w:rPr>
          <w:sz w:val="20"/>
          <w:szCs w:val="20"/>
          <w:color w:val="auto"/>
        </w:rPr>
      </w:pPr>
    </w:p>
    <w:p>
      <w:pPr>
        <w:ind w:right="60" w:firstLine="568"/>
        <w:spacing w:after="0" w:line="297" w:lineRule="auto"/>
        <w:rPr>
          <w:sz w:val="20"/>
          <w:szCs w:val="20"/>
          <w:color w:val="auto"/>
        </w:rPr>
      </w:pPr>
      <w:r>
        <w:rPr>
          <w:rFonts w:ascii="Arial" w:cs="Arial" w:eastAsia="Arial" w:hAnsi="Arial"/>
          <w:sz w:val="14"/>
          <w:szCs w:val="14"/>
          <w:color w:val="auto"/>
        </w:rPr>
        <w:t>In our role as a market maker, we attempt to derive a profit from bid/ask spreads. However, competitive forces often require us to match or improve upon the quotes that other market makers display, thereby narrowing bid/ask spreads, and to hold long or short positions in securities, futures or other financial instruments. We may at times trade with others who have information that may be more accurate or complete than the information we have, and as a result we may accumulate unfavorable positions preceding large price movements in a given instrument. We cannot assure you that we will be able to manage these risks successfully or that we will not experience significant losses from such activities, which could have a material adverse effect on our business, financial condition, results of operations and cash flows.</w:t>
      </w:r>
    </w:p>
    <w:p>
      <w:pPr>
        <w:spacing w:after="0" w:line="164" w:lineRule="exact"/>
        <w:rPr>
          <w:sz w:val="20"/>
          <w:szCs w:val="20"/>
          <w:color w:val="auto"/>
        </w:rPr>
      </w:pPr>
    </w:p>
    <w:p>
      <w:pPr>
        <w:ind w:right="420" w:firstLine="568"/>
        <w:spacing w:after="0" w:line="195" w:lineRule="exact"/>
        <w:rPr>
          <w:sz w:val="20"/>
          <w:szCs w:val="20"/>
          <w:color w:val="auto"/>
        </w:rPr>
      </w:pPr>
      <w:r>
        <w:rPr>
          <w:rFonts w:ascii="Arial" w:cs="Arial" w:eastAsia="Arial" w:hAnsi="Arial"/>
          <w:sz w:val="16"/>
          <w:szCs w:val="16"/>
          <w:color w:val="auto"/>
        </w:rPr>
        <w:t>Our risk management activities related to our on exchange market making strategies utilize a four</w:t>
      </w:r>
      <w:r>
        <w:rPr>
          <w:rFonts w:ascii="MS PGothic" w:cs="MS PGothic" w:eastAsia="MS PGothic" w:hAnsi="MS PGothic"/>
          <w:sz w:val="16"/>
          <w:szCs w:val="16"/>
          <w:color w:val="auto"/>
        </w:rPr>
        <w:t>‑</w:t>
      </w:r>
      <w:r>
        <w:rPr>
          <w:rFonts w:ascii="Arial" w:cs="Arial" w:eastAsia="Arial" w:hAnsi="Arial"/>
          <w:sz w:val="16"/>
          <w:szCs w:val="16"/>
          <w:color w:val="auto"/>
        </w:rPr>
        <w:t>pronged approach, consisting of strategy lockdowns, centralized strategy monitoring, aggregate exposure monitoring and operational controls. In</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802" w:right="319" w:bottom="1440" w:gutter="0" w:footer="0" w:header="0"/>
        </w:sectPr>
      </w:pPr>
    </w:p>
    <w:bookmarkStart w:id="18" w:name="page19"/>
    <w:bookmarkEnd w:id="18"/>
    <w:p>
      <w:pPr>
        <w:ind w:right="100"/>
        <w:spacing w:after="0" w:line="252" w:lineRule="auto"/>
        <w:rPr>
          <w:sz w:val="20"/>
          <w:szCs w:val="20"/>
          <w:color w:val="auto"/>
        </w:rPr>
      </w:pPr>
      <w:r>
        <w:rPr>
          <w:rFonts w:ascii="Arial" w:cs="Arial" w:eastAsia="Arial" w:hAnsi="Arial"/>
          <w:sz w:val="16"/>
          <w:szCs w:val="16"/>
          <w:color w:val="auto"/>
        </w:rPr>
        <w:t>particular, messages that leave our trading environment first must pass through a series of preset risk controls or “lockdowns” that are intended to minimize the likelihood of unintended activities. In certain cases, this layer of risk management, which adds a layer of latency to our process, may limit our ability to profit from acute volatility in the markets. This would be the case, for example, where a particular strategy being utilized by one of our traders is temporarily locked down for generating revenue in excess of the preset risk limit. Even if we are able to quickly and correctly identify the reasons for a lockdown and quickly resume the trading strategy, we may limit our potential upside as a result of our risk management policies.</w:t>
      </w:r>
    </w:p>
    <w:p>
      <w:pPr>
        <w:spacing w:after="0" w:line="194" w:lineRule="exact"/>
        <w:rPr>
          <w:sz w:val="20"/>
          <w:szCs w:val="20"/>
          <w:color w:val="auto"/>
        </w:rPr>
      </w:pPr>
    </w:p>
    <w:p>
      <w:pPr>
        <w:spacing w:after="0" w:line="268" w:lineRule="auto"/>
        <w:rPr>
          <w:sz w:val="20"/>
          <w:szCs w:val="20"/>
          <w:color w:val="auto"/>
        </w:rPr>
      </w:pPr>
      <w:r>
        <w:rPr>
          <w:rFonts w:ascii="Arial" w:cs="Arial" w:eastAsia="Arial" w:hAnsi="Arial"/>
          <w:sz w:val="16"/>
          <w:szCs w:val="16"/>
          <w:b w:val="1"/>
          <w:bCs w:val="1"/>
          <w:i w:val="1"/>
          <w:iCs w:val="1"/>
          <w:color w:val="auto"/>
        </w:rPr>
        <w:t>The valuation of the securities we hold at any particular time may result in large and occasionally anomalous swings in the value of our positions and in our earnings in any period.</w:t>
      </w:r>
    </w:p>
    <w:p>
      <w:pPr>
        <w:spacing w:after="0" w:line="181" w:lineRule="exact"/>
        <w:rPr>
          <w:sz w:val="20"/>
          <w:szCs w:val="20"/>
          <w:color w:val="auto"/>
        </w:rPr>
      </w:pPr>
    </w:p>
    <w:p>
      <w:pPr>
        <w:ind w:right="20" w:firstLine="568"/>
        <w:spacing w:after="0" w:line="271" w:lineRule="auto"/>
        <w:rPr>
          <w:sz w:val="20"/>
          <w:szCs w:val="20"/>
          <w:color w:val="auto"/>
        </w:rPr>
      </w:pPr>
      <w:r>
        <w:rPr>
          <w:rFonts w:ascii="Arial" w:cs="Arial" w:eastAsia="Arial" w:hAnsi="Arial"/>
          <w:sz w:val="15"/>
          <w:szCs w:val="15"/>
          <w:color w:val="auto"/>
        </w:rPr>
        <w:t>The market prices of our long and short positions are reflected on our books at closing prices, which are typically the last trade prices before the official close of the primary exchange on which each such security trades. Given that we manage a globally integrated portfolio, we may have large and substantially offsetting positions in securities that trade on different exchanges that close at different times of the trading day and may be denominated in different currencies. Further, there may be large and occasionally anomalous swings in the value of our positions on any particular day and in our earnings in any period. Such swings may be especially pronounced on the last business day of each calendar quarter, as the discrepancy in official closing prices resulting from the asynchronous closing times may cause us to recognize a gain or loss in one quarter which would be substantially offset by a corresponding loss or gain in the following quarter.</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substantial competition and other competitive dynamics which could harm our financial performance.</w:t>
      </w:r>
    </w:p>
    <w:p>
      <w:pPr>
        <w:spacing w:after="0" w:line="219" w:lineRule="exact"/>
        <w:rPr>
          <w:sz w:val="20"/>
          <w:szCs w:val="20"/>
          <w:color w:val="auto"/>
        </w:rPr>
      </w:pPr>
    </w:p>
    <w:p>
      <w:pPr>
        <w:ind w:firstLine="568"/>
        <w:spacing w:after="0" w:line="297" w:lineRule="auto"/>
        <w:rPr>
          <w:sz w:val="20"/>
          <w:szCs w:val="20"/>
          <w:color w:val="auto"/>
        </w:rPr>
      </w:pPr>
      <w:r>
        <w:rPr>
          <w:rFonts w:ascii="Arial" w:cs="Arial" w:eastAsia="Arial" w:hAnsi="Arial"/>
          <w:sz w:val="14"/>
          <w:szCs w:val="14"/>
          <w:color w:val="auto"/>
        </w:rPr>
        <w:t>Revenues from our market making activities depend on our ability to offer to buy and sell financial instruments at prices that are attractive and represent the best bid and/or offer in a given instrument at a given time. To attract order flow, we compete with other firms not only on our ability to provide liquidity at competitive prices, but also on other factors such as order execution speed and technology. Similarly, revenues from our technology services and agency execution services depend on our ability to offer cutting edge technology and risk management solutions. Across our businesses, our relationships with clients, customers and other counterparties could be adversely impacted by competitive dynamics across the industry, including but not limited to consolidation in the retail brokerage industry or asset management industry.</w:t>
      </w:r>
    </w:p>
    <w:p>
      <w:pPr>
        <w:spacing w:after="0" w:line="164" w:lineRule="exact"/>
        <w:rPr>
          <w:sz w:val="20"/>
          <w:szCs w:val="20"/>
          <w:color w:val="auto"/>
        </w:rPr>
      </w:pPr>
    </w:p>
    <w:p>
      <w:pPr>
        <w:ind w:right="20" w:firstLine="568"/>
        <w:spacing w:after="0" w:line="190" w:lineRule="exact"/>
        <w:rPr>
          <w:sz w:val="20"/>
          <w:szCs w:val="20"/>
          <w:color w:val="auto"/>
        </w:rPr>
      </w:pPr>
      <w:r>
        <w:rPr>
          <w:rFonts w:ascii="Arial" w:cs="Arial" w:eastAsia="Arial" w:hAnsi="Arial"/>
          <w:sz w:val="14"/>
          <w:szCs w:val="14"/>
          <w:color w:val="auto"/>
        </w:rPr>
        <w:t>Our competitors include other registered market makers, as well as unregulated or lesser</w:t>
      </w:r>
      <w:r>
        <w:rPr>
          <w:rFonts w:ascii="MS PGothic" w:cs="MS PGothic" w:eastAsia="MS PGothic" w:hAnsi="MS PGothic"/>
          <w:sz w:val="14"/>
          <w:szCs w:val="14"/>
          <w:color w:val="auto"/>
        </w:rPr>
        <w:t>‑</w:t>
      </w:r>
      <w:r>
        <w:rPr>
          <w:rFonts w:ascii="Arial" w:cs="Arial" w:eastAsia="Arial" w:hAnsi="Arial"/>
          <w:sz w:val="14"/>
          <w:szCs w:val="14"/>
          <w:color w:val="auto"/>
        </w:rPr>
        <w:t>regulated trading and technology firms that also compete to provide liquidity and execution services. Our competitors range from sole proprietors with very limited resources to highly sophisticated groups, hedge funds, well</w:t>
      </w:r>
      <w:r>
        <w:rPr>
          <w:rFonts w:ascii="MS PGothic" w:cs="MS PGothic" w:eastAsia="MS PGothic" w:hAnsi="MS PGothic"/>
          <w:sz w:val="14"/>
          <w:szCs w:val="14"/>
          <w:color w:val="auto"/>
        </w:rPr>
        <w:t>‑</w:t>
      </w:r>
      <w:r>
        <w:rPr>
          <w:rFonts w:ascii="Arial" w:cs="Arial" w:eastAsia="Arial" w:hAnsi="Arial"/>
          <w:sz w:val="14"/>
          <w:szCs w:val="14"/>
          <w:color w:val="auto"/>
        </w:rPr>
        <w:t>capitalized broker</w:t>
      </w:r>
      <w:r>
        <w:rPr>
          <w:rFonts w:ascii="MS PGothic" w:cs="MS PGothic" w:eastAsia="MS PGothic" w:hAnsi="MS PGothic"/>
          <w:sz w:val="14"/>
          <w:szCs w:val="14"/>
          <w:color w:val="auto"/>
        </w:rPr>
        <w:t>‑</w:t>
      </w:r>
      <w:r>
        <w:rPr>
          <w:rFonts w:ascii="Arial" w:cs="Arial" w:eastAsia="Arial" w:hAnsi="Arial"/>
          <w:sz w:val="14"/>
          <w:szCs w:val="14"/>
          <w:color w:val="auto"/>
        </w:rPr>
        <w:t>dealers and proprietary trading firms or other market makers that have substantially greater financial and other resources than we do. These larger and better capitalized competitors may be better able to respond to changes in the market making industry, to compete for skilled professionals, to finance acquisitions, to fund internal growth, to manage costs and expenses and to compete for market share generally. Trading firms that are not registered as broker</w:t>
      </w:r>
      <w:r>
        <w:rPr>
          <w:rFonts w:ascii="MS PGothic" w:cs="MS PGothic" w:eastAsia="MS PGothic" w:hAnsi="MS PGothic"/>
          <w:sz w:val="14"/>
          <w:szCs w:val="14"/>
          <w:color w:val="auto"/>
        </w:rPr>
        <w:t>‑</w:t>
      </w:r>
      <w:r>
        <w:rPr>
          <w:rFonts w:ascii="Arial" w:cs="Arial" w:eastAsia="Arial" w:hAnsi="Arial"/>
          <w:sz w:val="14"/>
          <w:szCs w:val="14"/>
          <w:color w:val="auto"/>
        </w:rPr>
        <w:t>dealers or broker</w:t>
      </w:r>
      <w:r>
        <w:rPr>
          <w:rFonts w:ascii="MS PGothic" w:cs="MS PGothic" w:eastAsia="MS PGothic" w:hAnsi="MS PGothic"/>
          <w:sz w:val="14"/>
          <w:szCs w:val="14"/>
          <w:color w:val="auto"/>
        </w:rPr>
        <w:t>‑</w:t>
      </w:r>
      <w:r>
        <w:rPr>
          <w:rFonts w:ascii="Arial" w:cs="Arial" w:eastAsia="Arial" w:hAnsi="Arial"/>
          <w:sz w:val="14"/>
          <w:szCs w:val="14"/>
          <w:color w:val="auto"/>
        </w:rPr>
        <w:t>dealers not registered as market makers may in some instances have certain advantages over more regulated firms, including our subsidiaries that may allow them to bypass regulatory restrictions and trade more cheaply than more regulated participants on some markets or exchanges. In addition, we may in the future face enhanced competition from new market participants that may also have substantially greater financial and other resources than we do, which may result in compressed bid/ask spreads in the marketplace that may negatively impact our financial performance. Moreover, current and potential competitors may establish cooperative relationships among themselves or with third parties or may consolidate to enhance their services and products. The trend toward increased competition in our business is expected to continue, and it is possible that our competitors may acquire increased market share. Increased competition or consolidation in the marketplace could reduce the bid/ask spreads on which our business and profitability depend, and may also reduce commissions paid by institutional clients for execution services, negatively impacting our financial performance. As a result, there can be no assurance that we will be able to compete effectively with current or future competitors, which could have a material adverse effect on our business, financial condition, results of operations and cash flows.</w:t>
      </w:r>
    </w:p>
    <w:p>
      <w:pPr>
        <w:spacing w:after="0" w:line="20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market making business is concentrated in U.S. equities; accordingly, our operating results may be negatively impacted by changes that affect the U.S. equity markets.</w:t>
      </w:r>
    </w:p>
    <w:p>
      <w:pPr>
        <w:spacing w:after="0" w:line="265" w:lineRule="exact"/>
        <w:rPr>
          <w:sz w:val="20"/>
          <w:szCs w:val="20"/>
          <w:color w:val="auto"/>
        </w:rPr>
      </w:pPr>
    </w:p>
    <w:p>
      <w:pPr>
        <w:ind w:right="60" w:firstLine="568"/>
        <w:spacing w:after="0" w:line="276" w:lineRule="auto"/>
        <w:rPr>
          <w:sz w:val="20"/>
          <w:szCs w:val="20"/>
          <w:color w:val="auto"/>
        </w:rPr>
      </w:pPr>
      <w:r>
        <w:rPr>
          <w:rFonts w:ascii="Arial" w:cs="Arial" w:eastAsia="Arial" w:hAnsi="Arial"/>
          <w:sz w:val="15"/>
          <w:szCs w:val="15"/>
          <w:color w:val="auto"/>
        </w:rPr>
        <w:t>The majority of our market making revenue for 2021 was derived from our market making in U.S. equities. The level of activity in the U.S. equity markets is directly affected by factors beyond our control, including U.S. economic and political conditions, broad trends in business and finance, legislative and regulatory changes and changes in volume and price levels of U.S. equity transactions. As a result, to the extent these or other factors reduce trading volume or volatility or result in a downturn in the U.S. equity markets, we may experience a material adverse effect on our business, financial condition and operating results.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802" w:right="359" w:bottom="1440" w:gutter="0" w:footer="0" w:header="0"/>
        </w:sectPr>
      </w:pPr>
    </w:p>
    <w:bookmarkStart w:id="19" w:name="page20"/>
    <w:bookmarkEnd w:id="19"/>
    <w:p>
      <w:pPr>
        <w:spacing w:after="0"/>
        <w:rPr>
          <w:sz w:val="20"/>
          <w:szCs w:val="20"/>
          <w:color w:val="auto"/>
        </w:rPr>
      </w:pPr>
      <w:r>
        <w:rPr>
          <w:rFonts w:ascii="Arial" w:cs="Arial" w:eastAsia="Arial" w:hAnsi="Arial"/>
          <w:sz w:val="12"/>
          <w:szCs w:val="12"/>
          <w:b w:val="1"/>
          <w:bCs w:val="1"/>
          <w:i w:val="1"/>
          <w:iCs w:val="1"/>
          <w:color w:val="auto"/>
        </w:rPr>
        <w:t>We could lose significant sources of revenues if we lose any of our larger clients or sources of order flow or lose access to an important exchange or other trading venue.</w:t>
      </w:r>
    </w:p>
    <w:p>
      <w:pPr>
        <w:spacing w:after="0" w:line="265" w:lineRule="exact"/>
        <w:rPr>
          <w:sz w:val="20"/>
          <w:szCs w:val="20"/>
          <w:color w:val="auto"/>
        </w:rPr>
      </w:pPr>
    </w:p>
    <w:p>
      <w:pPr>
        <w:ind w:right="100" w:firstLine="568"/>
        <w:spacing w:after="0" w:line="288" w:lineRule="auto"/>
        <w:rPr>
          <w:sz w:val="20"/>
          <w:szCs w:val="20"/>
          <w:color w:val="auto"/>
        </w:rPr>
      </w:pPr>
      <w:r>
        <w:rPr>
          <w:rFonts w:ascii="Arial" w:cs="Arial" w:eastAsia="Arial" w:hAnsi="Arial"/>
          <w:sz w:val="14"/>
          <w:szCs w:val="14"/>
          <w:color w:val="auto"/>
        </w:rPr>
        <w:t>At times, a limited number of clients could account for a significant portion of our order flow, revenues and profitability, and we expect a large portion of the future demand for, and profitability from, our trade execution services to remain concentrated within a limited number of clients. The loss of one or more larger clients could have an adverse effect on our revenues and profitability in the future. None of these clients is currently contractually obligated to utilize us for trade execution services and, accordingly, these clients may direct their trade execution activities to other execution providers or market centers at any time. Some of these clients have grown organically or acquired market makers and specialist firms to internalize order flow or have entered into strategic relationships with competitors. There can be no assurance that we will be able to retain these significant clients or that such clients will maintain or increase their demand for our trade execution services. Further, the continued integration of legacy systems and the development of new systems could result in disruptions to our ongoing businesses and relationships or cause issues with standards, controls, procedures and policies that adversely affect our ability to maintain relationships with customers, or to solicit new customers. Further, changes in applicable laws, regulations or rules could adversely impact our relationship with any such client or opportunities to interact with order flows from such clients. The loss, or a significant reduction, of demand for our services from any of these clients could have a material adverse effect on our business, financial condition, results of operations and cash flows.</w:t>
      </w:r>
    </w:p>
    <w:p>
      <w:pPr>
        <w:spacing w:after="0" w:line="164" w:lineRule="exact"/>
        <w:rPr>
          <w:sz w:val="20"/>
          <w:szCs w:val="20"/>
          <w:color w:val="auto"/>
        </w:rPr>
      </w:pPr>
    </w:p>
    <w:p>
      <w:pPr>
        <w:ind w:right="100" w:firstLine="568"/>
        <w:spacing w:after="0" w:line="223" w:lineRule="auto"/>
        <w:rPr>
          <w:sz w:val="20"/>
          <w:szCs w:val="20"/>
          <w:color w:val="auto"/>
        </w:rPr>
      </w:pPr>
      <w:r>
        <w:rPr>
          <w:rFonts w:ascii="Arial" w:cs="Arial" w:eastAsia="Arial" w:hAnsi="Arial"/>
          <w:sz w:val="16"/>
          <w:szCs w:val="16"/>
          <w:color w:val="auto"/>
        </w:rPr>
        <w:t>Similarly, changes in applicable laws, regulations or rules promulgated by exchanges could conceivably prevent us from providing liquidity directly to clients or counterparties to an exchange or other trading venue where we provide liquidity today. Recent regulatory attention on U.S. equities market structure, including the practice of wholesale market making and other forms of off exchange trading, may increase the likelihood of such a proposed change or change and is discussed in further detail in “Item 1A. Risk Factors—Legal and Regulatory Risks. Though our revenues are diversified across exchanges and other trading venues, asset classes and geographies, the loss of access to one or more significant clients or counterparties, exchanges or other trading venues for any reason could have a material adverse effect on our business, financial condition, results of operations and cash flows.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liquidity risk in our operations.</w:t>
      </w:r>
    </w:p>
    <w:p>
      <w:pPr>
        <w:spacing w:after="0" w:line="219" w:lineRule="exact"/>
        <w:rPr>
          <w:sz w:val="20"/>
          <w:szCs w:val="20"/>
          <w:color w:val="auto"/>
        </w:rPr>
      </w:pPr>
    </w:p>
    <w:p>
      <w:pPr>
        <w:ind w:firstLine="568"/>
        <w:spacing w:after="0" w:line="191" w:lineRule="exact"/>
        <w:rPr>
          <w:sz w:val="20"/>
          <w:szCs w:val="20"/>
          <w:color w:val="auto"/>
        </w:rPr>
      </w:pPr>
      <w:r>
        <w:rPr>
          <w:rFonts w:ascii="Arial" w:cs="Arial" w:eastAsia="Arial" w:hAnsi="Arial"/>
          <w:sz w:val="15"/>
          <w:szCs w:val="15"/>
          <w:color w:val="auto"/>
        </w:rPr>
        <w:t>We require liquidity to fund various ongoing obligations, including operating expenses, margin requirements, capital expenditures, debt service and dividend payments. Our main sources of liquidity are cash flow from the operations of our subsidiaries, our broker</w:t>
      </w:r>
      <w:r>
        <w:rPr>
          <w:rFonts w:ascii="MS PGothic" w:cs="MS PGothic" w:eastAsia="MS PGothic" w:hAnsi="MS PGothic"/>
          <w:sz w:val="15"/>
          <w:szCs w:val="15"/>
          <w:color w:val="auto"/>
        </w:rPr>
        <w:t>‑</w:t>
      </w:r>
      <w:r>
        <w:rPr>
          <w:rFonts w:ascii="Arial" w:cs="Arial" w:eastAsia="Arial" w:hAnsi="Arial"/>
          <w:sz w:val="15"/>
          <w:szCs w:val="15"/>
          <w:color w:val="auto"/>
        </w:rPr>
        <w:t>dealer revolving credit facilities (described under “Item 7. Management’s Discussion and Analysis of Financial Condition and Results of Operations - Liquidity and Capital Resources - Long-Term Borrowings”), margin financing provided by our prime brokers and cash on hand. Our liquidity could be materially impaired by a number of factors, including increased funding requirements for margin or settlement with central clearinghouses, prime brokers or counterparties, reduced business activity due to a market downturn, adverse regulatory action or a downgrade of our credit rating. If our business activities decrease or we are unable to borrow additional funds in the future on terms that are acceptable to us, or at all, we could suffer a material adverse effect on our business, financial condition, results of operations and cash flows.</w:t>
      </w:r>
    </w:p>
    <w:p>
      <w:pPr>
        <w:spacing w:after="0" w:line="206" w:lineRule="exact"/>
        <w:rPr>
          <w:sz w:val="20"/>
          <w:szCs w:val="20"/>
          <w:color w:val="auto"/>
        </w:rPr>
      </w:pPr>
    </w:p>
    <w:p>
      <w:pPr>
        <w:spacing w:after="0" w:line="184" w:lineRule="exact"/>
        <w:rPr>
          <w:sz w:val="20"/>
          <w:szCs w:val="20"/>
          <w:color w:val="auto"/>
        </w:rPr>
      </w:pPr>
      <w:r>
        <w:rPr>
          <w:rFonts w:ascii="Arial" w:cs="Arial" w:eastAsia="Arial" w:hAnsi="Arial"/>
          <w:sz w:val="16"/>
          <w:szCs w:val="16"/>
          <w:b w:val="1"/>
          <w:bCs w:val="1"/>
          <w:i w:val="1"/>
          <w:iCs w:val="1"/>
          <w:color w:val="auto"/>
        </w:rPr>
        <w:t>Self</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clearing and other elements of our trade processing operations expose us to significant operational, financial and liquidity risks.</w:t>
      </w:r>
    </w:p>
    <w:p>
      <w:pPr>
        <w:spacing w:after="0" w:line="219" w:lineRule="exact"/>
        <w:rPr>
          <w:sz w:val="20"/>
          <w:szCs w:val="20"/>
          <w:color w:val="auto"/>
        </w:rPr>
      </w:pPr>
    </w:p>
    <w:p>
      <w:pPr>
        <w:ind w:right="60" w:firstLine="568"/>
        <w:spacing w:after="0" w:line="191" w:lineRule="exact"/>
        <w:rPr>
          <w:sz w:val="20"/>
          <w:szCs w:val="20"/>
          <w:color w:val="auto"/>
        </w:rPr>
      </w:pPr>
      <w:r>
        <w:rPr>
          <w:rFonts w:ascii="Arial" w:cs="Arial" w:eastAsia="Arial" w:hAnsi="Arial"/>
          <w:sz w:val="16"/>
          <w:szCs w:val="16"/>
          <w:color w:val="auto"/>
        </w:rPr>
        <w:t>We currently self</w:t>
      </w:r>
      <w:r>
        <w:rPr>
          <w:rFonts w:ascii="MS PGothic" w:cs="MS PGothic" w:eastAsia="MS PGothic" w:hAnsi="MS PGothic"/>
          <w:sz w:val="16"/>
          <w:szCs w:val="16"/>
          <w:color w:val="auto"/>
        </w:rPr>
        <w:t>‑</w:t>
      </w:r>
      <w:r>
        <w:rPr>
          <w:rFonts w:ascii="Arial" w:cs="Arial" w:eastAsia="Arial" w:hAnsi="Arial"/>
          <w:sz w:val="16"/>
          <w:szCs w:val="16"/>
          <w:color w:val="auto"/>
        </w:rPr>
        <w:t>clear a substantial portion of our domestic equity trades and may expand our self</w:t>
      </w:r>
      <w:r>
        <w:rPr>
          <w:rFonts w:ascii="MS PGothic" w:cs="MS PGothic" w:eastAsia="MS PGothic" w:hAnsi="MS PGothic"/>
          <w:sz w:val="16"/>
          <w:szCs w:val="16"/>
          <w:color w:val="auto"/>
        </w:rPr>
        <w:t>‑</w:t>
      </w:r>
      <w:r>
        <w:rPr>
          <w:rFonts w:ascii="Arial" w:cs="Arial" w:eastAsia="Arial" w:hAnsi="Arial"/>
          <w:sz w:val="16"/>
          <w:szCs w:val="16"/>
          <w:color w:val="auto"/>
        </w:rPr>
        <w:t>clearing operations internationally and across product offerings and asset classes in the future. Self</w:t>
      </w:r>
      <w:r>
        <w:rPr>
          <w:rFonts w:ascii="MS PGothic" w:cs="MS PGothic" w:eastAsia="MS PGothic" w:hAnsi="MS PGothic"/>
          <w:sz w:val="16"/>
          <w:szCs w:val="16"/>
          <w:color w:val="auto"/>
        </w:rPr>
        <w:t>‑</w:t>
      </w:r>
      <w:r>
        <w:rPr>
          <w:rFonts w:ascii="Arial" w:cs="Arial" w:eastAsia="Arial" w:hAnsi="Arial"/>
          <w:sz w:val="16"/>
          <w:szCs w:val="16"/>
          <w:color w:val="auto"/>
        </w:rPr>
        <w:t>clearing exposes our business to operational risks, including business disruption, operational inefficiencies, liquidity, financing risks, counterparty performance risk and potentially increased expenses and lost revenue opportunities. While our clearing platform, operational processes, risk methodologies, enhanced infrastructure and current and future financing arrangements have been carefully designed, we may nevertheless encounter difficulties that may lead to operating inefficiencies, including delays in implementation, disruption in the infrastructure that supports the business, inadequate liquidity and financial loss. Any such delay, disruption or failure could negatively impact our ability to effect transactions and manage our exposure to risk and could have a material adverse effect on our business, financial condition, results of operations cash flows.</w:t>
      </w:r>
    </w:p>
    <w:p>
      <w:pPr>
        <w:spacing w:after="0" w:line="203" w:lineRule="exact"/>
        <w:rPr>
          <w:sz w:val="20"/>
          <w:szCs w:val="20"/>
          <w:color w:val="auto"/>
        </w:rPr>
      </w:pPr>
    </w:p>
    <w:p>
      <w:pPr>
        <w:ind w:right="20" w:firstLine="568"/>
        <w:spacing w:after="0" w:line="252" w:lineRule="auto"/>
        <w:rPr>
          <w:sz w:val="20"/>
          <w:szCs w:val="20"/>
          <w:color w:val="auto"/>
        </w:rPr>
      </w:pPr>
      <w:r>
        <w:rPr>
          <w:rFonts w:ascii="Arial" w:cs="Arial" w:eastAsia="Arial" w:hAnsi="Arial"/>
          <w:sz w:val="16"/>
          <w:szCs w:val="16"/>
          <w:color w:val="auto"/>
        </w:rPr>
        <w:t>In connection with our operation of our client execution services business, we are required to finance certain of our clients’ unsettled positions from time to time and we could be held responsible for the defaults of our clients. Default by our clients may also give rise to our incurring penalties imposed by execution venues, regulatory authorities and clearing and settlement organizations. Although we regularly review our credit exposure, default risk may arise from events or circumstances that may be difficult to detect or foresee. In addition, concerns about, or a default by, one institution could lead to significant liquidity problems, losses or defaults by other institutions that could in turn adversely affect us.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802" w:right="319" w:bottom="1440" w:gutter="0" w:footer="0" w:header="0"/>
        </w:sectPr>
      </w:pPr>
    </w:p>
    <w:bookmarkStart w:id="20" w:name="page21"/>
    <w:bookmarkEnd w:id="20"/>
    <w:p>
      <w:pPr>
        <w:ind w:right="60" w:firstLine="568"/>
        <w:spacing w:after="0" w:line="269" w:lineRule="auto"/>
        <w:rPr>
          <w:sz w:val="20"/>
          <w:szCs w:val="20"/>
          <w:color w:val="auto"/>
        </w:rPr>
      </w:pPr>
      <w:r>
        <w:rPr>
          <w:rFonts w:ascii="Arial" w:cs="Arial" w:eastAsia="Arial" w:hAnsi="Arial"/>
          <w:sz w:val="15"/>
          <w:szCs w:val="15"/>
          <w:color w:val="auto"/>
        </w:rPr>
        <w:t>Additionally, elevated levels of volume and volatility, which have and may continue to result in material increases in our trading activities both in our market making segment and in our execution services segment, have previously and may in the future result in significantly increased margin requirements with the National Securities Clearing Corporation (“NSCC”), the Options Clearing Corporation (“OCC”), as well as certain prime brokers, clearing brokers, and other counterparties. In order to manage these increased daily funding obligations, we have taken and may continue to have to take measures to increase available short-term liquidity and to reduce our short-term funding requirements, which may require us to depend on additional sources of liquidity and upon the availability of third parties for services such as trade clearing, and have required and may continue to require us to limit certain of our activities in certain asset classes or products. If such sources of short-term liquidity or third-party services are not available, or if we encounter challenges obtaining such short-term liquidity or third-party services on terms favorable to us or at all, then our business, financial condition and results of operations may be adversely impacted.</w:t>
      </w:r>
    </w:p>
    <w:p>
      <w:pPr>
        <w:spacing w:after="0" w:line="18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have a substantial amount of indebtedness, which could negatively impact our business and financial condition, and may limit our flexibility in operating our business.</w:t>
      </w:r>
    </w:p>
    <w:p>
      <w:pPr>
        <w:spacing w:after="0" w:line="253" w:lineRule="exact"/>
        <w:rPr>
          <w:sz w:val="20"/>
          <w:szCs w:val="20"/>
          <w:color w:val="auto"/>
        </w:rPr>
      </w:pPr>
    </w:p>
    <w:p>
      <w:pPr>
        <w:ind w:firstLine="568"/>
        <w:spacing w:after="0" w:line="225" w:lineRule="auto"/>
        <w:rPr>
          <w:sz w:val="20"/>
          <w:szCs w:val="20"/>
          <w:color w:val="auto"/>
        </w:rPr>
      </w:pPr>
      <w:r>
        <w:rPr>
          <w:rFonts w:ascii="Arial" w:cs="Arial" w:eastAsia="Arial" w:hAnsi="Arial"/>
          <w:sz w:val="16"/>
          <w:szCs w:val="16"/>
          <w:color w:val="auto"/>
        </w:rPr>
        <w:t>As of December 31, 2021, we had an aggregate of $1,630.5 million outstanding indebtedness under our long-term borrowings, which was subsequently increased to $1.8 billion in connection with a refinancing transaction entered into on January 13, 2022 which is discussed in further detail in Note 26 “Subsequent Events” of Part II Item 8 “Financial Statements and Supplementary Data” of this Annual Report on Form 10-K. If we cannot generate sufficient cash flow from operations to service our debt, we may need to refinance our debt, dispose of assets or issue equity to obtain necessary funds. We do not know whether we will be able to take any of such actions on a timely basis, on terms satisfactory to us or at all.</w:t>
      </w:r>
    </w:p>
    <w:p>
      <w:pPr>
        <w:spacing w:after="0" w:line="191" w:lineRule="exact"/>
        <w:rPr>
          <w:sz w:val="20"/>
          <w:szCs w:val="20"/>
          <w:color w:val="auto"/>
        </w:rPr>
      </w:pPr>
    </w:p>
    <w:p>
      <w:pPr>
        <w:ind w:right="20" w:firstLine="568"/>
        <w:spacing w:after="0" w:line="302" w:lineRule="auto"/>
        <w:rPr>
          <w:sz w:val="20"/>
          <w:szCs w:val="20"/>
          <w:color w:val="auto"/>
        </w:rPr>
      </w:pPr>
      <w:r>
        <w:rPr>
          <w:rFonts w:ascii="Arial" w:cs="Arial" w:eastAsia="Arial" w:hAnsi="Arial"/>
          <w:sz w:val="14"/>
          <w:szCs w:val="14"/>
          <w:color w:val="auto"/>
        </w:rPr>
        <w:t>Additionally, we are party to an uncommitted facility (the “Uncommitted Facility”), subject to a maximum borrowing limit of $400.0 million, under which we had $58.0 million of borrowings outstanding as of December 31, 2021. We are also a party to a $600.0 million broker-dealer revolving credit facility (the “Committed Facility”) under which we had no borrowings outstanding as of December 31, 2021. Also, certain of our non-guarantor subsidiaries are party to various short-term credit facilities with various prime brokers and other financial institutions in an aggregate amount of $616.0 million under which we had $177.1 million in borrowings outstanding at December 31, 2021.</w:t>
      </w:r>
    </w:p>
    <w:p>
      <w:pPr>
        <w:spacing w:after="0" w:line="149" w:lineRule="exact"/>
        <w:rPr>
          <w:sz w:val="20"/>
          <w:szCs w:val="20"/>
          <w:color w:val="auto"/>
        </w:rPr>
      </w:pPr>
    </w:p>
    <w:p>
      <w:pPr>
        <w:ind w:right="40" w:firstLine="155"/>
        <w:spacing w:after="0" w:line="223" w:lineRule="auto"/>
        <w:rPr>
          <w:sz w:val="20"/>
          <w:szCs w:val="20"/>
          <w:color w:val="auto"/>
        </w:rPr>
      </w:pPr>
      <w:r>
        <w:rPr>
          <w:rFonts w:ascii="Arial" w:cs="Arial" w:eastAsia="Arial" w:hAnsi="Arial"/>
          <w:sz w:val="16"/>
          <w:szCs w:val="16"/>
          <w:color w:val="auto"/>
        </w:rPr>
        <w:t>The credit agreement entered into on March 1, 2019 by and among Virtu Financial, VFH Parent LLC, a Delaware limited liability company and a subsidiary of Virtu Financial (“VFH”), Impala Borrower LLC (the “Acquisition Borrower”), a subsidiary of the Company, the lenders party thereto and Jefferies Finance LLC, as administrative agent (as amended on October 9, 2019 and as further amended from time to time, the “Acquisition Credit Agreement”) contained, and the credit agreement entered into on January 13, 2022 by and among VFH, the lenders party thereto and JPMorgan Chase Bank, N.A., as administrative agent (the “Credit Agreement”), and any other existing or future indebtedness of ours may contain, a number of covenants that impose significant operating and financial restrictions on us, including restrictions on our and our restricted subsidiaries’ ability to, among other things:</w:t>
      </w:r>
    </w:p>
    <w:p>
      <w:pPr>
        <w:spacing w:after="0" w:line="194" w:lineRule="exact"/>
        <w:rPr>
          <w:sz w:val="20"/>
          <w:szCs w:val="20"/>
          <w:color w:val="auto"/>
        </w:rPr>
      </w:pPr>
    </w:p>
    <w:p>
      <w:pPr>
        <w:ind w:left="840" w:hanging="277"/>
        <w:spacing w:after="0"/>
        <w:tabs>
          <w:tab w:leader="none" w:pos="8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incur additional debt, guarantee indebtedness or issue certain preferred equity interests;</w:t>
      </w:r>
    </w:p>
    <w:p>
      <w:pPr>
        <w:spacing w:after="0" w:line="16" w:lineRule="exact"/>
        <w:rPr>
          <w:rFonts w:ascii="Arial" w:cs="Arial" w:eastAsia="Arial" w:hAnsi="Arial"/>
          <w:sz w:val="16"/>
          <w:szCs w:val="16"/>
          <w:color w:val="auto"/>
        </w:rPr>
      </w:pPr>
    </w:p>
    <w:p>
      <w:pPr>
        <w:ind w:left="840" w:hanging="277"/>
        <w:spacing w:after="0"/>
        <w:tabs>
          <w:tab w:leader="none" w:pos="8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pay dividends on or make distributions in respect of, or repurchase or redeem, our equity interests or make other restricted payments;</w:t>
      </w:r>
    </w:p>
    <w:p>
      <w:pPr>
        <w:spacing w:after="0" w:line="5" w:lineRule="exact"/>
        <w:rPr>
          <w:rFonts w:ascii="Arial" w:cs="Arial" w:eastAsia="Arial" w:hAnsi="Arial"/>
          <w:sz w:val="16"/>
          <w:szCs w:val="16"/>
          <w:color w:val="auto"/>
        </w:rPr>
      </w:pPr>
    </w:p>
    <w:p>
      <w:pPr>
        <w:ind w:left="840" w:hanging="277"/>
        <w:spacing w:after="0"/>
        <w:tabs>
          <w:tab w:leader="none" w:pos="8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prepay, redeem or repurchase certain debt;</w:t>
      </w:r>
    </w:p>
    <w:p>
      <w:pPr>
        <w:spacing w:after="0" w:line="5" w:lineRule="exact"/>
        <w:rPr>
          <w:rFonts w:ascii="Arial" w:cs="Arial" w:eastAsia="Arial" w:hAnsi="Arial"/>
          <w:sz w:val="16"/>
          <w:szCs w:val="16"/>
          <w:color w:val="auto"/>
        </w:rPr>
      </w:pPr>
    </w:p>
    <w:p>
      <w:pPr>
        <w:ind w:left="840" w:hanging="277"/>
        <w:spacing w:after="0"/>
        <w:tabs>
          <w:tab w:leader="none" w:pos="8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make loans or certain investments;</w:t>
      </w:r>
    </w:p>
    <w:p>
      <w:pPr>
        <w:spacing w:after="0" w:line="5" w:lineRule="exact"/>
        <w:rPr>
          <w:rFonts w:ascii="Arial" w:cs="Arial" w:eastAsia="Arial" w:hAnsi="Arial"/>
          <w:sz w:val="16"/>
          <w:szCs w:val="16"/>
          <w:color w:val="auto"/>
        </w:rPr>
      </w:pPr>
    </w:p>
    <w:p>
      <w:pPr>
        <w:ind w:left="840" w:hanging="277"/>
        <w:spacing w:after="0"/>
        <w:tabs>
          <w:tab w:leader="none" w:pos="8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sell certain assets;</w:t>
      </w:r>
    </w:p>
    <w:p>
      <w:pPr>
        <w:spacing w:after="0" w:line="5" w:lineRule="exact"/>
        <w:rPr>
          <w:rFonts w:ascii="Arial" w:cs="Arial" w:eastAsia="Arial" w:hAnsi="Arial"/>
          <w:sz w:val="16"/>
          <w:szCs w:val="16"/>
          <w:color w:val="auto"/>
        </w:rPr>
      </w:pPr>
    </w:p>
    <w:p>
      <w:pPr>
        <w:ind w:left="840" w:hanging="277"/>
        <w:spacing w:after="0"/>
        <w:tabs>
          <w:tab w:leader="none" w:pos="8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create liens on our assets;</w:t>
      </w:r>
    </w:p>
    <w:p>
      <w:pPr>
        <w:spacing w:after="0" w:line="5" w:lineRule="exact"/>
        <w:rPr>
          <w:rFonts w:ascii="Arial" w:cs="Arial" w:eastAsia="Arial" w:hAnsi="Arial"/>
          <w:sz w:val="16"/>
          <w:szCs w:val="16"/>
          <w:color w:val="auto"/>
        </w:rPr>
      </w:pPr>
    </w:p>
    <w:p>
      <w:pPr>
        <w:ind w:left="840" w:hanging="277"/>
        <w:spacing w:after="0"/>
        <w:tabs>
          <w:tab w:leader="none" w:pos="8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consolidate, merge or sell or otherwise dispose of all or substantially all of our assets;</w:t>
      </w:r>
    </w:p>
    <w:p>
      <w:pPr>
        <w:spacing w:after="0" w:line="5" w:lineRule="exact"/>
        <w:rPr>
          <w:rFonts w:ascii="Arial" w:cs="Arial" w:eastAsia="Arial" w:hAnsi="Arial"/>
          <w:sz w:val="16"/>
          <w:szCs w:val="16"/>
          <w:color w:val="auto"/>
        </w:rPr>
      </w:pPr>
    </w:p>
    <w:p>
      <w:pPr>
        <w:ind w:left="840" w:hanging="277"/>
        <w:spacing w:after="0"/>
        <w:tabs>
          <w:tab w:leader="none" w:pos="8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enter into certain transactions with our affiliates;</w:t>
      </w:r>
    </w:p>
    <w:p>
      <w:pPr>
        <w:spacing w:after="0" w:line="5" w:lineRule="exact"/>
        <w:rPr>
          <w:rFonts w:ascii="Arial" w:cs="Arial" w:eastAsia="Arial" w:hAnsi="Arial"/>
          <w:sz w:val="16"/>
          <w:szCs w:val="16"/>
          <w:color w:val="auto"/>
        </w:rPr>
      </w:pPr>
    </w:p>
    <w:p>
      <w:pPr>
        <w:ind w:left="840" w:hanging="277"/>
        <w:spacing w:after="0"/>
        <w:tabs>
          <w:tab w:leader="none" w:pos="8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enter into agreements restricting our subsidiaries’ ability to pay dividends; and</w:t>
      </w:r>
    </w:p>
    <w:p>
      <w:pPr>
        <w:spacing w:after="0" w:line="5" w:lineRule="exact"/>
        <w:rPr>
          <w:rFonts w:ascii="Arial" w:cs="Arial" w:eastAsia="Arial" w:hAnsi="Arial"/>
          <w:sz w:val="16"/>
          <w:szCs w:val="16"/>
          <w:color w:val="auto"/>
        </w:rPr>
      </w:pPr>
    </w:p>
    <w:p>
      <w:pPr>
        <w:ind w:left="840" w:hanging="277"/>
        <w:spacing w:after="0"/>
        <w:tabs>
          <w:tab w:leader="none" w:pos="8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designate our subsidiaries as unrestricted subsidiaries.</w:t>
      </w:r>
    </w:p>
    <w:p>
      <w:pPr>
        <w:spacing w:after="0" w:line="207" w:lineRule="exact"/>
        <w:rPr>
          <w:sz w:val="20"/>
          <w:szCs w:val="20"/>
          <w:color w:val="auto"/>
        </w:rPr>
      </w:pPr>
    </w:p>
    <w:p>
      <w:pPr>
        <w:ind w:right="140" w:firstLine="568"/>
        <w:spacing w:after="0" w:line="283" w:lineRule="auto"/>
        <w:rPr>
          <w:sz w:val="20"/>
          <w:szCs w:val="20"/>
          <w:color w:val="auto"/>
        </w:rPr>
      </w:pPr>
      <w:r>
        <w:rPr>
          <w:rFonts w:ascii="Arial" w:cs="Arial" w:eastAsia="Arial" w:hAnsi="Arial"/>
          <w:sz w:val="15"/>
          <w:szCs w:val="15"/>
          <w:color w:val="auto"/>
        </w:rPr>
        <w:t>As a result of these covenants, we are limited in the manner in which we conduct our business, and we may be unable to successfully execute our strategy, engage in favorable business activities or finance future operations or capital needs. In addition, the revolving credit facility under the Credit Agreement is subject to a springing financial covenant which, if in effect, may require us to take action to reduce our debt or to act in a manner contrary to our business objectives.</w:t>
      </w:r>
    </w:p>
    <w:p>
      <w:pPr>
        <w:spacing w:after="0" w:line="171" w:lineRule="exact"/>
        <w:rPr>
          <w:sz w:val="20"/>
          <w:szCs w:val="20"/>
          <w:color w:val="auto"/>
        </w:rPr>
      </w:pPr>
    </w:p>
    <w:p>
      <w:pPr>
        <w:jc w:val="both"/>
        <w:ind w:right="60" w:firstLine="568"/>
        <w:spacing w:after="0" w:line="257" w:lineRule="auto"/>
        <w:rPr>
          <w:sz w:val="20"/>
          <w:szCs w:val="20"/>
          <w:color w:val="auto"/>
        </w:rPr>
      </w:pPr>
      <w:r>
        <w:rPr>
          <w:rFonts w:ascii="Arial" w:cs="Arial" w:eastAsia="Arial" w:hAnsi="Arial"/>
          <w:sz w:val="16"/>
          <w:szCs w:val="16"/>
          <w:color w:val="auto"/>
        </w:rPr>
        <w:t>We may be unable to remain in compliance with covenants contained in the Credit Agreement, and our obligation to comply with these covenants may adversely affect our ability to operate our business. A failure to comply with the covenants under the Credit Agreement or any of our other future indebtedness could result in an event of default, which, if not cured or</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802" w:right="339" w:bottom="1440" w:gutter="0" w:footer="0" w:header="0"/>
        </w:sectPr>
      </w:pPr>
    </w:p>
    <w:bookmarkStart w:id="21" w:name="page22"/>
    <w:bookmarkEnd w:id="21"/>
    <w:p>
      <w:pPr>
        <w:spacing w:after="0" w:line="268" w:lineRule="auto"/>
        <w:rPr>
          <w:sz w:val="20"/>
          <w:szCs w:val="20"/>
          <w:color w:val="auto"/>
        </w:rPr>
      </w:pPr>
      <w:r>
        <w:rPr>
          <w:rFonts w:ascii="Arial" w:cs="Arial" w:eastAsia="Arial" w:hAnsi="Arial"/>
          <w:sz w:val="16"/>
          <w:szCs w:val="16"/>
          <w:color w:val="auto"/>
        </w:rPr>
        <w:t>waived, could have a material adverse effect on our business, financial condition, results of operations and cash flows. If any such event of default has occurred and is continuing, the lenders under our Credit Agreement, among other things:</w:t>
      </w:r>
    </w:p>
    <w:p>
      <w:pPr>
        <w:spacing w:after="0" w:line="181" w:lineRule="exact"/>
        <w:rPr>
          <w:sz w:val="20"/>
          <w:szCs w:val="20"/>
          <w:color w:val="auto"/>
        </w:rPr>
      </w:pPr>
    </w:p>
    <w:p>
      <w:pPr>
        <w:ind w:left="840" w:hanging="277"/>
        <w:spacing w:after="0"/>
        <w:tabs>
          <w:tab w:leader="none" w:pos="8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will not be required to lend any additional amounts to us; or</w:t>
      </w:r>
    </w:p>
    <w:p>
      <w:pPr>
        <w:spacing w:after="0" w:line="16" w:lineRule="exact"/>
        <w:rPr>
          <w:rFonts w:ascii="Arial" w:cs="Arial" w:eastAsia="Arial" w:hAnsi="Arial"/>
          <w:sz w:val="16"/>
          <w:szCs w:val="16"/>
          <w:color w:val="auto"/>
        </w:rPr>
      </w:pPr>
    </w:p>
    <w:p>
      <w:pPr>
        <w:ind w:left="840" w:right="700" w:hanging="277"/>
        <w:spacing w:after="0" w:line="254" w:lineRule="auto"/>
        <w:tabs>
          <w:tab w:leader="none" w:pos="836"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could elect to declare all borrowings outstanding, together with accrued and unpaid interest and fees, to be immediately due and payable and terminate all commitments to extend further credit;</w:t>
      </w:r>
    </w:p>
    <w:p>
      <w:pPr>
        <w:spacing w:after="0" w:line="191" w:lineRule="exact"/>
        <w:rPr>
          <w:sz w:val="20"/>
          <w:szCs w:val="20"/>
          <w:color w:val="auto"/>
        </w:rPr>
      </w:pPr>
    </w:p>
    <w:p>
      <w:pPr>
        <w:ind w:right="80"/>
        <w:spacing w:after="0" w:line="268" w:lineRule="auto"/>
        <w:rPr>
          <w:sz w:val="20"/>
          <w:szCs w:val="20"/>
          <w:color w:val="auto"/>
        </w:rPr>
      </w:pPr>
      <w:r>
        <w:rPr>
          <w:rFonts w:ascii="Arial" w:cs="Arial" w:eastAsia="Arial" w:hAnsi="Arial"/>
          <w:sz w:val="16"/>
          <w:szCs w:val="16"/>
          <w:color w:val="auto"/>
        </w:rPr>
        <w:t>any of which could result in cross defaults under our other indebtedness. If we default on our indebtedness, our business, financial condition and results of operation could suffer a material adverse effect.</w:t>
      </w:r>
    </w:p>
    <w:p>
      <w:pPr>
        <w:spacing w:after="0" w:line="181" w:lineRule="exact"/>
        <w:rPr>
          <w:sz w:val="20"/>
          <w:szCs w:val="20"/>
          <w:color w:val="auto"/>
        </w:rPr>
      </w:pPr>
    </w:p>
    <w:p>
      <w:pPr>
        <w:ind w:right="80" w:firstLine="568"/>
        <w:spacing w:after="0" w:line="302" w:lineRule="auto"/>
        <w:rPr>
          <w:sz w:val="20"/>
          <w:szCs w:val="20"/>
          <w:color w:val="auto"/>
        </w:rPr>
      </w:pPr>
      <w:r>
        <w:rPr>
          <w:rFonts w:ascii="Arial" w:cs="Arial" w:eastAsia="Arial" w:hAnsi="Arial"/>
          <w:sz w:val="14"/>
          <w:szCs w:val="14"/>
          <w:color w:val="auto"/>
        </w:rPr>
        <w:t>We pledge substantially all of our and our guarantor subsidiaries’ assets as collateral under the Credit Agreement. If we were unable to repay such indebtedness, the lenders under the Credit Agreement could proceed to exercise remedies against the collateral granted to them to secure that indebtedness. If any of our outstanding indebtedness under the Credit Agreement or our other indebtedness were to be accelerated, there can be no assurance that our assets would be sufficient to repay such indebtedness in full. We do not have sufficient working capital to satisfy our debt obligations in the event of an acceleration of all or a significant part of our outstanding indebtedness.</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4"/>
          <w:szCs w:val="14"/>
          <w:color w:val="auto"/>
        </w:rPr>
        <w:t>Despite our substantial indebtedness, we may still be able to incur significantly more debt, which could intensify the risks associated with our substantial indebtedness.</w:t>
      </w:r>
    </w:p>
    <w:p>
      <w:pPr>
        <w:spacing w:after="0" w:line="242" w:lineRule="exact"/>
        <w:rPr>
          <w:sz w:val="20"/>
          <w:szCs w:val="20"/>
          <w:color w:val="auto"/>
        </w:rPr>
      </w:pPr>
    </w:p>
    <w:p>
      <w:pPr>
        <w:ind w:right="120" w:firstLine="568"/>
        <w:spacing w:after="0" w:line="294" w:lineRule="auto"/>
        <w:rPr>
          <w:sz w:val="20"/>
          <w:szCs w:val="20"/>
          <w:color w:val="auto"/>
        </w:rPr>
      </w:pPr>
      <w:r>
        <w:rPr>
          <w:rFonts w:ascii="Arial" w:cs="Arial" w:eastAsia="Arial" w:hAnsi="Arial"/>
          <w:sz w:val="14"/>
          <w:szCs w:val="14"/>
          <w:color w:val="auto"/>
        </w:rPr>
        <w:t>Borrowings under the Credit Agreement, the Uncommitted Facility and the Committed Facility are at variable rates of interest and expose us to interest rate risk. If interest rates increase, our debt service obligations on certain of our variable rate indebtedness will increase even though the amount borrowed remained the same, and our net income and cash flows, including cash available for servicing our indebtedness, will correspondingly decrease. We have entered into, and may enter into additional, interest rate swaps that involve the exchange of floating for fixed rate interest payments in order to reduce interest rate volatility. However, we may not maintain interest rate swaps with respect to all of our variable rate indebtedness, and any swaps we enter into may not fully mitigate our interest rate risk, may prove disadvantageous or may create additional risks. Rising interest rates could also limit our ability to refinance existing debt when it matures or cause us to pay higher interest rates upon refinancing.</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depend on our technology, and our future results may be negatively impacted if we cannot remain technologically competitive.</w:t>
      </w:r>
    </w:p>
    <w:p>
      <w:pPr>
        <w:spacing w:after="0" w:line="219" w:lineRule="exact"/>
        <w:rPr>
          <w:sz w:val="20"/>
          <w:szCs w:val="20"/>
          <w:color w:val="auto"/>
        </w:rPr>
      </w:pPr>
    </w:p>
    <w:p>
      <w:pPr>
        <w:ind w:right="20" w:firstLine="568"/>
        <w:spacing w:after="0" w:line="191" w:lineRule="exact"/>
        <w:rPr>
          <w:sz w:val="20"/>
          <w:szCs w:val="20"/>
          <w:color w:val="auto"/>
        </w:rPr>
      </w:pPr>
      <w:r>
        <w:rPr>
          <w:rFonts w:ascii="Arial" w:cs="Arial" w:eastAsia="Arial" w:hAnsi="Arial"/>
          <w:sz w:val="14"/>
          <w:szCs w:val="14"/>
          <w:color w:val="auto"/>
        </w:rPr>
        <w:t>We believe that our success in the past has largely been attributable to our technology, which has taken many years to develop. If technology equivalent to ours becomes more widely available for any reason, our operating results may be negatively impacted. Additionally, adoption or development of similar or more advanced technologies by our competitors may require that we devote substantial resources to the development of more advanced technology to remain competitive. Regulators and exchanges may also introduce risk control and other technological requirements on our business that could result in increased costs of compliance and divert our technological resources away from their primary strategy development and maintenance duties. The markets in which we compete are characterized by rapidly changing technology, evolving industry standards and changing trading systems, practices and techniques. The widespread adoption of new internet, networking or telecommunications technologies or other technological changes could require us to incur substantial expenditures to modify or adapt our services or infrastructure. We may not be able to anticipate or respond adequately or in a cost</w:t>
      </w:r>
      <w:r>
        <w:rPr>
          <w:rFonts w:ascii="MS PGothic" w:cs="MS PGothic" w:eastAsia="MS PGothic" w:hAnsi="MS PGothic"/>
          <w:sz w:val="14"/>
          <w:szCs w:val="14"/>
          <w:color w:val="auto"/>
        </w:rPr>
        <w:t>‑</w:t>
      </w:r>
      <w:r>
        <w:rPr>
          <w:rFonts w:ascii="Arial" w:cs="Arial" w:eastAsia="Arial" w:hAnsi="Arial"/>
          <w:sz w:val="14"/>
          <w:szCs w:val="14"/>
          <w:color w:val="auto"/>
        </w:rPr>
        <w:t>efficient and competitive manner to technological advancements (including advancements related to low</w:t>
      </w:r>
      <w:r>
        <w:rPr>
          <w:rFonts w:ascii="MS PGothic" w:cs="MS PGothic" w:eastAsia="MS PGothic" w:hAnsi="MS PGothic"/>
          <w:sz w:val="14"/>
          <w:szCs w:val="14"/>
          <w:color w:val="auto"/>
        </w:rPr>
        <w:t>‑</w:t>
      </w:r>
      <w:r>
        <w:rPr>
          <w:rFonts w:ascii="Arial" w:cs="Arial" w:eastAsia="Arial" w:hAnsi="Arial"/>
          <w:sz w:val="14"/>
          <w:szCs w:val="14"/>
          <w:color w:val="auto"/>
        </w:rPr>
        <w:t>latency technologies, execution and messaging speeds) or changing industry standards. If any of these risks materialize, it could have a material adverse effect on our business, financial condition, results of operations and cash flows.</w:t>
      </w:r>
    </w:p>
    <w:p>
      <w:pPr>
        <w:spacing w:after="0" w:line="203" w:lineRule="exact"/>
        <w:rPr>
          <w:sz w:val="20"/>
          <w:szCs w:val="20"/>
          <w:color w:val="auto"/>
        </w:rPr>
      </w:pPr>
    </w:p>
    <w:p>
      <w:pPr>
        <w:ind w:right="120"/>
        <w:spacing w:after="0" w:line="268" w:lineRule="auto"/>
        <w:rPr>
          <w:sz w:val="20"/>
          <w:szCs w:val="20"/>
          <w:color w:val="auto"/>
        </w:rPr>
      </w:pPr>
      <w:r>
        <w:rPr>
          <w:rFonts w:ascii="Arial" w:cs="Arial" w:eastAsia="Arial" w:hAnsi="Arial"/>
          <w:sz w:val="16"/>
          <w:szCs w:val="16"/>
          <w:b w:val="1"/>
          <w:bCs w:val="1"/>
          <w:i w:val="1"/>
          <w:iCs w:val="1"/>
          <w:color w:val="auto"/>
        </w:rPr>
        <w:t>Our reliance on our computer systems and software could expose us to material financial and reputational harm if any of our computer systems or software were subject to any material disruption or corruption.</w:t>
      </w:r>
    </w:p>
    <w:p>
      <w:pPr>
        <w:spacing w:after="0" w:line="181" w:lineRule="exact"/>
        <w:rPr>
          <w:sz w:val="20"/>
          <w:szCs w:val="20"/>
          <w:color w:val="auto"/>
        </w:rPr>
      </w:pPr>
    </w:p>
    <w:p>
      <w:pPr>
        <w:ind w:right="100" w:firstLine="568"/>
        <w:spacing w:after="0" w:line="297" w:lineRule="auto"/>
        <w:rPr>
          <w:sz w:val="20"/>
          <w:szCs w:val="20"/>
          <w:color w:val="auto"/>
        </w:rPr>
      </w:pPr>
      <w:r>
        <w:rPr>
          <w:rFonts w:ascii="Arial" w:cs="Arial" w:eastAsia="Arial" w:hAnsi="Arial"/>
          <w:sz w:val="14"/>
          <w:szCs w:val="14"/>
          <w:color w:val="auto"/>
        </w:rPr>
        <w:t>We rely significantly on our computer systems and software to receive and properly process internal and external data and utilize such data to generate orders and other messages. A disruption or corruption of the proper functioning of our computer systems or software could cause us to make erroneous trades or result in other negative circumstances, which could result in material losses or reputational harm. We cannot guarantee that our efforts to maintain competitive computer systems and software will be successful. Our computer systems and software may fail or be subject to bugs or other errors, including human error, resulting in service interruptions or other unintended consequences. If any of these risks materialize, they could have a material adverse effect on our business,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802" w:right="339" w:bottom="1440" w:gutter="0" w:footer="0" w:header="0"/>
        </w:sectPr>
      </w:pPr>
    </w:p>
    <w:bookmarkStart w:id="22" w:name="page23"/>
    <w:bookmarkEnd w:id="22"/>
    <w:p>
      <w:pPr>
        <w:ind w:right="60"/>
        <w:spacing w:after="0" w:line="268" w:lineRule="auto"/>
        <w:rPr>
          <w:sz w:val="20"/>
          <w:szCs w:val="20"/>
          <w:color w:val="auto"/>
        </w:rPr>
      </w:pPr>
      <w:r>
        <w:rPr>
          <w:rFonts w:ascii="Arial" w:cs="Arial" w:eastAsia="Arial" w:hAnsi="Arial"/>
          <w:sz w:val="16"/>
          <w:szCs w:val="16"/>
          <w:b w:val="1"/>
          <w:bCs w:val="1"/>
          <w:i w:val="1"/>
          <w:iCs w:val="1"/>
          <w:color w:val="auto"/>
        </w:rPr>
        <w:t>We could be the target of a significant cyber-attack, threat or incident that impairs internal systems, results in adverse consequences to information our system process, store or transmit or causes reputation or monetary damages as a consequence.</w:t>
      </w:r>
    </w:p>
    <w:p>
      <w:pPr>
        <w:spacing w:after="0" w:line="181" w:lineRule="exact"/>
        <w:rPr>
          <w:sz w:val="20"/>
          <w:szCs w:val="20"/>
          <w:color w:val="auto"/>
        </w:rPr>
      </w:pPr>
    </w:p>
    <w:p>
      <w:pPr>
        <w:ind w:firstLine="568"/>
        <w:spacing w:after="0" w:line="190" w:lineRule="exact"/>
        <w:rPr>
          <w:sz w:val="20"/>
          <w:szCs w:val="20"/>
          <w:color w:val="auto"/>
        </w:rPr>
      </w:pPr>
      <w:r>
        <w:rPr>
          <w:rFonts w:ascii="Arial" w:cs="Arial" w:eastAsia="Arial" w:hAnsi="Arial"/>
          <w:sz w:val="14"/>
          <w:szCs w:val="14"/>
          <w:color w:val="auto"/>
        </w:rPr>
        <w:t>Our business relies on technology and automation to perform significant functions within our firm. Because of our reliance on technology, we may be susceptible to various forms of cyber-attacks by third parties or insiders. Though we take steps to mitigate the various cyber threats and devote significant resources to maintain and update our systems and networks, we may be unable to anticipate attacks or to implement adequate preventative measures. Our cybersecurity measures may not detect or prevent all attempts to compromise our systems, including denial</w:t>
      </w:r>
      <w:r>
        <w:rPr>
          <w:rFonts w:ascii="MS PGothic" w:cs="MS PGothic" w:eastAsia="MS PGothic" w:hAnsi="MS PGothic"/>
          <w:sz w:val="14"/>
          <w:szCs w:val="14"/>
          <w:color w:val="auto"/>
        </w:rPr>
        <w:t>‑</w:t>
      </w:r>
      <w:r>
        <w:rPr>
          <w:rFonts w:ascii="Arial" w:cs="Arial" w:eastAsia="Arial" w:hAnsi="Arial"/>
          <w:sz w:val="14"/>
          <w:szCs w:val="14"/>
          <w:color w:val="auto"/>
        </w:rPr>
        <w:t>of</w:t>
      </w:r>
      <w:r>
        <w:rPr>
          <w:rFonts w:ascii="MS PGothic" w:cs="MS PGothic" w:eastAsia="MS PGothic" w:hAnsi="MS PGothic"/>
          <w:sz w:val="14"/>
          <w:szCs w:val="14"/>
          <w:color w:val="auto"/>
        </w:rPr>
        <w:t>‑</w:t>
      </w:r>
      <w:r>
        <w:rPr>
          <w:rFonts w:ascii="Arial" w:cs="Arial" w:eastAsia="Arial" w:hAnsi="Arial"/>
          <w:sz w:val="14"/>
          <w:szCs w:val="14"/>
          <w:color w:val="auto"/>
        </w:rPr>
        <w:t>service attacks, viruses, malicious software, ransomware, break</w:t>
      </w:r>
      <w:r>
        <w:rPr>
          <w:rFonts w:ascii="MS PGothic" w:cs="MS PGothic" w:eastAsia="MS PGothic" w:hAnsi="MS PGothic"/>
          <w:sz w:val="14"/>
          <w:szCs w:val="14"/>
          <w:color w:val="auto"/>
        </w:rPr>
        <w:t>‑</w:t>
      </w:r>
      <w:r>
        <w:rPr>
          <w:rFonts w:ascii="Arial" w:cs="Arial" w:eastAsia="Arial" w:hAnsi="Arial"/>
          <w:sz w:val="14"/>
          <w:szCs w:val="14"/>
          <w:color w:val="auto"/>
        </w:rPr>
        <w:t>ins, phishing attacks, social engineering, security breaches or other attacks and similar disruptions that may jeopardize the security of information stored in and transmitted by our systems or that we otherwise maintain. Furthermore, we may have little or no oversight with respect to security measures employed by third-party service providers, which may ultimately prove to be ineffective at countering threats. Although we maintain insurance coverage that may, subject to policy terms and conditions, cover certain aspects of cyber risks, such insurance coverage may be insufficient to cover all losses or may not cover any losses. Breaches of our cybersecurity measures or those of our third-party service providers could result in any of the following: unauthorized access to our systems; unauthorized access to and misappropriation of information or data, including confidential or proprietary information about ourselves, third parties with whom we do business or our proprietary systems; viruses, worms, spyware, ransomware, or other malware being placed in our systems and intellectual property; deletion or modification of client information; or a denial</w:t>
      </w:r>
      <w:r>
        <w:rPr>
          <w:rFonts w:ascii="MS PGothic" w:cs="MS PGothic" w:eastAsia="MS PGothic" w:hAnsi="MS PGothic"/>
          <w:sz w:val="14"/>
          <w:szCs w:val="14"/>
          <w:color w:val="auto"/>
        </w:rPr>
        <w:t>‑</w:t>
      </w:r>
      <w:r>
        <w:rPr>
          <w:rFonts w:ascii="Arial" w:cs="Arial" w:eastAsia="Arial" w:hAnsi="Arial"/>
          <w:sz w:val="14"/>
          <w:szCs w:val="14"/>
          <w:color w:val="auto"/>
        </w:rPr>
        <w:t>of</w:t>
      </w:r>
      <w:r>
        <w:rPr>
          <w:rFonts w:ascii="MS PGothic" w:cs="MS PGothic" w:eastAsia="MS PGothic" w:hAnsi="MS PGothic"/>
          <w:sz w:val="14"/>
          <w:szCs w:val="14"/>
          <w:color w:val="auto"/>
        </w:rPr>
        <w:t>‑</w:t>
      </w:r>
      <w:r>
        <w:rPr>
          <w:rFonts w:ascii="Arial" w:cs="Arial" w:eastAsia="Arial" w:hAnsi="Arial"/>
          <w:sz w:val="14"/>
          <w:szCs w:val="14"/>
          <w:color w:val="auto"/>
        </w:rPr>
        <w:t>service or other interruptions to our business operations. Any actual or perceived breach of our cybersecurity could damage our reputation, expose us to a risk of loss or litigation and possible liability, require us to expend significant capital and other resources to alleviate problems caused by such breaches and otherwise have a material adverse effect on our business, financial condition, results of operations and cash flows.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may be harmed by computer and communication systems malfunctions, human error, failures and delays.</w:t>
      </w:r>
    </w:p>
    <w:p>
      <w:pPr>
        <w:spacing w:after="0" w:line="219" w:lineRule="exact"/>
        <w:rPr>
          <w:sz w:val="20"/>
          <w:szCs w:val="20"/>
          <w:color w:val="auto"/>
        </w:rPr>
      </w:pPr>
    </w:p>
    <w:p>
      <w:pPr>
        <w:ind w:right="60" w:firstLine="568"/>
        <w:spacing w:after="0" w:line="250" w:lineRule="auto"/>
        <w:rPr>
          <w:sz w:val="20"/>
          <w:szCs w:val="20"/>
          <w:color w:val="auto"/>
        </w:rPr>
      </w:pPr>
      <w:r>
        <w:rPr>
          <w:rFonts w:ascii="Arial" w:cs="Arial" w:eastAsia="Arial" w:hAnsi="Arial"/>
          <w:sz w:val="16"/>
          <w:szCs w:val="16"/>
          <w:color w:val="auto"/>
        </w:rPr>
        <w:t>Our business activities are heavily dependent on the integrity and performance of the computer and communications systems supporting them. Our systems and operations are vulnerable to damage or interruption from human error, software bugs and errors, electronic and physical security breaches, natural disasters, economic or political developments, pandemics, weather events, power loss, utility or internet outages, computer viruses, intentional acts of vandalism, war, terrorism and other similar events. Extraordinary trading volumes or other events could cause our computer systems to operate in ways that we did not intend, at an unacceptably low speed or even fail. While we have invested significant amounts of capital to upgrade the capacity, reliability and scalability of our systems, there can be no assurance that our systems will always operate properly or be sufficient to handle such extraordinary trading volumes. Any disruption for any reason in the proper functioning or any corruption of our software or erroneous or corrupted data may cause us to make erroneous trades or suspend our services and could have a material adverse effect on our business, financial condition, results of operations and cash flows.</w:t>
      </w:r>
    </w:p>
    <w:p>
      <w:pPr>
        <w:spacing w:after="0" w:line="195" w:lineRule="exact"/>
        <w:rPr>
          <w:sz w:val="20"/>
          <w:szCs w:val="20"/>
          <w:color w:val="auto"/>
        </w:rPr>
      </w:pPr>
    </w:p>
    <w:p>
      <w:pPr>
        <w:jc w:val="both"/>
        <w:ind w:right="200" w:firstLine="568"/>
        <w:spacing w:after="0" w:line="254" w:lineRule="auto"/>
        <w:rPr>
          <w:sz w:val="20"/>
          <w:szCs w:val="20"/>
          <w:color w:val="auto"/>
        </w:rPr>
      </w:pPr>
      <w:r>
        <w:rPr>
          <w:rFonts w:ascii="Arial" w:cs="Arial" w:eastAsia="Arial" w:hAnsi="Arial"/>
          <w:sz w:val="16"/>
          <w:szCs w:val="16"/>
          <w:color w:val="auto"/>
        </w:rPr>
        <w:t>Although our systems and infrastructure are generally designed to accommodate additional growth without redesign or replacement, we may need to make significant investments in additional hardware and software to accommodate growth. Failure to make necessary expansions and upgrades to our systems and infrastructure could not only limit our growth and business prospects but could also cause substantial losses and have a material adverse effect on our business, financial condition, results of operations and cash flows.</w:t>
      </w:r>
    </w:p>
    <w:p>
      <w:pPr>
        <w:spacing w:after="0" w:line="192" w:lineRule="exact"/>
        <w:rPr>
          <w:sz w:val="20"/>
          <w:szCs w:val="20"/>
          <w:color w:val="auto"/>
        </w:rPr>
      </w:pPr>
    </w:p>
    <w:p>
      <w:pPr>
        <w:ind w:right="20" w:firstLine="568"/>
        <w:spacing w:after="0" w:line="276" w:lineRule="auto"/>
        <w:rPr>
          <w:sz w:val="20"/>
          <w:szCs w:val="20"/>
          <w:color w:val="auto"/>
        </w:rPr>
      </w:pPr>
      <w:r>
        <w:rPr>
          <w:rFonts w:ascii="Arial" w:cs="Arial" w:eastAsia="Arial" w:hAnsi="Arial"/>
          <w:sz w:val="15"/>
          <w:szCs w:val="15"/>
          <w:color w:val="auto"/>
        </w:rPr>
        <w:t>Since the timing and impact of disasters and disruptions are unpredictable, we may not be able to respond to actual events as they occur. Business disruptions can vary in their scope and significance and can affect one or more of our facilities. These disruptions may occur as a result of events that affect only our buildings or systems or those of such third parties, or as a result of events with a broader impact globally, regionally or in the cities where those buildings or systems are located, including, but not limited to, natural disasters, economic or political developments, pandemics, weather events, war, terrorism and other similar events.</w:t>
      </w:r>
    </w:p>
    <w:p>
      <w:pPr>
        <w:spacing w:after="0" w:line="177" w:lineRule="exact"/>
        <w:rPr>
          <w:sz w:val="20"/>
          <w:szCs w:val="20"/>
          <w:color w:val="auto"/>
        </w:rPr>
      </w:pPr>
    </w:p>
    <w:p>
      <w:pPr>
        <w:ind w:right="60" w:firstLine="568"/>
        <w:spacing w:after="0" w:line="294" w:lineRule="auto"/>
        <w:rPr>
          <w:sz w:val="20"/>
          <w:szCs w:val="20"/>
          <w:color w:val="auto"/>
        </w:rPr>
      </w:pPr>
      <w:r>
        <w:rPr>
          <w:rFonts w:ascii="Arial" w:cs="Arial" w:eastAsia="Arial" w:hAnsi="Arial"/>
          <w:sz w:val="14"/>
          <w:szCs w:val="14"/>
          <w:color w:val="auto"/>
        </w:rPr>
        <w:t>Further, the severity of the disruption can also vary from minimal to severe. Although we have employed efforts to develop, implement and maintain reasonable disaster recovery and business continuity plans, we cannot guarantee that our systems will fully recover after a significant business disruption in a timely fashion or at all. Our ability to conduct business may be adversely impacted by a disruption in the infrastructure that supports our businesses and the communities in which we are located. This may include a disruption involving electrical, satellite, undersea cable or other communications, internet, transportation or other services facilities used by us, our employees or third parties with which we conduct business. If we are prevented from using any of our current trading operations, or if our business continuity operations do not work effectively, we may not have complete business continuity, which could have a material adverse effect on our business,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802" w:right="319" w:bottom="1440" w:gutter="0" w:footer="0" w:header="0"/>
        </w:sectPr>
      </w:pPr>
    </w:p>
    <w:bookmarkStart w:id="23" w:name="page24"/>
    <w:bookmarkEnd w:id="23"/>
    <w:p>
      <w:pPr>
        <w:spacing w:after="0" w:line="184" w:lineRule="exact"/>
        <w:rPr>
          <w:sz w:val="20"/>
          <w:szCs w:val="20"/>
          <w:color w:val="auto"/>
        </w:rPr>
      </w:pPr>
      <w:r>
        <w:rPr>
          <w:rFonts w:ascii="Arial" w:cs="Arial" w:eastAsia="Arial" w:hAnsi="Arial"/>
          <w:sz w:val="16"/>
          <w:szCs w:val="16"/>
          <w:b w:val="1"/>
          <w:bCs w:val="1"/>
          <w:i w:val="1"/>
          <w:iCs w:val="1"/>
          <w:color w:val="auto"/>
        </w:rPr>
        <w:t>Failure or poor performance of third</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party software, infrastructure or systems on which we rely could adversely affect our business.</w:t>
      </w:r>
    </w:p>
    <w:p>
      <w:pPr>
        <w:spacing w:after="0" w:line="219" w:lineRule="exact"/>
        <w:rPr>
          <w:sz w:val="20"/>
          <w:szCs w:val="20"/>
          <w:color w:val="auto"/>
        </w:rPr>
      </w:pPr>
    </w:p>
    <w:p>
      <w:pPr>
        <w:ind w:firstLine="568"/>
        <w:spacing w:after="0" w:line="252" w:lineRule="auto"/>
        <w:rPr>
          <w:sz w:val="20"/>
          <w:szCs w:val="20"/>
          <w:color w:val="auto"/>
        </w:rPr>
      </w:pPr>
      <w:r>
        <w:rPr>
          <w:rFonts w:ascii="Arial" w:cs="Arial" w:eastAsia="Arial" w:hAnsi="Arial"/>
          <w:sz w:val="16"/>
          <w:szCs w:val="16"/>
          <w:color w:val="auto"/>
        </w:rPr>
        <w:t>We depend on third parties to provide and maintain certain infrastructure that is critical to our business. For example, we rely on third parties to provide software, data center services and dedicated fiber optic, microwave, wireline and wireless communication infrastructure. This infrastructure may malfunction or fail due to events outside of our control, which could disrupt our operations and have a material adverse effect on our business, financial condition, results of operations and cash flows. Any failure to maintain and renew our relationships with these third parties on commercially favorable terms, or to enter into similar relationships in the future, could have a material adverse effect on our business, financial condition, results of operations and cash flows.</w:t>
      </w:r>
    </w:p>
    <w:p>
      <w:pPr>
        <w:spacing w:after="0" w:line="194" w:lineRule="exact"/>
        <w:rPr>
          <w:sz w:val="20"/>
          <w:szCs w:val="20"/>
          <w:color w:val="auto"/>
        </w:rPr>
      </w:pPr>
    </w:p>
    <w:p>
      <w:pPr>
        <w:ind w:right="220" w:firstLine="568"/>
        <w:spacing w:after="0" w:line="192" w:lineRule="exact"/>
        <w:rPr>
          <w:sz w:val="20"/>
          <w:szCs w:val="20"/>
          <w:color w:val="auto"/>
        </w:rPr>
      </w:pPr>
      <w:r>
        <w:rPr>
          <w:rFonts w:ascii="Arial" w:cs="Arial" w:eastAsia="Arial" w:hAnsi="Arial"/>
          <w:sz w:val="14"/>
          <w:szCs w:val="14"/>
          <w:color w:val="auto"/>
        </w:rPr>
        <w:t>We also rely on certain third</w:t>
      </w:r>
      <w:r>
        <w:rPr>
          <w:rFonts w:ascii="MS PGothic" w:cs="MS PGothic" w:eastAsia="MS PGothic" w:hAnsi="MS PGothic"/>
          <w:sz w:val="14"/>
          <w:szCs w:val="14"/>
          <w:color w:val="auto"/>
        </w:rPr>
        <w:t>‑</w:t>
      </w:r>
      <w:r>
        <w:rPr>
          <w:rFonts w:ascii="Arial" w:cs="Arial" w:eastAsia="Arial" w:hAnsi="Arial"/>
          <w:sz w:val="14"/>
          <w:szCs w:val="14"/>
          <w:color w:val="auto"/>
        </w:rPr>
        <w:t>party software, third</w:t>
      </w:r>
      <w:r>
        <w:rPr>
          <w:rFonts w:ascii="MS PGothic" w:cs="MS PGothic" w:eastAsia="MS PGothic" w:hAnsi="MS PGothic"/>
          <w:sz w:val="14"/>
          <w:szCs w:val="14"/>
          <w:color w:val="auto"/>
        </w:rPr>
        <w:t>‑</w:t>
      </w:r>
      <w:r>
        <w:rPr>
          <w:rFonts w:ascii="Arial" w:cs="Arial" w:eastAsia="Arial" w:hAnsi="Arial"/>
          <w:sz w:val="14"/>
          <w:szCs w:val="14"/>
          <w:color w:val="auto"/>
        </w:rPr>
        <w:t>party computer systems and third</w:t>
      </w:r>
      <w:r>
        <w:rPr>
          <w:rFonts w:ascii="MS PGothic" w:cs="MS PGothic" w:eastAsia="MS PGothic" w:hAnsi="MS PGothic"/>
          <w:sz w:val="14"/>
          <w:szCs w:val="14"/>
          <w:color w:val="auto"/>
        </w:rPr>
        <w:t>‑</w:t>
      </w:r>
      <w:r>
        <w:rPr>
          <w:rFonts w:ascii="Arial" w:cs="Arial" w:eastAsia="Arial" w:hAnsi="Arial"/>
          <w:sz w:val="14"/>
          <w:szCs w:val="14"/>
          <w:color w:val="auto"/>
        </w:rPr>
        <w:t>party service providers, including clearing systems, exchange systems, alternate trading systems, order routing systems, internet service providers, communications facilities and other facilities. Any interruption in these third</w:t>
      </w:r>
      <w:r>
        <w:rPr>
          <w:rFonts w:ascii="MS PGothic" w:cs="MS PGothic" w:eastAsia="MS PGothic" w:hAnsi="MS PGothic"/>
          <w:sz w:val="14"/>
          <w:szCs w:val="14"/>
          <w:color w:val="auto"/>
        </w:rPr>
        <w:t>‑</w:t>
      </w:r>
      <w:r>
        <w:rPr>
          <w:rFonts w:ascii="Arial" w:cs="Arial" w:eastAsia="Arial" w:hAnsi="Arial"/>
          <w:sz w:val="14"/>
          <w:szCs w:val="14"/>
          <w:color w:val="auto"/>
        </w:rPr>
        <w:t>party services or software, deterioration in their performance, or other improper operation could interfere with our trading activities, cause losses due to erroneous or delayed responses, or otherwise be disruptive to our business. If our arrangements with any third party are terminated, we may not be able to find an alternative source of software or systems support on a timely basis or on commercially reasonable terms. This could also have a material adverse effect on our business, financial condition, results of operations and cash flows.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use of open source software may expose us to additional risks.</w:t>
      </w:r>
    </w:p>
    <w:p>
      <w:pPr>
        <w:spacing w:after="0" w:line="219" w:lineRule="exact"/>
        <w:rPr>
          <w:sz w:val="20"/>
          <w:szCs w:val="20"/>
          <w:color w:val="auto"/>
        </w:rPr>
      </w:pPr>
    </w:p>
    <w:p>
      <w:pPr>
        <w:ind w:firstLine="155"/>
        <w:spacing w:after="0" w:line="190" w:lineRule="exact"/>
        <w:rPr>
          <w:sz w:val="20"/>
          <w:szCs w:val="20"/>
          <w:color w:val="auto"/>
        </w:rPr>
      </w:pPr>
      <w:r>
        <w:rPr>
          <w:rFonts w:ascii="Arial" w:cs="Arial" w:eastAsia="Arial" w:hAnsi="Arial"/>
          <w:sz w:val="14"/>
          <w:szCs w:val="14"/>
          <w:color w:val="auto"/>
        </w:rPr>
        <w:t>We use software development tools covered by open source licenses and may incorporate such open source software into our proprietary software from time to time. “Open source software” refers to any code, shareware or other software that is made generally available to the public without requiring payment of fees or royalties and/or that may require disclosure or licensing of any software that incorporates such source code, shareware or other software. Given the nature of open source software, third parties might assert contractual or copyright and other intellectual property</w:t>
      </w:r>
      <w:r>
        <w:rPr>
          <w:rFonts w:ascii="MS PGothic" w:cs="MS PGothic" w:eastAsia="MS PGothic" w:hAnsi="MS PGothic"/>
          <w:sz w:val="14"/>
          <w:szCs w:val="14"/>
          <w:color w:val="auto"/>
        </w:rPr>
        <w:t>‑</w:t>
      </w:r>
      <w:r>
        <w:rPr>
          <w:rFonts w:ascii="Arial" w:cs="Arial" w:eastAsia="Arial" w:hAnsi="Arial"/>
          <w:sz w:val="14"/>
          <w:szCs w:val="14"/>
          <w:color w:val="auto"/>
        </w:rPr>
        <w:t>related claims against us based on our use of such tools and software programs or might seek to compel the disclosure of the source code of our software or other proprietary information. If any such claims materialize, we could be required to (i) seek licenses from third parties in order to continue to use such tools and software or to continue to operate certain elements of our technology, (ii) release certain proprietary software code comprising our modifications to such open source software, (iii) make our software available under the terms of an open source license, (iv) re</w:t>
      </w:r>
      <w:r>
        <w:rPr>
          <w:rFonts w:ascii="MS PGothic" w:cs="MS PGothic" w:eastAsia="MS PGothic" w:hAnsi="MS PGothic"/>
          <w:sz w:val="14"/>
          <w:szCs w:val="14"/>
          <w:color w:val="auto"/>
        </w:rPr>
        <w:t>‑</w:t>
      </w:r>
      <w:r>
        <w:rPr>
          <w:rFonts w:ascii="Arial" w:cs="Arial" w:eastAsia="Arial" w:hAnsi="Arial"/>
          <w:sz w:val="14"/>
          <w:szCs w:val="14"/>
          <w:color w:val="auto"/>
        </w:rPr>
        <w:t>engineer all, or a portion of, that software, any of which could materially and adversely affect our business, financial condition, results of operations and cash flows or (v) be required to pay significant damages as a result of substantiated unauthorized use. While we monitor the use of all open source software in our solutions, processes and technology and try to ensure that no open source software is used (i) in such a way as to require us to disclose the source code to the related solution when we do not wish to do so nor (ii) in connection with critical or fundamental elements of our software or technology, such use may have inadvertently occurred in deploying our proprietary solutions. If a third</w:t>
      </w:r>
      <w:r>
        <w:rPr>
          <w:rFonts w:ascii="MS PGothic" w:cs="MS PGothic" w:eastAsia="MS PGothic" w:hAnsi="MS PGothic"/>
          <w:sz w:val="14"/>
          <w:szCs w:val="14"/>
          <w:color w:val="auto"/>
        </w:rPr>
        <w:t>‑</w:t>
      </w:r>
      <w:r>
        <w:rPr>
          <w:rFonts w:ascii="Arial" w:cs="Arial" w:eastAsia="Arial" w:hAnsi="Arial"/>
          <w:sz w:val="14"/>
          <w:szCs w:val="14"/>
          <w:color w:val="auto"/>
        </w:rPr>
        <w:t>party software provider has incorporated certain types of open source software into software we license from such third party for our products and solutions, we could, under certain circumstances, be required to disclose the source code to our solutions. In addition to risks related to license requirements, usage of open software can lead to greater risks than use of third</w:t>
      </w:r>
      <w:r>
        <w:rPr>
          <w:rFonts w:ascii="MS PGothic" w:cs="MS PGothic" w:eastAsia="MS PGothic" w:hAnsi="MS PGothic"/>
          <w:sz w:val="14"/>
          <w:szCs w:val="14"/>
          <w:color w:val="auto"/>
        </w:rPr>
        <w:t>‑</w:t>
      </w:r>
      <w:r>
        <w:rPr>
          <w:rFonts w:ascii="Arial" w:cs="Arial" w:eastAsia="Arial" w:hAnsi="Arial"/>
          <w:sz w:val="14"/>
          <w:szCs w:val="14"/>
          <w:color w:val="auto"/>
        </w:rPr>
        <w:t>party commercial software because open source licensors generally do not provide warranties or controls on the origin of the software. Many of the risks associated with usage of open source software cannot be eliminated and could potentially have a material adverse effect on our business, financial condition, results of operations and cash flows.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able to protect our intellectual property rights or may be prevented from using intellectual property necessary for our business.</w:t>
      </w:r>
    </w:p>
    <w:p>
      <w:pPr>
        <w:spacing w:after="0" w:line="219" w:lineRule="exact"/>
        <w:rPr>
          <w:sz w:val="20"/>
          <w:szCs w:val="20"/>
          <w:color w:val="auto"/>
        </w:rPr>
      </w:pPr>
    </w:p>
    <w:p>
      <w:pPr>
        <w:ind w:right="60" w:firstLine="568"/>
        <w:spacing w:after="0" w:line="191" w:lineRule="exact"/>
        <w:rPr>
          <w:sz w:val="20"/>
          <w:szCs w:val="20"/>
          <w:color w:val="auto"/>
        </w:rPr>
      </w:pPr>
      <w:r>
        <w:rPr>
          <w:rFonts w:ascii="Arial" w:cs="Arial" w:eastAsia="Arial" w:hAnsi="Arial"/>
          <w:sz w:val="15"/>
          <w:szCs w:val="15"/>
          <w:color w:val="auto"/>
        </w:rPr>
        <w:t>We rely on federal and state law, trade secrets, trademarks, domain names, copyrights and contract law to protect our intellectual property and proprietary technology. It is possible that third parties may copy or otherwise obtain and use our intellectual property or proprietary technology without authorization or otherwise infringe on our rights. For example, while we have a policy of entering into confidentiality, intellectual property invention assignment and/or non</w:t>
      </w:r>
      <w:r>
        <w:rPr>
          <w:rFonts w:ascii="MS PGothic" w:cs="MS PGothic" w:eastAsia="MS PGothic" w:hAnsi="MS PGothic"/>
          <w:sz w:val="15"/>
          <w:szCs w:val="15"/>
          <w:color w:val="auto"/>
        </w:rPr>
        <w:t>‑</w:t>
      </w:r>
      <w:r>
        <w:rPr>
          <w:rFonts w:ascii="Arial" w:cs="Arial" w:eastAsia="Arial" w:hAnsi="Arial"/>
          <w:sz w:val="15"/>
          <w:szCs w:val="15"/>
          <w:color w:val="auto"/>
        </w:rPr>
        <w:t>competition and non</w:t>
      </w:r>
      <w:r>
        <w:rPr>
          <w:rFonts w:ascii="MS PGothic" w:cs="MS PGothic" w:eastAsia="MS PGothic" w:hAnsi="MS PGothic"/>
          <w:sz w:val="15"/>
          <w:szCs w:val="15"/>
          <w:color w:val="auto"/>
        </w:rPr>
        <w:t>‑</w:t>
      </w:r>
      <w:r>
        <w:rPr>
          <w:rFonts w:ascii="Arial" w:cs="Arial" w:eastAsia="Arial" w:hAnsi="Arial"/>
          <w:sz w:val="15"/>
          <w:szCs w:val="15"/>
          <w:color w:val="auto"/>
        </w:rPr>
        <w:t>solicitation agreements or restrictions with our employees, independent contractors and business partners, such agreements may not provide adequate protection or may be breached, or our proprietary technology may otherwise become available to or be independently developed by our competitors. The promulgation of laws or rules which require the maintenance of source code or other intellectual property in a repository subject to certain requirements and/or which enhance or facilitate access to such source code by regulatory authorities could inhibit our ability to protect against unauthorized dissemination or use of our intellectual property. Third parties have alleged and may in the future allege that we are infringing, misappropriating or otherwise violating their intellectual property rights. Third parties may initiate litigation against us without warning, or may send us letters or other communications that make allegations without initiating litigation. We may elect not to respond to these letters or other communications if we believe they are without merit, or we may attempt to resolve these disputes out of court by</w:t>
      </w: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802" w:right="359" w:bottom="1440" w:gutter="0" w:footer="0" w:header="0"/>
        </w:sectPr>
      </w:pPr>
    </w:p>
    <w:bookmarkStart w:id="24" w:name="page25"/>
    <w:bookmarkEnd w:id="24"/>
    <w:p>
      <w:pPr>
        <w:spacing w:after="0" w:line="252" w:lineRule="auto"/>
        <w:rPr>
          <w:sz w:val="20"/>
          <w:szCs w:val="20"/>
          <w:color w:val="auto"/>
        </w:rPr>
      </w:pPr>
      <w:r>
        <w:rPr>
          <w:rFonts w:ascii="Arial" w:cs="Arial" w:eastAsia="Arial" w:hAnsi="Arial"/>
          <w:sz w:val="16"/>
          <w:szCs w:val="16"/>
          <w:color w:val="auto"/>
        </w:rPr>
        <w:t>negotiating a license, but in either case it is possible that such disputes will ultimately result in litigation. Any such claims could interfere with our ability to use technology or intellectual property that is material to the operation of our business. Such claims may be made by competitors seeking to obtain a competitive advantage or by other parties, such as entities that purchase intellectual property assets for the purpose of bringing infringement claims. We also periodically employ individuals who were previously employed by our competitors or potential competitors, and we may therefore be subject to claims that such employees have used or disclosed the alleged trade secrets or other proprietary information of their former employers.</w:t>
      </w:r>
    </w:p>
    <w:p>
      <w:pPr>
        <w:spacing w:after="0" w:line="194" w:lineRule="exact"/>
        <w:rPr>
          <w:sz w:val="20"/>
          <w:szCs w:val="20"/>
          <w:color w:val="auto"/>
        </w:rPr>
      </w:pPr>
    </w:p>
    <w:p>
      <w:pPr>
        <w:ind w:right="40" w:firstLine="568"/>
        <w:spacing w:after="0" w:line="250" w:lineRule="auto"/>
        <w:rPr>
          <w:sz w:val="20"/>
          <w:szCs w:val="20"/>
          <w:color w:val="auto"/>
        </w:rPr>
      </w:pPr>
      <w:r>
        <w:rPr>
          <w:rFonts w:ascii="Arial" w:cs="Arial" w:eastAsia="Arial" w:hAnsi="Arial"/>
          <w:sz w:val="16"/>
          <w:szCs w:val="16"/>
          <w:color w:val="auto"/>
        </w:rPr>
        <w:t>At times we rely on litigation to enforce our intellectual property rights, protect our trade secrets, determine the validity and scope of the proprietary rights of others or defend against claims of infringement or invalidity. Any such litigation, whether successful or unsuccessful, could result in substantial costs and the diversion of resources and the attention of management. If unsuccessful, such litigation could result in the loss of important intellectual property rights, require us to pay substantial damages, subject us to injunctions that prevent us from using certain intellectual property, require us to make admissions that affect our reputation in the marketplace and require us to enter into license agreements that may not be available on favorable terms or at all. Finally, even if we prevail in any litigation, the remedy may not be commercially meaningful or fully compensate us for the harm we suffer or the costs we incur. Any of the foregoing could have a material adverse effect on our business, financial condition, results of operations and cash flows.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Fluctuations in currency exchange rates could negatively impact our earnings.</w:t>
      </w:r>
    </w:p>
    <w:p>
      <w:pPr>
        <w:spacing w:after="0" w:line="219" w:lineRule="exact"/>
        <w:rPr>
          <w:sz w:val="20"/>
          <w:szCs w:val="20"/>
          <w:color w:val="auto"/>
        </w:rPr>
      </w:pPr>
    </w:p>
    <w:p>
      <w:pPr>
        <w:ind w:right="80" w:firstLine="568"/>
        <w:spacing w:after="0" w:line="192" w:lineRule="exact"/>
        <w:rPr>
          <w:sz w:val="20"/>
          <w:szCs w:val="20"/>
          <w:color w:val="auto"/>
        </w:rPr>
      </w:pPr>
      <w:r>
        <w:rPr>
          <w:rFonts w:ascii="Arial" w:cs="Arial" w:eastAsia="Arial" w:hAnsi="Arial"/>
          <w:sz w:val="14"/>
          <w:szCs w:val="14"/>
          <w:color w:val="auto"/>
        </w:rPr>
        <w:t>A significant portion of our international business is conducted in currencies other than the U.S. dollar, and changes in foreign exchange rates relative to the U.S. dollar can therefore affect the value of our non</w:t>
      </w:r>
      <w:r>
        <w:rPr>
          <w:rFonts w:ascii="MS PGothic" w:cs="MS PGothic" w:eastAsia="MS PGothic" w:hAnsi="MS PGothic"/>
          <w:sz w:val="14"/>
          <w:szCs w:val="14"/>
          <w:color w:val="auto"/>
        </w:rPr>
        <w:t>‑</w:t>
      </w:r>
      <w:r>
        <w:rPr>
          <w:rFonts w:ascii="Arial" w:cs="Arial" w:eastAsia="Arial" w:hAnsi="Arial"/>
          <w:sz w:val="14"/>
          <w:szCs w:val="14"/>
          <w:color w:val="auto"/>
        </w:rPr>
        <w:t>U.S. dollar net assets, revenues and expenses. Although we closely monitor potential exposures as a result of these fluctuations in currencies, and where cost</w:t>
      </w:r>
      <w:r>
        <w:rPr>
          <w:rFonts w:ascii="MS PGothic" w:cs="MS PGothic" w:eastAsia="MS PGothic" w:hAnsi="MS PGothic"/>
          <w:sz w:val="14"/>
          <w:szCs w:val="14"/>
          <w:color w:val="auto"/>
        </w:rPr>
        <w:t>‑</w:t>
      </w:r>
      <w:r>
        <w:rPr>
          <w:rFonts w:ascii="Arial" w:cs="Arial" w:eastAsia="Arial" w:hAnsi="Arial"/>
          <w:sz w:val="14"/>
          <w:szCs w:val="14"/>
          <w:color w:val="auto"/>
        </w:rPr>
        <w:t>justified we adopt strategies that are designed to reduce the impact of these fluctuations on our financial performance, including the financing of non</w:t>
      </w:r>
      <w:r>
        <w:rPr>
          <w:rFonts w:ascii="MS PGothic" w:cs="MS PGothic" w:eastAsia="MS PGothic" w:hAnsi="MS PGothic"/>
          <w:sz w:val="14"/>
          <w:szCs w:val="14"/>
          <w:color w:val="auto"/>
        </w:rPr>
        <w:t>‑</w:t>
      </w:r>
      <w:r>
        <w:rPr>
          <w:rFonts w:ascii="Arial" w:cs="Arial" w:eastAsia="Arial" w:hAnsi="Arial"/>
          <w:sz w:val="14"/>
          <w:szCs w:val="14"/>
          <w:color w:val="auto"/>
        </w:rPr>
        <w:t>U.S. dollar assets with borrowings in the same currency and the use of various hedging transactions related to net assets, revenues, expenses or cash flows, there can be no assurance that we will be successful in managing our foreign exchange risk. Our exposure to currency exchange rate fluctuations will grow if the relative contribution of our operations outside the U.S. increases. Any material fluctuations in currencies could have a material effect on our financial condition, results of operations and cash flows.</w:t>
      </w:r>
    </w:p>
    <w:p>
      <w:pPr>
        <w:spacing w:after="0" w:line="203" w:lineRule="exact"/>
        <w:rPr>
          <w:sz w:val="20"/>
          <w:szCs w:val="20"/>
          <w:color w:val="auto"/>
        </w:rPr>
      </w:pPr>
    </w:p>
    <w:p>
      <w:pPr>
        <w:ind w:right="320"/>
        <w:spacing w:after="0" w:line="268" w:lineRule="auto"/>
        <w:rPr>
          <w:sz w:val="20"/>
          <w:szCs w:val="20"/>
          <w:color w:val="auto"/>
        </w:rPr>
      </w:pPr>
      <w:r>
        <w:rPr>
          <w:rFonts w:ascii="Arial" w:cs="Arial" w:eastAsia="Arial" w:hAnsi="Arial"/>
          <w:sz w:val="16"/>
          <w:szCs w:val="16"/>
          <w:b w:val="1"/>
          <w:bCs w:val="1"/>
          <w:i w:val="1"/>
          <w:iCs w:val="1"/>
          <w:color w:val="auto"/>
        </w:rPr>
        <w:t>We may incur material losses on foreign exchange transactions entered into on behalf of clients and be exposed to material liquidity risk due to counterparty defaults or errors.</w:t>
      </w:r>
    </w:p>
    <w:p>
      <w:pPr>
        <w:spacing w:after="0" w:line="181" w:lineRule="exact"/>
        <w:rPr>
          <w:sz w:val="20"/>
          <w:szCs w:val="20"/>
          <w:color w:val="auto"/>
        </w:rPr>
      </w:pPr>
    </w:p>
    <w:p>
      <w:pPr>
        <w:ind w:right="20" w:firstLine="568"/>
        <w:spacing w:after="0" w:line="192" w:lineRule="exact"/>
        <w:rPr>
          <w:sz w:val="20"/>
          <w:szCs w:val="20"/>
          <w:color w:val="auto"/>
        </w:rPr>
      </w:pPr>
      <w:r>
        <w:rPr>
          <w:rFonts w:ascii="Arial" w:cs="Arial" w:eastAsia="Arial" w:hAnsi="Arial"/>
          <w:sz w:val="16"/>
          <w:szCs w:val="16"/>
          <w:color w:val="auto"/>
        </w:rPr>
        <w:t>We enable clients to settle cross</w:t>
      </w:r>
      <w:r>
        <w:rPr>
          <w:rFonts w:ascii="MS PGothic" w:cs="MS PGothic" w:eastAsia="MS PGothic" w:hAnsi="MS PGothic"/>
          <w:sz w:val="16"/>
          <w:szCs w:val="16"/>
          <w:color w:val="auto"/>
        </w:rPr>
        <w:t>‑</w:t>
      </w:r>
      <w:r>
        <w:rPr>
          <w:rFonts w:ascii="Arial" w:cs="Arial" w:eastAsia="Arial" w:hAnsi="Arial"/>
          <w:sz w:val="16"/>
          <w:szCs w:val="16"/>
          <w:color w:val="auto"/>
        </w:rPr>
        <w:t>border equity transactions in their local currency through the use of foreign exchange contracts. These arrangements typically involve the delivery of securities or cash to a counterparty that is not processed through a central clearing facility in exchange for a simultaneous receipt of cash or securities. We may operate as either a principal or agent in these transactions. As a result, a default by one of our counterparties prior to the settlement of their obligation could materially impact our liquidity and have a material adverse effect on our financial condition and results of operations.</w:t>
      </w:r>
    </w:p>
    <w:p>
      <w:pPr>
        <w:spacing w:after="0" w:line="204" w:lineRule="exact"/>
        <w:rPr>
          <w:sz w:val="20"/>
          <w:szCs w:val="20"/>
          <w:color w:val="auto"/>
        </w:rPr>
      </w:pPr>
    </w:p>
    <w:p>
      <w:pPr>
        <w:ind w:right="380" w:firstLine="568"/>
        <w:spacing w:after="0" w:line="268" w:lineRule="auto"/>
        <w:rPr>
          <w:sz w:val="20"/>
          <w:szCs w:val="20"/>
          <w:color w:val="auto"/>
        </w:rPr>
      </w:pPr>
      <w:r>
        <w:rPr>
          <w:rFonts w:ascii="Arial" w:cs="Arial" w:eastAsia="Arial" w:hAnsi="Arial"/>
          <w:sz w:val="16"/>
          <w:szCs w:val="16"/>
          <w:color w:val="auto"/>
        </w:rPr>
        <w:t>In addition, we are exposed to operational risk. Employee and technological errors in executing, recording or reporting foreign exchange transactions may result in material losses due to the large size of such transactions and the underlying market risk in correcting such errors.</w:t>
      </w:r>
    </w:p>
    <w:p>
      <w:pPr>
        <w:spacing w:after="0" w:line="181"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b w:val="1"/>
          <w:bCs w:val="1"/>
          <w:i w:val="1"/>
          <w:iCs w:val="1"/>
          <w:color w:val="auto"/>
        </w:rPr>
        <w:t>We may experience risks associated with future growth or expansion of our operations or acquisitions, strategic investments or dispositions of businesses, and we may never realize the anticipated benefits of such activities.</w:t>
      </w:r>
    </w:p>
    <w:p>
      <w:pPr>
        <w:spacing w:after="0" w:line="181" w:lineRule="exact"/>
        <w:rPr>
          <w:sz w:val="20"/>
          <w:szCs w:val="20"/>
          <w:color w:val="auto"/>
        </w:rPr>
      </w:pPr>
    </w:p>
    <w:p>
      <w:pPr>
        <w:ind w:right="40" w:firstLine="568"/>
        <w:spacing w:after="0" w:line="191" w:lineRule="exact"/>
        <w:rPr>
          <w:sz w:val="20"/>
          <w:szCs w:val="20"/>
          <w:color w:val="auto"/>
        </w:rPr>
      </w:pPr>
      <w:r>
        <w:rPr>
          <w:rFonts w:ascii="Arial" w:cs="Arial" w:eastAsia="Arial" w:hAnsi="Arial"/>
          <w:sz w:val="16"/>
          <w:szCs w:val="16"/>
          <w:color w:val="auto"/>
        </w:rPr>
        <w:t>As a part of our business strategy, we may make acquisitions or significant investments in and/or disposals of businesses. Any such future acquisitions, investments and/or dispositions would be accompanied by risks such as assessment of values for acquired businesses, intangible assets and technologies, difficulties in assimilating the operations and personnel of acquired companies or businesses, diversion of our management’s attention from ongoing business concerns, our potential inability to maximize our financial and strategic position through the successful incorporation or disposition of operations, maintenance of uniform standards, controls, procedures and policies and the impairment of existing relationships with employees, contractors, suppliers and customers as a result of the integration of new management personnel and cost</w:t>
      </w:r>
      <w:r>
        <w:rPr>
          <w:rFonts w:ascii="MS PGothic" w:cs="MS PGothic" w:eastAsia="MS PGothic" w:hAnsi="MS PGothic"/>
          <w:sz w:val="16"/>
          <w:szCs w:val="16"/>
          <w:color w:val="auto"/>
        </w:rPr>
        <w:t>‑</w:t>
      </w:r>
      <w:r>
        <w:rPr>
          <w:rFonts w:ascii="Arial" w:cs="Arial" w:eastAsia="Arial" w:hAnsi="Arial"/>
          <w:sz w:val="16"/>
          <w:szCs w:val="16"/>
          <w:color w:val="auto"/>
        </w:rPr>
        <w:t>saving initiatives. We cannot guarantee that we will be able to successfully integrate any company or business that we might acquire in the future, and our failure to do so could harm our current business.</w:t>
      </w:r>
    </w:p>
    <w:p>
      <w:pPr>
        <w:spacing w:after="0" w:line="203" w:lineRule="exact"/>
        <w:rPr>
          <w:sz w:val="20"/>
          <w:szCs w:val="20"/>
          <w:color w:val="auto"/>
        </w:rPr>
      </w:pPr>
    </w:p>
    <w:p>
      <w:pPr>
        <w:jc w:val="both"/>
        <w:ind w:right="340" w:firstLine="568"/>
        <w:spacing w:after="0" w:line="311" w:lineRule="auto"/>
        <w:rPr>
          <w:sz w:val="20"/>
          <w:szCs w:val="20"/>
          <w:color w:val="auto"/>
        </w:rPr>
      </w:pPr>
      <w:r>
        <w:rPr>
          <w:rFonts w:ascii="Arial" w:cs="Arial" w:eastAsia="Arial" w:hAnsi="Arial"/>
          <w:sz w:val="14"/>
          <w:szCs w:val="14"/>
          <w:color w:val="auto"/>
        </w:rPr>
        <w:t>In addition, we may not realize the anticipated benefits of any such transactions, and there may be other unanticipated or unidentified effects. While we would seek protection, for example, through warranties and indemnities in the case of acquisitions, significant liabilities may not be identified in due diligence or come to light after the expiration of warranty or indemnity periods. Additionally, while we would seek to limit our ongoing exposure, for example, through liability caps and</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802" w:right="359" w:bottom="1440" w:gutter="0" w:footer="0" w:header="0"/>
        </w:sectPr>
      </w:pPr>
    </w:p>
    <w:bookmarkStart w:id="25" w:name="page26"/>
    <w:bookmarkEnd w:id="25"/>
    <w:p>
      <w:pPr>
        <w:ind w:right="80"/>
        <w:spacing w:after="0" w:line="254" w:lineRule="auto"/>
        <w:rPr>
          <w:sz w:val="20"/>
          <w:szCs w:val="20"/>
          <w:color w:val="auto"/>
        </w:rPr>
      </w:pPr>
      <w:r>
        <w:rPr>
          <w:rFonts w:ascii="Arial" w:cs="Arial" w:eastAsia="Arial" w:hAnsi="Arial"/>
          <w:sz w:val="16"/>
          <w:szCs w:val="16"/>
          <w:color w:val="auto"/>
        </w:rPr>
        <w:t>period limits on warranties and indemnities in the case of disposals, some warranties and indemnities may give rise to unexpected and significant liabilities. If we fail to realize any such anticipated benefits, or if we experience any such unanticipated or unidentified effects in connection with any future acquisitions, investments or dispositions, we could suffer a material adverse effect on our business, financial condition, results of operations and cash flows. Finally, strategic investments may involve additional risks associated with holding a minority or noncontrolling position in an illiquid business or asset.</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future efforts to sell shares of our common stock or raise additional capital may be inhibited by regulations.</w:t>
      </w:r>
    </w:p>
    <w:p>
      <w:pPr>
        <w:spacing w:after="0" w:line="219" w:lineRule="exact"/>
        <w:rPr>
          <w:sz w:val="20"/>
          <w:szCs w:val="20"/>
          <w:color w:val="auto"/>
        </w:rPr>
      </w:pPr>
    </w:p>
    <w:p>
      <w:pPr>
        <w:ind w:right="20" w:firstLine="568"/>
        <w:spacing w:after="0" w:line="271" w:lineRule="auto"/>
        <w:rPr>
          <w:sz w:val="20"/>
          <w:szCs w:val="20"/>
          <w:color w:val="auto"/>
        </w:rPr>
      </w:pPr>
      <w:r>
        <w:rPr>
          <w:rFonts w:ascii="Arial" w:cs="Arial" w:eastAsia="Arial" w:hAnsi="Arial"/>
          <w:sz w:val="15"/>
          <w:szCs w:val="15"/>
          <w:color w:val="auto"/>
        </w:rPr>
        <w:t>As certain of our subsidiaries are members of FINRA and other SROs, we are subject to certain regulations regarding changes in ownership or control and material changes in operations. For example, FINRA Rule 1017 generally provides that FINRA approval must be obtained in connection with certain change of ownership or control transactions, such as a transaction that results in a single entity or person owning 25% or more our equity. Similarly, VFIL, VIEL and VIUK, our regulated subsidiaries in Ireland and the U.K., are subject to change in control regulations promulgated by the CBI and/or the FCA, and other registered or regulated foreign subsidiaries may be subject to similar regulations in applicable jurisdictions. As a result of these regulations, our future efforts to sell shares of our common stock or raise additional capital may be delayed or prohibited. We may be subject to similar restrictions in other jurisdictions in which we operate.</w:t>
      </w:r>
    </w:p>
    <w:p>
      <w:pPr>
        <w:spacing w:after="0" w:line="181" w:lineRule="exact"/>
        <w:rPr>
          <w:sz w:val="20"/>
          <w:szCs w:val="20"/>
          <w:color w:val="auto"/>
        </w:rPr>
      </w:pPr>
    </w:p>
    <w:p>
      <w:pPr>
        <w:ind w:right="100"/>
        <w:spacing w:after="0" w:line="268" w:lineRule="auto"/>
        <w:rPr>
          <w:sz w:val="20"/>
          <w:szCs w:val="20"/>
          <w:color w:val="auto"/>
        </w:rPr>
      </w:pPr>
      <w:r>
        <w:rPr>
          <w:rFonts w:ascii="Arial" w:cs="Arial" w:eastAsia="Arial" w:hAnsi="Arial"/>
          <w:sz w:val="16"/>
          <w:szCs w:val="16"/>
          <w:b w:val="1"/>
          <w:bCs w:val="1"/>
          <w:i w:val="1"/>
          <w:iCs w:val="1"/>
          <w:color w:val="auto"/>
        </w:rPr>
        <w:t>We are dependent on the continued service of certain key executives, the loss or diminished performance of whom could have a material adverse effect on our business, and our success depends in part on our ability to identify, recruit and retain skilled management and technical personnel.</w:t>
      </w:r>
    </w:p>
    <w:p>
      <w:pPr>
        <w:spacing w:after="0" w:line="181" w:lineRule="exact"/>
        <w:rPr>
          <w:sz w:val="20"/>
          <w:szCs w:val="20"/>
          <w:color w:val="auto"/>
        </w:rPr>
      </w:pPr>
    </w:p>
    <w:p>
      <w:pPr>
        <w:ind w:firstLine="568"/>
        <w:spacing w:after="0" w:line="267" w:lineRule="auto"/>
        <w:rPr>
          <w:sz w:val="20"/>
          <w:szCs w:val="20"/>
          <w:color w:val="auto"/>
        </w:rPr>
      </w:pPr>
      <w:r>
        <w:rPr>
          <w:rFonts w:ascii="Arial" w:cs="Arial" w:eastAsia="Arial" w:hAnsi="Arial"/>
          <w:sz w:val="15"/>
          <w:szCs w:val="15"/>
          <w:color w:val="auto"/>
        </w:rPr>
        <w:t>Our performance is substantially dependent on the performance of our senior management, including Douglas Cifu, our Chief Executive Officer, Joseph Molluso, our Co-President and Co-Chief Operating Officer, Brett Fairclough, our Co-President and Co-Chief Operating Officer and Sean Galvin, our Chief Financial Officer. In connection with and subsequent to the IPO, we have entered into employment and other related agreements with certain members of our senior management team that restrict their ability to compete with us should they decide to leave our Company. Even though we have entered into these agreements, we cannot be sure that any member of our senior management will remain with us or that they will not compete with us in the future. The loss of any member of our senior management team could impair our ability to execute our business plan and growth strategy and have a negative impact on our revenues, in addition to potentially causing employee morale problems and/or the loss of key employees. In particular, Mr. Cifu invests in other businesses and spends time on such matters, which could divert their attention from us. Our employment agreement with Mr. Cifu specifically permits his participation in and attention to certain other business activities, including but not necessarily limited to his role as the Vice Chairman and Alternate Governor of the Florida Panthers, a National Hockey League franchise. We cannot guarantee that these or other permitted outside activities will not impact his performance as Chief Executive Officer.</w:t>
      </w:r>
    </w:p>
    <w:p>
      <w:pPr>
        <w:spacing w:after="0" w:line="188" w:lineRule="exact"/>
        <w:rPr>
          <w:sz w:val="20"/>
          <w:szCs w:val="20"/>
          <w:color w:val="auto"/>
        </w:rPr>
      </w:pPr>
    </w:p>
    <w:p>
      <w:pPr>
        <w:ind w:right="40" w:firstLine="568"/>
        <w:spacing w:after="0" w:line="251" w:lineRule="auto"/>
        <w:rPr>
          <w:sz w:val="20"/>
          <w:szCs w:val="20"/>
          <w:color w:val="auto"/>
        </w:rPr>
      </w:pPr>
      <w:r>
        <w:rPr>
          <w:rFonts w:ascii="Arial" w:cs="Arial" w:eastAsia="Arial" w:hAnsi="Arial"/>
          <w:sz w:val="16"/>
          <w:szCs w:val="16"/>
          <w:color w:val="auto"/>
        </w:rPr>
        <w:t>Our future success depends, in part, upon our continued ability to identify, attract, hire and retain highly qualified personnel, including skilled technical, management, product and technology, trading, sales and marketing personnel, all of whom are in high demand and are often subject to competing offers. Competition for qualified personnel in the financial services industry is intense and we cannot assure you that we will be able to hire or retain a sufficient number of qualified personnel to meet our requirements, or that we will be able to do so at salary, benefit and other compensation costs that are acceptable to us or that would allow us to achieve operating results consistent with our historical results. A loss of qualified employees, or an inability to attract, retain and motivate additional highly skilled employees in the future, could have a material adverse effect on our business.</w:t>
      </w:r>
    </w:p>
    <w:p>
      <w:pPr>
        <w:spacing w:after="0" w:line="195" w:lineRule="exact"/>
        <w:rPr>
          <w:sz w:val="20"/>
          <w:szCs w:val="20"/>
          <w:color w:val="auto"/>
        </w:rPr>
      </w:pPr>
    </w:p>
    <w:p>
      <w:pPr>
        <w:ind w:right="500"/>
        <w:spacing w:after="0" w:line="268" w:lineRule="auto"/>
        <w:rPr>
          <w:sz w:val="20"/>
          <w:szCs w:val="20"/>
          <w:color w:val="auto"/>
        </w:rPr>
      </w:pPr>
      <w:r>
        <w:rPr>
          <w:rFonts w:ascii="Arial" w:cs="Arial" w:eastAsia="Arial" w:hAnsi="Arial"/>
          <w:sz w:val="16"/>
          <w:szCs w:val="16"/>
          <w:b w:val="1"/>
          <w:bCs w:val="1"/>
          <w:i w:val="1"/>
          <w:iCs w:val="1"/>
          <w:color w:val="auto"/>
        </w:rPr>
        <w:t>We may incur losses as a result of unforeseen or catastrophic events, including the emergence of another pandemic, terrorist attacks, extreme weather events or other natural disasters.</w:t>
      </w:r>
    </w:p>
    <w:p>
      <w:pPr>
        <w:spacing w:after="0" w:line="181" w:lineRule="exact"/>
        <w:rPr>
          <w:sz w:val="20"/>
          <w:szCs w:val="20"/>
          <w:color w:val="auto"/>
        </w:rPr>
      </w:pPr>
    </w:p>
    <w:p>
      <w:pPr>
        <w:jc w:val="both"/>
        <w:ind w:right="120" w:firstLine="568"/>
        <w:spacing w:after="0" w:line="311" w:lineRule="auto"/>
        <w:rPr>
          <w:sz w:val="20"/>
          <w:szCs w:val="20"/>
          <w:color w:val="auto"/>
        </w:rPr>
      </w:pPr>
      <w:r>
        <w:rPr>
          <w:rFonts w:ascii="Arial" w:cs="Arial" w:eastAsia="Arial" w:hAnsi="Arial"/>
          <w:sz w:val="14"/>
          <w:szCs w:val="14"/>
          <w:color w:val="auto"/>
        </w:rPr>
        <w:t>The occurrence of unforeseen or catastrophic events, including the emergence of a pandemic, such as the Ebola or Zika viruses, COVID-19, or other widespread health emergency (or concerns over the possibility of such an emergency), terrorist attacks, extreme terrestrial or solar weather events or other natural disasters, could create economic and financial disruptions, and could lead to operational difficulties (including travel limitations) that could impair our ability to manage our businesses.</w:t>
      </w:r>
    </w:p>
    <w:p>
      <w:pPr>
        <w:spacing w:after="0" w:line="155" w:lineRule="exact"/>
        <w:rPr>
          <w:sz w:val="20"/>
          <w:szCs w:val="20"/>
          <w:color w:val="auto"/>
        </w:rPr>
      </w:pPr>
    </w:p>
    <w:p>
      <w:pPr>
        <w:ind w:right="240" w:firstLine="568"/>
        <w:spacing w:after="0" w:line="252" w:lineRule="auto"/>
        <w:rPr>
          <w:sz w:val="20"/>
          <w:szCs w:val="20"/>
          <w:color w:val="auto"/>
        </w:rPr>
      </w:pPr>
      <w:r>
        <w:rPr>
          <w:rFonts w:ascii="Arial" w:cs="Arial" w:eastAsia="Arial" w:hAnsi="Arial"/>
          <w:sz w:val="16"/>
          <w:szCs w:val="16"/>
          <w:color w:val="auto"/>
        </w:rPr>
        <w:t>Although we have employed efforts to develop, implement and maintain reasonable disaster recovery and business continuity plans, we cannot guarantee that our systems will fully recover after a significant business disruption in a timely fashion or at all. Our ability to conduct business may be adversely impacted by a disruption in the infrastructure that supports our businesses and the communities in which we are located. This may include a disruption involving electrical, satellite, undersea cable or other communications, internet, transportation or other services facilities used by us, our employees or third parties with which we conduct business. If we are prevented from using any of our current trading operations, or if our business</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802" w:right="339" w:bottom="1440" w:gutter="0" w:footer="0" w:header="0"/>
        </w:sectPr>
      </w:pPr>
    </w:p>
    <w:bookmarkStart w:id="26" w:name="page27"/>
    <w:bookmarkEnd w:id="26"/>
    <w:p>
      <w:pPr>
        <w:ind w:right="300"/>
        <w:spacing w:after="0" w:line="268" w:lineRule="auto"/>
        <w:rPr>
          <w:sz w:val="20"/>
          <w:szCs w:val="20"/>
          <w:color w:val="auto"/>
        </w:rPr>
      </w:pPr>
      <w:r>
        <w:rPr>
          <w:rFonts w:ascii="Arial" w:cs="Arial" w:eastAsia="Arial" w:hAnsi="Arial"/>
          <w:sz w:val="16"/>
          <w:szCs w:val="16"/>
          <w:color w:val="auto"/>
        </w:rPr>
        <w:t>continuity operations do not work effectively, we may not have complete business continuity, which could have a material adverse effect on our business, financial condition, results of operations and cash flows.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subject to increased risks or business disruption, incur losses or suffer reputational harm in relation to or as a result of climate change.</w:t>
      </w:r>
    </w:p>
    <w:p>
      <w:pPr>
        <w:spacing w:after="0" w:line="219" w:lineRule="exact"/>
        <w:rPr>
          <w:sz w:val="20"/>
          <w:szCs w:val="20"/>
          <w:color w:val="auto"/>
        </w:rPr>
      </w:pPr>
    </w:p>
    <w:p>
      <w:pPr>
        <w:ind w:right="140" w:firstLine="568"/>
        <w:spacing w:after="0" w:line="270" w:lineRule="auto"/>
        <w:rPr>
          <w:sz w:val="20"/>
          <w:szCs w:val="20"/>
          <w:color w:val="auto"/>
        </w:rPr>
      </w:pPr>
      <w:r>
        <w:rPr>
          <w:rFonts w:ascii="Arial" w:cs="Arial" w:eastAsia="Arial" w:hAnsi="Arial"/>
          <w:sz w:val="15"/>
          <w:szCs w:val="15"/>
          <w:color w:val="auto"/>
        </w:rPr>
        <w:t>Climate change could manifest as a financial risk to us either through changes in the physical climate or from the process of transitioning to a low-carbon economy, including changes in climate policy or in the regulation of financial institutions with respect to risks posed by climate change. Potential events or disruptions of this nature include significant rainfall, flooding, increased frequency or intensity of wildfires, prolonged drought, rising sea levels and rising heat index. Additionally, our reputation and client relationships may be damaged as a result of our involvement, or our clients’ involvement, in certain industries or projects associated with causing or exacerbating climate change, as well as any decisions we make to continue to conduct or change our activities in response to considerations relating to climate change. New regulations or guidance relating to climate change, as well as the perspectives of shareholders, employees and other stakeholders regarding climate change, may affect whether and on what terms and conditions we engage in certain activities or offer certain products.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Cryptocurrency is an emerging asset class that carries unique risk, including the risk of financial loss.</w:t>
      </w:r>
    </w:p>
    <w:p>
      <w:pPr>
        <w:spacing w:after="0" w:line="219" w:lineRule="exact"/>
        <w:rPr>
          <w:sz w:val="20"/>
          <w:szCs w:val="20"/>
          <w:color w:val="auto"/>
        </w:rPr>
      </w:pPr>
    </w:p>
    <w:p>
      <w:pPr>
        <w:jc w:val="both"/>
        <w:ind w:right="40" w:firstLine="568"/>
        <w:spacing w:after="0" w:line="302" w:lineRule="auto"/>
        <w:rPr>
          <w:sz w:val="20"/>
          <w:szCs w:val="20"/>
          <w:color w:val="auto"/>
        </w:rPr>
      </w:pPr>
      <w:r>
        <w:rPr>
          <w:rFonts w:ascii="Arial" w:cs="Arial" w:eastAsia="Arial" w:hAnsi="Arial"/>
          <w:sz w:val="14"/>
          <w:szCs w:val="14"/>
          <w:color w:val="auto"/>
        </w:rPr>
        <w:t>The value of cryptocurrencies is based in part on market adoption and future expectations, which may or may not be realized. As a result, the prices of cryptocurrencies are highly speculative. Due to this highly volatile nature, prices of cryptocurrencies have been subject to dramatic fluctuations which may impact our balance sheet. For example, if the price of the cryptocurrencies we hold in inventory drops below the price we paid to acquire this inventory, we could incur a loss. Moreover, if our systems fail at managing our inventory or customer orders, we could be left with excess inventory that increases our exposure to the volatility of the price of cryptocurrencies.</w:t>
      </w:r>
    </w:p>
    <w:p>
      <w:pPr>
        <w:spacing w:after="0" w:line="160" w:lineRule="exact"/>
        <w:rPr>
          <w:sz w:val="20"/>
          <w:szCs w:val="20"/>
          <w:color w:val="auto"/>
        </w:rPr>
      </w:pPr>
    </w:p>
    <w:p>
      <w:pPr>
        <w:ind w:firstLine="568"/>
        <w:spacing w:after="0" w:line="271" w:lineRule="auto"/>
        <w:rPr>
          <w:sz w:val="20"/>
          <w:szCs w:val="20"/>
          <w:color w:val="auto"/>
        </w:rPr>
      </w:pPr>
      <w:r>
        <w:rPr>
          <w:rFonts w:ascii="Arial" w:cs="Arial" w:eastAsia="Arial" w:hAnsi="Arial"/>
          <w:sz w:val="15"/>
          <w:szCs w:val="15"/>
          <w:color w:val="auto"/>
        </w:rPr>
        <w:t>Further, because cryptocurrency is a new and emerging asset class with unique electronic exposure, there is a high degree of fraud, theft, cyberattacks and other forms of risk in the cryptocurrency space. While the Company employs a variety of controls to mitigate risk of loss and theft in the cryptocurrency positions we maintain, it is possible, for example, for electronic wallet keys to become lost or stolen, for blockchains to experience detrimental changes, such as forks, or for our cryptocurrency exchange and custodian partners to experience cybersecurity incidents. In the event of such events, we could experience financial loss, we could lose customers and clients as a result of reputational damage, and we may face regulatory or legal consequences. Although we maintain insurance, there can be no assurance that liabilities or losses we may incur will be covered under such policies or that the amount of insurance will be adequate.</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Legal and Regulatory Risks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Regulatory and legal uncertainties could harm our business.</w:t>
      </w:r>
    </w:p>
    <w:p>
      <w:pPr>
        <w:spacing w:after="0" w:line="219" w:lineRule="exact"/>
        <w:rPr>
          <w:sz w:val="20"/>
          <w:szCs w:val="20"/>
          <w:color w:val="auto"/>
        </w:rPr>
      </w:pPr>
    </w:p>
    <w:p>
      <w:pPr>
        <w:ind w:right="40" w:firstLine="568"/>
        <w:spacing w:after="0" w:line="267" w:lineRule="auto"/>
        <w:rPr>
          <w:sz w:val="20"/>
          <w:szCs w:val="20"/>
          <w:color w:val="auto"/>
        </w:rPr>
      </w:pPr>
      <w:r>
        <w:rPr>
          <w:rFonts w:ascii="Arial" w:cs="Arial" w:eastAsia="Arial" w:hAnsi="Arial"/>
          <w:sz w:val="15"/>
          <w:szCs w:val="15"/>
          <w:color w:val="auto"/>
        </w:rPr>
        <w:t>Securities and derivatives businesses are heavily regulated. Firms in the financial services industry have been subject to an increasingly regulated environment over recent years, and penalties and fines sought by regulatory authorities have increased considerably. In addition, following recent news congressional, regulatory and news media attention to U.S. equities market structure, the regulatory and enforcement environment has created uncertainty with respect to various types of transactions that historically had been entered into by financial services firms and that were generally believed to be permissible and appropriate. The retail trading environment in the U.S., relationships between broker-dealers and market making firms, short selling and “high frequency” and other forms of low latency or electronic trading strategies continue to be the focus of extensive regulatory scrutiny by federal, state and foreign regulators and SROs, and such scrutiny is likely to continue. Our market making and trading activities are characterized by substantial volumes, an emphasis on technology and certain other characteristics that are also commonly associated with high frequency trading and we engage in direct-to-client market making services across multiple asset classes primarily to sell-side clients including global, national and regional broker-dealers and banks and in the context of our market making and trading activities, we are party to various remuneration and rebate arrangements, including payment for order flow, profit-sharing relationships, and exchange fee and rebate structures.</w:t>
      </w:r>
    </w:p>
    <w:p>
      <w:pPr>
        <w:spacing w:after="0" w:line="177" w:lineRule="exact"/>
        <w:rPr>
          <w:sz w:val="20"/>
          <w:szCs w:val="20"/>
          <w:color w:val="auto"/>
        </w:rPr>
      </w:pPr>
    </w:p>
    <w:p>
      <w:pPr>
        <w:ind w:right="260" w:firstLine="568"/>
        <w:spacing w:after="0" w:line="175" w:lineRule="exact"/>
        <w:rPr>
          <w:sz w:val="20"/>
          <w:szCs w:val="20"/>
          <w:color w:val="auto"/>
        </w:rPr>
      </w:pPr>
      <w:r>
        <w:rPr>
          <w:rFonts w:ascii="Arial" w:cs="Arial" w:eastAsia="Arial" w:hAnsi="Arial"/>
          <w:sz w:val="16"/>
          <w:szCs w:val="16"/>
          <w:color w:val="auto"/>
        </w:rPr>
        <w:t>In addition, certain market participants, SROs, government officials and regulators have requested that the U.S. Congress, the SEC, and the CFTC propose and adopt additional laws and rules, including rules relating to additional registration requirements, restrictions on co</w:t>
      </w:r>
      <w:r>
        <w:rPr>
          <w:rFonts w:ascii="MS PGothic" w:cs="MS PGothic" w:eastAsia="MS PGothic" w:hAnsi="MS PGothic"/>
          <w:sz w:val="16"/>
          <w:szCs w:val="16"/>
          <w:color w:val="auto"/>
        </w:rPr>
        <w:t>‑</w:t>
      </w:r>
      <w:r>
        <w:rPr>
          <w:rFonts w:ascii="Arial" w:cs="Arial" w:eastAsia="Arial" w:hAnsi="Arial"/>
          <w:sz w:val="16"/>
          <w:szCs w:val="16"/>
          <w:color w:val="auto"/>
        </w:rPr>
        <w:t>location, order</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execution ratios, minimum quote life for orders, incremental messaging fees to be imposed by exchanges for “excessive” order placements and/or cancellations, further transaction taxes, tick sizes, changes to maker/taker rebates programs, and other market structure proposals. For example, the Committee on</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802" w:right="339" w:bottom="1440" w:gutter="0" w:footer="0" w:header="0"/>
        </w:sectPr>
      </w:pPr>
    </w:p>
    <w:bookmarkStart w:id="27" w:name="page28"/>
    <w:bookmarkEnd w:id="27"/>
    <w:p>
      <w:pPr>
        <w:ind w:right="20"/>
        <w:spacing w:after="0" w:line="238" w:lineRule="auto"/>
        <w:rPr>
          <w:sz w:val="20"/>
          <w:szCs w:val="20"/>
          <w:color w:val="auto"/>
        </w:rPr>
      </w:pPr>
      <w:r>
        <w:rPr>
          <w:rFonts w:ascii="Arial" w:cs="Arial" w:eastAsia="Arial" w:hAnsi="Arial"/>
          <w:sz w:val="15"/>
          <w:szCs w:val="15"/>
          <w:color w:val="auto"/>
        </w:rPr>
        <w:t>Financial Services of the U.S. House of Representatives held hearings on the events surrounding the January 2021 market volatility and disruptions surrounding Gamestop and other “meme” stocks at which various members of Congress expressed their concerns about various market practices, including payment for order flow . Regulators may propose other market structure changes, particularly considering the continued regulatory, congressional and media scrutiny of U.S. equities market structure, the retail trading environment in the U.S., wholesaling market making and the relationships between retail broker-dealers and market making firms, including but not limited to payment for order flow arrangements, other remuneration arrangements such as profit-sharing relationships and exchange fee and rebate structures, ATSs and off-exchange trading more generally, high frequency trading, short selling, market fragmentation, colocation, and access to market data feeds.</w:t>
      </w:r>
    </w:p>
    <w:p>
      <w:pPr>
        <w:spacing w:after="0" w:line="193" w:lineRule="exact"/>
        <w:rPr>
          <w:sz w:val="20"/>
          <w:szCs w:val="20"/>
          <w:color w:val="auto"/>
        </w:rPr>
      </w:pPr>
    </w:p>
    <w:p>
      <w:pPr>
        <w:ind w:right="40" w:firstLine="568"/>
        <w:spacing w:after="0" w:line="276" w:lineRule="auto"/>
        <w:rPr>
          <w:sz w:val="20"/>
          <w:szCs w:val="20"/>
          <w:color w:val="auto"/>
        </w:rPr>
      </w:pPr>
      <w:r>
        <w:rPr>
          <w:rFonts w:ascii="Arial" w:cs="Arial" w:eastAsia="Arial" w:hAnsi="Arial"/>
          <w:sz w:val="15"/>
          <w:szCs w:val="15"/>
          <w:color w:val="auto"/>
        </w:rPr>
        <w:t>Any or all of these proposals or additional proposals may be adopted by the SEC, CFTC or other U.S. or foreign legislative or regulatory bodies, and news media attention to electronic trading and market structure could increase the likelihood of adoption. These potential market structure and regulatory changes could cause a change in the manner in which we make markets, limit, restrict or otherwise adversely affect our ability to interact with certain order flow, impose additional costs and expenses on our business or otherwise have a material adverse effect on our business, financial condition, results of operations and cash flows.</w:t>
      </w:r>
    </w:p>
    <w:p>
      <w:pPr>
        <w:spacing w:after="0" w:line="177" w:lineRule="exact"/>
        <w:rPr>
          <w:sz w:val="20"/>
          <w:szCs w:val="20"/>
          <w:color w:val="auto"/>
        </w:rPr>
      </w:pPr>
    </w:p>
    <w:p>
      <w:pPr>
        <w:ind w:firstLine="568"/>
        <w:spacing w:after="0" w:line="251" w:lineRule="auto"/>
        <w:rPr>
          <w:sz w:val="20"/>
          <w:szCs w:val="20"/>
          <w:color w:val="auto"/>
        </w:rPr>
      </w:pPr>
      <w:r>
        <w:rPr>
          <w:rFonts w:ascii="Arial" w:cs="Arial" w:eastAsia="Arial" w:hAnsi="Arial"/>
          <w:sz w:val="16"/>
          <w:szCs w:val="16"/>
          <w:color w:val="auto"/>
        </w:rPr>
        <w:t>Additionally, the regulatory and legal status and classification of various cryptocurrencies and other digital assets is subject to substantial uncertainty. For example, a given digital asset could be considered a security, a commodity or currency, or some combination thereof, and therefore may be subject to rules and regulations promulgated by federal regulators, including but not limited to the SEC, the CFTC, the Department of Treasury, in addition to state regulators. While our participation in this asset class has been limited thus far, changes in this regulatory environment, including changing interpretations and the implementation of new or varying regulatory requirements by the government, may significantly affect or change the manner in which we currently conduct some aspects of our business or may significantly impact or limit our ability to increase our participation.</w:t>
      </w:r>
    </w:p>
    <w:p>
      <w:pPr>
        <w:spacing w:after="0" w:line="183" w:lineRule="exact"/>
        <w:rPr>
          <w:sz w:val="20"/>
          <w:szCs w:val="20"/>
          <w:color w:val="auto"/>
        </w:rPr>
      </w:pPr>
    </w:p>
    <w:p>
      <w:pPr>
        <w:ind w:right="40" w:firstLine="568"/>
        <w:spacing w:after="0" w:line="168" w:lineRule="exact"/>
        <w:rPr>
          <w:sz w:val="20"/>
          <w:szCs w:val="20"/>
          <w:color w:val="auto"/>
        </w:rPr>
      </w:pPr>
      <w:r>
        <w:rPr>
          <w:rFonts w:ascii="Arial" w:cs="Arial" w:eastAsia="Arial" w:hAnsi="Arial"/>
          <w:sz w:val="14"/>
          <w:szCs w:val="14"/>
          <w:color w:val="auto"/>
        </w:rPr>
        <w:t>In addition, the financial services industry is heavily regulated in many foreign countries. The varying compliance requirements of these different regulatory jurisdictions and other factors may limit our ability to conduct business or expand internationally. For example, MiFID, which was implemented in November 2007, has been replaced by MiFID II/Markets in Financial Investments Regulation (“MiFIR”), which was adopted by the European Parliament on April 15, 2014 and by the Council on May 13, 2014, entered into force on July 2, 2014, and became effective on January 3, 2018. MiFID II requires certain types of firms, including VFIL, to post firm quotes at competitive prices and supplements previous requirements with regard to investment firms’ risk controls related to the safe operation of electronic systems. MiFID II also imposes additional requirements on market structure, such as the introduction of a harmonized tick size regime, the introduction of new trading venues known as Organized Trading Facilities, and the promulgation of a new bilateral trading arrangement called the Systematic Internaliser regime, new open access provisions, market making requirements and various other pre</w:t>
      </w:r>
      <w:r>
        <w:rPr>
          <w:rFonts w:ascii="MS PGothic" w:cs="MS PGothic" w:eastAsia="MS PGothic" w:hAnsi="MS PGothic"/>
          <w:sz w:val="14"/>
          <w:szCs w:val="14"/>
          <w:color w:val="auto"/>
        </w:rPr>
        <w:t>‑</w:t>
      </w:r>
      <w:r>
        <w:rPr>
          <w:rFonts w:ascii="Arial" w:cs="Arial" w:eastAsia="Arial" w:hAnsi="Arial"/>
          <w:sz w:val="14"/>
          <w:szCs w:val="14"/>
          <w:color w:val="auto"/>
        </w:rPr>
        <w:t xml:space="preserve"> and post</w:t>
      </w:r>
      <w:r>
        <w:rPr>
          <w:rFonts w:ascii="MS PGothic" w:cs="MS PGothic" w:eastAsia="MS PGothic" w:hAnsi="MS PGothic"/>
          <w:sz w:val="14"/>
          <w:szCs w:val="14"/>
          <w:color w:val="auto"/>
        </w:rPr>
        <w:t>‑</w:t>
      </w:r>
      <w:r>
        <w:rPr>
          <w:rFonts w:ascii="Arial" w:cs="Arial" w:eastAsia="Arial" w:hAnsi="Arial"/>
          <w:sz w:val="14"/>
          <w:szCs w:val="14"/>
          <w:color w:val="auto"/>
        </w:rPr>
        <w:t>trade risk management requirements. The MiFID II regime is currently under review, with European Union authorities proposing to make further changes to the regime. Various consultation papers have been published on different aspects of the MiFID II regime, including, on February 4, 2020, an ESMA Consultation Paper entitled “MiFID II/MiFIR Review Report on the Transparency Regime for Equity and Equity-like Instruments, the Double Volume Cap Mechanism and the Trading Obligations for Shares”, on February 17, 2020, a European Commission public consultation on the review of the MiFIDII/MiFIR regulatory framework and on December 18, 2020 an ESMA Consultation Paper entitled "MiFID II/MiFIR Review Report on Algorithmic Trading". In its communication on “The European economic and financial system: fostering openness, strength and resilience” of January 19, 2021, the European Commission confirmed its intention to propose to make changes with a view to improving simplifying and further harmonizing capital markets’ transparency as part of the review of the MiFID II and MiFIR framework. On November 25, 2021, the European Commission published a “Proposal for a Directive of the European Parliament and of the Council amending Directive 2014/65/EU on markets in financial instruments” which is currently under comment from the E.U. Member States. Each of these and other proposals may impose technological and compliance costs on us. Any of these laws, rules or regulations, as well as changes in legislation or regulation and changes in market customs and practices could have a material adverse effect on our business, financial condition, results of operations and cash flows. These risks may be enhanced by recent scrutiny of electronic trading and market structure from regulators, lawmakers and the financial news media.</w:t>
      </w:r>
    </w:p>
    <w:p>
      <w:pPr>
        <w:spacing w:after="0" w:line="190" w:lineRule="exact"/>
        <w:rPr>
          <w:sz w:val="20"/>
          <w:szCs w:val="20"/>
          <w:color w:val="auto"/>
        </w:rPr>
      </w:pPr>
    </w:p>
    <w:p>
      <w:pPr>
        <w:ind w:right="80" w:firstLine="568"/>
        <w:spacing w:after="0" w:line="221" w:lineRule="auto"/>
        <w:rPr>
          <w:sz w:val="20"/>
          <w:szCs w:val="20"/>
          <w:color w:val="auto"/>
        </w:rPr>
      </w:pPr>
      <w:r>
        <w:rPr>
          <w:rFonts w:ascii="Arial" w:cs="Arial" w:eastAsia="Arial" w:hAnsi="Arial"/>
          <w:sz w:val="16"/>
          <w:szCs w:val="16"/>
          <w:color w:val="auto"/>
        </w:rPr>
        <w:t>In addition, we maintain borrowing facilities with banks, prime brokers and Futures Commission Merchants (“FCMs”), and we obtain uncommitted margin financing from our prime brokers and FCMs, which are in many cases affiliated with banks. In response to the 2008 financial crisis, the Basel Committee on Banking Supervision issued a new, more stringent capital and liquidity framework known as Basel III, which national banking regulators have been implementing in the various jurisdictions in which our lenders may be incorporated. In the E.U., on December 24, 2019, a Regulation on the prudential requirements for Investment Firms (“IFR”) and a Directive on the prudential supervision of investments firms (“IFD”) entered into force. The IFR and IFD introduce new prudential requirements for investment firms, classifying them into different categories depending on the firm’s balance-sheet size and types of activity. The main provisions of the IFR and IFD were applicable from the end of June 2021. Certain Level 2 texts are still outstanding which are required to provide clarity on certain provisions in the IFR/IFD. As these rules are implemented and in certain cases impose more stringent capital and liquidity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790" w:right="339" w:bottom="1440" w:gutter="0" w:footer="0" w:header="0"/>
        </w:sectPr>
      </w:pPr>
    </w:p>
    <w:bookmarkStart w:id="28" w:name="page29"/>
    <w:bookmarkEnd w:id="28"/>
    <w:p>
      <w:pPr>
        <w:ind w:right="300"/>
        <w:spacing w:after="0" w:line="269" w:lineRule="auto"/>
        <w:rPr>
          <w:sz w:val="20"/>
          <w:szCs w:val="20"/>
          <w:color w:val="auto"/>
        </w:rPr>
      </w:pPr>
      <w:r>
        <w:rPr>
          <w:rFonts w:ascii="Arial" w:cs="Arial" w:eastAsia="Arial" w:hAnsi="Arial"/>
          <w:sz w:val="15"/>
          <w:szCs w:val="15"/>
          <w:color w:val="auto"/>
        </w:rPr>
        <w:t>requirements, certain of our lenders may revise the terms of our borrowing facilities or margin financing arrangements, reduce the amount of financing they provide, or cease providing us financing, each of which could have a material adverse effect on our business, financial condition, results of operations and cash flows.</w:t>
      </w:r>
    </w:p>
    <w:p>
      <w:pPr>
        <w:spacing w:after="0" w:line="170" w:lineRule="exact"/>
        <w:rPr>
          <w:sz w:val="20"/>
          <w:szCs w:val="20"/>
          <w:color w:val="auto"/>
        </w:rPr>
      </w:pPr>
    </w:p>
    <w:p>
      <w:pPr>
        <w:spacing w:after="0" w:line="138" w:lineRule="exact"/>
        <w:rPr>
          <w:sz w:val="20"/>
          <w:szCs w:val="20"/>
          <w:color w:val="auto"/>
        </w:rPr>
      </w:pPr>
      <w:r>
        <w:rPr>
          <w:rFonts w:ascii="Arial" w:cs="Arial" w:eastAsia="Arial" w:hAnsi="Arial"/>
          <w:sz w:val="12"/>
          <w:szCs w:val="12"/>
          <w:b w:val="1"/>
          <w:bCs w:val="1"/>
          <w:i w:val="1"/>
          <w:iCs w:val="1"/>
          <w:color w:val="auto"/>
        </w:rPr>
        <w:t>Non</w:t>
      </w:r>
      <w:r>
        <w:rPr>
          <w:rFonts w:ascii="MS PGothic" w:cs="MS PGothic" w:eastAsia="MS PGothic" w:hAnsi="MS PGothic"/>
          <w:sz w:val="12"/>
          <w:szCs w:val="12"/>
          <w:b w:val="1"/>
          <w:bCs w:val="1"/>
          <w:i w:val="1"/>
          <w:iCs w:val="1"/>
          <w:color w:val="auto"/>
        </w:rPr>
        <w:t>‑</w:t>
      </w:r>
      <w:r>
        <w:rPr>
          <w:rFonts w:ascii="Arial" w:cs="Arial" w:eastAsia="Arial" w:hAnsi="Arial"/>
          <w:sz w:val="12"/>
          <w:szCs w:val="12"/>
          <w:b w:val="1"/>
          <w:bCs w:val="1"/>
          <w:i w:val="1"/>
          <w:iCs w:val="1"/>
          <w:color w:val="auto"/>
        </w:rPr>
        <w:t>compliance with applicable laws or regulatory requirements could subject us to sanctions and could negatively impact our reputation, prospects, revenues and earnings.</w:t>
      </w:r>
    </w:p>
    <w:p>
      <w:pPr>
        <w:spacing w:after="0" w:line="265" w:lineRule="exact"/>
        <w:rPr>
          <w:sz w:val="20"/>
          <w:szCs w:val="20"/>
          <w:color w:val="auto"/>
        </w:rPr>
      </w:pPr>
    </w:p>
    <w:p>
      <w:pPr>
        <w:ind w:firstLine="568"/>
        <w:spacing w:after="0" w:line="266" w:lineRule="auto"/>
        <w:rPr>
          <w:sz w:val="20"/>
          <w:szCs w:val="20"/>
          <w:color w:val="auto"/>
        </w:rPr>
      </w:pPr>
      <w:r>
        <w:rPr>
          <w:rFonts w:ascii="Arial" w:cs="Arial" w:eastAsia="Arial" w:hAnsi="Arial"/>
          <w:sz w:val="15"/>
          <w:szCs w:val="15"/>
          <w:color w:val="auto"/>
        </w:rPr>
        <w:t>Our subsidiaries are subject to regulations in the U.S., and our foreign subsidiaries are subject to regulations abroad, in each case covering all aspects of their business. Regulatory bodies that exercise or may exercise authority over us include, without limitation, in the U.S., the SEC, FINRA, the Chicago Mercantile Exchange, the Intercontinental Exchange, the CFTC, the NFA Exchanges and the various state securities regulators; in the European Union, the European Securities and Markets Authority (“ESMA”); in Ireland, the CBI; in Switzerland, the Swiss Financial Market Supervisory Authority; in France, the Autorité des Marchés Financiers (“AMF”); in the United Kingdom, the FCA; in Hong Kong, the SFC; in Australia, the ASIC; in Canada, the IIROC and various Canadian provincial securities commissions; in Singapore, the MAS and the Singapore Exchange; and in Japan, the Financial Services Agency and the Japan Securities Dealers Association. Our mode of operation and profitability may be directly affected by additional legislation and changes in rules promulgated by various domestic and foreign government agencies and SROs that oversee our businesses, as well as by changes in the interpretation or enforcement of existing laws and rules, including the potential imposition of additional capital and margin requirements and/or transaction taxes. While we endeavor to deliver required annual filings in all jurisdictions in a timely manner, we cannot guarantee that we will meet every applicable filing deadline globally. Noncompliance with applicable laws or regulations could result in sanctions being levied against us, including fines, penalties, judgments, disgorgement, restitution and censures, suspension or expulsion from a certain jurisdiction, SRO or market or the revocation or limitation of licenses. Noncompliance with applicable laws or regulations could also negatively impact our reputation, prospects, revenues and earnings. In addition, changes in current laws or regulations or in governmental policies could negatively impact our operations, revenues and earnings.</w:t>
      </w:r>
    </w:p>
    <w:p>
      <w:pPr>
        <w:spacing w:after="0" w:line="190" w:lineRule="exact"/>
        <w:rPr>
          <w:sz w:val="20"/>
          <w:szCs w:val="20"/>
          <w:color w:val="auto"/>
        </w:rPr>
      </w:pPr>
    </w:p>
    <w:p>
      <w:pPr>
        <w:ind w:firstLine="568"/>
        <w:spacing w:after="0" w:line="190" w:lineRule="exact"/>
        <w:rPr>
          <w:sz w:val="20"/>
          <w:szCs w:val="20"/>
          <w:color w:val="auto"/>
        </w:rPr>
      </w:pPr>
      <w:r>
        <w:rPr>
          <w:rFonts w:ascii="Arial" w:cs="Arial" w:eastAsia="Arial" w:hAnsi="Arial"/>
          <w:sz w:val="14"/>
          <w:szCs w:val="14"/>
          <w:color w:val="auto"/>
        </w:rPr>
        <w:t>Domestic and foreign stock exchanges, other SROs and state and foreign securities commissions can censure, fine, impose undertakings, issue cease</w:t>
      </w:r>
      <w:r>
        <w:rPr>
          <w:rFonts w:ascii="MS PGothic" w:cs="MS PGothic" w:eastAsia="MS PGothic" w:hAnsi="MS PGothic"/>
          <w:sz w:val="14"/>
          <w:szCs w:val="14"/>
          <w:color w:val="auto"/>
        </w:rPr>
        <w:t>‑</w:t>
      </w:r>
      <w:r>
        <w:rPr>
          <w:rFonts w:ascii="Arial" w:cs="Arial" w:eastAsia="Arial" w:hAnsi="Arial"/>
          <w:sz w:val="14"/>
          <w:szCs w:val="14"/>
          <w:color w:val="auto"/>
        </w:rPr>
        <w:t>and</w:t>
      </w:r>
      <w:r>
        <w:rPr>
          <w:rFonts w:ascii="MS PGothic" w:cs="MS PGothic" w:eastAsia="MS PGothic" w:hAnsi="MS PGothic"/>
          <w:sz w:val="14"/>
          <w:szCs w:val="14"/>
          <w:color w:val="auto"/>
        </w:rPr>
        <w:t>‑</w:t>
      </w:r>
      <w:r>
        <w:rPr>
          <w:rFonts w:ascii="Arial" w:cs="Arial" w:eastAsia="Arial" w:hAnsi="Arial"/>
          <w:sz w:val="14"/>
          <w:szCs w:val="14"/>
          <w:color w:val="auto"/>
        </w:rPr>
        <w:t>desist orders and suspend or expel a broker</w:t>
      </w:r>
      <w:r>
        <w:rPr>
          <w:rFonts w:ascii="MS PGothic" w:cs="MS PGothic" w:eastAsia="MS PGothic" w:hAnsi="MS PGothic"/>
          <w:sz w:val="14"/>
          <w:szCs w:val="14"/>
          <w:color w:val="auto"/>
        </w:rPr>
        <w:t>‑</w:t>
      </w:r>
      <w:r>
        <w:rPr>
          <w:rFonts w:ascii="Arial" w:cs="Arial" w:eastAsia="Arial" w:hAnsi="Arial"/>
          <w:sz w:val="14"/>
          <w:szCs w:val="14"/>
          <w:color w:val="auto"/>
        </w:rPr>
        <w:t>dealer or other market participant or any of its officers or employees. Our ability to comply with all applicable laws and rules is largely dependent on our internal systems to ensure compliance, as well as our ability to attract and retain qualified compliance personnel. We could be subject to disciplinary or other actions in the future due to claimed noncompliance, which could have a material adverse effect on our business, financial condition, results of operations and cash flows. We have been, are currently, and may in the future be, the subject of one or more regulatory or SRO enforcement actions, including but not limited to targeted and routine regulatory inquiries and investigations involving Best Execution, Regulation NMS, Regulation SHO, Regulation SCI, market access rules, capital requirements and other domestic and foreign securities rules and regulations. We and other broker-dealers and trading firms have also been the subject of requests for information and documents from the SEC and other regulators. We have cooperated and complied with these requests for information and documents. Our business or reputation could be negatively impacted if it were determined that disciplinary or other enforcement actions were required. To continue to operate and to expand our services internationally, we will have to comply with the regulatory controls of each country in which we conduct or intend to conduct business, the requirements of which may not be clearly defined. The varying compliance requirements of these different regulatory jurisdictions, which are often unclear, may limit our ability to continue existing international operations and further expand internationally.</w:t>
      </w:r>
    </w:p>
    <w:p>
      <w:pPr>
        <w:spacing w:after="0" w:line="208" w:lineRule="exact"/>
        <w:rPr>
          <w:sz w:val="20"/>
          <w:szCs w:val="20"/>
          <w:color w:val="auto"/>
        </w:rPr>
      </w:pPr>
    </w:p>
    <w:p>
      <w:pPr>
        <w:ind w:right="100" w:firstLine="568"/>
        <w:spacing w:after="0" w:line="192" w:lineRule="exact"/>
        <w:rPr>
          <w:sz w:val="20"/>
          <w:szCs w:val="20"/>
          <w:color w:val="auto"/>
        </w:rPr>
      </w:pPr>
      <w:r>
        <w:rPr>
          <w:rFonts w:ascii="Arial" w:cs="Arial" w:eastAsia="Arial" w:hAnsi="Arial"/>
          <w:sz w:val="14"/>
          <w:szCs w:val="14"/>
          <w:color w:val="auto"/>
        </w:rPr>
        <w:t>Certain of our subsidiaries are subject to regulatory capital rules of the SEC, FINRA, other SROs and foreign regulators. These rules, which specify minimum capital requirements for our regulated subsidiaries, are designed to measure the general financial integrity and liquidity of a broker</w:t>
      </w:r>
      <w:r>
        <w:rPr>
          <w:rFonts w:ascii="MS PGothic" w:cs="MS PGothic" w:eastAsia="MS PGothic" w:hAnsi="MS PGothic"/>
          <w:sz w:val="14"/>
          <w:szCs w:val="14"/>
          <w:color w:val="auto"/>
        </w:rPr>
        <w:t>‑</w:t>
      </w:r>
      <w:r>
        <w:rPr>
          <w:rFonts w:ascii="Arial" w:cs="Arial" w:eastAsia="Arial" w:hAnsi="Arial"/>
          <w:sz w:val="14"/>
          <w:szCs w:val="14"/>
          <w:color w:val="auto"/>
        </w:rPr>
        <w:t>dealer and require that at least a minimum part of its assets be kept in relatively liquid form. In general, net capital is defined as net worth (assets minus liabilities), plus qualifying subordinated borrowings, less certain mandatory deductions that result from, among other things, excluding assets that are not readily convertible into cash and from valuing conservatively certain other assets. Among these deductions are adjustments, commonly called haircuts, which reflect the possibility of a decline in the market value of an asset before disposition, and non</w:t>
      </w:r>
      <w:r>
        <w:rPr>
          <w:rFonts w:ascii="MS PGothic" w:cs="MS PGothic" w:eastAsia="MS PGothic" w:hAnsi="MS PGothic"/>
          <w:sz w:val="14"/>
          <w:szCs w:val="14"/>
          <w:color w:val="auto"/>
        </w:rPr>
        <w:t>‑</w:t>
      </w:r>
      <w:r>
        <w:rPr>
          <w:rFonts w:ascii="Arial" w:cs="Arial" w:eastAsia="Arial" w:hAnsi="Arial"/>
          <w:sz w:val="14"/>
          <w:szCs w:val="14"/>
          <w:color w:val="auto"/>
        </w:rPr>
        <w:t>allowable assets.</w:t>
      </w:r>
    </w:p>
    <w:p>
      <w:pPr>
        <w:spacing w:after="0" w:line="204" w:lineRule="exact"/>
        <w:rPr>
          <w:sz w:val="20"/>
          <w:szCs w:val="20"/>
          <w:color w:val="auto"/>
        </w:rPr>
      </w:pPr>
    </w:p>
    <w:p>
      <w:pPr>
        <w:ind w:right="160" w:firstLine="568"/>
        <w:spacing w:after="0" w:line="251" w:lineRule="auto"/>
        <w:rPr>
          <w:sz w:val="20"/>
          <w:szCs w:val="20"/>
          <w:color w:val="auto"/>
        </w:rPr>
      </w:pPr>
      <w:r>
        <w:rPr>
          <w:rFonts w:ascii="Arial" w:cs="Arial" w:eastAsia="Arial" w:hAnsi="Arial"/>
          <w:sz w:val="16"/>
          <w:szCs w:val="16"/>
          <w:color w:val="auto"/>
        </w:rPr>
        <w:t>Failure to maintain the required minimum capital may subject our regulated subsidiaries to a fine, requirement to cease conducting business, suspension, revocation of registration or expulsion by the applicable regulatory authorities, reputational harm and ultimately could require the relevant entity’s liquidation. Events relating to capital adequacy could give rise to regulatory actions that could limit business expansion or require business reduction. SEC and SRO net capital rules prohibit payments of dividends, redemptions of stock, prepayments of subordinated indebtedness and the making of any unsecured advances or loans to a stockholder, employee or affiliate, in certain circumstances, including if such payment would reduce the firm’s net capital below required levels. Similar issues and risks arise in connection with the capital adequacy requirements of foreign regulators.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790" w:right="339" w:bottom="1440" w:gutter="0" w:footer="0" w:header="0"/>
        </w:sectPr>
      </w:pPr>
    </w:p>
    <w:bookmarkStart w:id="29" w:name="page30"/>
    <w:bookmarkEnd w:id="29"/>
    <w:p>
      <w:pPr>
        <w:ind w:firstLine="568"/>
        <w:spacing w:after="0" w:line="192" w:lineRule="exact"/>
        <w:rPr>
          <w:sz w:val="20"/>
          <w:szCs w:val="20"/>
          <w:color w:val="auto"/>
        </w:rPr>
      </w:pPr>
      <w:r>
        <w:rPr>
          <w:rFonts w:ascii="Arial" w:cs="Arial" w:eastAsia="Arial" w:hAnsi="Arial"/>
          <w:sz w:val="14"/>
          <w:szCs w:val="14"/>
          <w:color w:val="auto"/>
        </w:rPr>
        <w:t>A change in the net capital rules, the imposition of new rules or any unusually large charges against net capital could limit our operations that require the intensive use of capital and also could restrict our ability to withdraw capital from our broker</w:t>
      </w:r>
      <w:r>
        <w:rPr>
          <w:rFonts w:ascii="MS PGothic" w:cs="MS PGothic" w:eastAsia="MS PGothic" w:hAnsi="MS PGothic"/>
          <w:sz w:val="14"/>
          <w:szCs w:val="14"/>
          <w:color w:val="auto"/>
        </w:rPr>
        <w:t>‑</w:t>
      </w:r>
      <w:r>
        <w:rPr>
          <w:rFonts w:ascii="Arial" w:cs="Arial" w:eastAsia="Arial" w:hAnsi="Arial"/>
          <w:sz w:val="14"/>
          <w:szCs w:val="14"/>
          <w:color w:val="auto"/>
        </w:rPr>
        <w:t>dealer subsidiaries. A significant operating loss or any unusually large charge against net capital could negatively impact our ability to expand or even maintain our present levels of business. Similar issues and risks arise in connection with the capital adequacy requirements of foreign regulators. Any of these results could have a material adverse effect on our business, financial condition, results of operations and cash flows.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risks relating to litigation and potential securities law liability.</w:t>
      </w:r>
    </w:p>
    <w:p>
      <w:pPr>
        <w:spacing w:after="0" w:line="219" w:lineRule="exact"/>
        <w:rPr>
          <w:sz w:val="20"/>
          <w:szCs w:val="20"/>
          <w:color w:val="auto"/>
        </w:rPr>
      </w:pPr>
    </w:p>
    <w:p>
      <w:pPr>
        <w:ind w:firstLine="568"/>
        <w:spacing w:after="0" w:line="290" w:lineRule="auto"/>
        <w:rPr>
          <w:sz w:val="20"/>
          <w:szCs w:val="20"/>
          <w:color w:val="auto"/>
        </w:rPr>
      </w:pPr>
      <w:r>
        <w:rPr>
          <w:rFonts w:ascii="Arial" w:cs="Arial" w:eastAsia="Arial" w:hAnsi="Arial"/>
          <w:sz w:val="14"/>
          <w:szCs w:val="14"/>
          <w:color w:val="auto"/>
        </w:rPr>
        <w:t>We are exposed to substantial risks of liability under federal and state securities laws and other federal and state laws and court decisions, as well as rules and regulations promulgated by the SEC, the CFTC, state securities regulators, SROs and foreign regulatory agencies. These risks may be enhanced by recent scrutiny of electronic trading and market structure from regulators, lawmakers and the financial news media. We are also subject to the risk of litigation and claims that may be without merit. At present and from time to time, we, our past and present officers, directors and employees are and may be named in legal actions, regulatory investigations and proceedings, arbitrations and administrative claims and may be subject to claims alleging the violations of laws, rules and regulations, some of which may ultimately result in the payment of fines, awards, judgments and settlements. We could incur significant legal expenses in defending ourselves against and resolving lawsuits or claims even if we believe them to be meritless. An adverse resolution of any current or future lawsuits or claims against us could result in a negative perception of our Company and cause the market price of our common stock to decline or otherwise have a material adverse effect on our business, financial condition, results of operations and cash flows.</w:t>
      </w:r>
    </w:p>
    <w:p>
      <w:pPr>
        <w:spacing w:after="0" w:line="172" w:lineRule="exact"/>
        <w:rPr>
          <w:sz w:val="20"/>
          <w:szCs w:val="20"/>
          <w:color w:val="auto"/>
        </w:rPr>
      </w:pPr>
    </w:p>
    <w:p>
      <w:pPr>
        <w:ind w:right="120"/>
        <w:spacing w:after="0" w:line="268" w:lineRule="auto"/>
        <w:rPr>
          <w:sz w:val="20"/>
          <w:szCs w:val="20"/>
          <w:color w:val="auto"/>
        </w:rPr>
      </w:pPr>
      <w:r>
        <w:rPr>
          <w:rFonts w:ascii="Arial" w:cs="Arial" w:eastAsia="Arial" w:hAnsi="Arial"/>
          <w:sz w:val="16"/>
          <w:szCs w:val="16"/>
          <w:b w:val="1"/>
          <w:bCs w:val="1"/>
          <w:i w:val="1"/>
          <w:iCs w:val="1"/>
          <w:color w:val="auto"/>
        </w:rPr>
        <w:t>Proposed legislation in the European Union, the U.S. and other jurisdictions that would impose taxes on certain financial transactions could have a material adverse effect on our business and financial results.</w:t>
      </w:r>
    </w:p>
    <w:p>
      <w:pPr>
        <w:spacing w:after="0" w:line="181" w:lineRule="exact"/>
        <w:rPr>
          <w:sz w:val="20"/>
          <w:szCs w:val="20"/>
          <w:color w:val="auto"/>
        </w:rPr>
      </w:pPr>
    </w:p>
    <w:p>
      <w:pPr>
        <w:ind w:right="20" w:firstLine="568"/>
        <w:spacing w:after="0" w:line="268" w:lineRule="auto"/>
        <w:rPr>
          <w:sz w:val="20"/>
          <w:szCs w:val="20"/>
          <w:color w:val="auto"/>
        </w:rPr>
      </w:pPr>
      <w:r>
        <w:rPr>
          <w:rFonts w:ascii="Arial" w:cs="Arial" w:eastAsia="Arial" w:hAnsi="Arial"/>
          <w:sz w:val="15"/>
          <w:szCs w:val="15"/>
          <w:color w:val="auto"/>
        </w:rPr>
        <w:t>On September 28, 2011, the former president of the European Commission officially presented a plan to create a new financial transactions tax which in February 2013 was formally presented for consideration by the European Commission under an enhanced cooperation procedure among 11 European Union Member States (Belgium, Germany, Estonia, Greece, Spain, France, Italy, Austria, Portugal, Slovenia and Slovakia) for the purposes of a financial transaction tax among those Member States (the “EU Financial Transaction Tax”). The EU Financial Transaction Tax was initially intended to be implemented within those 11 European Union Member States in January 2014. In 2016, Estonia, one of the original members, withdrew its support for the proposal. As of December 31, 2021 such tax has not yet been implemented. On October 15, 2020, the Spanish Government published Law 5/2020 on the Spanish Financial Transaction Tax (“Spanish FTT”). The Spanish FTT constitutes a new tax to be applied to acquisitions of equity shares in Spanish companies having a market capitalization greater than EUR1bn (as of 1st December the previous year), that are admitted to trading on a Spanish market or a market based in another E.U. member state. The Spanish FTT was applied to transactions from trade date of January 14, 2020, although it does contain certain exemptions, including in relation to market making activity.</w:t>
      </w:r>
    </w:p>
    <w:p>
      <w:pPr>
        <w:spacing w:after="0" w:line="184" w:lineRule="exact"/>
        <w:rPr>
          <w:sz w:val="20"/>
          <w:szCs w:val="20"/>
          <w:color w:val="auto"/>
        </w:rPr>
      </w:pPr>
    </w:p>
    <w:p>
      <w:pPr>
        <w:ind w:right="80" w:firstLine="568"/>
        <w:spacing w:after="0" w:line="269" w:lineRule="auto"/>
        <w:rPr>
          <w:sz w:val="20"/>
          <w:szCs w:val="20"/>
          <w:color w:val="auto"/>
        </w:rPr>
      </w:pPr>
      <w:r>
        <w:rPr>
          <w:rFonts w:ascii="Arial" w:cs="Arial" w:eastAsia="Arial" w:hAnsi="Arial"/>
          <w:sz w:val="15"/>
          <w:szCs w:val="15"/>
          <w:color w:val="auto"/>
        </w:rPr>
        <w:t>In 2013, U.S. Representative Peter DeFazio and former Senator Thomas Harkin introduced proposed legislation, a bill entitled the “Wall Street Trading and Speculators Tax Act,” which would have, subject to certain exceptions, imposed an excise tax on the purchase of a security, including equities, bonds, debentures, other debt and interests in derivative financial instruments, if the purchase occurred or was cleared on a trading facility in the U.S. and the purchaser or seller is a U.S. person. More recently, in late 2018 and 2019 U.S. legislators, including U.S. Senators Kirsten Gillibrand and Brian Schatz, have announced proposals or plans that include a financial transaction fee. President Biden's win in the 2020 U.S. Presidential election and the Democratic majorities in Congress may lead to additional proposals or plans. At the state level recently, the state of New Jersey has considered a bill in the state legislature providing for a financial transaction tax on trades processed on any server located in New Jersey, with other states, including New York, discussing similar measures. Discussions in New York have included a proposed bill which would reestablish a stock transfer tax by repealing a rebate previously implemented and applied to such tax since 1981.</w:t>
      </w:r>
    </w:p>
    <w:p>
      <w:pPr>
        <w:spacing w:after="0" w:line="182" w:lineRule="exact"/>
        <w:rPr>
          <w:sz w:val="20"/>
          <w:szCs w:val="20"/>
          <w:color w:val="auto"/>
        </w:rPr>
      </w:pPr>
    </w:p>
    <w:p>
      <w:pPr>
        <w:ind w:right="20" w:firstLine="568"/>
        <w:spacing w:after="0" w:line="250" w:lineRule="auto"/>
        <w:rPr>
          <w:sz w:val="20"/>
          <w:szCs w:val="20"/>
          <w:color w:val="auto"/>
        </w:rPr>
      </w:pPr>
      <w:r>
        <w:rPr>
          <w:rFonts w:ascii="Arial" w:cs="Arial" w:eastAsia="Arial" w:hAnsi="Arial"/>
          <w:sz w:val="16"/>
          <w:szCs w:val="16"/>
          <w:color w:val="auto"/>
        </w:rPr>
        <w:t>These proposed transaction taxes would apply to certain aspects of our business and transactions in which we are involved. Any such tax would increase our cost of doing business to the extent that (i) the tax is regularly applicable to transactions in the markets in which we operate, (ii) the tax does not include exceptions for market makers or market making activities that is broad enough to cover our activities or (iii) we are unable to widen our bid/ask spreads in the markets in which such a tax would be applicable to compensate for its imposition. Furthermore, the proposed taxes may reduce or negatively impact trading volume and transactions on which we are dependent for revenues. While it is difficult to assess the impact the proposed taxes could have on us, if either transaction tax is implemented or any similar tax is implemented in any other jurisdiction in which we operate, our business, financial condition, results of operations and cash flows could suffer a material adverse effect, and could be impacted to a greater degree than other market participants.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30" w:name="page31"/>
    <w:bookmarkEnd w:id="30"/>
    <w:p>
      <w:pPr>
        <w:ind w:right="680"/>
        <w:spacing w:after="0" w:line="268" w:lineRule="auto"/>
        <w:rPr>
          <w:sz w:val="20"/>
          <w:szCs w:val="20"/>
          <w:color w:val="auto"/>
        </w:rPr>
      </w:pPr>
      <w:r>
        <w:rPr>
          <w:rFonts w:ascii="Arial" w:cs="Arial" w:eastAsia="Arial" w:hAnsi="Arial"/>
          <w:sz w:val="16"/>
          <w:szCs w:val="16"/>
          <w:b w:val="1"/>
          <w:bCs w:val="1"/>
          <w:i w:val="1"/>
          <w:iCs w:val="1"/>
          <w:color w:val="auto"/>
        </w:rPr>
        <w:t>We are exposed to risks associated with our international operations and expansion and failure to comply with laws and regulations applicable to our international operations may increase costs, reduce profits, limit growth or subject us to liability.</w:t>
      </w:r>
    </w:p>
    <w:p>
      <w:pPr>
        <w:spacing w:after="0" w:line="181" w:lineRule="exact"/>
        <w:rPr>
          <w:sz w:val="20"/>
          <w:szCs w:val="20"/>
          <w:color w:val="auto"/>
        </w:rPr>
      </w:pPr>
    </w:p>
    <w:p>
      <w:pPr>
        <w:ind w:right="80" w:firstLine="568"/>
        <w:spacing w:after="0" w:line="191" w:lineRule="exact"/>
        <w:rPr>
          <w:sz w:val="20"/>
          <w:szCs w:val="20"/>
          <w:color w:val="auto"/>
        </w:rPr>
      </w:pPr>
      <w:r>
        <w:rPr>
          <w:rFonts w:ascii="Arial" w:cs="Arial" w:eastAsia="Arial" w:hAnsi="Arial"/>
          <w:sz w:val="14"/>
          <w:szCs w:val="14"/>
          <w:color w:val="auto"/>
        </w:rPr>
        <w:t>We are exposed to risks and uncertainties inherent in doing business in international markets, particularly in the heavily regulated broker</w:t>
      </w:r>
      <w:r>
        <w:rPr>
          <w:rFonts w:ascii="MS PGothic" w:cs="MS PGothic" w:eastAsia="MS PGothic" w:hAnsi="MS PGothic"/>
          <w:sz w:val="14"/>
          <w:szCs w:val="14"/>
          <w:color w:val="auto"/>
        </w:rPr>
        <w:t>‑</w:t>
      </w:r>
      <w:r>
        <w:rPr>
          <w:rFonts w:ascii="Arial" w:cs="Arial" w:eastAsia="Arial" w:hAnsi="Arial"/>
          <w:sz w:val="14"/>
          <w:szCs w:val="14"/>
          <w:color w:val="auto"/>
        </w:rPr>
        <w:t>dealer industry. Such risks and uncertainties include political, economic and financial instability, unexpected changes in regulatory requirements, tariffs and other trade barriers, exchange rate fluctuations, applicable currency controls, the imposition of restrictions on currency conversion or the transfer of funds, limitations on our ability to repatriate non</w:t>
      </w:r>
      <w:r>
        <w:rPr>
          <w:rFonts w:ascii="MS PGothic" w:cs="MS PGothic" w:eastAsia="MS PGothic" w:hAnsi="MS PGothic"/>
          <w:sz w:val="14"/>
          <w:szCs w:val="14"/>
          <w:color w:val="auto"/>
        </w:rPr>
        <w:t>‑</w:t>
      </w:r>
      <w:r>
        <w:rPr>
          <w:rFonts w:ascii="Arial" w:cs="Arial" w:eastAsia="Arial" w:hAnsi="Arial"/>
          <w:sz w:val="14"/>
          <w:szCs w:val="14"/>
          <w:color w:val="auto"/>
        </w:rPr>
        <w:t>U.S. earnings in a tax efficient manner and difficulties in staffing and managing foreign operations, including reliance on local experts. Such restrictions generally include those by imposed by the Foreign Corrupt Practices Act (the “FCPA”) and trade sanctions administered by the Office of Foreign Assets Control (“OFAC”). The FCPA is intended to prohibit bribery of foreign officials and requires companies whose securities are listed in the U.S. to keep books and records that accurately and fairly reflect those companies’ transactions and to devise and maintain an adequate system of internal accounting controls. OFAC administers and enforces economic and trade sanctions based on U.S. foreign policy and national security goals against designated foreign states, organizations and individuals. Though we have policies in place designed to comply with applicable OFAC sanctions, rules and regulations as well as the FCPA and equivalent laws and rules of other jurisdictions, if we fail to comply with these laws and regulations, we could be exposed to claims for damages, financial penalties, reputational harm, incarceration of employees and restrictions on our operations and cash flows.</w:t>
      </w:r>
    </w:p>
    <w:p>
      <w:pPr>
        <w:spacing w:after="0" w:line="202" w:lineRule="exact"/>
        <w:rPr>
          <w:sz w:val="20"/>
          <w:szCs w:val="20"/>
          <w:color w:val="auto"/>
        </w:rPr>
      </w:pPr>
    </w:p>
    <w:p>
      <w:pPr>
        <w:jc w:val="both"/>
        <w:ind w:right="80" w:firstLine="568"/>
        <w:spacing w:after="0" w:line="257" w:lineRule="auto"/>
        <w:rPr>
          <w:sz w:val="20"/>
          <w:szCs w:val="20"/>
          <w:color w:val="auto"/>
        </w:rPr>
      </w:pPr>
      <w:r>
        <w:rPr>
          <w:rFonts w:ascii="Arial" w:cs="Arial" w:eastAsia="Arial" w:hAnsi="Arial"/>
          <w:sz w:val="16"/>
          <w:szCs w:val="16"/>
          <w:color w:val="auto"/>
        </w:rPr>
        <w:t>In addition, the varying compliance requirements of these different regulatory jurisdictions and other factors may limit our ability to successfully conduct or expand our business internationally and may increase our costs of investment. Expansion into international locations involves substantial operational and execution risk. We may not be able to manage these costs or risks effectively.</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Brexit continues to pose a risk of negatively impacting the global economy, financial markets and our business.</w:t>
      </w:r>
    </w:p>
    <w:p>
      <w:pPr>
        <w:spacing w:after="0" w:line="207" w:lineRule="exact"/>
        <w:rPr>
          <w:sz w:val="20"/>
          <w:szCs w:val="20"/>
          <w:color w:val="auto"/>
        </w:rPr>
      </w:pPr>
    </w:p>
    <w:p>
      <w:pPr>
        <w:ind w:firstLine="568"/>
        <w:spacing w:after="0" w:line="251" w:lineRule="auto"/>
        <w:rPr>
          <w:sz w:val="20"/>
          <w:szCs w:val="20"/>
          <w:color w:val="auto"/>
        </w:rPr>
      </w:pPr>
      <w:r>
        <w:rPr>
          <w:rFonts w:ascii="Arial" w:cs="Arial" w:eastAsia="Arial" w:hAnsi="Arial"/>
          <w:sz w:val="14"/>
          <w:szCs w:val="14"/>
          <w:color w:val="auto"/>
        </w:rPr>
        <w:t>In June 2016, UK voters approved a referendum to withdraw the UK's membership from the EU, which is commonly referred to as “Brexit”. In March 2017, the UK government initiated the exit process under Article 50 of the Treaty of the European Union, commencing a period of up to two years for the UK and the other EU member states to negotiate the terms of the withdrawal, such period ending on March 29, 2019 unless extended. Following extensions to that period, a Withdrawal Agreement and Political Declaration were reached between the U.K. and the E.U. On January 23, 2020, the European Union (Withdrawal Agreement) Act 2020 received Royal Assent in the U.K., and on January 31, 2020 the U.K. left the E.U. pursuant to the terms of the Withdrawal Agreement. The U.K. and E.U. then entered into a transition period during which rules on trade, travel, and business for the U.K. and E.U. continued to apply. The transition period came to an end as of January 1, 2021, at which point U.K. investment firms which had previously used passporting permissions under MiFID II to provide services to clients in the E.U., ceased to subject to the E.U.'s MiFID II regime. Virtu accesses the E.U. markets primarily through our Irish regulated subsidiaries via MiFID II passporting permissions and accesses the U.K. market primarily via a combination of U.K. based subsidiaries and branch offices. The U.K. branch offices of VIEL and VFIL currently utilize the U.K. FCA’s Temporary Permission Regime and are therefore deemed to be authorized and regulated by the FCA. The Temporary Permissions Regime is due to come to an end at the end of 2022. During the course of 2022, VIEL and VFIL will go through an authorization process with the FCA to secure the appropriate authorizations under the prevailing U.K. regulatory framework to ensure the long-term operational footprint of VIEL and VFIL’s branches in the U.K.. The U.K. subsidiary, VIUK, is an investment firm authorized and regulated by the FCA with permission to operate a U.K. MTF. Poor future relations between the U.K. and E.U., however, could adversely affect European or worldwide political, fiscal, regulatory, economic or market conditions and could contribute to instability in global political institutions, regulatory agencies and financial markets. Disruptions and uncertainty caused by these events may also cause our clients to closely monitor their costs and reduce their spending budget on our services. Any of these effects of the U.K.’s departure from the E.U., and others we cannot anticipate or that may evolve over time, could adversely affect our business, results of operations and financial condition.</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 connection with our historical acquisitions, the Company is subject to potential liabilities that could materially and adversely affect our business.</w:t>
      </w:r>
    </w:p>
    <w:p>
      <w:pPr>
        <w:spacing w:after="0" w:line="207" w:lineRule="exact"/>
        <w:rPr>
          <w:sz w:val="20"/>
          <w:szCs w:val="20"/>
          <w:color w:val="auto"/>
        </w:rPr>
      </w:pPr>
    </w:p>
    <w:p>
      <w:pPr>
        <w:ind w:right="60"/>
        <w:spacing w:after="0" w:line="225" w:lineRule="auto"/>
        <w:rPr>
          <w:sz w:val="20"/>
          <w:szCs w:val="20"/>
          <w:color w:val="auto"/>
        </w:rPr>
      </w:pPr>
      <w:r>
        <w:rPr>
          <w:rFonts w:ascii="Arial" w:cs="Arial" w:eastAsia="Arial" w:hAnsi="Arial"/>
          <w:sz w:val="16"/>
          <w:szCs w:val="16"/>
          <w:color w:val="auto"/>
        </w:rPr>
        <w:t>In connection with the Acquisition of KCG and ITG Acquisition, we assumed potential liabilities, indemnification obligations, and other risks relating to KCG's and ITG’s business, including but not limited to those liabilities and risks arising from or related to pending, threatened or potential litigation or regulatory matters. In some instances, these matters may ultimately result in a disciplinary action and/or a civil or administrative action, penalties, fines, judgments, censures and settlements. To the extent we have not identified such liabilities or miscalculated their potential financial impact, these liabilities could have a material adverse effect on our business, prospects, results of operations, financial condition and/or cash flows.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31" w:name="page32"/>
    <w:bookmarkEnd w:id="31"/>
    <w:p>
      <w:pPr>
        <w:ind w:left="5"/>
        <w:spacing w:after="0"/>
        <w:rPr>
          <w:sz w:val="20"/>
          <w:szCs w:val="20"/>
          <w:color w:val="auto"/>
        </w:rPr>
      </w:pPr>
      <w:r>
        <w:rPr>
          <w:rFonts w:ascii="Arial" w:cs="Arial" w:eastAsia="Arial" w:hAnsi="Arial"/>
          <w:sz w:val="16"/>
          <w:szCs w:val="16"/>
          <w:b w:val="1"/>
          <w:bCs w:val="1"/>
          <w:color w:val="auto"/>
        </w:rPr>
        <w:t>Risks Related to Our Organization and Structure</w:t>
      </w:r>
    </w:p>
    <w:p>
      <w:pPr>
        <w:spacing w:after="0" w:line="223" w:lineRule="exact"/>
        <w:rPr>
          <w:sz w:val="20"/>
          <w:szCs w:val="20"/>
          <w:color w:val="auto"/>
        </w:rPr>
      </w:pPr>
    </w:p>
    <w:p>
      <w:pPr>
        <w:ind w:left="5" w:right="520"/>
        <w:spacing w:after="0" w:line="268" w:lineRule="auto"/>
        <w:rPr>
          <w:sz w:val="20"/>
          <w:szCs w:val="20"/>
          <w:color w:val="auto"/>
        </w:rPr>
      </w:pPr>
      <w:r>
        <w:rPr>
          <w:rFonts w:ascii="Arial" w:cs="Arial" w:eastAsia="Arial" w:hAnsi="Arial"/>
          <w:sz w:val="16"/>
          <w:szCs w:val="16"/>
          <w:b w:val="1"/>
          <w:bCs w:val="1"/>
          <w:i w:val="1"/>
          <w:iCs w:val="1"/>
          <w:color w:val="auto"/>
        </w:rPr>
        <w:t>We are a holding company and our principal asset is our 62.7% of equity interest in Virtu Financial, and we are accordingly dependent upon distributions from Virtu Financial to pay dividends, if any, taxes and other expenses.</w:t>
      </w:r>
    </w:p>
    <w:p>
      <w:pPr>
        <w:spacing w:after="0" w:line="181" w:lineRule="exact"/>
        <w:rPr>
          <w:sz w:val="20"/>
          <w:szCs w:val="20"/>
          <w:color w:val="auto"/>
        </w:rPr>
      </w:pPr>
    </w:p>
    <w:p>
      <w:pPr>
        <w:ind w:left="5" w:firstLine="568"/>
        <w:spacing w:after="0" w:line="290" w:lineRule="auto"/>
        <w:rPr>
          <w:sz w:val="20"/>
          <w:szCs w:val="20"/>
          <w:color w:val="auto"/>
        </w:rPr>
      </w:pPr>
      <w:r>
        <w:rPr>
          <w:rFonts w:ascii="Arial" w:cs="Arial" w:eastAsia="Arial" w:hAnsi="Arial"/>
          <w:sz w:val="14"/>
          <w:szCs w:val="14"/>
          <w:color w:val="auto"/>
        </w:rPr>
        <w:t>We are a holding company and our principal asset is our direct and indirect ownership of 62.7% of the Virtu Financial Units as of December 31, 2021. We have no independent means of generating revenue. As the sole managing member of Virtu Financial, we cause Virtu Financial to make distributions to its equity holders, including the Founder Post-IPO Member, Virtu Employee Holdco, certain current and former members of management of the Company and their affiliates (the “Management Members”) and us, in amounts sufficient to fund dividends to our stockholders in accordance with our dividend policy and, as further described below, to cover all applicable taxes payable by us and any payments we are obligated to make under the tax receivable agreements we entered into as part of the Reorganization Transactions, but we are limited in our ability to cause Virtu Financial to make these and other distributions to us (including for purposes of paying corporate and other overhead expenses and dividends) under our Credit Agreement governing our First Lien Term Loan Facility (as defined below). In addition, certain laws and regulations may result in restrictions on Virtu Financial’s ability to make distributions to its equity holders (including us), or the ability of its subsidiaries to make distributions to it. These include:</w:t>
      </w:r>
    </w:p>
    <w:p>
      <w:pPr>
        <w:spacing w:after="0" w:line="172" w:lineRule="exact"/>
        <w:rPr>
          <w:sz w:val="20"/>
          <w:szCs w:val="20"/>
          <w:color w:val="auto"/>
        </w:rPr>
      </w:pPr>
    </w:p>
    <w:p>
      <w:pPr>
        <w:ind w:left="845" w:hanging="277"/>
        <w:spacing w:after="0" w:line="161" w:lineRule="exact"/>
        <w:tabs>
          <w:tab w:leader="none" w:pos="845"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SEC Uniform Net Capital Rule (Rule 15c3</w:t>
      </w:r>
      <w:r>
        <w:rPr>
          <w:rFonts w:ascii="MS PGothic" w:cs="MS PGothic" w:eastAsia="MS PGothic" w:hAnsi="MS PGothic"/>
          <w:sz w:val="14"/>
          <w:szCs w:val="14"/>
          <w:color w:val="auto"/>
        </w:rPr>
        <w:t>‑</w:t>
      </w:r>
      <w:r>
        <w:rPr>
          <w:rFonts w:ascii="Arial" w:cs="Arial" w:eastAsia="Arial" w:hAnsi="Arial"/>
          <w:sz w:val="14"/>
          <w:szCs w:val="14"/>
          <w:color w:val="auto"/>
        </w:rPr>
        <w:t>1), which requires Virtu Financial’s registered broker</w:t>
      </w:r>
      <w:r>
        <w:rPr>
          <w:rFonts w:ascii="MS PGothic" w:cs="MS PGothic" w:eastAsia="MS PGothic" w:hAnsi="MS PGothic"/>
          <w:sz w:val="14"/>
          <w:szCs w:val="14"/>
          <w:color w:val="auto"/>
        </w:rPr>
        <w:t>‑</w:t>
      </w:r>
      <w:r>
        <w:rPr>
          <w:rFonts w:ascii="Arial" w:cs="Arial" w:eastAsia="Arial" w:hAnsi="Arial"/>
          <w:sz w:val="14"/>
          <w:szCs w:val="14"/>
          <w:color w:val="auto"/>
        </w:rPr>
        <w:t>dealer subsidiary to maintain specified levels of net capital;</w:t>
      </w:r>
    </w:p>
    <w:p>
      <w:pPr>
        <w:spacing w:after="0" w:line="39" w:lineRule="exact"/>
        <w:rPr>
          <w:rFonts w:ascii="Arial" w:cs="Arial" w:eastAsia="Arial" w:hAnsi="Arial"/>
          <w:sz w:val="14"/>
          <w:szCs w:val="14"/>
          <w:color w:val="auto"/>
        </w:rPr>
      </w:pPr>
    </w:p>
    <w:p>
      <w:pPr>
        <w:ind w:left="845" w:right="520" w:hanging="277"/>
        <w:spacing w:after="0" w:line="190" w:lineRule="exact"/>
        <w:tabs>
          <w:tab w:leader="none" w:pos="841" w:val="left"/>
        </w:tabs>
        <w:numPr>
          <w:ilvl w:val="0"/>
          <w:numId w:val="19"/>
        </w:numPr>
        <w:rPr>
          <w:rFonts w:ascii="Arial" w:cs="Arial" w:eastAsia="Arial" w:hAnsi="Arial"/>
          <w:sz w:val="16"/>
          <w:szCs w:val="16"/>
          <w:color w:val="auto"/>
        </w:rPr>
      </w:pPr>
      <w:r>
        <w:rPr>
          <w:rFonts w:ascii="Arial" w:cs="Arial" w:eastAsia="Arial" w:hAnsi="Arial"/>
          <w:sz w:val="16"/>
          <w:szCs w:val="16"/>
          <w:color w:val="auto"/>
        </w:rPr>
        <w:t>FINRA Rule 4110, which imposes a requirement of prior FINRA approval for any distribution by Virtu Financial’s FINRA member registered broker</w:t>
      </w:r>
      <w:r>
        <w:rPr>
          <w:rFonts w:ascii="MS PGothic" w:cs="MS PGothic" w:eastAsia="MS PGothic" w:hAnsi="MS PGothic"/>
          <w:sz w:val="16"/>
          <w:szCs w:val="16"/>
          <w:color w:val="auto"/>
        </w:rPr>
        <w:t>‑</w:t>
      </w:r>
      <w:r>
        <w:rPr>
          <w:rFonts w:ascii="Arial" w:cs="Arial" w:eastAsia="Arial" w:hAnsi="Arial"/>
          <w:sz w:val="16"/>
          <w:szCs w:val="16"/>
          <w:color w:val="auto"/>
        </w:rPr>
        <w:t>dealer subsidiary in excess of 10% of its excess net capital; and</w:t>
      </w:r>
    </w:p>
    <w:p>
      <w:pPr>
        <w:ind w:left="845" w:hanging="277"/>
        <w:spacing w:after="0"/>
        <w:tabs>
          <w:tab w:leader="none" w:pos="845"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requirement for prior approval from the CBI before Virtu Financial’s regulated Irish subsidiary completes any distribution or dividend.</w:t>
      </w:r>
    </w:p>
    <w:p>
      <w:pPr>
        <w:spacing w:after="0" w:line="207" w:lineRule="exact"/>
        <w:rPr>
          <w:sz w:val="20"/>
          <w:szCs w:val="20"/>
          <w:color w:val="auto"/>
        </w:rPr>
      </w:pPr>
    </w:p>
    <w:p>
      <w:pPr>
        <w:ind w:left="5" w:right="40" w:firstLine="568"/>
        <w:spacing w:after="0" w:line="257" w:lineRule="auto"/>
        <w:rPr>
          <w:sz w:val="20"/>
          <w:szCs w:val="20"/>
          <w:color w:val="auto"/>
        </w:rPr>
      </w:pPr>
      <w:r>
        <w:rPr>
          <w:rFonts w:ascii="Arial" w:cs="Arial" w:eastAsia="Arial" w:hAnsi="Arial"/>
          <w:sz w:val="16"/>
          <w:szCs w:val="16"/>
          <w:color w:val="auto"/>
        </w:rPr>
        <w:t>To the extent that we need funds and Virtu Financial is restricted from making such distributions to us, under applicable law or regulation, as a result of covenants in our Credit Agreement, we may not be able to obtain such funds on terms acceptable to us or at all and as a result could suffer a material adverse effect on our liquidity and financial condition.</w:t>
      </w:r>
    </w:p>
    <w:p>
      <w:pPr>
        <w:spacing w:after="0" w:line="178" w:lineRule="exact"/>
        <w:rPr>
          <w:sz w:val="20"/>
          <w:szCs w:val="20"/>
          <w:color w:val="auto"/>
        </w:rPr>
      </w:pPr>
    </w:p>
    <w:p>
      <w:pPr>
        <w:ind w:left="5" w:right="80" w:firstLine="568"/>
        <w:spacing w:after="0" w:line="168" w:lineRule="exact"/>
        <w:rPr>
          <w:sz w:val="20"/>
          <w:szCs w:val="20"/>
          <w:color w:val="auto"/>
        </w:rPr>
      </w:pPr>
      <w:r>
        <w:rPr>
          <w:rFonts w:ascii="Arial" w:cs="Arial" w:eastAsia="Arial" w:hAnsi="Arial"/>
          <w:sz w:val="14"/>
          <w:szCs w:val="14"/>
          <w:color w:val="auto"/>
        </w:rPr>
        <w:t>Under the Third Amended and Restated Limited Liability Company Agreement of Virtu Financial (as amended, the “Amended and Restated Virtu Financial LLC Agreement”), Virtu Financial from time to time makes distributions in cash to its equity holders, including the Founder Post</w:t>
      </w:r>
      <w:r>
        <w:rPr>
          <w:rFonts w:ascii="MS PGothic" w:cs="MS PGothic" w:eastAsia="MS PGothic" w:hAnsi="MS PGothic"/>
          <w:sz w:val="14"/>
          <w:szCs w:val="14"/>
          <w:color w:val="auto"/>
        </w:rPr>
        <w:t>‑</w:t>
      </w:r>
      <w:r>
        <w:rPr>
          <w:rFonts w:ascii="Arial" w:cs="Arial" w:eastAsia="Arial" w:hAnsi="Arial"/>
          <w:sz w:val="14"/>
          <w:szCs w:val="14"/>
          <w:color w:val="auto"/>
        </w:rPr>
        <w:t>IPO Member, the trust that holds equity interests in Virtu Financial on behalf of certain employees of ours based outside the United States, which we refer to as the “Employee Trust”, Virtu Employee Holdco and us, in amounts sufficient to cover the taxes on their allocable share of the taxable income of Virtu Financial. These distributions are treated as advances and may be computed based on Virtu Financial’s estimate of the net taxable income of Virtu Financial allocable to each holder of Virtu Financial Units multiplied by an assumed tax rate equal to the highest effective marginal combined U.S. federal, state and local income tax rate prescribed for an individual or corporate resident in New York, New York (taking into account the non-deductibility of certain expenses and the character of our income), or another rate as determined by the Company in its discretion for one or more holders. As a result of</w:t>
      </w:r>
    </w:p>
    <w:p>
      <w:pPr>
        <w:ind w:left="5" w:hanging="5"/>
        <w:spacing w:after="0" w:line="168" w:lineRule="exact"/>
        <w:tabs>
          <w:tab w:leader="none" w:pos="193" w:val="left"/>
        </w:tabs>
        <w:numPr>
          <w:ilvl w:val="0"/>
          <w:numId w:val="20"/>
        </w:numPr>
        <w:rPr>
          <w:rFonts w:ascii="Arial" w:cs="Arial" w:eastAsia="Arial" w:hAnsi="Arial"/>
          <w:sz w:val="15"/>
          <w:szCs w:val="15"/>
          <w:color w:val="auto"/>
        </w:rPr>
      </w:pPr>
      <w:r>
        <w:rPr>
          <w:rFonts w:ascii="Arial" w:cs="Arial" w:eastAsia="Arial" w:hAnsi="Arial"/>
          <w:sz w:val="15"/>
          <w:szCs w:val="15"/>
          <w:color w:val="auto"/>
        </w:rPr>
        <w:t>potential differences in the amount of net taxable income allocable to us and to Virtu Financial’s other equity holders, (ii) the lower tax rate applicable to corporations than individuals, (iii) the favorable tax benefits that we anticipate from (a) the exchange of Virtu Financial Units and corresponding shares of Class C Common Stock or Class D Common Stock, (b) payments under the tax receivable agreements and (c) future deductions attributable to the prior acquisition of interests in Virtu Financial by certain affiliates of Silver Lake Partners and Temasek, and (vi) additional distributions of profits which may be generated by Virtu Financial and its subsidiaries to equity holders, we expect that the distributions we receive may exceed our tax liabilities, regular dividend and other obligations. Our Board of Directors will determine the appropriate uses for any excess cash so accumulated, which may include, among other uses, the payment of obligations under the tax receivable agreements, the payment of other expenses or the repurchase of shares of common stock or Virtu Financial Units. We will have no obligation to distribute such cash (or other available cash) to our shareholders. No adjustments to the exchange ratio for Virtu Financial Units and corresponding shares of common stock will be made as a result of any cash distribution by us or any retention of cash by us, and in any event the ratio will remain one</w:t>
      </w:r>
      <w:r>
        <w:rPr>
          <w:rFonts w:ascii="MS PGothic" w:cs="MS PGothic" w:eastAsia="MS PGothic" w:hAnsi="MS PGothic"/>
          <w:sz w:val="15"/>
          <w:szCs w:val="15"/>
          <w:color w:val="auto"/>
        </w:rPr>
        <w:t>‑</w:t>
      </w:r>
      <w:r>
        <w:rPr>
          <w:rFonts w:ascii="Arial" w:cs="Arial" w:eastAsia="Arial" w:hAnsi="Arial"/>
          <w:sz w:val="15"/>
          <w:szCs w:val="15"/>
          <w:color w:val="auto"/>
        </w:rPr>
        <w:t>to</w:t>
      </w:r>
      <w:r>
        <w:rPr>
          <w:rFonts w:ascii="MS PGothic" w:cs="MS PGothic" w:eastAsia="MS PGothic" w:hAnsi="MS PGothic"/>
          <w:sz w:val="15"/>
          <w:szCs w:val="15"/>
          <w:color w:val="auto"/>
        </w:rPr>
        <w:t>‑</w:t>
      </w:r>
      <w:r>
        <w:rPr>
          <w:rFonts w:ascii="Arial" w:cs="Arial" w:eastAsia="Arial" w:hAnsi="Arial"/>
          <w:sz w:val="15"/>
          <w:szCs w:val="15"/>
          <w:color w:val="auto"/>
        </w:rPr>
        <w:t>one.</w:t>
      </w:r>
    </w:p>
    <w:p>
      <w:pPr>
        <w:spacing w:after="0" w:line="196" w:lineRule="exact"/>
        <w:rPr>
          <w:sz w:val="20"/>
          <w:szCs w:val="20"/>
          <w:color w:val="auto"/>
        </w:rPr>
      </w:pPr>
    </w:p>
    <w:p>
      <w:pPr>
        <w:ind w:left="5" w:right="180"/>
        <w:spacing w:after="0" w:line="195" w:lineRule="exact"/>
        <w:rPr>
          <w:sz w:val="20"/>
          <w:szCs w:val="20"/>
          <w:color w:val="auto"/>
        </w:rPr>
      </w:pPr>
      <w:r>
        <w:rPr>
          <w:rFonts w:ascii="Arial" w:cs="Arial" w:eastAsia="Arial" w:hAnsi="Arial"/>
          <w:sz w:val="16"/>
          <w:szCs w:val="16"/>
          <w:b w:val="1"/>
          <w:bCs w:val="1"/>
          <w:i w:val="1"/>
          <w:iCs w:val="1"/>
          <w:color w:val="auto"/>
        </w:rPr>
        <w:t>We are controlled by the Founder Post</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IPO Member, whose interests in our business may be different than yours, and certain statutory provisions afforded to stockholders are not applicable to us.</w:t>
      </w:r>
    </w:p>
    <w:p>
      <w:pPr>
        <w:spacing w:after="0" w:line="202" w:lineRule="exact"/>
        <w:rPr>
          <w:sz w:val="20"/>
          <w:szCs w:val="20"/>
          <w:color w:val="auto"/>
        </w:rPr>
      </w:pPr>
    </w:p>
    <w:p>
      <w:pPr>
        <w:ind w:left="5" w:right="460" w:firstLine="568"/>
        <w:spacing w:after="0" w:line="195" w:lineRule="exact"/>
        <w:rPr>
          <w:sz w:val="20"/>
          <w:szCs w:val="20"/>
          <w:color w:val="auto"/>
        </w:rPr>
      </w:pPr>
      <w:r>
        <w:rPr>
          <w:rFonts w:ascii="Arial" w:cs="Arial" w:eastAsia="Arial" w:hAnsi="Arial"/>
          <w:sz w:val="15"/>
          <w:szCs w:val="15"/>
          <w:color w:val="auto"/>
        </w:rPr>
        <w:t>The Founder Post</w:t>
      </w:r>
      <w:r>
        <w:rPr>
          <w:rFonts w:ascii="MS PGothic" w:cs="MS PGothic" w:eastAsia="MS PGothic" w:hAnsi="MS PGothic"/>
          <w:sz w:val="15"/>
          <w:szCs w:val="15"/>
          <w:color w:val="auto"/>
        </w:rPr>
        <w:t>‑</w:t>
      </w:r>
      <w:r>
        <w:rPr>
          <w:rFonts w:ascii="Arial" w:cs="Arial" w:eastAsia="Arial" w:hAnsi="Arial"/>
          <w:sz w:val="15"/>
          <w:szCs w:val="15"/>
          <w:color w:val="auto"/>
        </w:rPr>
        <w:t>IPO Member controls approximately 85.4% of the combined voting power of our common stock as a result of its ownership of our Class C and Class D Common Stock, each share of which is entitled to 1 vote and 10 votes, respectively, on all matters submitted to a vote of our stockholders.</w:t>
      </w:r>
    </w:p>
    <w:p>
      <w:pPr>
        <w:spacing w:after="0" w:line="202" w:lineRule="exact"/>
        <w:rPr>
          <w:sz w:val="20"/>
          <w:szCs w:val="20"/>
          <w:color w:val="auto"/>
        </w:rPr>
      </w:pPr>
    </w:p>
    <w:p>
      <w:pPr>
        <w:ind w:left="5" w:right="320" w:firstLine="568"/>
        <w:spacing w:after="0" w:line="195" w:lineRule="exact"/>
        <w:rPr>
          <w:sz w:val="20"/>
          <w:szCs w:val="20"/>
          <w:color w:val="auto"/>
        </w:rPr>
      </w:pPr>
      <w:r>
        <w:rPr>
          <w:rFonts w:ascii="Arial" w:cs="Arial" w:eastAsia="Arial" w:hAnsi="Arial"/>
          <w:sz w:val="16"/>
          <w:szCs w:val="16"/>
          <w:color w:val="auto"/>
        </w:rPr>
        <w:t>The Founder Post</w:t>
      </w:r>
      <w:r>
        <w:rPr>
          <w:rFonts w:ascii="MS PGothic" w:cs="MS PGothic" w:eastAsia="MS PGothic" w:hAnsi="MS PGothic"/>
          <w:sz w:val="16"/>
          <w:szCs w:val="16"/>
          <w:color w:val="auto"/>
        </w:rPr>
        <w:t>‑</w:t>
      </w:r>
      <w:r>
        <w:rPr>
          <w:rFonts w:ascii="Arial" w:cs="Arial" w:eastAsia="Arial" w:hAnsi="Arial"/>
          <w:sz w:val="16"/>
          <w:szCs w:val="16"/>
          <w:color w:val="auto"/>
        </w:rPr>
        <w:t>IPO Member has the ability to substantially control our Company, including the ability to control any action requiring the general approval of our stockholders, including the election of our Board of Directors, the adoption of</w:t>
      </w:r>
    </w:p>
    <w:p>
      <w:pPr>
        <w:spacing w:after="0" w:line="200" w:lineRule="exact"/>
        <w:rPr>
          <w:sz w:val="20"/>
          <w:szCs w:val="20"/>
          <w:color w:val="auto"/>
        </w:rPr>
      </w:pPr>
    </w:p>
    <w:p>
      <w:pPr>
        <w:spacing w:after="0" w:line="275"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59055</wp:posOffset>
            </wp:positionV>
            <wp:extent cx="7174865" cy="40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5"/>
          </w:cols>
          <w:pgMar w:left="315" w:top="798" w:right="339" w:bottom="1440" w:gutter="0" w:footer="0" w:header="0"/>
        </w:sectPr>
      </w:pPr>
    </w:p>
    <w:bookmarkStart w:id="32" w:name="page33"/>
    <w:bookmarkEnd w:id="32"/>
    <w:p>
      <w:pPr>
        <w:ind w:right="40"/>
        <w:spacing w:after="0" w:line="191" w:lineRule="exact"/>
        <w:rPr>
          <w:sz w:val="20"/>
          <w:szCs w:val="20"/>
          <w:color w:val="auto"/>
        </w:rPr>
      </w:pPr>
      <w:r>
        <w:rPr>
          <w:rFonts w:ascii="Arial" w:cs="Arial" w:eastAsia="Arial" w:hAnsi="Arial"/>
          <w:sz w:val="16"/>
          <w:szCs w:val="16"/>
          <w:color w:val="auto"/>
        </w:rPr>
        <w:t>amendments to our certificate of incorporation and by</w:t>
      </w:r>
      <w:r>
        <w:rPr>
          <w:rFonts w:ascii="MS PGothic" w:cs="MS PGothic" w:eastAsia="MS PGothic" w:hAnsi="MS PGothic"/>
          <w:sz w:val="16"/>
          <w:szCs w:val="16"/>
          <w:color w:val="auto"/>
        </w:rPr>
        <w:t>‑</w:t>
      </w:r>
      <w:r>
        <w:rPr>
          <w:rFonts w:ascii="Arial" w:cs="Arial" w:eastAsia="Arial" w:hAnsi="Arial"/>
          <w:sz w:val="16"/>
          <w:szCs w:val="16"/>
          <w:color w:val="auto"/>
        </w:rPr>
        <w:t>laws and the approval of any merger or sale of substantially all of our assets. This concentration of ownership and voting power may also delay, defer or even prevent an acquisition by a third party or other change of control of our Company and may make some transactions more difficult or impossible without the support of the Founder Post</w:t>
      </w:r>
      <w:r>
        <w:rPr>
          <w:rFonts w:ascii="MS PGothic" w:cs="MS PGothic" w:eastAsia="MS PGothic" w:hAnsi="MS PGothic"/>
          <w:sz w:val="16"/>
          <w:szCs w:val="16"/>
          <w:color w:val="auto"/>
        </w:rPr>
        <w:t>‑</w:t>
      </w:r>
      <w:r>
        <w:rPr>
          <w:rFonts w:ascii="Arial" w:cs="Arial" w:eastAsia="Arial" w:hAnsi="Arial"/>
          <w:sz w:val="16"/>
          <w:szCs w:val="16"/>
          <w:color w:val="auto"/>
        </w:rPr>
        <w:t>IPO Member, even if such events are in the best interests of minority stockholders. This concentration of voting power with the Founder Post</w:t>
      </w:r>
      <w:r>
        <w:rPr>
          <w:rFonts w:ascii="MS PGothic" w:cs="MS PGothic" w:eastAsia="MS PGothic" w:hAnsi="MS PGothic"/>
          <w:sz w:val="16"/>
          <w:szCs w:val="16"/>
          <w:color w:val="auto"/>
        </w:rPr>
        <w:t>‑</w:t>
      </w:r>
      <w:r>
        <w:rPr>
          <w:rFonts w:ascii="Arial" w:cs="Arial" w:eastAsia="Arial" w:hAnsi="Arial"/>
          <w:sz w:val="16"/>
          <w:szCs w:val="16"/>
          <w:color w:val="auto"/>
        </w:rPr>
        <w:t>IPO Member may have a negative impact on the price of our Class A Common Stock. In addition, because shares of our Class B Common Stock and Class D Common Stock each have 10 votes per share on matters submitted to a vote of our stockholders, the Founder Post</w:t>
      </w:r>
      <w:r>
        <w:rPr>
          <w:rFonts w:ascii="MS PGothic" w:cs="MS PGothic" w:eastAsia="MS PGothic" w:hAnsi="MS PGothic"/>
          <w:sz w:val="16"/>
          <w:szCs w:val="16"/>
          <w:color w:val="auto"/>
        </w:rPr>
        <w:t>‑</w:t>
      </w:r>
      <w:r>
        <w:rPr>
          <w:rFonts w:ascii="Arial" w:cs="Arial" w:eastAsia="Arial" w:hAnsi="Arial"/>
          <w:sz w:val="16"/>
          <w:szCs w:val="16"/>
          <w:color w:val="auto"/>
        </w:rPr>
        <w:t>IPO Member is able to control our Company as long as it owns at least 25% of our issued and outstanding Common Stock.</w:t>
      </w:r>
    </w:p>
    <w:p>
      <w:pPr>
        <w:spacing w:after="0" w:line="204" w:lineRule="exact"/>
        <w:rPr>
          <w:sz w:val="20"/>
          <w:szCs w:val="20"/>
          <w:color w:val="auto"/>
        </w:rPr>
      </w:pPr>
    </w:p>
    <w:p>
      <w:pPr>
        <w:ind w:right="40" w:firstLine="568"/>
        <w:spacing w:after="0" w:line="190" w:lineRule="exact"/>
        <w:rPr>
          <w:sz w:val="20"/>
          <w:szCs w:val="20"/>
          <w:color w:val="auto"/>
        </w:rPr>
      </w:pPr>
      <w:r>
        <w:rPr>
          <w:rFonts w:ascii="Arial" w:cs="Arial" w:eastAsia="Arial" w:hAnsi="Arial"/>
          <w:sz w:val="14"/>
          <w:szCs w:val="14"/>
          <w:color w:val="auto"/>
        </w:rPr>
        <w:t>The Founder Post-IPO Member’s interests may not be fully aligned with yours, which could lead to actions that are not in your best interest. Because the Founder Post-IPO Member holds part of its economic interest in our business through Virtu Financial, rather than through the public company, it may have conflicting interests with holders of shares of our Class A Common Stock. For example, the Founder Post-IPO Member may have a different tax position from us, which could influence its decisions regarding whether and when we should dispose of assets or incur new or refinance existing indebtedness, especially in light of the existence of the tax receivable agreements that we entered into in connection with the IPO, and whether and when we should undergo certain changes of control within the meaning of the tax receivable agreements or terminate the tax receivable agreements. In addition, the structuring of future transactions may take into consideration these tax or other considerations even where no similar benefit would accrue to us. See “Item 1A. Risk Factors - Risks Related to Our Organizational Structure - We are required to pay the Virtu Post-IPO Members and the Investor Post-IPO Stockholders for certain tax benefits we may claim, and the amounts we may pay could be significant.” In addition, pursuant to an exchange agreement, the holders of Virtu Financial Units and shares of our Class C Common Stock or Class D Common Stock are not required to participate in a proposed sale of our Company that is tax</w:t>
      </w:r>
      <w:r>
        <w:rPr>
          <w:rFonts w:ascii="MS PGothic" w:cs="MS PGothic" w:eastAsia="MS PGothic" w:hAnsi="MS PGothic"/>
          <w:sz w:val="14"/>
          <w:szCs w:val="14"/>
          <w:color w:val="auto"/>
        </w:rPr>
        <w:t>‑</w:t>
      </w:r>
      <w:r>
        <w:rPr>
          <w:rFonts w:ascii="Arial" w:cs="Arial" w:eastAsia="Arial" w:hAnsi="Arial"/>
          <w:sz w:val="14"/>
          <w:szCs w:val="14"/>
          <w:color w:val="auto"/>
        </w:rPr>
        <w:t>free for our stockholders unless the transaction is also tax</w:t>
      </w:r>
      <w:r>
        <w:rPr>
          <w:rFonts w:ascii="MS PGothic" w:cs="MS PGothic" w:eastAsia="MS PGothic" w:hAnsi="MS PGothic"/>
          <w:sz w:val="14"/>
          <w:szCs w:val="14"/>
          <w:color w:val="auto"/>
        </w:rPr>
        <w:t>‑</w:t>
      </w:r>
      <w:r>
        <w:rPr>
          <w:rFonts w:ascii="Arial" w:cs="Arial" w:eastAsia="Arial" w:hAnsi="Arial"/>
          <w:sz w:val="14"/>
          <w:szCs w:val="14"/>
          <w:color w:val="auto"/>
        </w:rPr>
        <w:t>free for such holders of Virtu Financial Units and shares of our Class C Common Stock or Class D Common Stock. This requirement could limit structural alternatives available to us in any such proposed transaction and could have the effect of discouraging transactions that might benefit you as a holder of shares of our Class A Common Stock. In addition, the Founder Post-IPO Member’s significant ownership in us and resulting ability to effectively control us may discourage someone from making a significant equity investment in us, or could discourage transactions involving a change in control, including transactions in which you as a holder of shares of our Class A Common Stock might otherwise receive a premium for your shares over the then</w:t>
      </w:r>
      <w:r>
        <w:rPr>
          <w:rFonts w:ascii="MS PGothic" w:cs="MS PGothic" w:eastAsia="MS PGothic" w:hAnsi="MS PGothic"/>
          <w:sz w:val="14"/>
          <w:szCs w:val="14"/>
          <w:color w:val="auto"/>
        </w:rPr>
        <w:t>‑</w:t>
      </w:r>
      <w:r>
        <w:rPr>
          <w:rFonts w:ascii="Arial" w:cs="Arial" w:eastAsia="Arial" w:hAnsi="Arial"/>
          <w:sz w:val="14"/>
          <w:szCs w:val="14"/>
          <w:color w:val="auto"/>
        </w:rPr>
        <w:t>current market price.</w:t>
      </w:r>
    </w:p>
    <w:p>
      <w:pPr>
        <w:spacing w:after="0" w:line="207" w:lineRule="exact"/>
        <w:rPr>
          <w:sz w:val="20"/>
          <w:szCs w:val="20"/>
          <w:color w:val="auto"/>
        </w:rPr>
      </w:pPr>
    </w:p>
    <w:p>
      <w:pPr>
        <w:jc w:val="both"/>
        <w:ind w:right="60" w:firstLine="568"/>
        <w:spacing w:after="0" w:line="192" w:lineRule="exact"/>
        <w:rPr>
          <w:sz w:val="20"/>
          <w:szCs w:val="20"/>
          <w:color w:val="auto"/>
        </w:rPr>
      </w:pPr>
      <w:r>
        <w:rPr>
          <w:rFonts w:ascii="Arial" w:cs="Arial" w:eastAsia="Arial" w:hAnsi="Arial"/>
          <w:sz w:val="15"/>
          <w:szCs w:val="15"/>
          <w:color w:val="auto"/>
        </w:rPr>
        <w:t>We have opted out of Section 203 of the General Corporation Law of the State of Delaware (the “Delaware General Corporation Law”), which prohibits a publicly held Delaware corporation from engaging in a business combination transaction with an interested stockholder for a period of three years after the interested stockholder became such unless the transaction fits within an applicable exemption, such as board approval of the business combination or the transaction which resulted in such stockholder becoming an interested stockholder. Therefore, the Founder Post</w:t>
      </w:r>
      <w:r>
        <w:rPr>
          <w:rFonts w:ascii="MS PGothic" w:cs="MS PGothic" w:eastAsia="MS PGothic" w:hAnsi="MS PGothic"/>
          <w:sz w:val="15"/>
          <w:szCs w:val="15"/>
          <w:color w:val="auto"/>
        </w:rPr>
        <w:t>‑</w:t>
      </w:r>
      <w:r>
        <w:rPr>
          <w:rFonts w:ascii="Arial" w:cs="Arial" w:eastAsia="Arial" w:hAnsi="Arial"/>
          <w:sz w:val="15"/>
          <w:szCs w:val="15"/>
          <w:color w:val="auto"/>
        </w:rPr>
        <w:t>IPO Member is able to transfer control of us to a third party by transferring its shares of our common stock (subject to certain restrictions and limitations), which would not require the approval of our Board of Directors or our other stockholders.</w:t>
      </w:r>
    </w:p>
    <w:p>
      <w:pPr>
        <w:spacing w:after="0" w:line="204" w:lineRule="exact"/>
        <w:rPr>
          <w:sz w:val="20"/>
          <w:szCs w:val="20"/>
          <w:color w:val="auto"/>
        </w:rPr>
      </w:pPr>
    </w:p>
    <w:p>
      <w:pPr>
        <w:ind w:firstLine="568"/>
        <w:spacing w:after="0" w:line="191" w:lineRule="exact"/>
        <w:rPr>
          <w:sz w:val="20"/>
          <w:szCs w:val="20"/>
          <w:color w:val="auto"/>
        </w:rPr>
      </w:pPr>
      <w:r>
        <w:rPr>
          <w:rFonts w:ascii="Arial" w:cs="Arial" w:eastAsia="Arial" w:hAnsi="Arial"/>
          <w:sz w:val="15"/>
          <w:szCs w:val="15"/>
          <w:color w:val="auto"/>
        </w:rPr>
        <w:t>Our amended and restated certificate of incorporation provides that, to the fullest extent permitted by law, the doctrine of “corporate opportunity” does not apply against the Founder Post-IPO Member, Mr. Viola, Temasek, any of our non</w:t>
      </w:r>
      <w:r>
        <w:rPr>
          <w:rFonts w:ascii="MS PGothic" w:cs="MS PGothic" w:eastAsia="MS PGothic" w:hAnsi="MS PGothic"/>
          <w:sz w:val="15"/>
          <w:szCs w:val="15"/>
          <w:color w:val="auto"/>
        </w:rPr>
        <w:t>‑</w:t>
      </w:r>
      <w:r>
        <w:rPr>
          <w:rFonts w:ascii="Arial" w:cs="Arial" w:eastAsia="Arial" w:hAnsi="Arial"/>
          <w:sz w:val="15"/>
          <w:szCs w:val="15"/>
          <w:color w:val="auto"/>
        </w:rPr>
        <w:t>employee directors or any of their respective affiliates in a manner that would prohibit them from investing in competing businesses or doing business with our clients or customers. In addition, subject to the restrictions on competitive activities described below, Mr. Cifu is permitted to become engaged in, or provide services to, any other business or activity in which Mr. Viola is currently engaged or permitted to become engaged, to the extent that Mr. Cifu’s level of participation in such businesses or activities is consistent with his current participation in such businesses and activities. The Amended and Restated Virtu Financial LLC Agreement provides that Mr. Viola, in addition to our other executive officers and our employees that are Virtu Post-IPO Members, including Mr. Cifu, may not directly or indirectly engage in certain competitive activities until the third anniversary of the date on which such person ceases to be an officer, director or employee of ours. Temasek and our non</w:t>
      </w:r>
      <w:r>
        <w:rPr>
          <w:rFonts w:ascii="MS PGothic" w:cs="MS PGothic" w:eastAsia="MS PGothic" w:hAnsi="MS PGothic"/>
          <w:sz w:val="15"/>
          <w:szCs w:val="15"/>
          <w:color w:val="auto"/>
        </w:rPr>
        <w:t>‑</w:t>
      </w:r>
      <w:r>
        <w:rPr>
          <w:rFonts w:ascii="Arial" w:cs="Arial" w:eastAsia="Arial" w:hAnsi="Arial"/>
          <w:sz w:val="15"/>
          <w:szCs w:val="15"/>
          <w:color w:val="auto"/>
        </w:rPr>
        <w:t>employee directors are not subject to any such restriction. To the extent that the Founder Post-IPO Member, Mr. Viola, Temasek, our non</w:t>
      </w:r>
      <w:r>
        <w:rPr>
          <w:rFonts w:ascii="MS PGothic" w:cs="MS PGothic" w:eastAsia="MS PGothic" w:hAnsi="MS PGothic"/>
          <w:sz w:val="15"/>
          <w:szCs w:val="15"/>
          <w:color w:val="auto"/>
        </w:rPr>
        <w:t>‑</w:t>
      </w:r>
      <w:r>
        <w:rPr>
          <w:rFonts w:ascii="Arial" w:cs="Arial" w:eastAsia="Arial" w:hAnsi="Arial"/>
          <w:sz w:val="15"/>
          <w:szCs w:val="15"/>
          <w:color w:val="auto"/>
        </w:rPr>
        <w:t>employee directors or any of their respective affiliates invests in other businesses, they may have differing interests than our other stockholders. Messrs. Viola and Cifu also have business relationships outside of our business.</w:t>
      </w:r>
    </w:p>
    <w:p>
      <w:pPr>
        <w:spacing w:after="0" w:line="203" w:lineRule="exact"/>
        <w:rPr>
          <w:sz w:val="20"/>
          <w:szCs w:val="20"/>
          <w:color w:val="auto"/>
        </w:rPr>
      </w:pPr>
    </w:p>
    <w:p>
      <w:pPr>
        <w:ind w:right="240"/>
        <w:spacing w:after="0" w:line="268" w:lineRule="auto"/>
        <w:rPr>
          <w:sz w:val="20"/>
          <w:szCs w:val="20"/>
          <w:color w:val="auto"/>
        </w:rPr>
      </w:pPr>
      <w:r>
        <w:rPr>
          <w:rFonts w:ascii="Arial" w:cs="Arial" w:eastAsia="Arial" w:hAnsi="Arial"/>
          <w:sz w:val="16"/>
          <w:szCs w:val="16"/>
          <w:b w:val="1"/>
          <w:bCs w:val="1"/>
          <w:i w:val="1"/>
          <w:iCs w:val="1"/>
          <w:color w:val="auto"/>
        </w:rPr>
        <w:t>We may be unable to remain in compliance with the covenants contained in our Credit Agreement and our obligation to comply with these covenants may adversely affect our ability to operate our business.</w:t>
      </w:r>
    </w:p>
    <w:p>
      <w:pPr>
        <w:spacing w:after="0" w:line="181" w:lineRule="exact"/>
        <w:rPr>
          <w:sz w:val="20"/>
          <w:szCs w:val="20"/>
          <w:color w:val="auto"/>
        </w:rPr>
      </w:pPr>
    </w:p>
    <w:p>
      <w:pPr>
        <w:ind w:right="360" w:firstLine="568"/>
        <w:spacing w:after="0" w:line="257" w:lineRule="auto"/>
        <w:rPr>
          <w:sz w:val="20"/>
          <w:szCs w:val="20"/>
          <w:color w:val="auto"/>
        </w:rPr>
      </w:pPr>
      <w:r>
        <w:rPr>
          <w:rFonts w:ascii="Arial" w:cs="Arial" w:eastAsia="Arial" w:hAnsi="Arial"/>
          <w:sz w:val="16"/>
          <w:szCs w:val="16"/>
          <w:color w:val="auto"/>
        </w:rPr>
        <w:t>The covenants in our Credit Agreement may negatively impact our ability to finance future operations or capital needs or to engage in other business activities. Our Credit Agreement restricts our ability to, among other things, incur additional indebtedness, dispose of assets, guarantee debt obligations, repay other indebtedness, pay dividends, pledge assets, make</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802" w:right="319" w:bottom="1440" w:gutter="0" w:footer="0" w:header="0"/>
        </w:sectPr>
      </w:pPr>
    </w:p>
    <w:bookmarkStart w:id="33" w:name="page34"/>
    <w:bookmarkEnd w:id="33"/>
    <w:p>
      <w:pPr>
        <w:ind w:right="180"/>
        <w:spacing w:after="0" w:line="268" w:lineRule="auto"/>
        <w:rPr>
          <w:sz w:val="20"/>
          <w:szCs w:val="20"/>
          <w:color w:val="auto"/>
        </w:rPr>
      </w:pPr>
      <w:r>
        <w:rPr>
          <w:rFonts w:ascii="Arial" w:cs="Arial" w:eastAsia="Arial" w:hAnsi="Arial"/>
          <w:sz w:val="16"/>
          <w:szCs w:val="16"/>
          <w:color w:val="auto"/>
        </w:rPr>
        <w:t>investments, including in certain of our operating subsidiaries, make acquisitions or consummate mergers or consolidations and engage in certain transactions with subsidiaries and affiliates.</w:t>
      </w:r>
    </w:p>
    <w:p>
      <w:pPr>
        <w:spacing w:after="0" w:line="181" w:lineRule="exact"/>
        <w:rPr>
          <w:sz w:val="20"/>
          <w:szCs w:val="20"/>
          <w:color w:val="auto"/>
        </w:rPr>
      </w:pPr>
    </w:p>
    <w:p>
      <w:pPr>
        <w:ind w:right="120" w:firstLine="568"/>
        <w:spacing w:after="0" w:line="252" w:lineRule="auto"/>
        <w:rPr>
          <w:sz w:val="20"/>
          <w:szCs w:val="20"/>
          <w:color w:val="auto"/>
        </w:rPr>
      </w:pPr>
      <w:r>
        <w:rPr>
          <w:rFonts w:ascii="Arial" w:cs="Arial" w:eastAsia="Arial" w:hAnsi="Arial"/>
          <w:sz w:val="16"/>
          <w:szCs w:val="16"/>
          <w:color w:val="auto"/>
        </w:rPr>
        <w:t>A failure to comply with the restrictions contained in our Credit Agreement could lead to an event of default, which could result in an acceleration of our indebtedness. Our future operating results may not be sufficient to enable compliance with the covenants in our Credit Agreement or to remedy such a default. In addition, in the event of an acceleration, we may not have or be able to obtain sufficient funds to refinance our indebtedness or to make any accelerated payments. Even if we were able to obtain new financing, we would not be able to guarantee that the new financing would be on commercially reasonable terms. If we default on our indebtedness, our business, financial condition and results of operation could suffer a material adverse effect.</w:t>
      </w:r>
    </w:p>
    <w:p>
      <w:pPr>
        <w:spacing w:after="0" w:line="194" w:lineRule="exact"/>
        <w:rPr>
          <w:sz w:val="20"/>
          <w:szCs w:val="20"/>
          <w:color w:val="auto"/>
        </w:rPr>
      </w:pPr>
    </w:p>
    <w:p>
      <w:pPr>
        <w:ind w:right="600"/>
        <w:spacing w:after="0" w:line="268" w:lineRule="auto"/>
        <w:rPr>
          <w:sz w:val="20"/>
          <w:szCs w:val="20"/>
          <w:color w:val="auto"/>
        </w:rPr>
      </w:pPr>
      <w:r>
        <w:rPr>
          <w:rFonts w:ascii="Arial" w:cs="Arial" w:eastAsia="Arial" w:hAnsi="Arial"/>
          <w:sz w:val="16"/>
          <w:szCs w:val="16"/>
          <w:b w:val="1"/>
          <w:bCs w:val="1"/>
          <w:i w:val="1"/>
          <w:iCs w:val="1"/>
          <w:color w:val="auto"/>
        </w:rPr>
        <w:t>We are exempt from certain corporate governance requirements since we are a “controlled company” within the meaning of the NASDAQ rules, and as a result our stockholders do not have the protections afforded by these corporate governance requirements.</w:t>
      </w:r>
    </w:p>
    <w:p>
      <w:pPr>
        <w:spacing w:after="0" w:line="181" w:lineRule="exact"/>
        <w:rPr>
          <w:sz w:val="20"/>
          <w:szCs w:val="20"/>
          <w:color w:val="auto"/>
        </w:rPr>
      </w:pPr>
    </w:p>
    <w:p>
      <w:pPr>
        <w:ind w:right="180" w:firstLine="568"/>
        <w:spacing w:after="0" w:line="191" w:lineRule="exact"/>
        <w:rPr>
          <w:sz w:val="20"/>
          <w:szCs w:val="20"/>
          <w:color w:val="auto"/>
        </w:rPr>
      </w:pPr>
      <w:r>
        <w:rPr>
          <w:rFonts w:ascii="Arial" w:cs="Arial" w:eastAsia="Arial" w:hAnsi="Arial"/>
          <w:sz w:val="14"/>
          <w:szCs w:val="14"/>
          <w:color w:val="auto"/>
        </w:rPr>
        <w:t>The Founder Post</w:t>
      </w:r>
      <w:r>
        <w:rPr>
          <w:rFonts w:ascii="MS PGothic" w:cs="MS PGothic" w:eastAsia="MS PGothic" w:hAnsi="MS PGothic"/>
          <w:sz w:val="14"/>
          <w:szCs w:val="14"/>
          <w:color w:val="auto"/>
        </w:rPr>
        <w:t>‑</w:t>
      </w:r>
      <w:r>
        <w:rPr>
          <w:rFonts w:ascii="Arial" w:cs="Arial" w:eastAsia="Arial" w:hAnsi="Arial"/>
          <w:sz w:val="14"/>
          <w:szCs w:val="14"/>
          <w:color w:val="auto"/>
        </w:rPr>
        <w:t>IPO Member controls more than 50% of our combined voting power. As a result, we are considered a “controlled company” for purposes of the NASDAQ rules and corporate governance standards, and therefore we are permitted and may elect not to or may have elected not to, comply with certain NASDAQ corporate governance requirements, including those that would otherwise require our Board of Directors to have a majority of independent directors and require that we either establish a Compensation and Nominating and Corporate Governance Committees, each comprised entirely of independent directors, or otherwise ensure that the compensation of our executive officers and nominees for directors are determined or recommended to the Board of Directors by the independent members of the Board of Directors. Accordingly, holders of our Class A Common Stock do not have the same protections afforded to stockholders of companies that are subject to all of the NASDAQ rules and corporate governance standards, and the ability of our independent directors to influence our business policies and affairs may be reduced.</w:t>
      </w:r>
    </w:p>
    <w:p>
      <w:pPr>
        <w:spacing w:after="0" w:line="205" w:lineRule="exact"/>
        <w:rPr>
          <w:sz w:val="20"/>
          <w:szCs w:val="20"/>
          <w:color w:val="auto"/>
        </w:rPr>
      </w:pPr>
    </w:p>
    <w:p>
      <w:pPr>
        <w:ind w:right="260"/>
        <w:spacing w:after="0" w:line="195" w:lineRule="exact"/>
        <w:rPr>
          <w:sz w:val="20"/>
          <w:szCs w:val="20"/>
          <w:color w:val="auto"/>
        </w:rPr>
      </w:pPr>
      <w:r>
        <w:rPr>
          <w:rFonts w:ascii="Arial" w:cs="Arial" w:eastAsia="Arial" w:hAnsi="Arial"/>
          <w:sz w:val="16"/>
          <w:szCs w:val="16"/>
          <w:b w:val="1"/>
          <w:bCs w:val="1"/>
          <w:i w:val="1"/>
          <w:iCs w:val="1"/>
          <w:color w:val="auto"/>
        </w:rPr>
        <w:t>We are required to pay the Virtu Post</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IPO Members and the Investor Post</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IPO Stockholders for certain tax benefits we may claim, and the amounts we may pay could be significant.</w:t>
      </w:r>
    </w:p>
    <w:p>
      <w:pPr>
        <w:spacing w:after="0" w:line="202" w:lineRule="exact"/>
        <w:rPr>
          <w:sz w:val="20"/>
          <w:szCs w:val="20"/>
          <w:color w:val="auto"/>
        </w:rPr>
      </w:pPr>
    </w:p>
    <w:p>
      <w:pPr>
        <w:ind w:right="20" w:firstLine="568"/>
        <w:spacing w:after="0" w:line="267" w:lineRule="auto"/>
        <w:rPr>
          <w:sz w:val="20"/>
          <w:szCs w:val="20"/>
          <w:color w:val="auto"/>
        </w:rPr>
      </w:pPr>
      <w:r>
        <w:rPr>
          <w:rFonts w:ascii="Arial" w:cs="Arial" w:eastAsia="Arial" w:hAnsi="Arial"/>
          <w:sz w:val="15"/>
          <w:szCs w:val="15"/>
          <w:color w:val="auto"/>
        </w:rPr>
        <w:t>In connection with the Reorganization Transactions, we acquired equity interests in Virtu Financial from an affiliate of Silver Lake Partners (which, following a secondary offering completed in November 2015, no longer holds any equity interest in us) and the Temasek Pre-IPO Member in the Mergers. In addition, we used a portion of the net proceeds from our IPO and our Secondary Offerings (as defined below) to purchase Virtu Financial Units and corresponding shares of Class C Common Stock from certain Virtu Post-IPO Members, including affiliates of Silver Lake Partners (the “Silver Lake Post-IPO Members”), the Founder Post-IPO Member, and certain employees. These acquisitions of interests in Virtu Financial, along with certain subsequent exchanges of interests in Virtu Financial by current and former employees, resulted in tax basis adjustments to the assets of Virtu Financial that were allocated to us and our subsidiaries. Future acquisitions of interests in Virtu Financial are expected to produce favorable tax attributes. In addition, future exchanges by the Virtu Post-IPO Members of Virtu Financial Units and corresponding shares of Class C Common Stock or Class D Common Stock, as the case may be, for shares of our Class A Common Stock or Class B Common Stock, respectively, are expected to produce favorable tax attributes. These tax attributes would not be available to us in the absence of such transactions. Both the existing and anticipated tax basis adjustments are expected to reduce the amount of tax that we would otherwise be required to pay in the future.</w:t>
      </w:r>
    </w:p>
    <w:p>
      <w:pPr>
        <w:spacing w:after="0" w:line="188" w:lineRule="exact"/>
        <w:rPr>
          <w:sz w:val="20"/>
          <w:szCs w:val="20"/>
          <w:color w:val="auto"/>
        </w:rPr>
      </w:pPr>
    </w:p>
    <w:p>
      <w:pPr>
        <w:ind w:firstLine="568"/>
        <w:spacing w:after="0" w:line="288" w:lineRule="auto"/>
        <w:rPr>
          <w:sz w:val="20"/>
          <w:szCs w:val="20"/>
          <w:color w:val="auto"/>
        </w:rPr>
      </w:pPr>
      <w:r>
        <w:rPr>
          <w:rFonts w:ascii="Arial" w:cs="Arial" w:eastAsia="Arial" w:hAnsi="Arial"/>
          <w:sz w:val="14"/>
          <w:szCs w:val="14"/>
          <w:color w:val="auto"/>
        </w:rPr>
        <w:t>We entered into three tax receivable agreements with the Virtu Post-IPO Members and the Investor Post-IPO Stockholders (one with the Founder Post-IPO Member, the Employee Trust, Virtu Employee Holdco and other post IPO investors, other than affiliates of Silver Lake Partners and affiliates of Temasek, another with the Investor Post-IPO Stockholders and the other with the Silver Lake Post-IPO Members) that provide for the payment by us to the Virtu Post-IPO Members and the Investor Post-IPO Stockholders (or their transferees of Virtu Financial Units or other assignees) of 85% of the amount of actual cash savings, if any, in U.S. federal, state and local income tax or franchise tax that we actually realize as a result of (i) any increase in tax basis in Virtu Financial’s assets resulting from (a) the acquisition of equity interests in Virtu Financial from an affiliate of Silver Lake Partners and Temasek, and the Temasek Pre-IPO Member in the Reorganization Transactions (which represents the unamortized portion of the increase in tax basis in Virtu Financial’s assets resulting from a prior acquisition of interests in Virtu Financial by an affiliate of Silver Lake Partners and Temasek, and the Temasek Pre-IPO Member), (b) the purchases of Virtu Financial Units (along with the corresponding shares of our Class C Common Stock or Class D Common Stock, as applicable) from certain of the Virtu Post-IPO Members using a portion of the net proceeds from the IPO or in any subsequent offering (including, without limitation, the Secondary Offerings), (c) exchanges by the Virtu Post-IPO Members of Virtu Financial Units (along with the corresponding shares of our Class C Common Stock or Class D Common Stock, as applicable) for shares of our Class A Common Stock or Class B Common Stock, as applicable, or (d)</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802" w:right="339" w:bottom="1440" w:gutter="0" w:footer="0" w:header="0"/>
        </w:sectPr>
      </w:pPr>
    </w:p>
    <w:bookmarkStart w:id="34" w:name="page35"/>
    <w:bookmarkEnd w:id="34"/>
    <w:p>
      <w:pPr>
        <w:ind w:right="380"/>
        <w:spacing w:after="0" w:line="268" w:lineRule="auto"/>
        <w:rPr>
          <w:sz w:val="20"/>
          <w:szCs w:val="20"/>
          <w:color w:val="auto"/>
        </w:rPr>
      </w:pPr>
      <w:r>
        <w:rPr>
          <w:rFonts w:ascii="Arial" w:cs="Arial" w:eastAsia="Arial" w:hAnsi="Arial"/>
          <w:sz w:val="16"/>
          <w:szCs w:val="16"/>
          <w:color w:val="auto"/>
        </w:rPr>
        <w:t>payments under the tax receivable agreements, (ii) any net operating losses available to us as a result of the Mergers and (iii) tax benefits related to imputed interest deemed arising as a result of payments made under the tax receivable agreements.</w:t>
      </w:r>
    </w:p>
    <w:p>
      <w:pPr>
        <w:spacing w:after="0" w:line="181" w:lineRule="exact"/>
        <w:rPr>
          <w:sz w:val="20"/>
          <w:szCs w:val="20"/>
          <w:color w:val="auto"/>
        </w:rPr>
      </w:pPr>
    </w:p>
    <w:p>
      <w:pPr>
        <w:ind w:right="20" w:firstLine="568"/>
        <w:spacing w:after="0" w:line="192" w:lineRule="exact"/>
        <w:rPr>
          <w:sz w:val="20"/>
          <w:szCs w:val="20"/>
          <w:color w:val="auto"/>
        </w:rPr>
      </w:pPr>
      <w:r>
        <w:rPr>
          <w:rFonts w:ascii="Arial" w:cs="Arial" w:eastAsia="Arial" w:hAnsi="Arial"/>
          <w:sz w:val="16"/>
          <w:szCs w:val="16"/>
          <w:color w:val="auto"/>
        </w:rPr>
        <w:t>The actual increase in tax basis, as well as the amount and timing of any payments under these tax receivable agreements, will vary depending upon a number of factors, including the timing of exchanges by the Virtu Post</w:t>
      </w:r>
      <w:r>
        <w:rPr>
          <w:rFonts w:ascii="MS PGothic" w:cs="MS PGothic" w:eastAsia="MS PGothic" w:hAnsi="MS PGothic"/>
          <w:sz w:val="16"/>
          <w:szCs w:val="16"/>
          <w:color w:val="auto"/>
        </w:rPr>
        <w:t>‑</w:t>
      </w:r>
      <w:r>
        <w:rPr>
          <w:rFonts w:ascii="Arial" w:cs="Arial" w:eastAsia="Arial" w:hAnsi="Arial"/>
          <w:sz w:val="16"/>
          <w:szCs w:val="16"/>
          <w:color w:val="auto"/>
        </w:rPr>
        <w:t>IPO Members, the price of our Class A Common Stock at the time of the exchange, the extent to which such exchanges are taxable, the amount and timing of the taxable income we generate in the future and the tax rate then applicable and the portion of our payments under the tax receivable agreements constituting imputed interest.</w:t>
      </w:r>
    </w:p>
    <w:p>
      <w:pPr>
        <w:spacing w:after="0" w:line="204" w:lineRule="exact"/>
        <w:rPr>
          <w:sz w:val="20"/>
          <w:szCs w:val="20"/>
          <w:color w:val="auto"/>
        </w:rPr>
      </w:pPr>
    </w:p>
    <w:p>
      <w:pPr>
        <w:ind w:right="40" w:firstLine="568"/>
        <w:spacing w:after="0" w:line="191" w:lineRule="exact"/>
        <w:rPr>
          <w:sz w:val="20"/>
          <w:szCs w:val="20"/>
          <w:color w:val="auto"/>
        </w:rPr>
      </w:pPr>
      <w:r>
        <w:rPr>
          <w:rFonts w:ascii="Arial" w:cs="Arial" w:eastAsia="Arial" w:hAnsi="Arial"/>
          <w:sz w:val="15"/>
          <w:szCs w:val="15"/>
          <w:color w:val="auto"/>
        </w:rPr>
        <w:t>The payments we are required to make under the tax receivable agreements, which represent 85% of the amount of actual cash savings, if any, in U.S. federal, state and local income tax or franchise tax that we actually realize, could be substantial. We expect that, as a result of the amount of the increases in the tax basis of the tangible and intangible assets of Virtu Financial, assuming no material changes in the relevant tax law and that we earn sufficient taxable income to realize in full the potential tax benefits described above, future payments to the Virtu Post</w:t>
      </w:r>
      <w:r>
        <w:rPr>
          <w:rFonts w:ascii="MS PGothic" w:cs="MS PGothic" w:eastAsia="MS PGothic" w:hAnsi="MS PGothic"/>
          <w:sz w:val="15"/>
          <w:szCs w:val="15"/>
          <w:color w:val="auto"/>
        </w:rPr>
        <w:t>‑</w:t>
      </w:r>
      <w:r>
        <w:rPr>
          <w:rFonts w:ascii="Arial" w:cs="Arial" w:eastAsia="Arial" w:hAnsi="Arial"/>
          <w:sz w:val="15"/>
          <w:szCs w:val="15"/>
          <w:color w:val="auto"/>
        </w:rPr>
        <w:t>IPO Members and the Investor Post</w:t>
      </w:r>
      <w:r>
        <w:rPr>
          <w:rFonts w:ascii="MS PGothic" w:cs="MS PGothic" w:eastAsia="MS PGothic" w:hAnsi="MS PGothic"/>
          <w:sz w:val="15"/>
          <w:szCs w:val="15"/>
          <w:color w:val="auto"/>
        </w:rPr>
        <w:t>‑</w:t>
      </w:r>
      <w:r>
        <w:rPr>
          <w:rFonts w:ascii="Arial" w:cs="Arial" w:eastAsia="Arial" w:hAnsi="Arial"/>
          <w:sz w:val="15"/>
          <w:szCs w:val="15"/>
          <w:color w:val="auto"/>
        </w:rPr>
        <w:t>IPO Stockholders in respect of the purchases, the exchanges and the Mergers in connection with the IPO, the purchases and exchanges completed in connection with our subsequent public offerings, the Secondary Offerings, and exchanges by employees and other Virtu Post-IPO Members will range from approximately $0.4 million to $22.0 million per year over the next 15 years. Future payments under the tax receivable agreements in respect of subsequent exchanges would be in addition to these amounts. The payments under the tax receivable agreements are not conditioned upon the Virtu Post</w:t>
      </w:r>
      <w:r>
        <w:rPr>
          <w:rFonts w:ascii="MS PGothic" w:cs="MS PGothic" w:eastAsia="MS PGothic" w:hAnsi="MS PGothic"/>
          <w:sz w:val="15"/>
          <w:szCs w:val="15"/>
          <w:color w:val="auto"/>
        </w:rPr>
        <w:t>‑</w:t>
      </w:r>
      <w:r>
        <w:rPr>
          <w:rFonts w:ascii="Arial" w:cs="Arial" w:eastAsia="Arial" w:hAnsi="Arial"/>
          <w:sz w:val="15"/>
          <w:szCs w:val="15"/>
          <w:color w:val="auto"/>
        </w:rPr>
        <w:t>IPO Members’ or the Investor Post</w:t>
      </w:r>
      <w:r>
        <w:rPr>
          <w:rFonts w:ascii="MS PGothic" w:cs="MS PGothic" w:eastAsia="MS PGothic" w:hAnsi="MS PGothic"/>
          <w:sz w:val="15"/>
          <w:szCs w:val="15"/>
          <w:color w:val="auto"/>
        </w:rPr>
        <w:t>‑</w:t>
      </w:r>
      <w:r>
        <w:rPr>
          <w:rFonts w:ascii="Arial" w:cs="Arial" w:eastAsia="Arial" w:hAnsi="Arial"/>
          <w:sz w:val="15"/>
          <w:szCs w:val="15"/>
          <w:color w:val="auto"/>
        </w:rPr>
        <w:t>IPO Stockholders’ continued ownership of us.</w:t>
      </w:r>
    </w:p>
    <w:p>
      <w:pPr>
        <w:spacing w:after="0" w:line="205" w:lineRule="exact"/>
        <w:rPr>
          <w:sz w:val="20"/>
          <w:szCs w:val="20"/>
          <w:color w:val="auto"/>
        </w:rPr>
      </w:pPr>
    </w:p>
    <w:p>
      <w:pPr>
        <w:ind w:firstLine="568"/>
        <w:spacing w:after="0" w:line="192" w:lineRule="exact"/>
        <w:rPr>
          <w:sz w:val="20"/>
          <w:szCs w:val="20"/>
          <w:color w:val="auto"/>
        </w:rPr>
      </w:pPr>
      <w:r>
        <w:rPr>
          <w:rFonts w:ascii="Arial" w:cs="Arial" w:eastAsia="Arial" w:hAnsi="Arial"/>
          <w:sz w:val="14"/>
          <w:szCs w:val="14"/>
          <w:color w:val="auto"/>
        </w:rPr>
        <w:t>In addition, although we are not aware of any issue that would cause the Internal Revenue Service (the “IRS”) to challenge the tax basis increases or other benefits arising under the tax receivable agreements, the Virtu Post</w:t>
      </w:r>
      <w:r>
        <w:rPr>
          <w:rFonts w:ascii="MS PGothic" w:cs="MS PGothic" w:eastAsia="MS PGothic" w:hAnsi="MS PGothic"/>
          <w:sz w:val="14"/>
          <w:szCs w:val="14"/>
          <w:color w:val="auto"/>
        </w:rPr>
        <w:t>‑</w:t>
      </w:r>
      <w:r>
        <w:rPr>
          <w:rFonts w:ascii="Arial" w:cs="Arial" w:eastAsia="Arial" w:hAnsi="Arial"/>
          <w:sz w:val="14"/>
          <w:szCs w:val="14"/>
          <w:color w:val="auto"/>
        </w:rPr>
        <w:t>IPO Members and the Investor Post</w:t>
      </w:r>
      <w:r>
        <w:rPr>
          <w:rFonts w:ascii="MS PGothic" w:cs="MS PGothic" w:eastAsia="MS PGothic" w:hAnsi="MS PGothic"/>
          <w:sz w:val="14"/>
          <w:szCs w:val="14"/>
          <w:color w:val="auto"/>
        </w:rPr>
        <w:t>‑</w:t>
      </w:r>
      <w:r>
        <w:rPr>
          <w:rFonts w:ascii="Arial" w:cs="Arial" w:eastAsia="Arial" w:hAnsi="Arial"/>
          <w:sz w:val="14"/>
          <w:szCs w:val="14"/>
          <w:color w:val="auto"/>
        </w:rPr>
        <w:t>IPO Stockholders (or their transferees or other assignees) will not reimburse us for any payments previously made if such tax basis increases or other tax benefits are subsequently disallowed, except that any excess payments made to the Virtu Post</w:t>
      </w:r>
      <w:r>
        <w:rPr>
          <w:rFonts w:ascii="MS PGothic" w:cs="MS PGothic" w:eastAsia="MS PGothic" w:hAnsi="MS PGothic"/>
          <w:sz w:val="14"/>
          <w:szCs w:val="14"/>
          <w:color w:val="auto"/>
        </w:rPr>
        <w:t>‑</w:t>
      </w:r>
      <w:r>
        <w:rPr>
          <w:rFonts w:ascii="Arial" w:cs="Arial" w:eastAsia="Arial" w:hAnsi="Arial"/>
          <w:sz w:val="14"/>
          <w:szCs w:val="14"/>
          <w:color w:val="auto"/>
        </w:rPr>
        <w:t>IPO Members and the Investor Post</w:t>
      </w:r>
      <w:r>
        <w:rPr>
          <w:rFonts w:ascii="MS PGothic" w:cs="MS PGothic" w:eastAsia="MS PGothic" w:hAnsi="MS PGothic"/>
          <w:sz w:val="14"/>
          <w:szCs w:val="14"/>
          <w:color w:val="auto"/>
        </w:rPr>
        <w:t>‑</w:t>
      </w:r>
      <w:r>
        <w:rPr>
          <w:rFonts w:ascii="Arial" w:cs="Arial" w:eastAsia="Arial" w:hAnsi="Arial"/>
          <w:sz w:val="14"/>
          <w:szCs w:val="14"/>
          <w:color w:val="auto"/>
        </w:rPr>
        <w:t>IPO Stockholders will be netted against future payments otherwise to be made under the tax receivable agreements, if any, after our determination of such excess. As a result, in such circumstances we could make payments to the Virtu Post</w:t>
      </w:r>
      <w:r>
        <w:rPr>
          <w:rFonts w:ascii="MS PGothic" w:cs="MS PGothic" w:eastAsia="MS PGothic" w:hAnsi="MS PGothic"/>
          <w:sz w:val="14"/>
          <w:szCs w:val="14"/>
          <w:color w:val="auto"/>
        </w:rPr>
        <w:t>‑</w:t>
      </w:r>
      <w:r>
        <w:rPr>
          <w:rFonts w:ascii="Arial" w:cs="Arial" w:eastAsia="Arial" w:hAnsi="Arial"/>
          <w:sz w:val="14"/>
          <w:szCs w:val="14"/>
          <w:color w:val="auto"/>
        </w:rPr>
        <w:t>IPO Members and the Investor Post</w:t>
      </w:r>
      <w:r>
        <w:rPr>
          <w:rFonts w:ascii="MS PGothic" w:cs="MS PGothic" w:eastAsia="MS PGothic" w:hAnsi="MS PGothic"/>
          <w:sz w:val="14"/>
          <w:szCs w:val="14"/>
          <w:color w:val="auto"/>
        </w:rPr>
        <w:t>‑</w:t>
      </w:r>
      <w:r>
        <w:rPr>
          <w:rFonts w:ascii="Arial" w:cs="Arial" w:eastAsia="Arial" w:hAnsi="Arial"/>
          <w:sz w:val="14"/>
          <w:szCs w:val="14"/>
          <w:color w:val="auto"/>
        </w:rPr>
        <w:t>IPO Stockholders under the tax receivable agreements that are greater than our actual cash tax savings and may not be able to recoup those payments, which could negatively impact our liquidity.</w:t>
      </w:r>
    </w:p>
    <w:p>
      <w:pPr>
        <w:spacing w:after="0" w:line="203" w:lineRule="exact"/>
        <w:rPr>
          <w:sz w:val="20"/>
          <w:szCs w:val="20"/>
          <w:color w:val="auto"/>
        </w:rPr>
      </w:pPr>
    </w:p>
    <w:p>
      <w:pPr>
        <w:ind w:right="60" w:firstLine="568"/>
        <w:spacing w:after="0" w:line="302" w:lineRule="auto"/>
        <w:rPr>
          <w:sz w:val="20"/>
          <w:szCs w:val="20"/>
          <w:color w:val="auto"/>
        </w:rPr>
      </w:pPr>
      <w:r>
        <w:rPr>
          <w:rFonts w:ascii="Arial" w:cs="Arial" w:eastAsia="Arial" w:hAnsi="Arial"/>
          <w:sz w:val="14"/>
          <w:szCs w:val="14"/>
          <w:color w:val="auto"/>
        </w:rPr>
        <w:t>In addition, the tax receivable agreements provide that, upon certain mergers, asset sales or other forms of business combination, or certain other changes of control, our or our successor’s obligations with respect to tax benefits would be based on certain assumptions, including that we or our successor would have sufficient taxable income to fully utilize the increased tax deductions and tax basis and other benefits covered by the tax receivable agreements. As a result, upon a change of control, we could be required to make payments under a tax receivable agreement that are greater than the specified percentage of our actual cash tax savings, which could negatively impact our liquidity.</w:t>
      </w:r>
    </w:p>
    <w:p>
      <w:pPr>
        <w:spacing w:after="0" w:line="160" w:lineRule="exact"/>
        <w:rPr>
          <w:sz w:val="20"/>
          <w:szCs w:val="20"/>
          <w:color w:val="auto"/>
        </w:rPr>
      </w:pPr>
    </w:p>
    <w:p>
      <w:pPr>
        <w:ind w:firstLine="568"/>
        <w:spacing w:after="0" w:line="191" w:lineRule="exact"/>
        <w:rPr>
          <w:sz w:val="20"/>
          <w:szCs w:val="20"/>
          <w:color w:val="auto"/>
        </w:rPr>
      </w:pPr>
      <w:r>
        <w:rPr>
          <w:rFonts w:ascii="Arial" w:cs="Arial" w:eastAsia="Arial" w:hAnsi="Arial"/>
          <w:sz w:val="15"/>
          <w:szCs w:val="15"/>
          <w:color w:val="auto"/>
        </w:rPr>
        <w:t>In addition, the tax receivable agreements provide that in the case of a change in control of the Company, the Virtu Post</w:t>
      </w:r>
      <w:r>
        <w:rPr>
          <w:rFonts w:ascii="MS PGothic" w:cs="MS PGothic" w:eastAsia="MS PGothic" w:hAnsi="MS PGothic"/>
          <w:sz w:val="15"/>
          <w:szCs w:val="15"/>
          <w:color w:val="auto"/>
        </w:rPr>
        <w:t>‑</w:t>
      </w:r>
      <w:r>
        <w:rPr>
          <w:rFonts w:ascii="Arial" w:cs="Arial" w:eastAsia="Arial" w:hAnsi="Arial"/>
          <w:sz w:val="15"/>
          <w:szCs w:val="15"/>
          <w:color w:val="auto"/>
        </w:rPr>
        <w:t>IPO Members and the Investor Post</w:t>
      </w:r>
      <w:r>
        <w:rPr>
          <w:rFonts w:ascii="MS PGothic" w:cs="MS PGothic" w:eastAsia="MS PGothic" w:hAnsi="MS PGothic"/>
          <w:sz w:val="15"/>
          <w:szCs w:val="15"/>
          <w:color w:val="auto"/>
        </w:rPr>
        <w:t>‑</w:t>
      </w:r>
      <w:r>
        <w:rPr>
          <w:rFonts w:ascii="Arial" w:cs="Arial" w:eastAsia="Arial" w:hAnsi="Arial"/>
          <w:sz w:val="15"/>
          <w:szCs w:val="15"/>
          <w:color w:val="auto"/>
        </w:rPr>
        <w:t>IPO Stockholders have the option to terminate the applicable tax receivable agreement, and we are required to make a payment to such electing party in an amount equal to the present value of future payments (calculated using a discount rate equal to the lesser of 6.5% or LIBOR plus 100 basis points, which may differ from our, or a potential acquirer’s, then</w:t>
      </w:r>
      <w:r>
        <w:rPr>
          <w:rFonts w:ascii="MS PGothic" w:cs="MS PGothic" w:eastAsia="MS PGothic" w:hAnsi="MS PGothic"/>
          <w:sz w:val="15"/>
          <w:szCs w:val="15"/>
          <w:color w:val="auto"/>
        </w:rPr>
        <w:t>‑</w:t>
      </w:r>
      <w:r>
        <w:rPr>
          <w:rFonts w:ascii="Arial" w:cs="Arial" w:eastAsia="Arial" w:hAnsi="Arial"/>
          <w:sz w:val="15"/>
          <w:szCs w:val="15"/>
          <w:color w:val="auto"/>
        </w:rPr>
        <w:t>current cost of capital) under the tax receivable agreement, which payment would be based on certain assumptions, including those relating to our future taxable income. In these situations, our obligations under the tax receivable agreements could have a substantial negative impact on our, or a potential acquirer’s, liquidity and could have the effect of delaying, deferring, modifying or preventing certain mergers, asset sales, other forms of business combinations or other changes of control. These provisions of the tax receivable agreements may result in situations where the Virtu Post</w:t>
      </w:r>
      <w:r>
        <w:rPr>
          <w:rFonts w:ascii="MS PGothic" w:cs="MS PGothic" w:eastAsia="MS PGothic" w:hAnsi="MS PGothic"/>
          <w:sz w:val="15"/>
          <w:szCs w:val="15"/>
          <w:color w:val="auto"/>
        </w:rPr>
        <w:t>‑</w:t>
      </w:r>
      <w:r>
        <w:rPr>
          <w:rFonts w:ascii="Arial" w:cs="Arial" w:eastAsia="Arial" w:hAnsi="Arial"/>
          <w:sz w:val="15"/>
          <w:szCs w:val="15"/>
          <w:color w:val="auto"/>
        </w:rPr>
        <w:t>IPO Members and the Investor Post</w:t>
      </w:r>
      <w:r>
        <w:rPr>
          <w:rFonts w:ascii="MS PGothic" w:cs="MS PGothic" w:eastAsia="MS PGothic" w:hAnsi="MS PGothic"/>
          <w:sz w:val="15"/>
          <w:szCs w:val="15"/>
          <w:color w:val="auto"/>
        </w:rPr>
        <w:t>‑</w:t>
      </w:r>
      <w:r>
        <w:rPr>
          <w:rFonts w:ascii="Arial" w:cs="Arial" w:eastAsia="Arial" w:hAnsi="Arial"/>
          <w:sz w:val="15"/>
          <w:szCs w:val="15"/>
          <w:color w:val="auto"/>
        </w:rPr>
        <w:t>IPO Stockholders have interests that differ from or are in addition to those of our other shareholders. In addition, we could be required to make payments under the tax receivable agreements that are substantial and in excess of our, or a potential acquirer’s, actual cash savings in income tax.</w:t>
      </w:r>
    </w:p>
    <w:p>
      <w:pPr>
        <w:spacing w:after="0" w:line="204" w:lineRule="exact"/>
        <w:rPr>
          <w:sz w:val="20"/>
          <w:szCs w:val="20"/>
          <w:color w:val="auto"/>
        </w:rPr>
      </w:pPr>
    </w:p>
    <w:p>
      <w:pPr>
        <w:ind w:firstLine="568"/>
        <w:spacing w:after="0" w:line="252" w:lineRule="auto"/>
        <w:rPr>
          <w:sz w:val="20"/>
          <w:szCs w:val="20"/>
          <w:color w:val="auto"/>
        </w:rPr>
      </w:pPr>
      <w:r>
        <w:rPr>
          <w:rFonts w:ascii="Arial" w:cs="Arial" w:eastAsia="Arial" w:hAnsi="Arial"/>
          <w:sz w:val="16"/>
          <w:szCs w:val="16"/>
          <w:color w:val="auto"/>
        </w:rPr>
        <w:t>Finally, because we are a holding company with no operations of our own, our ability to make payments under the tax receivable agreements are dependent on the ability of our subsidiaries to make distributions to us. Our Credit Agreement restricts the ability of our subsidiaries to make distributions to us, which could affect our ability to make payments under the tax receivable agreements. To the extent that we are unable to make payments under the tax receivable agreements for any reason, such payments will be deferred and will accrue interest until paid, which could negatively impact our results of operations and cash flows and could also affect our liquidity in periods in which such payments are made.</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Class A Common Stock</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802" w:right="339" w:bottom="1440"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i w:val="1"/>
          <w:iCs w:val="1"/>
          <w:color w:val="auto"/>
        </w:rPr>
        <w:t>Substantial future sales of shares of our Class A common stock in the public market could cause our stock price to fall.</w:t>
      </w:r>
    </w:p>
    <w:p>
      <w:pPr>
        <w:spacing w:after="0" w:line="219" w:lineRule="exact"/>
        <w:rPr>
          <w:sz w:val="20"/>
          <w:szCs w:val="20"/>
          <w:color w:val="auto"/>
        </w:rPr>
      </w:pPr>
    </w:p>
    <w:p>
      <w:pPr>
        <w:ind w:right="100" w:firstLine="568"/>
        <w:spacing w:after="0" w:line="290" w:lineRule="auto"/>
        <w:rPr>
          <w:sz w:val="20"/>
          <w:szCs w:val="20"/>
          <w:color w:val="auto"/>
        </w:rPr>
      </w:pPr>
      <w:r>
        <w:rPr>
          <w:rFonts w:ascii="Arial" w:cs="Arial" w:eastAsia="Arial" w:hAnsi="Arial"/>
          <w:sz w:val="14"/>
          <w:szCs w:val="14"/>
          <w:color w:val="auto"/>
        </w:rPr>
        <w:t>As of December 31, 2021, we had 113,170,782 shares of Class A Common Stock outstanding, excluding 4,331,718 shares of Class A Common Stock issuable pursuant to the Amended and Restated 2015 Management Incentive Plan (as defined below) and 69,450,805 shares of Class A Common Stock issuable upon potential exchanges and/or conversions. Of these shares, the 85,298,747 shares sold in the IPO and the Secondary Offerings are freely tradable without further restriction under the Securities Act. The remaining 100,897,287 shares of Class A Common Stock outstanding as of December 31, 2021 (including shares issuable upon exchange and/or conversion) are “restricted securities,” as that term is defined under Rule 144 of the Securities Act. The holders of these remaining 100,897,287 shares of our Class A Common Stock, including shares issuable upon exchange or conversion as described above, are entitled to dispose of their shares pursuant to (i) the applicable holding period, volume and other restrictions of Rule 144 or (ii) another exemption from registration under the Securities Act. Additional sales of a substantial number of our shares of Class A Common Stock in the public market, or the perception that sales could occur, could have a material adverse effect on the price of our Class A Common Stock.</w:t>
      </w:r>
    </w:p>
    <w:p>
      <w:pPr>
        <w:spacing w:after="0" w:line="172" w:lineRule="exact"/>
        <w:rPr>
          <w:sz w:val="20"/>
          <w:szCs w:val="20"/>
          <w:color w:val="auto"/>
        </w:rPr>
      </w:pPr>
    </w:p>
    <w:p>
      <w:pPr>
        <w:ind w:right="20" w:firstLine="568"/>
        <w:spacing w:after="0" w:line="254" w:lineRule="auto"/>
        <w:rPr>
          <w:sz w:val="20"/>
          <w:szCs w:val="20"/>
          <w:color w:val="auto"/>
        </w:rPr>
      </w:pPr>
      <w:r>
        <w:rPr>
          <w:rFonts w:ascii="Arial" w:cs="Arial" w:eastAsia="Arial" w:hAnsi="Arial"/>
          <w:sz w:val="16"/>
          <w:szCs w:val="16"/>
          <w:color w:val="auto"/>
        </w:rPr>
        <w:t>We have filed a registration statement under the Securities Act registering 21,000,000 shares of our Class A Common Stock reserved for issuance under our Amended and Restated 2015 Management Incentive Plan, 4,331,718 of which are issuable, and we entered into the Registration Rights Agreement (as defined below) pursuant to which we granted demand and piggyback registration rights to the Founder Post-IPO Member, Temasek, the North Island Stockholder and piggyback registration rights to certain of the other Virtu Post-IPO Members.</w:t>
      </w:r>
    </w:p>
    <w:p>
      <w:pPr>
        <w:spacing w:after="0" w:line="192" w:lineRule="exact"/>
        <w:rPr>
          <w:sz w:val="20"/>
          <w:szCs w:val="20"/>
          <w:color w:val="auto"/>
        </w:rPr>
      </w:pPr>
    </w:p>
    <w:p>
      <w:pPr>
        <w:ind w:right="400"/>
        <w:spacing w:after="0" w:line="268" w:lineRule="auto"/>
        <w:rPr>
          <w:sz w:val="20"/>
          <w:szCs w:val="20"/>
          <w:color w:val="auto"/>
        </w:rPr>
      </w:pPr>
      <w:r>
        <w:rPr>
          <w:rFonts w:ascii="Arial" w:cs="Arial" w:eastAsia="Arial" w:hAnsi="Arial"/>
          <w:sz w:val="16"/>
          <w:szCs w:val="16"/>
          <w:b w:val="1"/>
          <w:bCs w:val="1"/>
          <w:i w:val="1"/>
          <w:iCs w:val="1"/>
          <w:color w:val="auto"/>
        </w:rPr>
        <w:t>Failure to establish and maintain effective internal control over financial reporting could have a material adverse effect on our business, financial condition, results of operations and cash flows, and stock price.</w:t>
      </w:r>
    </w:p>
    <w:p>
      <w:pPr>
        <w:spacing w:after="0" w:line="181" w:lineRule="exact"/>
        <w:rPr>
          <w:sz w:val="20"/>
          <w:szCs w:val="20"/>
          <w:color w:val="auto"/>
        </w:rPr>
      </w:pPr>
    </w:p>
    <w:p>
      <w:pPr>
        <w:ind w:firstLine="568"/>
        <w:spacing w:after="0" w:line="267" w:lineRule="auto"/>
        <w:rPr>
          <w:sz w:val="20"/>
          <w:szCs w:val="20"/>
          <w:color w:val="auto"/>
        </w:rPr>
      </w:pPr>
      <w:r>
        <w:rPr>
          <w:rFonts w:ascii="Arial" w:cs="Arial" w:eastAsia="Arial" w:hAnsi="Arial"/>
          <w:sz w:val="15"/>
          <w:szCs w:val="15"/>
          <w:color w:val="auto"/>
        </w:rPr>
        <w:t>Maintaining effective internal control over financial reporting is necessary for us to produce reliable financial reports and is important in helping to prevent financial fraud. If we are unable to maintain adequate internal controls over financial reporting, our business and operating results could be harmed. Under applicable SEC rules we must maintain internal controls over financial reporting to satisfy the requirements of Section 404 of the Sarbanes-Oxley Act of 2002 (“Sarbanes-Oxley”) and the related rules of the SEC, which require, among other things, our management to assess annually the effectiveness of our internal control over financial reporting and our independent registered public accounting firm to issue a report on the effectiveness of internal control over financial reporting with our Annual Report on Form 10-K. The internal control assessment required by Section 404 of Sarbanes-Oxley may divert internal resources and we may experience higher operating expenses, higher independent auditor and consulting fees during the implementation of these changes. Any material weaknesses or any failure to implement required new or improved controls or difficulties encountered in their implementation could cause us to fail to meet our reporting obligations or result in material misstatements in our consolidated financial statements. If our management or our independent registered public accounting firm were to conclude in their reports that our internal control over financial reporting was not effective, investors could lose confidence in our reported financial information, and the trading price of our Class A Common Stock could drop significantly. Failure to comply with Section 404 of Sarbanes-Oxley could potentially subject us to sanctions or investigations by the SEC, FINRA or other regulatory authorities, as well as increase the risk of liability arising from litigation based on securities law.</w:t>
      </w:r>
    </w:p>
    <w:p>
      <w:pPr>
        <w:spacing w:after="0" w:line="183" w:lineRule="exact"/>
        <w:rPr>
          <w:sz w:val="20"/>
          <w:szCs w:val="20"/>
          <w:color w:val="auto"/>
        </w:rPr>
      </w:pPr>
    </w:p>
    <w:p>
      <w:pPr>
        <w:ind w:right="340"/>
        <w:spacing w:after="0" w:line="268" w:lineRule="auto"/>
        <w:rPr>
          <w:sz w:val="20"/>
          <w:szCs w:val="20"/>
          <w:color w:val="auto"/>
        </w:rPr>
      </w:pPr>
      <w:r>
        <w:rPr>
          <w:rFonts w:ascii="Arial" w:cs="Arial" w:eastAsia="Arial" w:hAnsi="Arial"/>
          <w:sz w:val="16"/>
          <w:szCs w:val="16"/>
          <w:b w:val="1"/>
          <w:bCs w:val="1"/>
          <w:i w:val="1"/>
          <w:iCs w:val="1"/>
          <w:color w:val="auto"/>
        </w:rPr>
        <w:t>We intend to pay regular dividends to our stockholders, but our ability to do so may be limited by our holding company structure, contractual restrictions and regulatory requirements.</w:t>
      </w:r>
    </w:p>
    <w:p>
      <w:pPr>
        <w:spacing w:after="0" w:line="169" w:lineRule="exact"/>
        <w:rPr>
          <w:sz w:val="20"/>
          <w:szCs w:val="20"/>
          <w:color w:val="auto"/>
        </w:rPr>
      </w:pPr>
    </w:p>
    <w:p>
      <w:pPr>
        <w:ind w:right="20" w:firstLine="568"/>
        <w:spacing w:after="0" w:line="254" w:lineRule="auto"/>
        <w:rPr>
          <w:sz w:val="20"/>
          <w:szCs w:val="20"/>
          <w:color w:val="auto"/>
        </w:rPr>
      </w:pPr>
      <w:r>
        <w:rPr>
          <w:rFonts w:ascii="Arial" w:cs="Arial" w:eastAsia="Arial" w:hAnsi="Arial"/>
          <w:sz w:val="14"/>
          <w:szCs w:val="14"/>
          <w:color w:val="auto"/>
        </w:rPr>
        <w:t>We intend to pay cash dividends on a quarterly basis. See Item 5, “Market for Registrant’s Common Equity, Related Stockholder Matters and Issuer Purchases of Equity Securities.” However, we are a holding company, with our principal asset being our direct and indirect equity interests in Virtu Financial, and we will have no independent means of generating revenue. Accordingly, as the sole managing member of Virtu Financial, we intend to cause, and will rely on, Virtu Financial to make distributions to its equity holders, including the Founder Post-IPO Member, the Employee Trust, Virtu Employee Holdco and us, to fund our dividends. When Virtu Financial makes such distributions, the other equity holders of Virtu Financial will be entitled to receive equivalent distributions pro rata based on their economic interests in Virtu Financial. In order for Virtu Financial to make distributions, it may need to receive distributions from its subsidiaries. Certain of these subsidiaries are or may in the future be subject to regulatory capital requirements that limit the size or frequency of distributions. See “Item 1A. Risk Factors - Risks Related to Our Business - Non-compliance with applicable laws or regulatory requirements could subject us to sanctions and could negatively impact our reputation, prospects, revenues and earnings.” If Virtu Financial is unable to cause these subsidiaries to make distributions, we may not receive adequate distributions from Virtu Financial in order to fund our dividends.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36" w:name="page37"/>
    <w:bookmarkEnd w:id="36"/>
    <w:p>
      <w:pPr>
        <w:ind w:firstLine="568"/>
        <w:spacing w:after="0" w:line="250" w:lineRule="auto"/>
        <w:rPr>
          <w:sz w:val="20"/>
          <w:szCs w:val="20"/>
          <w:color w:val="auto"/>
        </w:rPr>
      </w:pPr>
      <w:r>
        <w:rPr>
          <w:rFonts w:ascii="Arial" w:cs="Arial" w:eastAsia="Arial" w:hAnsi="Arial"/>
          <w:sz w:val="16"/>
          <w:szCs w:val="16"/>
          <w:color w:val="auto"/>
        </w:rPr>
        <w:t>Our Board of Directors will periodically review the cash generated from our business and the capital expenditures required to finance our global growth plans and determine whether to modify the amount of regular dividends and/or declare periodic special dividends to our stockholders. Our Board of Directors will take into account general economic and business conditions, including our financial condition, results of operations and cash flows, capital requirements, contractual restrictions, including restrictions contained in our Credit Agreement, business prospects and other factors that our Board of Directors considers relevant. There can be no assurance that our Board of Directors will not reduce the amount of regular cash dividends or cause us to cease paying dividends altogether. In addition, our Credit Agreement limits the amount of distributions our subsidiaries, including Virtu Financial, can make to us and the purposes for which distributions could be made. Accordingly, we may not be able to pay dividends even if our Board of Directors would otherwise deem it appropriate. See “Item 7. Management’s Discussion and Analysis of Financial Condition and Results of Operations - Liquidity and Capital Resources.”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Provisions in our charter documents and certain rules imposed by regulatory authorities may delay or prevent our acquisition by a third party.</w:t>
      </w:r>
    </w:p>
    <w:p>
      <w:pPr>
        <w:spacing w:after="0" w:line="219" w:lineRule="exact"/>
        <w:rPr>
          <w:sz w:val="20"/>
          <w:szCs w:val="20"/>
          <w:color w:val="auto"/>
        </w:rPr>
      </w:pPr>
    </w:p>
    <w:p>
      <w:pPr>
        <w:ind w:right="280" w:firstLine="568"/>
        <w:spacing w:after="0" w:line="302" w:lineRule="auto"/>
        <w:rPr>
          <w:sz w:val="20"/>
          <w:szCs w:val="20"/>
          <w:color w:val="auto"/>
        </w:rPr>
      </w:pPr>
      <w:r>
        <w:rPr>
          <w:rFonts w:ascii="Arial" w:cs="Arial" w:eastAsia="Arial" w:hAnsi="Arial"/>
          <w:sz w:val="14"/>
          <w:szCs w:val="14"/>
          <w:color w:val="auto"/>
        </w:rPr>
        <w:t>Our amended and restated certificate of incorporation and by-laws contain several provisions that may make it more difficult or expensive for a third party to acquire control of us without the approval of our Board of Directors. These provisions, which may delay, prevent or deter a merger, acquisition, tender offer, proxy contest or other transaction that stockholders may consider favorable, include the following, some of which may only become effective when the Founder Post-IPO Member or any of its affiliates or permitted transferees no longer beneficially own shares representing 25% of our issued and outstanding common stock (the “Triggering Event”):</w:t>
      </w:r>
    </w:p>
    <w:p>
      <w:pPr>
        <w:spacing w:after="0" w:line="160" w:lineRule="exact"/>
        <w:rPr>
          <w:sz w:val="20"/>
          <w:szCs w:val="20"/>
          <w:color w:val="auto"/>
        </w:rPr>
      </w:pPr>
    </w:p>
    <w:p>
      <w:pPr>
        <w:ind w:left="840" w:hanging="277"/>
        <w:spacing w:after="0"/>
        <w:tabs>
          <w:tab w:leader="none" w:pos="8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10 vote per share feature of our Class B Common Stock and Class D Common Stock;</w:t>
      </w:r>
    </w:p>
    <w:p>
      <w:pPr>
        <w:spacing w:after="0" w:line="16" w:lineRule="exact"/>
        <w:rPr>
          <w:rFonts w:ascii="Arial" w:cs="Arial" w:eastAsia="Arial" w:hAnsi="Arial"/>
          <w:sz w:val="16"/>
          <w:szCs w:val="16"/>
          <w:color w:val="auto"/>
        </w:rPr>
      </w:pPr>
    </w:p>
    <w:p>
      <w:pPr>
        <w:ind w:left="840" w:hanging="277"/>
        <w:spacing w:after="0"/>
        <w:tabs>
          <w:tab w:leader="none" w:pos="8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division of our Board of Directors into three classes and the election of each class for three-year terms;</w:t>
      </w:r>
    </w:p>
    <w:p>
      <w:pPr>
        <w:spacing w:after="0" w:line="5" w:lineRule="exact"/>
        <w:rPr>
          <w:rFonts w:ascii="Arial" w:cs="Arial" w:eastAsia="Arial" w:hAnsi="Arial"/>
          <w:sz w:val="16"/>
          <w:szCs w:val="16"/>
          <w:color w:val="auto"/>
        </w:rPr>
      </w:pPr>
    </w:p>
    <w:p>
      <w:pPr>
        <w:ind w:left="840" w:hanging="277"/>
        <w:spacing w:after="0"/>
        <w:tabs>
          <w:tab w:leader="none" w:pos="8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sole ability of the Board of Directors to fill a vacancy created by the expansion of the Board of Directors;</w:t>
      </w:r>
    </w:p>
    <w:p>
      <w:pPr>
        <w:spacing w:after="0" w:line="5" w:lineRule="exact"/>
        <w:rPr>
          <w:rFonts w:ascii="Arial" w:cs="Arial" w:eastAsia="Arial" w:hAnsi="Arial"/>
          <w:sz w:val="16"/>
          <w:szCs w:val="16"/>
          <w:color w:val="auto"/>
        </w:rPr>
      </w:pPr>
    </w:p>
    <w:p>
      <w:pPr>
        <w:ind w:left="840" w:hanging="277"/>
        <w:spacing w:after="0"/>
        <w:tabs>
          <w:tab w:leader="none" w:pos="8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advance notice requirements for stockholder proposals and director nominations;</w:t>
      </w:r>
    </w:p>
    <w:p>
      <w:pPr>
        <w:spacing w:after="0" w:line="5" w:lineRule="exact"/>
        <w:rPr>
          <w:rFonts w:ascii="Arial" w:cs="Arial" w:eastAsia="Arial" w:hAnsi="Arial"/>
          <w:sz w:val="16"/>
          <w:szCs w:val="16"/>
          <w:color w:val="auto"/>
        </w:rPr>
      </w:pPr>
    </w:p>
    <w:p>
      <w:pPr>
        <w:ind w:left="840" w:right="120" w:hanging="277"/>
        <w:spacing w:after="0" w:line="247" w:lineRule="auto"/>
        <w:tabs>
          <w:tab w:leader="none" w:pos="836" w:val="left"/>
        </w:tabs>
        <w:numPr>
          <w:ilvl w:val="0"/>
          <w:numId w:val="21"/>
        </w:numPr>
        <w:rPr>
          <w:rFonts w:ascii="Arial" w:cs="Arial" w:eastAsia="Arial" w:hAnsi="Arial"/>
          <w:sz w:val="16"/>
          <w:szCs w:val="16"/>
          <w:color w:val="auto"/>
        </w:rPr>
      </w:pPr>
      <w:r>
        <w:rPr>
          <w:rFonts w:ascii="Arial" w:cs="Arial" w:eastAsia="Arial" w:hAnsi="Arial"/>
          <w:sz w:val="16"/>
          <w:szCs w:val="16"/>
          <w:color w:val="auto"/>
        </w:rPr>
        <w:t>after the Triggering Event, provisions limiting stockholders' ability to call special meetings of stockholders, to require special meetings of stockholders to be called and to take action by written consent;</w:t>
      </w:r>
    </w:p>
    <w:p>
      <w:pPr>
        <w:jc w:val="both"/>
        <w:ind w:left="840" w:right="160" w:hanging="277"/>
        <w:spacing w:after="0" w:line="247" w:lineRule="auto"/>
        <w:tabs>
          <w:tab w:leader="none" w:pos="836" w:val="left"/>
        </w:tabs>
        <w:numPr>
          <w:ilvl w:val="0"/>
          <w:numId w:val="21"/>
        </w:numPr>
        <w:rPr>
          <w:rFonts w:ascii="Arial" w:cs="Arial" w:eastAsia="Arial" w:hAnsi="Arial"/>
          <w:sz w:val="16"/>
          <w:szCs w:val="16"/>
          <w:color w:val="auto"/>
        </w:rPr>
      </w:pPr>
      <w:r>
        <w:rPr>
          <w:rFonts w:ascii="Arial" w:cs="Arial" w:eastAsia="Arial" w:hAnsi="Arial"/>
          <w:sz w:val="16"/>
          <w:szCs w:val="16"/>
          <w:color w:val="auto"/>
        </w:rPr>
        <w:t>after the Triggering Event, in certain cases, the approval of holders of at least 75% of the shares entitled to vote generally on the making, alteration, amendment or repeal of our certificate of incorporation or by-laws will be required to adopt, amend or repeal our by-laws, or amend or repeal certain provisions of our certificate of incorporation;</w:t>
      </w:r>
    </w:p>
    <w:p>
      <w:pPr>
        <w:ind w:left="840" w:right="260" w:hanging="277"/>
        <w:spacing w:after="0" w:line="247" w:lineRule="auto"/>
        <w:tabs>
          <w:tab w:leader="none" w:pos="836" w:val="left"/>
        </w:tabs>
        <w:numPr>
          <w:ilvl w:val="0"/>
          <w:numId w:val="21"/>
        </w:numPr>
        <w:rPr>
          <w:rFonts w:ascii="Arial" w:cs="Arial" w:eastAsia="Arial" w:hAnsi="Arial"/>
          <w:sz w:val="16"/>
          <w:szCs w:val="16"/>
          <w:color w:val="auto"/>
        </w:rPr>
      </w:pPr>
      <w:r>
        <w:rPr>
          <w:rFonts w:ascii="Arial" w:cs="Arial" w:eastAsia="Arial" w:hAnsi="Arial"/>
          <w:sz w:val="16"/>
          <w:szCs w:val="16"/>
          <w:color w:val="auto"/>
        </w:rPr>
        <w:t>after the Triggering Event, the required approval of holders of at least 75% of the shares entitled to vote at an election of the directors to remove directors, which removal may only be for cause; and</w:t>
      </w:r>
    </w:p>
    <w:p>
      <w:pPr>
        <w:ind w:left="840" w:right="300" w:hanging="277"/>
        <w:spacing w:after="0" w:line="250" w:lineRule="auto"/>
        <w:tabs>
          <w:tab w:leader="none" w:pos="836"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ability of our Board of Directors to designate the terms of and issue new series of preferred stock without stockholder approval, which could be used, among other things, to institute a rights plan that would have the effect of significantly diluting the stock ownership of a potential hostile acquirer, likely preventing acquisitions that have not been approved by our Board of Directors.</w:t>
      </w:r>
    </w:p>
    <w:p>
      <w:pPr>
        <w:spacing w:after="0" w:line="195" w:lineRule="exact"/>
        <w:rPr>
          <w:sz w:val="20"/>
          <w:szCs w:val="20"/>
          <w:color w:val="auto"/>
        </w:rPr>
      </w:pPr>
    </w:p>
    <w:p>
      <w:pPr>
        <w:ind w:right="200" w:firstLine="568"/>
        <w:spacing w:after="0" w:line="302" w:lineRule="auto"/>
        <w:rPr>
          <w:sz w:val="20"/>
          <w:szCs w:val="20"/>
          <w:color w:val="auto"/>
        </w:rPr>
      </w:pPr>
      <w:r>
        <w:rPr>
          <w:rFonts w:ascii="Arial" w:cs="Arial" w:eastAsia="Arial" w:hAnsi="Arial"/>
          <w:sz w:val="15"/>
          <w:szCs w:val="15"/>
          <w:color w:val="auto"/>
        </w:rPr>
        <w:t>These provisions of our amended and restated certificate of incorporation and by-laws could discourage potential takeover attempts and reduce the price that investors might be willing to pay for shares of our Class A Common Stock in the future, which could reduce the market price of our Class A Common Stock.</w:t>
      </w:r>
    </w:p>
    <w:p>
      <w:pPr>
        <w:spacing w:after="0" w:line="158" w:lineRule="exact"/>
        <w:rPr>
          <w:sz w:val="20"/>
          <w:szCs w:val="20"/>
          <w:color w:val="auto"/>
        </w:rPr>
      </w:pPr>
    </w:p>
    <w:p>
      <w:pPr>
        <w:ind w:right="120" w:firstLine="568"/>
        <w:spacing w:after="0" w:line="271" w:lineRule="auto"/>
        <w:rPr>
          <w:sz w:val="20"/>
          <w:szCs w:val="20"/>
          <w:color w:val="auto"/>
        </w:rPr>
      </w:pPr>
      <w:r>
        <w:rPr>
          <w:rFonts w:ascii="Arial" w:cs="Arial" w:eastAsia="Arial" w:hAnsi="Arial"/>
          <w:sz w:val="15"/>
          <w:szCs w:val="15"/>
          <w:color w:val="auto"/>
        </w:rPr>
        <w:t>In addition, a third party attempting to acquire us or a substantial position in our Class A Common Stock may be delayed or ultimately prevented from doing so by change in ownership or control regulations to which certain of our regulated subsidiaries are subject. FINRA Rule 1017 generally provides that FINRA approval must be obtained in connection with any transaction resulting in a single person or entity owning, directly or indirectly, 25% or more of a member firm’s equity and would include a change in control of a parent company. Similarly, VFIL, VIEL and VIUK are subject to change in control regulations promulgated by the CBI and/or the FCA. We may also be subject to similar restrictions in other jurisdictions in which we operate. These regulations could discourage potential takeover attempts and reduce the price that investors might be willing to pay for shares of our Class A Common Stock in the future, which could reduce the market price of our Class A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 Risks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stock price may be volatile.</w:t>
      </w:r>
    </w:p>
    <w:p>
      <w:pPr>
        <w:spacing w:after="0" w:line="219" w:lineRule="exact"/>
        <w:rPr>
          <w:sz w:val="20"/>
          <w:szCs w:val="20"/>
          <w:color w:val="auto"/>
        </w:rPr>
      </w:pPr>
    </w:p>
    <w:p>
      <w:pPr>
        <w:jc w:val="both"/>
        <w:ind w:right="160" w:firstLine="568"/>
        <w:spacing w:after="0" w:line="257" w:lineRule="auto"/>
        <w:rPr>
          <w:sz w:val="20"/>
          <w:szCs w:val="20"/>
          <w:color w:val="auto"/>
        </w:rPr>
      </w:pPr>
      <w:r>
        <w:rPr>
          <w:rFonts w:ascii="Arial" w:cs="Arial" w:eastAsia="Arial" w:hAnsi="Arial"/>
          <w:sz w:val="16"/>
          <w:szCs w:val="16"/>
          <w:color w:val="auto"/>
        </w:rPr>
        <w:t>The market price of our Class A Common Stock is subject to significant fluctuations in response to, among other factors, variations in our operating results and market conditions specific to our business. Furthermore, in recent years the stock market has experienced significant price and volume fluctuations. This volatility has had a significant impact on the market</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802" w:right="319" w:bottom="1440" w:gutter="0" w:footer="0" w:header="0"/>
        </w:sectPr>
      </w:pPr>
    </w:p>
    <w:bookmarkStart w:id="37" w:name="page38"/>
    <w:bookmarkEnd w:id="37"/>
    <w:p>
      <w:pPr>
        <w:jc w:val="both"/>
        <w:ind w:right="220"/>
        <w:spacing w:after="0" w:line="257" w:lineRule="auto"/>
        <w:rPr>
          <w:sz w:val="20"/>
          <w:szCs w:val="20"/>
          <w:color w:val="auto"/>
        </w:rPr>
      </w:pPr>
      <w:r>
        <w:rPr>
          <w:rFonts w:ascii="Arial" w:cs="Arial" w:eastAsia="Arial" w:hAnsi="Arial"/>
          <w:sz w:val="16"/>
          <w:szCs w:val="16"/>
          <w:color w:val="auto"/>
        </w:rPr>
        <w:t>price of securities issued by many companies, including companies in our industry. The changes frequently appear to occur without regard to the operating performance of the affected companies. As such, the price of our Class A Common Stock could fluctuate based upon factors that have little or nothing to do with us, and these fluctuations could materially reduce the price of our Class A Common Stock and materially affect the value of your investment.</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incur increased costs as a result of being a public company.</w:t>
      </w:r>
    </w:p>
    <w:p>
      <w:pPr>
        <w:spacing w:after="0" w:line="219" w:lineRule="exact"/>
        <w:rPr>
          <w:sz w:val="20"/>
          <w:szCs w:val="20"/>
          <w:color w:val="auto"/>
        </w:rPr>
      </w:pPr>
    </w:p>
    <w:p>
      <w:pPr>
        <w:ind w:right="40" w:firstLine="568"/>
        <w:spacing w:after="0" w:line="288" w:lineRule="auto"/>
        <w:rPr>
          <w:sz w:val="20"/>
          <w:szCs w:val="20"/>
          <w:color w:val="auto"/>
        </w:rPr>
      </w:pPr>
      <w:r>
        <w:rPr>
          <w:rFonts w:ascii="Arial" w:cs="Arial" w:eastAsia="Arial" w:hAnsi="Arial"/>
          <w:sz w:val="14"/>
          <w:szCs w:val="14"/>
          <w:color w:val="auto"/>
        </w:rPr>
        <w:t>As a public company, we incur significant levels of legal, accounting and other expenses. Sarbanes-Oxley and related rules of the SEC, together with the listing requirements of NASDAQ, impose significant requirements relating to disclosure controls and procedures and internal control over financial reporting. We have incurred increased costs as a result of compliance with these public company requirements, which require additional resources and make some activities more time consuming than they have been in the past when we were privately owned. We may experience higher than anticipated operating expenses as well as higher independent auditor and consulting fees during the implementation of these changes and thereafter and we may need to hire additional qualified personnel in order to continue to satisfy these public company requirements. We are required to expend considerable time and resources complying with public company regulations. In addition, these laws and regulations may make it more difficult or costly for us to obtain certain types of insurance, including director and officer liability insurance, and we may be forced to accept reduced policy limits and coverage or incur substantially higher costs to obtain the same or similar coverage. In addition, these laws and regulations could make it more difficult for us to attract and retain qualified persons to serve on our Board of Directors or as executive officers and may divert management’s attention. Furthermore, if we are unable to satisfy our obligations as a public company, we could be subject to delisting of our Class A Common Stock, fines, sanctions and other regulatory action.</w:t>
      </w:r>
    </w:p>
    <w:p>
      <w:pPr>
        <w:spacing w:after="0" w:line="175" w:lineRule="exact"/>
        <w:rPr>
          <w:sz w:val="20"/>
          <w:szCs w:val="20"/>
          <w:color w:val="auto"/>
        </w:rPr>
      </w:pPr>
    </w:p>
    <w:p>
      <w:pPr>
        <w:ind w:right="380"/>
        <w:spacing w:after="0" w:line="268" w:lineRule="auto"/>
        <w:rPr>
          <w:sz w:val="20"/>
          <w:szCs w:val="20"/>
          <w:color w:val="auto"/>
        </w:rPr>
      </w:pPr>
      <w:r>
        <w:rPr>
          <w:rFonts w:ascii="Arial" w:cs="Arial" w:eastAsia="Arial" w:hAnsi="Arial"/>
          <w:sz w:val="16"/>
          <w:szCs w:val="16"/>
          <w:b w:val="1"/>
          <w:bCs w:val="1"/>
          <w:i w:val="1"/>
          <w:iCs w:val="1"/>
          <w:color w:val="auto"/>
        </w:rPr>
        <w:t>Our stock price and trading volume could decline as a result of inaccurate or unfavorable research, or the cessation of research cover, about our business published by securities or industry analysts.</w:t>
      </w:r>
    </w:p>
    <w:p>
      <w:pPr>
        <w:spacing w:after="0" w:line="181" w:lineRule="exact"/>
        <w:rPr>
          <w:sz w:val="20"/>
          <w:szCs w:val="20"/>
          <w:color w:val="auto"/>
        </w:rPr>
      </w:pPr>
    </w:p>
    <w:p>
      <w:pPr>
        <w:ind w:firstLine="568"/>
        <w:spacing w:after="0" w:line="302" w:lineRule="auto"/>
        <w:rPr>
          <w:sz w:val="20"/>
          <w:szCs w:val="20"/>
          <w:color w:val="auto"/>
        </w:rPr>
      </w:pPr>
      <w:r>
        <w:rPr>
          <w:rFonts w:ascii="Arial" w:cs="Arial" w:eastAsia="Arial" w:hAnsi="Arial"/>
          <w:sz w:val="14"/>
          <w:szCs w:val="14"/>
          <w:color w:val="auto"/>
        </w:rPr>
        <w:t>The trading market for our Class A Common Stock may be affected by the research and reports that securities or industry analysts publish about us or our business. If one or more of the analysts who covers us downgrades our Class A Common Stock or publishes inaccurate or unfavorable research about our business, our stock price could decline. In addition, the analysts’ projections may have little or no relationship to the results we actually achieve and could cause our stock price to decline if we fail to meet their projections. If one or more of these analysts ceases coverage of us or fails to publish reports on us regularly, our stock price or trading volume could decline.</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reported financial results depend on management’s selection of accounting methods and certain assumptions and estimates.</w:t>
      </w:r>
    </w:p>
    <w:p>
      <w:pPr>
        <w:spacing w:after="0" w:line="219" w:lineRule="exact"/>
        <w:rPr>
          <w:sz w:val="20"/>
          <w:szCs w:val="20"/>
          <w:color w:val="auto"/>
        </w:rPr>
      </w:pPr>
    </w:p>
    <w:p>
      <w:pPr>
        <w:ind w:right="20" w:firstLine="568"/>
        <w:spacing w:after="0" w:line="252" w:lineRule="auto"/>
        <w:rPr>
          <w:sz w:val="20"/>
          <w:szCs w:val="20"/>
          <w:color w:val="auto"/>
        </w:rPr>
      </w:pPr>
      <w:r>
        <w:rPr>
          <w:rFonts w:ascii="Arial" w:cs="Arial" w:eastAsia="Arial" w:hAnsi="Arial"/>
          <w:sz w:val="16"/>
          <w:szCs w:val="16"/>
          <w:color w:val="auto"/>
        </w:rPr>
        <w:t>Our accounting policies and assumptions are fundamental to our reported financial condition, and results of operations and cash flows. Our management must exercise judgment in selecting and applying many of these accounting policies and methods to comply with generally accepted accounting principles and reflect management’s judgment of the most appropriate manner to report our financial condition, results of operations and cash flows. In some cases, management must select the accounting policy or method to apply from multiple alternatives, any of which may be reasonable under the circumstances, yet each may result in the reporting of materially different results than would have been reported under a different alternative.</w:t>
      </w:r>
    </w:p>
    <w:p>
      <w:pPr>
        <w:spacing w:after="0" w:line="194" w:lineRule="exact"/>
        <w:rPr>
          <w:sz w:val="20"/>
          <w:szCs w:val="20"/>
          <w:color w:val="auto"/>
        </w:rPr>
      </w:pPr>
    </w:p>
    <w:p>
      <w:pPr>
        <w:ind w:right="300" w:firstLine="568"/>
        <w:spacing w:after="0" w:line="283" w:lineRule="auto"/>
        <w:rPr>
          <w:sz w:val="20"/>
          <w:szCs w:val="20"/>
          <w:color w:val="auto"/>
        </w:rPr>
      </w:pPr>
      <w:r>
        <w:rPr>
          <w:rFonts w:ascii="Arial" w:cs="Arial" w:eastAsia="Arial" w:hAnsi="Arial"/>
          <w:sz w:val="15"/>
          <w:szCs w:val="15"/>
          <w:color w:val="auto"/>
        </w:rPr>
        <w:t>Certain accounting policies are critical to presenting our reported financial condition and results. They require management to make difficult, subjective or complex judgments about matters that are uncertain. Materially different amounts could be reported under different conditions or using different assumptions or estimates. If such estimates or assumptions underlying our financial statements are incorrect, we may experience material losses.</w:t>
      </w:r>
    </w:p>
    <w:p>
      <w:pPr>
        <w:spacing w:after="0" w:line="171" w:lineRule="exact"/>
        <w:rPr>
          <w:sz w:val="20"/>
          <w:szCs w:val="20"/>
          <w:color w:val="auto"/>
        </w:rPr>
      </w:pPr>
    </w:p>
    <w:p>
      <w:pPr>
        <w:ind w:right="60" w:firstLine="568"/>
        <w:spacing w:after="0" w:line="302" w:lineRule="auto"/>
        <w:rPr>
          <w:sz w:val="20"/>
          <w:szCs w:val="20"/>
          <w:color w:val="auto"/>
        </w:rPr>
      </w:pPr>
      <w:r>
        <w:rPr>
          <w:rFonts w:ascii="Arial" w:cs="Arial" w:eastAsia="Arial" w:hAnsi="Arial"/>
          <w:sz w:val="14"/>
          <w:szCs w:val="14"/>
          <w:color w:val="auto"/>
        </w:rPr>
        <w:t>Additionally, from time to time, the Financial Accounting Standards Board and the SEC change the financial accounting and reporting standards or the interpretation of those standards that govern the preparation of our financial statements. These changes are beyond our control, can be difficult to predict and could materially impact how we report our financial condition, results of operations and cash flows. Changes in these standards are continuously occurring, and given the current economic environment, more drastic changes may occur. The implementation of such changes could have a material adverse effect on our business, financial condition and results of operation.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802" w:right="359" w:bottom="1440" w:gutter="0" w:footer="0" w:header="0"/>
        </w:sectPr>
      </w:pPr>
    </w:p>
    <w:bookmarkStart w:id="38" w:name="page39"/>
    <w:bookmarkEnd w:id="38"/>
    <w:p>
      <w:pPr>
        <w:spacing w:after="0"/>
        <w:rPr>
          <w:sz w:val="20"/>
          <w:szCs w:val="20"/>
          <w:color w:val="auto"/>
        </w:rPr>
      </w:pPr>
      <w:r>
        <w:rPr>
          <w:rFonts w:ascii="Arial" w:cs="Arial" w:eastAsia="Arial" w:hAnsi="Arial"/>
          <w:sz w:val="16"/>
          <w:szCs w:val="16"/>
          <w:b w:val="1"/>
          <w:bCs w:val="1"/>
          <w:color w:val="auto"/>
        </w:rPr>
        <w:t>ITEM 1B. UNRESOLVED STAFF COMMENTS</w:t>
      </w:r>
    </w:p>
    <w:p>
      <w:pPr>
        <w:spacing w:after="0" w:line="19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right"/>
        <w:ind w:right="443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139"/>
          </w:cols>
          <w:pgMar w:left="320" w:top="987" w:right="1440" w:bottom="1440" w:gutter="0" w:footer="0" w:header="0"/>
        </w:sectPr>
      </w:pPr>
    </w:p>
    <w:bookmarkStart w:id="39" w:name="page40"/>
    <w:bookmarkEnd w:id="39"/>
    <w:p>
      <w:pPr>
        <w:spacing w:after="0"/>
        <w:rPr>
          <w:sz w:val="20"/>
          <w:szCs w:val="20"/>
          <w:color w:val="auto"/>
        </w:rPr>
      </w:pPr>
      <w:r>
        <w:rPr>
          <w:rFonts w:ascii="Arial" w:cs="Arial" w:eastAsia="Arial" w:hAnsi="Arial"/>
          <w:sz w:val="16"/>
          <w:szCs w:val="16"/>
          <w:b w:val="1"/>
          <w:bCs w:val="1"/>
          <w:color w:val="auto"/>
        </w:rPr>
        <w:t>ITEM 2. PROPERTIES</w:t>
      </w:r>
    </w:p>
    <w:p>
      <w:pPr>
        <w:spacing w:after="0" w:line="211" w:lineRule="exact"/>
        <w:rPr>
          <w:sz w:val="20"/>
          <w:szCs w:val="20"/>
          <w:color w:val="auto"/>
        </w:rPr>
      </w:pPr>
    </w:p>
    <w:p>
      <w:pPr>
        <w:ind w:firstLine="568"/>
        <w:spacing w:after="0" w:line="238" w:lineRule="auto"/>
        <w:rPr>
          <w:sz w:val="20"/>
          <w:szCs w:val="20"/>
          <w:color w:val="auto"/>
        </w:rPr>
      </w:pPr>
      <w:r>
        <w:rPr>
          <w:rFonts w:ascii="Arial" w:cs="Arial" w:eastAsia="Arial" w:hAnsi="Arial"/>
          <w:sz w:val="16"/>
          <w:szCs w:val="16"/>
          <w:color w:val="auto"/>
        </w:rPr>
        <w:t>Our headquarters are located in leased office space at 1633 Broadway, New York, NY 10019. We also lease space for our offices in the U.S., Canada, Europe, Asia and Australia. We believe that our existing facilities are adequate to meet our current requirements.</w:t>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LEGAL PROCEEDINGS</w:t>
      </w:r>
    </w:p>
    <w:p>
      <w:pPr>
        <w:spacing w:after="0" w:line="223" w:lineRule="exact"/>
        <w:rPr>
          <w:sz w:val="20"/>
          <w:szCs w:val="20"/>
          <w:color w:val="auto"/>
        </w:rPr>
      </w:pPr>
    </w:p>
    <w:p>
      <w:pPr>
        <w:ind w:right="320" w:firstLine="568"/>
        <w:spacing w:after="0" w:line="302" w:lineRule="auto"/>
        <w:rPr>
          <w:sz w:val="20"/>
          <w:szCs w:val="20"/>
          <w:color w:val="auto"/>
        </w:rPr>
      </w:pPr>
      <w:r>
        <w:rPr>
          <w:rFonts w:ascii="Arial" w:cs="Arial" w:eastAsia="Arial" w:hAnsi="Arial"/>
          <w:sz w:val="15"/>
          <w:szCs w:val="15"/>
          <w:color w:val="auto"/>
        </w:rPr>
        <w:t>The information required by this item is set forth in the “Legal Proceedings” section in Note 16 "Commitments, Contingencies and Guarantees" to the Company’s consolidated financial statements included in Part II Item 8 “Financial Statements and Supplementary Data”, which is incorporated by reference herein.</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22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20"/>
          </w:cols>
          <w:pgMar w:left="320" w:top="798" w:right="459" w:bottom="1440" w:gutter="0" w:footer="0" w:header="0"/>
        </w:sectPr>
      </w:pPr>
    </w:p>
    <w:bookmarkStart w:id="40" w:name="page41"/>
    <w:bookmarkEnd w:id="40"/>
    <w:p>
      <w:pPr>
        <w:jc w:val="center"/>
        <w:spacing w:after="0"/>
        <w:rPr>
          <w:sz w:val="20"/>
          <w:szCs w:val="20"/>
          <w:color w:val="auto"/>
        </w:rPr>
      </w:pPr>
      <w:r>
        <w:rPr>
          <w:rFonts w:ascii="Arial" w:cs="Arial" w:eastAsia="Arial" w:hAnsi="Arial"/>
          <w:sz w:val="16"/>
          <w:szCs w:val="16"/>
          <w:b w:val="1"/>
          <w:bCs w:val="1"/>
          <w:color w:val="auto"/>
        </w:rPr>
        <w:t>PART II</w:t>
      </w:r>
    </w:p>
    <w:p>
      <w:pPr>
        <w:sectPr>
          <w:pgSz w:w="11900" w:h="16838" w:orient="portrait"/>
          <w:cols w:equalWidth="0" w:num="1">
            <w:col w:w="9019"/>
          </w:cols>
          <w:pgMar w:left="1440" w:top="79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73660</wp:posOffset>
            </wp:positionV>
            <wp:extent cx="7174865" cy="406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9019"/>
          </w:cols>
          <w:pgMar w:left="1440" w:top="798" w:right="1440"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5"/>
          <w:szCs w:val="15"/>
          <w:b w:val="1"/>
          <w:bCs w:val="1"/>
          <w:color w:val="auto"/>
        </w:rPr>
        <w:t>ITEM 5. MARKET FOR REGISTRANT’S COMMON EQUITY, RELATED STOCKHOLDER MATTERS AND ISSUER PURCHASES OF EQUITY SECURITIES</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 Information</w:t>
      </w:r>
    </w:p>
    <w:p>
      <w:pPr>
        <w:spacing w:after="0" w:line="223" w:lineRule="exact"/>
        <w:rPr>
          <w:sz w:val="20"/>
          <w:szCs w:val="20"/>
          <w:color w:val="auto"/>
        </w:rPr>
      </w:pPr>
    </w:p>
    <w:p>
      <w:pPr>
        <w:ind w:right="280" w:firstLine="568"/>
        <w:spacing w:after="0" w:line="268" w:lineRule="auto"/>
        <w:rPr>
          <w:sz w:val="20"/>
          <w:szCs w:val="20"/>
          <w:color w:val="auto"/>
        </w:rPr>
      </w:pPr>
      <w:r>
        <w:rPr>
          <w:rFonts w:ascii="Arial" w:cs="Arial" w:eastAsia="Arial" w:hAnsi="Arial"/>
          <w:sz w:val="16"/>
          <w:szCs w:val="16"/>
          <w:color w:val="auto"/>
        </w:rPr>
        <w:t>The Class A Common Stock trade on NASDAQ under the ticker symbol “VIRT”. There is no established public trading market for Class B Common Stock, Class C Common Stock or Class D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Holders</w:t>
      </w:r>
    </w:p>
    <w:p>
      <w:pPr>
        <w:spacing w:after="0" w:line="223" w:lineRule="exact"/>
        <w:rPr>
          <w:sz w:val="20"/>
          <w:szCs w:val="20"/>
          <w:color w:val="auto"/>
        </w:rPr>
      </w:pPr>
    </w:p>
    <w:p>
      <w:pPr>
        <w:ind w:firstLine="568"/>
        <w:spacing w:after="0" w:line="292" w:lineRule="auto"/>
        <w:rPr>
          <w:sz w:val="20"/>
          <w:szCs w:val="20"/>
          <w:color w:val="auto"/>
        </w:rPr>
      </w:pPr>
      <w:r>
        <w:rPr>
          <w:rFonts w:ascii="Arial" w:cs="Arial" w:eastAsia="Arial" w:hAnsi="Arial"/>
          <w:sz w:val="14"/>
          <w:szCs w:val="14"/>
          <w:color w:val="auto"/>
        </w:rPr>
        <w:t>Based on information made available to us by the transfer agent, as of February 18, 2022, there are thirty-seven stockholders of record of our Class A Common Stock, one of which was Cede &amp; Co., a nominee for The Depository Trust Company, zero stockholders of record of our Class B Common Stock, six stockholders of record of our Class C Common Stock and one stockholder of record of our Class D Common Stock. All of our Class A Common Stock held by brokerage firms, banks and other financial institutions as nominees for beneficial owners is considered to be held of record by Cede &amp; Co., who is considered to be one stockholder of record. A substantially greater number of holders of our Class A Common Stock are “street name” or beneficial holders, whose shares of Class A Common Stock are held of record by banks, brokers and other financial institutions. Because such shares of Class A Common Stock are held on behalf of stockholders, and not by the stockholders directly, and because a stockholder can have multiple positions with different brokerage firms, banks and other financial institutions, we are unable to determine the total number of stockholders we have.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 and Capital Return Policy</w:t>
      </w:r>
    </w:p>
    <w:p>
      <w:pPr>
        <w:spacing w:after="0" w:line="223" w:lineRule="exact"/>
        <w:rPr>
          <w:sz w:val="20"/>
          <w:szCs w:val="20"/>
          <w:color w:val="auto"/>
        </w:rPr>
      </w:pPr>
    </w:p>
    <w:p>
      <w:pPr>
        <w:ind w:firstLine="568"/>
        <w:spacing w:after="0" w:line="292" w:lineRule="auto"/>
        <w:rPr>
          <w:sz w:val="20"/>
          <w:szCs w:val="20"/>
          <w:color w:val="auto"/>
        </w:rPr>
      </w:pPr>
      <w:r>
        <w:rPr>
          <w:rFonts w:ascii="Arial" w:cs="Arial" w:eastAsia="Arial" w:hAnsi="Arial"/>
          <w:sz w:val="14"/>
          <w:szCs w:val="14"/>
          <w:color w:val="auto"/>
        </w:rPr>
        <w:t>Our Board of Directors has adopted a policy of returning excess cash to our stockholders. The Board of Directors declared and we paid quarterly cash dividends of $0.24 during the years ended December 31, 2021, 2020 and 2019. The Company intends to continue paying regular quarterly dividends to holders of our Class A Common Stock and Class B Common Stock and to holders of RSUs and RSAs (each as defined below); however, the payment of dividends will be subject to general economic and business conditions, including the Company’s financial condition, results of operations and cash flows, capital requirements, contractual restrictions, including restrictions contained in our Credit Agreement, regulatory restrictions, business prospects and other factors that the Company’s Board of Directors considers relevant. The terms of the Credit Agreement contain a number of covenants, including a restriction on our and our restricted subsidiaries’ ability to pay dividends on, or make distributions in respect of, our equity interests. See “Item 7. Management’s Discussion and Analysis of Financial Condition and Results of Operations - Liquidity and Capital Resources - Long-Term Borrowings”.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Performance</w:t>
      </w:r>
    </w:p>
    <w:p>
      <w:pPr>
        <w:spacing w:after="0" w:line="223" w:lineRule="exact"/>
        <w:rPr>
          <w:sz w:val="20"/>
          <w:szCs w:val="20"/>
          <w:color w:val="auto"/>
        </w:rPr>
      </w:pPr>
    </w:p>
    <w:p>
      <w:pPr>
        <w:ind w:right="140"/>
        <w:spacing w:after="0" w:line="283" w:lineRule="auto"/>
        <w:rPr>
          <w:sz w:val="20"/>
          <w:szCs w:val="20"/>
          <w:color w:val="auto"/>
        </w:rPr>
      </w:pPr>
      <w:r>
        <w:rPr>
          <w:rFonts w:ascii="Arial" w:cs="Arial" w:eastAsia="Arial" w:hAnsi="Arial"/>
          <w:sz w:val="15"/>
          <w:szCs w:val="15"/>
          <w:i w:val="1"/>
          <w:iCs w:val="1"/>
          <w:color w:val="auto"/>
        </w:rPr>
        <w:t>The following performance graph and related information shall not be deemed “soliciting material” or to be “filed” with the Securities and Exchange Commission, nor shall such information be incorporated by reference into any future filing under the Securities Act or the Exchange Act except to the extent we specifically incorporate it by reference into such filing. Our stock price performance shown in the graph below is not indicative of future stock price performance.</w:t>
      </w:r>
    </w:p>
    <w:p>
      <w:pPr>
        <w:spacing w:after="0" w:line="171" w:lineRule="exact"/>
        <w:rPr>
          <w:sz w:val="20"/>
          <w:szCs w:val="20"/>
          <w:color w:val="auto"/>
        </w:rPr>
      </w:pPr>
    </w:p>
    <w:p>
      <w:pPr>
        <w:jc w:val="both"/>
        <w:ind w:right="40" w:firstLine="568"/>
        <w:spacing w:after="0" w:line="257" w:lineRule="auto"/>
        <w:rPr>
          <w:sz w:val="20"/>
          <w:szCs w:val="20"/>
          <w:color w:val="auto"/>
        </w:rPr>
      </w:pPr>
      <w:r>
        <w:rPr>
          <w:rFonts w:ascii="Arial" w:cs="Arial" w:eastAsia="Arial" w:hAnsi="Arial"/>
          <w:sz w:val="16"/>
          <w:szCs w:val="16"/>
          <w:color w:val="auto"/>
        </w:rPr>
        <w:t>The stock performance graph below compares the performance of an investment in our Class A Common Stock, from December 31, 2015 through December 31, 2021, with the S&amp;P 500 Index and the NYSE ARCA Securities Broker/Dealer Index. The graph assumes $100 was invested in our Class A Common Stock, the S&amp;P 500 Index and the NYSE Arca Securities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1011" w:right="339" w:bottom="1440" w:gutter="0" w:footer="0" w:header="0"/>
        </w:sectPr>
      </w:pPr>
    </w:p>
    <w:bookmarkStart w:id="42" w:name="page43"/>
    <w:bookmarkEnd w:id="42"/>
    <w:p>
      <w:pPr>
        <w:spacing w:after="0"/>
        <w:rPr>
          <w:sz w:val="20"/>
          <w:szCs w:val="20"/>
          <w:color w:val="auto"/>
        </w:rPr>
      </w:pPr>
      <w:r>
        <w:rPr>
          <w:rFonts w:ascii="Arial" w:cs="Arial" w:eastAsia="Arial" w:hAnsi="Arial"/>
          <w:sz w:val="16"/>
          <w:szCs w:val="16"/>
          <w:color w:val="auto"/>
        </w:rPr>
        <w:t>Broker/Dealer Index. It assumes that dividends were reinvested on the date of payment without payment of any commissions or consideration of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1011555</wp:posOffset>
            </wp:positionH>
            <wp:positionV relativeFrom="paragraph">
              <wp:posOffset>281940</wp:posOffset>
            </wp:positionV>
            <wp:extent cx="5126990" cy="36087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26990" cy="3608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104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Index</w:t>
            </w:r>
          </w:p>
        </w:tc>
        <w:tc>
          <w:tcPr>
            <w:tcW w:w="10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ind w:right="105"/>
              <w:spacing w:after="0"/>
              <w:rPr>
                <w:sz w:val="20"/>
                <w:szCs w:val="20"/>
                <w:color w:val="auto"/>
              </w:rPr>
            </w:pPr>
            <w:r>
              <w:rPr>
                <w:rFonts w:ascii="Arial" w:cs="Arial" w:eastAsia="Arial" w:hAnsi="Arial"/>
                <w:sz w:val="11"/>
                <w:szCs w:val="11"/>
                <w:b w:val="1"/>
                <w:bCs w:val="1"/>
                <w:color w:val="auto"/>
              </w:rPr>
              <w:t>12/31/2016</w:t>
            </w:r>
          </w:p>
        </w:tc>
        <w:tc>
          <w:tcPr>
            <w:tcW w:w="10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ind w:right="125"/>
              <w:spacing w:after="0"/>
              <w:rPr>
                <w:sz w:val="20"/>
                <w:szCs w:val="20"/>
                <w:color w:val="auto"/>
              </w:rPr>
            </w:pPr>
            <w:r>
              <w:rPr>
                <w:rFonts w:ascii="Arial" w:cs="Arial" w:eastAsia="Arial" w:hAnsi="Arial"/>
                <w:sz w:val="11"/>
                <w:szCs w:val="11"/>
                <w:b w:val="1"/>
                <w:bCs w:val="1"/>
                <w:color w:val="auto"/>
              </w:rPr>
              <w:t>6/30/2017</w:t>
            </w:r>
          </w:p>
        </w:tc>
        <w:tc>
          <w:tcPr>
            <w:tcW w:w="10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ind w:right="105"/>
              <w:spacing w:after="0"/>
              <w:rPr>
                <w:sz w:val="20"/>
                <w:szCs w:val="20"/>
                <w:color w:val="auto"/>
              </w:rPr>
            </w:pPr>
            <w:r>
              <w:rPr>
                <w:rFonts w:ascii="Arial" w:cs="Arial" w:eastAsia="Arial" w:hAnsi="Arial"/>
                <w:sz w:val="11"/>
                <w:szCs w:val="11"/>
                <w:b w:val="1"/>
                <w:bCs w:val="1"/>
                <w:color w:val="auto"/>
              </w:rPr>
              <w:t>12/29/2017</w:t>
            </w:r>
          </w:p>
        </w:tc>
        <w:tc>
          <w:tcPr>
            <w:tcW w:w="10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ind w:right="125"/>
              <w:spacing w:after="0"/>
              <w:rPr>
                <w:sz w:val="20"/>
                <w:szCs w:val="20"/>
                <w:color w:val="auto"/>
              </w:rPr>
            </w:pPr>
            <w:r>
              <w:rPr>
                <w:rFonts w:ascii="Arial" w:cs="Arial" w:eastAsia="Arial" w:hAnsi="Arial"/>
                <w:sz w:val="11"/>
                <w:szCs w:val="11"/>
                <w:b w:val="1"/>
                <w:bCs w:val="1"/>
                <w:color w:val="auto"/>
              </w:rPr>
              <w:t>6/29/2018</w:t>
            </w:r>
          </w:p>
        </w:tc>
        <w:tc>
          <w:tcPr>
            <w:tcW w:w="10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ind w:right="105"/>
              <w:spacing w:after="0"/>
              <w:rPr>
                <w:sz w:val="20"/>
                <w:szCs w:val="20"/>
                <w:color w:val="auto"/>
              </w:rPr>
            </w:pPr>
            <w:r>
              <w:rPr>
                <w:rFonts w:ascii="Arial" w:cs="Arial" w:eastAsia="Arial" w:hAnsi="Arial"/>
                <w:sz w:val="11"/>
                <w:szCs w:val="11"/>
                <w:b w:val="1"/>
                <w:bCs w:val="1"/>
                <w:color w:val="auto"/>
              </w:rPr>
              <w:t>12/31/2018</w:t>
            </w:r>
          </w:p>
        </w:tc>
        <w:tc>
          <w:tcPr>
            <w:tcW w:w="10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ind w:right="125"/>
              <w:spacing w:after="0"/>
              <w:rPr>
                <w:sz w:val="20"/>
                <w:szCs w:val="20"/>
                <w:color w:val="auto"/>
              </w:rPr>
            </w:pPr>
            <w:r>
              <w:rPr>
                <w:rFonts w:ascii="Arial" w:cs="Arial" w:eastAsia="Arial" w:hAnsi="Arial"/>
                <w:sz w:val="11"/>
                <w:szCs w:val="11"/>
                <w:b w:val="1"/>
                <w:bCs w:val="1"/>
                <w:color w:val="auto"/>
              </w:rPr>
              <w:t>6/28/2019</w:t>
            </w:r>
          </w:p>
        </w:tc>
        <w:tc>
          <w:tcPr>
            <w:tcW w:w="10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ind w:right="125"/>
              <w:spacing w:after="0"/>
              <w:rPr>
                <w:sz w:val="20"/>
                <w:szCs w:val="20"/>
                <w:color w:val="auto"/>
              </w:rPr>
            </w:pPr>
            <w:r>
              <w:rPr>
                <w:rFonts w:ascii="Arial" w:cs="Arial" w:eastAsia="Arial" w:hAnsi="Arial"/>
                <w:sz w:val="11"/>
                <w:szCs w:val="11"/>
                <w:b w:val="1"/>
                <w:bCs w:val="1"/>
                <w:color w:val="auto"/>
              </w:rPr>
              <w:t>12/31/2019</w:t>
            </w:r>
          </w:p>
        </w:tc>
        <w:tc>
          <w:tcPr>
            <w:tcW w:w="10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ind w:right="125"/>
              <w:spacing w:after="0"/>
              <w:rPr>
                <w:sz w:val="20"/>
                <w:szCs w:val="20"/>
                <w:color w:val="auto"/>
              </w:rPr>
            </w:pPr>
            <w:r>
              <w:rPr>
                <w:rFonts w:ascii="Arial" w:cs="Arial" w:eastAsia="Arial" w:hAnsi="Arial"/>
                <w:sz w:val="11"/>
                <w:szCs w:val="11"/>
                <w:b w:val="1"/>
                <w:bCs w:val="1"/>
                <w:color w:val="auto"/>
              </w:rPr>
              <w:t>6/30/2020</w:t>
            </w:r>
          </w:p>
        </w:tc>
        <w:tc>
          <w:tcPr>
            <w:tcW w:w="12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ind w:right="105"/>
              <w:spacing w:after="0"/>
              <w:rPr>
                <w:sz w:val="20"/>
                <w:szCs w:val="20"/>
                <w:color w:val="auto"/>
              </w:rPr>
            </w:pPr>
            <w:r>
              <w:rPr>
                <w:rFonts w:ascii="Arial" w:cs="Arial" w:eastAsia="Arial" w:hAnsi="Arial"/>
                <w:sz w:val="11"/>
                <w:szCs w:val="11"/>
                <w:b w:val="1"/>
                <w:bCs w:val="1"/>
                <w:color w:val="auto"/>
              </w:rPr>
              <w:t>12/31/2020</w:t>
            </w:r>
          </w:p>
        </w:tc>
        <w:tc>
          <w:tcPr>
            <w:tcW w:w="10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ind w:right="105"/>
              <w:spacing w:after="0"/>
              <w:rPr>
                <w:sz w:val="20"/>
                <w:szCs w:val="20"/>
                <w:color w:val="auto"/>
              </w:rPr>
            </w:pPr>
            <w:r>
              <w:rPr>
                <w:rFonts w:ascii="Arial" w:cs="Arial" w:eastAsia="Arial" w:hAnsi="Arial"/>
                <w:sz w:val="11"/>
                <w:szCs w:val="11"/>
                <w:b w:val="1"/>
                <w:bCs w:val="1"/>
                <w:color w:val="auto"/>
              </w:rPr>
              <w:t>06/30/2021</w:t>
            </w:r>
          </w:p>
        </w:tc>
        <w:tc>
          <w:tcPr>
            <w:tcW w:w="10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ind w:right="105"/>
              <w:spacing w:after="0"/>
              <w:rPr>
                <w:sz w:val="20"/>
                <w:szCs w:val="20"/>
                <w:color w:val="auto"/>
              </w:rPr>
            </w:pPr>
            <w:r>
              <w:rPr>
                <w:rFonts w:ascii="Arial" w:cs="Arial" w:eastAsia="Arial" w:hAnsi="Arial"/>
                <w:sz w:val="11"/>
                <w:szCs w:val="11"/>
                <w:b w:val="1"/>
                <w:bCs w:val="1"/>
                <w:color w:val="auto"/>
              </w:rPr>
              <w:t>12/31/2021</w:t>
            </w:r>
          </w:p>
        </w:tc>
        <w:tc>
          <w:tcPr>
            <w:tcW w:w="0" w:type="dxa"/>
            <w:vAlign w:val="bottom"/>
          </w:tcPr>
          <w:p>
            <w:pPr>
              <w:spacing w:after="0"/>
              <w:rPr>
                <w:sz w:val="1"/>
                <w:szCs w:val="1"/>
                <w:color w:val="auto"/>
              </w:rPr>
            </w:pPr>
          </w:p>
        </w:tc>
      </w:tr>
      <w:tr>
        <w:trPr>
          <w:trHeight w:val="153"/>
        </w:trPr>
        <w:tc>
          <w:tcPr>
            <w:tcW w:w="114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Virtu Financial Inc.</w:t>
            </w:r>
          </w:p>
        </w:tc>
        <w:tc>
          <w:tcPr>
            <w:tcW w:w="82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100.00</w:t>
            </w: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113.87</w:t>
            </w: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121.52</w:t>
            </w: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179.12</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177.36</w:t>
            </w: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153.01</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115.52</w:t>
            </w: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174.53</w:t>
            </w: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189.94</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204.77</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217.56</w:t>
            </w:r>
          </w:p>
        </w:tc>
        <w:tc>
          <w:tcPr>
            <w:tcW w:w="0" w:type="dxa"/>
            <w:vAlign w:val="bottom"/>
          </w:tcPr>
          <w:p>
            <w:pPr>
              <w:spacing w:after="0"/>
              <w:rPr>
                <w:sz w:val="1"/>
                <w:szCs w:val="1"/>
                <w:color w:val="auto"/>
              </w:rPr>
            </w:pPr>
          </w:p>
        </w:tc>
      </w:tr>
      <w:tr>
        <w:trPr>
          <w:trHeight w:val="146"/>
        </w:trPr>
        <w:tc>
          <w:tcPr>
            <w:tcW w:w="1140" w:type="dxa"/>
            <w:vAlign w:val="bottom"/>
            <w:gridSpan w:val="2"/>
          </w:tcPr>
          <w:p>
            <w:pPr>
              <w:ind w:left="20"/>
              <w:spacing w:after="0"/>
              <w:rPr>
                <w:sz w:val="20"/>
                <w:szCs w:val="20"/>
                <w:color w:val="auto"/>
              </w:rPr>
            </w:pPr>
            <w:r>
              <w:rPr>
                <w:rFonts w:ascii="Arial" w:cs="Arial" w:eastAsia="Arial" w:hAnsi="Arial"/>
                <w:sz w:val="11"/>
                <w:szCs w:val="11"/>
                <w:color w:val="auto"/>
              </w:rPr>
              <w:t>S&amp;P 500</w:t>
            </w:r>
          </w:p>
        </w:tc>
        <w:tc>
          <w:tcPr>
            <w:tcW w:w="820" w:type="dxa"/>
            <w:vAlign w:val="bottom"/>
          </w:tcPr>
          <w:p>
            <w:pPr>
              <w:jc w:val="right"/>
              <w:ind w:right="5"/>
              <w:spacing w:after="0"/>
              <w:rPr>
                <w:sz w:val="20"/>
                <w:szCs w:val="20"/>
                <w:color w:val="auto"/>
              </w:rPr>
            </w:pPr>
            <w:r>
              <w:rPr>
                <w:rFonts w:ascii="Arial" w:cs="Arial" w:eastAsia="Arial" w:hAnsi="Arial"/>
                <w:sz w:val="11"/>
                <w:szCs w:val="11"/>
                <w:color w:val="auto"/>
              </w:rPr>
              <w:t>100.00</w:t>
            </w:r>
          </w:p>
        </w:tc>
        <w:tc>
          <w:tcPr>
            <w:tcW w:w="100" w:type="dxa"/>
            <w:vAlign w:val="bottom"/>
          </w:tcPr>
          <w:p>
            <w:pPr>
              <w:spacing w:after="0"/>
              <w:rPr>
                <w:sz w:val="12"/>
                <w:szCs w:val="12"/>
                <w:color w:val="auto"/>
              </w:rPr>
            </w:pPr>
          </w:p>
        </w:tc>
        <w:tc>
          <w:tcPr>
            <w:tcW w:w="820" w:type="dxa"/>
            <w:vAlign w:val="bottom"/>
          </w:tcPr>
          <w:p>
            <w:pPr>
              <w:jc w:val="right"/>
              <w:ind w:right="5"/>
              <w:spacing w:after="0"/>
              <w:rPr>
                <w:sz w:val="20"/>
                <w:szCs w:val="20"/>
                <w:color w:val="auto"/>
              </w:rPr>
            </w:pPr>
            <w:r>
              <w:rPr>
                <w:rFonts w:ascii="Arial" w:cs="Arial" w:eastAsia="Arial" w:hAnsi="Arial"/>
                <w:sz w:val="11"/>
                <w:szCs w:val="11"/>
                <w:color w:val="auto"/>
              </w:rPr>
              <w:t>107.33</w:t>
            </w:r>
          </w:p>
        </w:tc>
        <w:tc>
          <w:tcPr>
            <w:tcW w:w="100" w:type="dxa"/>
            <w:vAlign w:val="bottom"/>
          </w:tcPr>
          <w:p>
            <w:pPr>
              <w:spacing w:after="0"/>
              <w:rPr>
                <w:sz w:val="12"/>
                <w:szCs w:val="12"/>
                <w:color w:val="auto"/>
              </w:rPr>
            </w:pPr>
          </w:p>
        </w:tc>
        <w:tc>
          <w:tcPr>
            <w:tcW w:w="820" w:type="dxa"/>
            <w:vAlign w:val="bottom"/>
          </w:tcPr>
          <w:p>
            <w:pPr>
              <w:jc w:val="right"/>
              <w:ind w:right="5"/>
              <w:spacing w:after="0"/>
              <w:rPr>
                <w:sz w:val="20"/>
                <w:szCs w:val="20"/>
                <w:color w:val="auto"/>
              </w:rPr>
            </w:pPr>
            <w:r>
              <w:rPr>
                <w:rFonts w:ascii="Arial" w:cs="Arial" w:eastAsia="Arial" w:hAnsi="Arial"/>
                <w:sz w:val="11"/>
                <w:szCs w:val="11"/>
                <w:color w:val="auto"/>
              </w:rPr>
              <w:t>118.42</w:t>
            </w:r>
          </w:p>
        </w:tc>
        <w:tc>
          <w:tcPr>
            <w:tcW w:w="100" w:type="dxa"/>
            <w:vAlign w:val="bottom"/>
          </w:tcPr>
          <w:p>
            <w:pPr>
              <w:spacing w:after="0"/>
              <w:rPr>
                <w:sz w:val="12"/>
                <w:szCs w:val="12"/>
                <w:color w:val="auto"/>
              </w:rPr>
            </w:pPr>
          </w:p>
        </w:tc>
        <w:tc>
          <w:tcPr>
            <w:tcW w:w="820" w:type="dxa"/>
            <w:vAlign w:val="bottom"/>
          </w:tcPr>
          <w:p>
            <w:pPr>
              <w:jc w:val="right"/>
              <w:ind w:right="5"/>
              <w:spacing w:after="0"/>
              <w:rPr>
                <w:sz w:val="20"/>
                <w:szCs w:val="20"/>
                <w:color w:val="auto"/>
              </w:rPr>
            </w:pPr>
            <w:r>
              <w:rPr>
                <w:rFonts w:ascii="Arial" w:cs="Arial" w:eastAsia="Arial" w:hAnsi="Arial"/>
                <w:sz w:val="11"/>
                <w:szCs w:val="11"/>
                <w:color w:val="auto"/>
              </w:rPr>
              <w:t>120.40</w:t>
            </w:r>
          </w:p>
        </w:tc>
        <w:tc>
          <w:tcPr>
            <w:tcW w:w="100" w:type="dxa"/>
            <w:vAlign w:val="bottom"/>
          </w:tcPr>
          <w:p>
            <w:pPr>
              <w:spacing w:after="0"/>
              <w:rPr>
                <w:sz w:val="12"/>
                <w:szCs w:val="12"/>
                <w:color w:val="auto"/>
              </w:rPr>
            </w:pPr>
          </w:p>
        </w:tc>
        <w:tc>
          <w:tcPr>
            <w:tcW w:w="840" w:type="dxa"/>
            <w:vAlign w:val="bottom"/>
          </w:tcPr>
          <w:p>
            <w:pPr>
              <w:jc w:val="right"/>
              <w:ind w:right="5"/>
              <w:spacing w:after="0"/>
              <w:rPr>
                <w:sz w:val="20"/>
                <w:szCs w:val="20"/>
                <w:color w:val="auto"/>
              </w:rPr>
            </w:pPr>
            <w:r>
              <w:rPr>
                <w:rFonts w:ascii="Arial" w:cs="Arial" w:eastAsia="Arial" w:hAnsi="Arial"/>
                <w:sz w:val="11"/>
                <w:szCs w:val="11"/>
                <w:color w:val="auto"/>
              </w:rPr>
              <w:t>111.03</w:t>
            </w:r>
          </w:p>
        </w:tc>
        <w:tc>
          <w:tcPr>
            <w:tcW w:w="100" w:type="dxa"/>
            <w:vAlign w:val="bottom"/>
          </w:tcPr>
          <w:p>
            <w:pPr>
              <w:spacing w:after="0"/>
              <w:rPr>
                <w:sz w:val="12"/>
                <w:szCs w:val="12"/>
                <w:color w:val="auto"/>
              </w:rPr>
            </w:pPr>
          </w:p>
        </w:tc>
        <w:tc>
          <w:tcPr>
            <w:tcW w:w="820" w:type="dxa"/>
            <w:vAlign w:val="bottom"/>
          </w:tcPr>
          <w:p>
            <w:pPr>
              <w:jc w:val="right"/>
              <w:ind w:right="5"/>
              <w:spacing w:after="0"/>
              <w:rPr>
                <w:sz w:val="20"/>
                <w:szCs w:val="20"/>
                <w:color w:val="auto"/>
              </w:rPr>
            </w:pPr>
            <w:r>
              <w:rPr>
                <w:rFonts w:ascii="Arial" w:cs="Arial" w:eastAsia="Arial" w:hAnsi="Arial"/>
                <w:sz w:val="11"/>
                <w:szCs w:val="11"/>
                <w:color w:val="auto"/>
              </w:rPr>
              <w:t>130.29</w:t>
            </w:r>
          </w:p>
        </w:tc>
        <w:tc>
          <w:tcPr>
            <w:tcW w:w="100" w:type="dxa"/>
            <w:vAlign w:val="bottom"/>
          </w:tcPr>
          <w:p>
            <w:pPr>
              <w:spacing w:after="0"/>
              <w:rPr>
                <w:sz w:val="12"/>
                <w:szCs w:val="12"/>
                <w:color w:val="auto"/>
              </w:rPr>
            </w:pPr>
          </w:p>
        </w:tc>
        <w:tc>
          <w:tcPr>
            <w:tcW w:w="840" w:type="dxa"/>
            <w:vAlign w:val="bottom"/>
          </w:tcPr>
          <w:p>
            <w:pPr>
              <w:jc w:val="right"/>
              <w:ind w:right="5"/>
              <w:spacing w:after="0"/>
              <w:rPr>
                <w:sz w:val="20"/>
                <w:szCs w:val="20"/>
                <w:color w:val="auto"/>
              </w:rPr>
            </w:pPr>
            <w:r>
              <w:rPr>
                <w:rFonts w:ascii="Arial" w:cs="Arial" w:eastAsia="Arial" w:hAnsi="Arial"/>
                <w:sz w:val="11"/>
                <w:szCs w:val="11"/>
                <w:color w:val="auto"/>
              </w:rPr>
              <w:t>143.09</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137.31</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166.36</w:t>
            </w:r>
          </w:p>
        </w:tc>
        <w:tc>
          <w:tcPr>
            <w:tcW w:w="100" w:type="dxa"/>
            <w:vAlign w:val="bottom"/>
          </w:tcPr>
          <w:p>
            <w:pPr>
              <w:spacing w:after="0"/>
              <w:rPr>
                <w:sz w:val="12"/>
                <w:szCs w:val="12"/>
                <w:color w:val="auto"/>
              </w:rPr>
            </w:pPr>
          </w:p>
        </w:tc>
        <w:tc>
          <w:tcPr>
            <w:tcW w:w="840" w:type="dxa"/>
            <w:vAlign w:val="bottom"/>
          </w:tcPr>
          <w:p>
            <w:pPr>
              <w:jc w:val="right"/>
              <w:ind w:right="5"/>
              <w:spacing w:after="0"/>
              <w:rPr>
                <w:sz w:val="20"/>
                <w:szCs w:val="20"/>
                <w:color w:val="auto"/>
              </w:rPr>
            </w:pPr>
            <w:r>
              <w:rPr>
                <w:rFonts w:ascii="Arial" w:cs="Arial" w:eastAsia="Arial" w:hAnsi="Arial"/>
                <w:sz w:val="11"/>
                <w:szCs w:val="11"/>
                <w:color w:val="auto"/>
              </w:rPr>
              <w:t>190.34</w:t>
            </w:r>
          </w:p>
        </w:tc>
        <w:tc>
          <w:tcPr>
            <w:tcW w:w="100" w:type="dxa"/>
            <w:vAlign w:val="bottom"/>
          </w:tcPr>
          <w:p>
            <w:pPr>
              <w:spacing w:after="0"/>
              <w:rPr>
                <w:sz w:val="12"/>
                <w:szCs w:val="12"/>
                <w:color w:val="auto"/>
              </w:rPr>
            </w:pPr>
          </w:p>
        </w:tc>
        <w:tc>
          <w:tcPr>
            <w:tcW w:w="840" w:type="dxa"/>
            <w:vAlign w:val="bottom"/>
          </w:tcPr>
          <w:p>
            <w:pPr>
              <w:jc w:val="right"/>
              <w:ind w:right="5"/>
              <w:spacing w:after="0"/>
              <w:rPr>
                <w:sz w:val="20"/>
                <w:szCs w:val="20"/>
                <w:color w:val="auto"/>
              </w:rPr>
            </w:pPr>
            <w:r>
              <w:rPr>
                <w:rFonts w:ascii="Arial" w:cs="Arial" w:eastAsia="Arial" w:hAnsi="Arial"/>
                <w:sz w:val="11"/>
                <w:szCs w:val="11"/>
                <w:color w:val="auto"/>
              </w:rPr>
              <w:t>211.10</w:t>
            </w:r>
          </w:p>
        </w:tc>
        <w:tc>
          <w:tcPr>
            <w:tcW w:w="0" w:type="dxa"/>
            <w:vAlign w:val="bottom"/>
          </w:tcPr>
          <w:p>
            <w:pPr>
              <w:spacing w:after="0"/>
              <w:rPr>
                <w:sz w:val="1"/>
                <w:szCs w:val="1"/>
                <w:color w:val="auto"/>
              </w:rPr>
            </w:pPr>
          </w:p>
        </w:tc>
      </w:tr>
      <w:tr>
        <w:trPr>
          <w:trHeight w:val="114"/>
        </w:trPr>
        <w:tc>
          <w:tcPr>
            <w:tcW w:w="1140" w:type="dxa"/>
            <w:vAlign w:val="bottom"/>
            <w:gridSpan w:val="2"/>
            <w:shd w:val="clear" w:color="auto" w:fill="CCEEFF"/>
          </w:tcPr>
          <w:p>
            <w:pPr>
              <w:ind w:left="20"/>
              <w:spacing w:after="0" w:line="114" w:lineRule="exact"/>
              <w:rPr>
                <w:sz w:val="20"/>
                <w:szCs w:val="20"/>
                <w:color w:val="auto"/>
              </w:rPr>
            </w:pPr>
            <w:r>
              <w:rPr>
                <w:rFonts w:ascii="Arial" w:cs="Arial" w:eastAsia="Arial" w:hAnsi="Arial"/>
                <w:sz w:val="11"/>
                <w:szCs w:val="11"/>
                <w:color w:val="auto"/>
              </w:rPr>
              <w:t>NYSE Arca Securities</w:t>
            </w:r>
          </w:p>
        </w:tc>
        <w:tc>
          <w:tcPr>
            <w:tcW w:w="820" w:type="dxa"/>
            <w:vAlign w:val="bottom"/>
            <w:vMerge w:val="restart"/>
            <w:shd w:val="clear" w:color="auto" w:fill="CCEEFF"/>
          </w:tcPr>
          <w:p>
            <w:pPr>
              <w:jc w:val="right"/>
              <w:ind w:right="5"/>
              <w:spacing w:after="0"/>
              <w:rPr>
                <w:sz w:val="20"/>
                <w:szCs w:val="20"/>
                <w:color w:val="auto"/>
              </w:rPr>
            </w:pPr>
            <w:r>
              <w:rPr>
                <w:rFonts w:ascii="Arial" w:cs="Arial" w:eastAsia="Arial" w:hAnsi="Arial"/>
                <w:sz w:val="11"/>
                <w:szCs w:val="11"/>
                <w:color w:val="auto"/>
              </w:rPr>
              <w:t>100.00</w:t>
            </w:r>
          </w:p>
        </w:tc>
        <w:tc>
          <w:tcPr>
            <w:tcW w:w="100" w:type="dxa"/>
            <w:vAlign w:val="bottom"/>
            <w:shd w:val="clear" w:color="auto" w:fill="CCEEFF"/>
          </w:tcPr>
          <w:p>
            <w:pPr>
              <w:spacing w:after="0"/>
              <w:rPr>
                <w:sz w:val="9"/>
                <w:szCs w:val="9"/>
                <w:color w:val="auto"/>
              </w:rPr>
            </w:pPr>
          </w:p>
        </w:tc>
        <w:tc>
          <w:tcPr>
            <w:tcW w:w="820" w:type="dxa"/>
            <w:vAlign w:val="bottom"/>
            <w:vMerge w:val="restart"/>
            <w:shd w:val="clear" w:color="auto" w:fill="CCEEFF"/>
          </w:tcPr>
          <w:p>
            <w:pPr>
              <w:jc w:val="right"/>
              <w:ind w:right="5"/>
              <w:spacing w:after="0"/>
              <w:rPr>
                <w:sz w:val="20"/>
                <w:szCs w:val="20"/>
                <w:color w:val="auto"/>
              </w:rPr>
            </w:pPr>
            <w:r>
              <w:rPr>
                <w:rFonts w:ascii="Arial" w:cs="Arial" w:eastAsia="Arial" w:hAnsi="Arial"/>
                <w:sz w:val="11"/>
                <w:szCs w:val="11"/>
                <w:color w:val="auto"/>
              </w:rPr>
              <w:t>109.81</w:t>
            </w:r>
          </w:p>
        </w:tc>
        <w:tc>
          <w:tcPr>
            <w:tcW w:w="100" w:type="dxa"/>
            <w:vAlign w:val="bottom"/>
            <w:shd w:val="clear" w:color="auto" w:fill="CCEEFF"/>
          </w:tcPr>
          <w:p>
            <w:pPr>
              <w:spacing w:after="0"/>
              <w:rPr>
                <w:sz w:val="9"/>
                <w:szCs w:val="9"/>
                <w:color w:val="auto"/>
              </w:rPr>
            </w:pPr>
          </w:p>
        </w:tc>
        <w:tc>
          <w:tcPr>
            <w:tcW w:w="820" w:type="dxa"/>
            <w:vAlign w:val="bottom"/>
            <w:vMerge w:val="restart"/>
            <w:shd w:val="clear" w:color="auto" w:fill="CCEEFF"/>
          </w:tcPr>
          <w:p>
            <w:pPr>
              <w:jc w:val="right"/>
              <w:ind w:right="5"/>
              <w:spacing w:after="0"/>
              <w:rPr>
                <w:sz w:val="20"/>
                <w:szCs w:val="20"/>
                <w:color w:val="auto"/>
              </w:rPr>
            </w:pPr>
            <w:r>
              <w:rPr>
                <w:rFonts w:ascii="Arial" w:cs="Arial" w:eastAsia="Arial" w:hAnsi="Arial"/>
                <w:sz w:val="11"/>
                <w:szCs w:val="11"/>
                <w:color w:val="auto"/>
              </w:rPr>
              <w:t>129.21</w:t>
            </w:r>
          </w:p>
        </w:tc>
        <w:tc>
          <w:tcPr>
            <w:tcW w:w="100" w:type="dxa"/>
            <w:vAlign w:val="bottom"/>
            <w:shd w:val="clear" w:color="auto" w:fill="CCEEFF"/>
          </w:tcPr>
          <w:p>
            <w:pPr>
              <w:spacing w:after="0"/>
              <w:rPr>
                <w:sz w:val="9"/>
                <w:szCs w:val="9"/>
                <w:color w:val="auto"/>
              </w:rPr>
            </w:pPr>
          </w:p>
        </w:tc>
        <w:tc>
          <w:tcPr>
            <w:tcW w:w="820" w:type="dxa"/>
            <w:vAlign w:val="bottom"/>
            <w:vMerge w:val="restart"/>
            <w:shd w:val="clear" w:color="auto" w:fill="CCEEFF"/>
          </w:tcPr>
          <w:p>
            <w:pPr>
              <w:jc w:val="right"/>
              <w:ind w:right="5"/>
              <w:spacing w:after="0"/>
              <w:rPr>
                <w:sz w:val="20"/>
                <w:szCs w:val="20"/>
                <w:color w:val="auto"/>
              </w:rPr>
            </w:pPr>
            <w:r>
              <w:rPr>
                <w:rFonts w:ascii="Arial" w:cs="Arial" w:eastAsia="Arial" w:hAnsi="Arial"/>
                <w:sz w:val="11"/>
                <w:szCs w:val="11"/>
                <w:color w:val="auto"/>
              </w:rPr>
              <w:t>132.72</w:t>
            </w:r>
          </w:p>
        </w:tc>
        <w:tc>
          <w:tcPr>
            <w:tcW w:w="100" w:type="dxa"/>
            <w:vAlign w:val="bottom"/>
            <w:shd w:val="clear" w:color="auto" w:fill="CCEEFF"/>
          </w:tcPr>
          <w:p>
            <w:pPr>
              <w:spacing w:after="0"/>
              <w:rPr>
                <w:sz w:val="9"/>
                <w:szCs w:val="9"/>
                <w:color w:val="auto"/>
              </w:rPr>
            </w:pPr>
          </w:p>
        </w:tc>
        <w:tc>
          <w:tcPr>
            <w:tcW w:w="840" w:type="dxa"/>
            <w:vAlign w:val="bottom"/>
            <w:vMerge w:val="restart"/>
            <w:shd w:val="clear" w:color="auto" w:fill="CCEEFF"/>
          </w:tcPr>
          <w:p>
            <w:pPr>
              <w:jc w:val="right"/>
              <w:ind w:right="5"/>
              <w:spacing w:after="0"/>
              <w:rPr>
                <w:sz w:val="20"/>
                <w:szCs w:val="20"/>
                <w:color w:val="auto"/>
              </w:rPr>
            </w:pPr>
            <w:r>
              <w:rPr>
                <w:rFonts w:ascii="Arial" w:cs="Arial" w:eastAsia="Arial" w:hAnsi="Arial"/>
                <w:sz w:val="11"/>
                <w:szCs w:val="11"/>
                <w:color w:val="auto"/>
              </w:rPr>
              <w:t>115.62</w:t>
            </w:r>
          </w:p>
        </w:tc>
        <w:tc>
          <w:tcPr>
            <w:tcW w:w="100" w:type="dxa"/>
            <w:vAlign w:val="bottom"/>
            <w:shd w:val="clear" w:color="auto" w:fill="CCEEFF"/>
          </w:tcPr>
          <w:p>
            <w:pPr>
              <w:spacing w:after="0"/>
              <w:rPr>
                <w:sz w:val="9"/>
                <w:szCs w:val="9"/>
                <w:color w:val="auto"/>
              </w:rPr>
            </w:pPr>
          </w:p>
        </w:tc>
        <w:tc>
          <w:tcPr>
            <w:tcW w:w="820" w:type="dxa"/>
            <w:vAlign w:val="bottom"/>
            <w:vMerge w:val="restart"/>
            <w:shd w:val="clear" w:color="auto" w:fill="CCEEFF"/>
          </w:tcPr>
          <w:p>
            <w:pPr>
              <w:jc w:val="right"/>
              <w:ind w:right="5"/>
              <w:spacing w:after="0"/>
              <w:rPr>
                <w:sz w:val="20"/>
                <w:szCs w:val="20"/>
                <w:color w:val="auto"/>
              </w:rPr>
            </w:pPr>
            <w:r>
              <w:rPr>
                <w:rFonts w:ascii="Arial" w:cs="Arial" w:eastAsia="Arial" w:hAnsi="Arial"/>
                <w:sz w:val="11"/>
                <w:szCs w:val="11"/>
                <w:color w:val="auto"/>
              </w:rPr>
              <w:t>130.15</w:t>
            </w:r>
          </w:p>
        </w:tc>
        <w:tc>
          <w:tcPr>
            <w:tcW w:w="100" w:type="dxa"/>
            <w:vAlign w:val="bottom"/>
            <w:shd w:val="clear" w:color="auto" w:fill="CCEEFF"/>
          </w:tcPr>
          <w:p>
            <w:pPr>
              <w:spacing w:after="0"/>
              <w:rPr>
                <w:sz w:val="9"/>
                <w:szCs w:val="9"/>
                <w:color w:val="auto"/>
              </w:rPr>
            </w:pPr>
          </w:p>
        </w:tc>
        <w:tc>
          <w:tcPr>
            <w:tcW w:w="840" w:type="dxa"/>
            <w:vAlign w:val="bottom"/>
            <w:vMerge w:val="restart"/>
            <w:shd w:val="clear" w:color="auto" w:fill="CCEEFF"/>
          </w:tcPr>
          <w:p>
            <w:pPr>
              <w:jc w:val="right"/>
              <w:ind w:right="5"/>
              <w:spacing w:after="0"/>
              <w:rPr>
                <w:sz w:val="20"/>
                <w:szCs w:val="20"/>
                <w:color w:val="auto"/>
              </w:rPr>
            </w:pPr>
            <w:r>
              <w:rPr>
                <w:rFonts w:ascii="Arial" w:cs="Arial" w:eastAsia="Arial" w:hAnsi="Arial"/>
                <w:sz w:val="11"/>
                <w:szCs w:val="11"/>
                <w:color w:val="auto"/>
              </w:rPr>
              <w:t>141.46</w:t>
            </w:r>
          </w:p>
        </w:tc>
        <w:tc>
          <w:tcPr>
            <w:tcW w:w="100" w:type="dxa"/>
            <w:vAlign w:val="bottom"/>
            <w:shd w:val="clear" w:color="auto" w:fill="CCEEFF"/>
          </w:tcPr>
          <w:p>
            <w:pPr>
              <w:spacing w:after="0"/>
              <w:rPr>
                <w:sz w:val="9"/>
                <w:szCs w:val="9"/>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132.43</w:t>
            </w:r>
          </w:p>
        </w:tc>
        <w:tc>
          <w:tcPr>
            <w:tcW w:w="120" w:type="dxa"/>
            <w:vAlign w:val="bottom"/>
            <w:shd w:val="clear" w:color="auto" w:fill="CCEEFF"/>
          </w:tcPr>
          <w:p>
            <w:pPr>
              <w:spacing w:after="0"/>
              <w:rPr>
                <w:sz w:val="9"/>
                <w:szCs w:val="9"/>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183.94</w:t>
            </w:r>
          </w:p>
        </w:tc>
        <w:tc>
          <w:tcPr>
            <w:tcW w:w="100" w:type="dxa"/>
            <w:vAlign w:val="bottom"/>
            <w:shd w:val="clear" w:color="auto" w:fill="CCEEFF"/>
          </w:tcPr>
          <w:p>
            <w:pPr>
              <w:spacing w:after="0"/>
              <w:rPr>
                <w:sz w:val="9"/>
                <w:szCs w:val="9"/>
                <w:color w:val="auto"/>
              </w:rPr>
            </w:pPr>
          </w:p>
        </w:tc>
        <w:tc>
          <w:tcPr>
            <w:tcW w:w="840" w:type="dxa"/>
            <w:vAlign w:val="bottom"/>
            <w:vMerge w:val="restart"/>
            <w:shd w:val="clear" w:color="auto" w:fill="CCEEFF"/>
          </w:tcPr>
          <w:p>
            <w:pPr>
              <w:jc w:val="right"/>
              <w:ind w:right="5"/>
              <w:spacing w:after="0"/>
              <w:rPr>
                <w:sz w:val="20"/>
                <w:szCs w:val="20"/>
                <w:color w:val="auto"/>
              </w:rPr>
            </w:pPr>
            <w:r>
              <w:rPr>
                <w:rFonts w:ascii="Arial" w:cs="Arial" w:eastAsia="Arial" w:hAnsi="Arial"/>
                <w:sz w:val="11"/>
                <w:szCs w:val="11"/>
                <w:color w:val="auto"/>
              </w:rPr>
              <w:t>228.53</w:t>
            </w:r>
          </w:p>
        </w:tc>
        <w:tc>
          <w:tcPr>
            <w:tcW w:w="100" w:type="dxa"/>
            <w:vAlign w:val="bottom"/>
            <w:shd w:val="clear" w:color="auto" w:fill="CCEEFF"/>
          </w:tcPr>
          <w:p>
            <w:pPr>
              <w:spacing w:after="0"/>
              <w:rPr>
                <w:sz w:val="9"/>
                <w:szCs w:val="9"/>
                <w:color w:val="auto"/>
              </w:rPr>
            </w:pPr>
          </w:p>
        </w:tc>
        <w:tc>
          <w:tcPr>
            <w:tcW w:w="840" w:type="dxa"/>
            <w:vAlign w:val="bottom"/>
            <w:vMerge w:val="restart"/>
            <w:shd w:val="clear" w:color="auto" w:fill="CCEEFF"/>
          </w:tcPr>
          <w:p>
            <w:pPr>
              <w:jc w:val="right"/>
              <w:ind w:right="5"/>
              <w:spacing w:after="0"/>
              <w:rPr>
                <w:sz w:val="20"/>
                <w:szCs w:val="20"/>
                <w:color w:val="auto"/>
              </w:rPr>
            </w:pPr>
            <w:r>
              <w:rPr>
                <w:rFonts w:ascii="Arial" w:cs="Arial" w:eastAsia="Arial" w:hAnsi="Arial"/>
                <w:sz w:val="11"/>
                <w:szCs w:val="11"/>
                <w:color w:val="auto"/>
              </w:rPr>
              <w:t>237.17</w:t>
            </w:r>
          </w:p>
        </w:tc>
        <w:tc>
          <w:tcPr>
            <w:tcW w:w="0" w:type="dxa"/>
            <w:vAlign w:val="bottom"/>
          </w:tcPr>
          <w:p>
            <w:pPr>
              <w:spacing w:after="0"/>
              <w:rPr>
                <w:sz w:val="1"/>
                <w:szCs w:val="1"/>
                <w:color w:val="auto"/>
              </w:rPr>
            </w:pPr>
          </w:p>
        </w:tc>
      </w:tr>
      <w:tr>
        <w:trPr>
          <w:trHeight w:val="154"/>
        </w:trPr>
        <w:tc>
          <w:tcPr>
            <w:tcW w:w="114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Broker/Dealer</w:t>
            </w:r>
          </w:p>
        </w:tc>
        <w:tc>
          <w:tcPr>
            <w:tcW w:w="8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and Common Units Repurchases</w:t>
      </w:r>
    </w:p>
    <w:p>
      <w:pPr>
        <w:spacing w:after="0" w:line="223" w:lineRule="exact"/>
        <w:rPr>
          <w:sz w:val="20"/>
          <w:szCs w:val="20"/>
          <w:color w:val="auto"/>
        </w:rPr>
      </w:pPr>
    </w:p>
    <w:p>
      <w:pPr>
        <w:ind w:right="40" w:firstLine="568"/>
        <w:spacing w:after="0" w:line="254" w:lineRule="auto"/>
        <w:rPr>
          <w:sz w:val="20"/>
          <w:szCs w:val="20"/>
          <w:color w:val="auto"/>
        </w:rPr>
      </w:pPr>
      <w:r>
        <w:rPr>
          <w:rFonts w:ascii="Arial" w:cs="Arial" w:eastAsia="Arial" w:hAnsi="Arial"/>
          <w:sz w:val="16"/>
          <w:szCs w:val="16"/>
          <w:color w:val="auto"/>
        </w:rPr>
        <w:t>Pursuant to the exchange agreement (the “Exchange Agreement”) entered into on April 15, 2015 by and among the Company, Virtu Financial and holders of Virtu Financial Units, Virtu Financial Units (along with the corresponding shares of our Class C Common Stock or Class D Common Stock, as applicable) may be exchanged at any time for shares of our Class A Common Stock or Class B Common Stock, as applicable, on a one-for-one basis, subject to customary conversion rate adjustments for stock splits, stock dividends and reclassifications.</w:t>
      </w:r>
    </w:p>
    <w:p>
      <w:pPr>
        <w:spacing w:after="0" w:line="192" w:lineRule="exact"/>
        <w:rPr>
          <w:sz w:val="20"/>
          <w:szCs w:val="20"/>
          <w:color w:val="auto"/>
        </w:rPr>
      </w:pPr>
    </w:p>
    <w:p>
      <w:pPr>
        <w:ind w:right="100" w:firstLine="568"/>
        <w:spacing w:after="0" w:line="252" w:lineRule="auto"/>
        <w:rPr>
          <w:sz w:val="20"/>
          <w:szCs w:val="20"/>
          <w:color w:val="auto"/>
        </w:rPr>
      </w:pPr>
      <w:r>
        <w:rPr>
          <w:rFonts w:ascii="Arial" w:cs="Arial" w:eastAsia="Arial" w:hAnsi="Arial"/>
          <w:sz w:val="16"/>
          <w:szCs w:val="16"/>
          <w:color w:val="auto"/>
        </w:rPr>
        <w:t>In February 2018, the Company's Board of Directors authorized a share repurchase program of up to $50.0 million in Class A Common Stock and Virtu Financial Units by March 31, 2019. On July 27, 2018, the Company's Board of Directors authorized the expansion of the Company's share repurchase program, increasing the total authorized amount by $50.0 million to $100.0 million and extending the duration of the program through September 30, 2019. From the inception of the program in February 2018 to the expiration of the program on September 30, 2019, the Company repurchased approximately 2.6 million shares of Class A Common Stock and Virtu Financial Units for approximately $65.9 million.</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802" w:right="319" w:bottom="1440" w:gutter="0" w:footer="0" w:header="0"/>
        </w:sectPr>
      </w:pPr>
    </w:p>
    <w:bookmarkStart w:id="43" w:name="page44"/>
    <w:bookmarkEnd w:id="43"/>
    <w:p>
      <w:pPr>
        <w:ind w:firstLine="568"/>
        <w:spacing w:after="0" w:line="267" w:lineRule="auto"/>
        <w:rPr>
          <w:sz w:val="20"/>
          <w:szCs w:val="20"/>
          <w:color w:val="auto"/>
        </w:rPr>
      </w:pPr>
      <w:r>
        <w:rPr>
          <w:rFonts w:ascii="Arial" w:cs="Arial" w:eastAsia="Arial" w:hAnsi="Arial"/>
          <w:sz w:val="15"/>
          <w:szCs w:val="15"/>
          <w:color w:val="auto"/>
        </w:rPr>
        <w:t>On November 6, 2020, the Company's Board of Directors authorized a new share repurchase program of up to $100.0 million in Class A common stock and Virtu Financial Units by December 31, 2021. On February 11, 2021, the Company's Board of Directors authorized the expansion of the program to $170 million. On May 4, 2021 the Company's Board of directors authorized the expansion of the program, increasing the total authorized amount by $300 million to $470 million in Class A Common Stock and Virtu Financial Units and extending the duration of the program through May 4, 2022. Additionally, on November 3, 2021 the Company's Board of Directors authorized the expansion of the program by an additional $750 million to $1,220 million and extending the duration of the program through November 3, 2023. The Company may repurchase shares from time to time in open market transactions, privately negotiated transactions or by other means. Repurchases may also be made under Rule 10b5-1 plans. The timing and amount of repurchase transactions will be determined by the Company's management based on its evaluation of market conditions, share price, legal requirements and other factors. The program may be suspended, modified or discontinued at any time without prior notice. There are no assurances that any further repurchases will actually occur. From the inception of the program through December 31, 2021, the Company has repurchased approximately 16.1 million shares of Class A Common Stock and Virtu Financial Units for approximately $439.1 million. The Company has approximately $780.9 million of remaining capacity for future purchases of shares of Class A Common Stock and Virtu Financial Units under the program.</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following table contains information about the Company’s purchases of its Class A Common Stock and Class C Common Stock during the three months ended</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2021:</w:t>
      </w:r>
    </w:p>
    <w:p>
      <w:pPr>
        <w:spacing w:after="0" w:line="189" w:lineRule="exact"/>
        <w:rPr>
          <w:sz w:val="20"/>
          <w:szCs w:val="20"/>
          <w:color w:val="auto"/>
        </w:rPr>
      </w:pPr>
    </w:p>
    <w:tbl>
      <w:tblPr>
        <w:tblLayout w:type="fixed"/>
        <w:tblInd w:w="780" w:type="dxa"/>
        <w:tblCellMar>
          <w:top w:w="0" w:type="dxa"/>
          <w:left w:w="0" w:type="dxa"/>
          <w:bottom w:w="0" w:type="dxa"/>
          <w:right w:w="0" w:type="dxa"/>
        </w:tblCellMar>
      </w:tblPr>
      <w:tr>
        <w:trPr>
          <w:trHeight w:val="149"/>
        </w:trPr>
        <w:tc>
          <w:tcPr>
            <w:tcW w:w="4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Total Number of</w:t>
            </w:r>
          </w:p>
        </w:tc>
        <w:tc>
          <w:tcPr>
            <w:tcW w:w="80" w:type="dxa"/>
            <w:vAlign w:val="bottom"/>
          </w:tcPr>
          <w:p>
            <w:pPr>
              <w:spacing w:after="0"/>
              <w:rPr>
                <w:sz w:val="13"/>
                <w:szCs w:val="13"/>
                <w:color w:val="auto"/>
              </w:rPr>
            </w:pPr>
          </w:p>
        </w:tc>
        <w:tc>
          <w:tcPr>
            <w:tcW w:w="1180" w:type="dxa"/>
            <w:vAlign w:val="bottom"/>
          </w:tcPr>
          <w:p>
            <w:pPr>
              <w:jc w:val="center"/>
              <w:ind w:right="17"/>
              <w:spacing w:after="0"/>
              <w:rPr>
                <w:sz w:val="20"/>
                <w:szCs w:val="20"/>
                <w:color w:val="auto"/>
              </w:rPr>
            </w:pPr>
            <w:r>
              <w:rPr>
                <w:rFonts w:ascii="Arial" w:cs="Arial" w:eastAsia="Arial" w:hAnsi="Arial"/>
                <w:sz w:val="13"/>
                <w:szCs w:val="13"/>
                <w:b w:val="1"/>
                <w:bCs w:val="1"/>
                <w:color w:val="auto"/>
                <w:w w:val="91"/>
              </w:rPr>
              <w:t>Approximate Dollar</w:t>
            </w:r>
          </w:p>
        </w:tc>
        <w:tc>
          <w:tcPr>
            <w:tcW w:w="0" w:type="dxa"/>
            <w:vAlign w:val="bottom"/>
          </w:tcPr>
          <w:p>
            <w:pPr>
              <w:spacing w:after="0"/>
              <w:rPr>
                <w:sz w:val="1"/>
                <w:szCs w:val="1"/>
                <w:color w:val="auto"/>
              </w:rPr>
            </w:pPr>
          </w:p>
        </w:tc>
      </w:tr>
      <w:tr>
        <w:trPr>
          <w:trHeight w:val="118"/>
        </w:trPr>
        <w:tc>
          <w:tcPr>
            <w:tcW w:w="4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w w:val="83"/>
              </w:rPr>
              <w:t>Shares Purchased as</w:t>
            </w:r>
          </w:p>
        </w:tc>
        <w:tc>
          <w:tcPr>
            <w:tcW w:w="80" w:type="dxa"/>
            <w:vAlign w:val="bottom"/>
          </w:tcPr>
          <w:p>
            <w:pPr>
              <w:spacing w:after="0"/>
              <w:rPr>
                <w:sz w:val="10"/>
                <w:szCs w:val="10"/>
                <w:color w:val="auto"/>
              </w:rPr>
            </w:pPr>
          </w:p>
        </w:tc>
        <w:tc>
          <w:tcPr>
            <w:tcW w:w="11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86"/>
              </w:rPr>
              <w:t>Value of Shares that</w:t>
            </w:r>
          </w:p>
        </w:tc>
        <w:tc>
          <w:tcPr>
            <w:tcW w:w="0" w:type="dxa"/>
            <w:vAlign w:val="bottom"/>
          </w:tcPr>
          <w:p>
            <w:pPr>
              <w:spacing w:after="0"/>
              <w:rPr>
                <w:sz w:val="1"/>
                <w:szCs w:val="1"/>
                <w:color w:val="auto"/>
              </w:rPr>
            </w:pPr>
          </w:p>
        </w:tc>
      </w:tr>
      <w:tr>
        <w:trPr>
          <w:trHeight w:val="118"/>
        </w:trPr>
        <w:tc>
          <w:tcPr>
            <w:tcW w:w="4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0"/>
              </w:rPr>
              <w:t>Total Number of</w:t>
            </w:r>
          </w:p>
        </w:tc>
        <w:tc>
          <w:tcPr>
            <w:tcW w:w="80" w:type="dxa"/>
            <w:vAlign w:val="bottom"/>
          </w:tcPr>
          <w:p>
            <w:pPr>
              <w:spacing w:after="0"/>
              <w:rPr>
                <w:sz w:val="10"/>
                <w:szCs w:val="10"/>
                <w:color w:val="auto"/>
              </w:rPr>
            </w:pPr>
          </w:p>
        </w:tc>
        <w:tc>
          <w:tcPr>
            <w:tcW w:w="126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6"/>
              </w:rPr>
              <w:t>Average Price Paid</w:t>
            </w:r>
          </w:p>
        </w:tc>
        <w:tc>
          <w:tcPr>
            <w:tcW w:w="136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w w:val="90"/>
              </w:rPr>
              <w:t>Part of Publicly</w:t>
            </w:r>
          </w:p>
        </w:tc>
        <w:tc>
          <w:tcPr>
            <w:tcW w:w="126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87"/>
              </w:rPr>
              <w:t>May Yet Be Purchased</w:t>
            </w:r>
          </w:p>
        </w:tc>
        <w:tc>
          <w:tcPr>
            <w:tcW w:w="0" w:type="dxa"/>
            <w:vAlign w:val="bottom"/>
          </w:tcPr>
          <w:p>
            <w:pPr>
              <w:spacing w:after="0"/>
              <w:rPr>
                <w:sz w:val="1"/>
                <w:szCs w:val="1"/>
                <w:color w:val="auto"/>
              </w:rPr>
            </w:pPr>
          </w:p>
        </w:tc>
      </w:tr>
      <w:tr>
        <w:trPr>
          <w:trHeight w:val="118"/>
        </w:trPr>
        <w:tc>
          <w:tcPr>
            <w:tcW w:w="43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Period</w:t>
            </w:r>
          </w:p>
        </w:tc>
        <w:tc>
          <w:tcPr>
            <w:tcW w:w="13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136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w w:val="86"/>
              </w:rPr>
              <w:t>Announced Plans or</w:t>
            </w:r>
          </w:p>
        </w:tc>
        <w:tc>
          <w:tcPr>
            <w:tcW w:w="80" w:type="dxa"/>
            <w:vAlign w:val="bottom"/>
          </w:tcPr>
          <w:p>
            <w:pPr>
              <w:spacing w:after="0"/>
              <w:rPr>
                <w:sz w:val="10"/>
                <w:szCs w:val="10"/>
                <w:color w:val="auto"/>
              </w:rPr>
            </w:pPr>
          </w:p>
        </w:tc>
        <w:tc>
          <w:tcPr>
            <w:tcW w:w="1180" w:type="dxa"/>
            <w:vAlign w:val="bottom"/>
          </w:tcPr>
          <w:p>
            <w:pPr>
              <w:jc w:val="center"/>
              <w:ind w:right="17"/>
              <w:spacing w:after="0" w:line="119" w:lineRule="exact"/>
              <w:rPr>
                <w:sz w:val="20"/>
                <w:szCs w:val="20"/>
                <w:color w:val="auto"/>
              </w:rPr>
            </w:pPr>
            <w:r>
              <w:rPr>
                <w:rFonts w:ascii="Arial" w:cs="Arial" w:eastAsia="Arial" w:hAnsi="Arial"/>
                <w:sz w:val="13"/>
                <w:szCs w:val="13"/>
                <w:b w:val="1"/>
                <w:bCs w:val="1"/>
                <w:color w:val="auto"/>
                <w:w w:val="88"/>
              </w:rPr>
              <w:t>Under the Plans or</w:t>
            </w:r>
          </w:p>
        </w:tc>
        <w:tc>
          <w:tcPr>
            <w:tcW w:w="0" w:type="dxa"/>
            <w:vAlign w:val="bottom"/>
          </w:tcPr>
          <w:p>
            <w:pPr>
              <w:spacing w:after="0"/>
              <w:rPr>
                <w:sz w:val="1"/>
                <w:szCs w:val="1"/>
                <w:color w:val="auto"/>
              </w:rPr>
            </w:pPr>
          </w:p>
        </w:tc>
      </w:tr>
      <w:tr>
        <w:trPr>
          <w:trHeight w:val="165"/>
        </w:trPr>
        <w:tc>
          <w:tcPr>
            <w:tcW w:w="4360" w:type="dxa"/>
            <w:vAlign w:val="bottom"/>
            <w:gridSpan w:val="2"/>
            <w:vMerge w:val="continue"/>
          </w:tcPr>
          <w:p>
            <w:pPr>
              <w:spacing w:after="0"/>
              <w:rPr>
                <w:sz w:val="14"/>
                <w:szCs w:val="14"/>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5"/>
              </w:rPr>
              <w:t>Shares Purchased (1)</w:t>
            </w:r>
          </w:p>
        </w:tc>
        <w:tc>
          <w:tcPr>
            <w:tcW w:w="80" w:type="dxa"/>
            <w:vAlign w:val="bottom"/>
          </w:tcPr>
          <w:p>
            <w:pPr>
              <w:spacing w:after="0"/>
              <w:rPr>
                <w:sz w:val="14"/>
                <w:szCs w:val="14"/>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6"/>
              </w:rPr>
              <w:t>per Share</w:t>
            </w:r>
          </w:p>
        </w:tc>
        <w:tc>
          <w:tcPr>
            <w:tcW w:w="13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Programs</w:t>
            </w:r>
          </w:p>
        </w:tc>
        <w:tc>
          <w:tcPr>
            <w:tcW w:w="80" w:type="dxa"/>
            <w:vAlign w:val="bottom"/>
          </w:tcPr>
          <w:p>
            <w:pPr>
              <w:spacing w:after="0"/>
              <w:rPr>
                <w:sz w:val="14"/>
                <w:szCs w:val="14"/>
                <w:color w:val="auto"/>
              </w:rPr>
            </w:pPr>
          </w:p>
        </w:tc>
        <w:tc>
          <w:tcPr>
            <w:tcW w:w="1180" w:type="dxa"/>
            <w:vAlign w:val="bottom"/>
          </w:tcPr>
          <w:p>
            <w:pPr>
              <w:jc w:val="center"/>
              <w:ind w:right="17"/>
              <w:spacing w:after="0"/>
              <w:rPr>
                <w:sz w:val="20"/>
                <w:szCs w:val="20"/>
                <w:color w:val="auto"/>
              </w:rPr>
            </w:pPr>
            <w:r>
              <w:rPr>
                <w:rFonts w:ascii="Arial" w:cs="Arial" w:eastAsia="Arial" w:hAnsi="Arial"/>
                <w:sz w:val="13"/>
                <w:szCs w:val="13"/>
                <w:b w:val="1"/>
                <w:bCs w:val="1"/>
                <w:color w:val="auto"/>
                <w:w w:val="88"/>
              </w:rPr>
              <w:t>Programs</w:t>
            </w:r>
          </w:p>
        </w:tc>
        <w:tc>
          <w:tcPr>
            <w:tcW w:w="0" w:type="dxa"/>
            <w:vAlign w:val="bottom"/>
          </w:tcPr>
          <w:p>
            <w:pPr>
              <w:spacing w:after="0"/>
              <w:rPr>
                <w:sz w:val="1"/>
                <w:szCs w:val="1"/>
                <w:color w:val="auto"/>
              </w:rPr>
            </w:pPr>
          </w:p>
        </w:tc>
      </w:tr>
      <w:tr>
        <w:trPr>
          <w:trHeight w:val="158"/>
        </w:trPr>
        <w:tc>
          <w:tcPr>
            <w:tcW w:w="4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October 1, 2021 - October 31, 2021</w:t>
            </w:r>
          </w:p>
        </w:tc>
        <w:tc>
          <w:tcPr>
            <w:tcW w:w="100" w:type="dxa"/>
            <w:vAlign w:val="bottom"/>
            <w:tcBorders>
              <w:top w:val="single" w:sz="8" w:color="CCEEFF"/>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360" w:type="dxa"/>
            <w:vAlign w:val="bottom"/>
            <w:gridSpan w:val="2"/>
          </w:tcPr>
          <w:p>
            <w:pPr>
              <w:ind w:left="140"/>
              <w:spacing w:after="0"/>
              <w:rPr>
                <w:sz w:val="20"/>
                <w:szCs w:val="20"/>
                <w:color w:val="auto"/>
              </w:rPr>
            </w:pPr>
            <w:r>
              <w:rPr>
                <w:rFonts w:ascii="Arial" w:cs="Arial" w:eastAsia="Arial" w:hAnsi="Arial"/>
                <w:sz w:val="13"/>
                <w:szCs w:val="13"/>
                <w:color w:val="auto"/>
              </w:rPr>
              <w:t>Class A Common Stock / Virtu Financial Units repurchases</w:t>
            </w:r>
          </w:p>
        </w:tc>
        <w:tc>
          <w:tcPr>
            <w:tcW w:w="1240" w:type="dxa"/>
            <w:vAlign w:val="bottom"/>
          </w:tcPr>
          <w:p>
            <w:pPr>
              <w:jc w:val="right"/>
              <w:spacing w:after="0"/>
              <w:rPr>
                <w:sz w:val="20"/>
                <w:szCs w:val="20"/>
                <w:color w:val="auto"/>
              </w:rPr>
            </w:pPr>
            <w:r>
              <w:rPr>
                <w:rFonts w:ascii="Arial" w:cs="Arial" w:eastAsia="Arial" w:hAnsi="Arial"/>
                <w:sz w:val="13"/>
                <w:szCs w:val="13"/>
                <w:color w:val="auto"/>
              </w:rPr>
              <w:t>965,194</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25.63</w:t>
            </w:r>
          </w:p>
        </w:tc>
        <w:tc>
          <w:tcPr>
            <w:tcW w:w="1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934,990</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108,571,360</w:t>
            </w:r>
          </w:p>
        </w:tc>
        <w:tc>
          <w:tcPr>
            <w:tcW w:w="0" w:type="dxa"/>
            <w:vAlign w:val="bottom"/>
          </w:tcPr>
          <w:p>
            <w:pPr>
              <w:spacing w:after="0"/>
              <w:rPr>
                <w:sz w:val="1"/>
                <w:szCs w:val="1"/>
                <w:color w:val="auto"/>
              </w:rPr>
            </w:pPr>
          </w:p>
        </w:tc>
      </w:tr>
      <w:tr>
        <w:trPr>
          <w:trHeight w:val="228"/>
        </w:trPr>
        <w:tc>
          <w:tcPr>
            <w:tcW w:w="4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3"/>
        </w:trPr>
        <w:tc>
          <w:tcPr>
            <w:tcW w:w="4360" w:type="dxa"/>
            <w:vAlign w:val="bottom"/>
            <w:gridSpan w:val="2"/>
          </w:tcPr>
          <w:p>
            <w:pPr>
              <w:ind w:left="20"/>
              <w:spacing w:after="0"/>
              <w:rPr>
                <w:sz w:val="20"/>
                <w:szCs w:val="20"/>
                <w:color w:val="auto"/>
              </w:rPr>
            </w:pPr>
            <w:r>
              <w:rPr>
                <w:rFonts w:ascii="Arial" w:cs="Arial" w:eastAsia="Arial" w:hAnsi="Arial"/>
                <w:sz w:val="13"/>
                <w:szCs w:val="13"/>
                <w:color w:val="auto"/>
              </w:rPr>
              <w:t>November 1, 2021 - November 30, 2021</w:t>
            </w: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Class A Common Stock / Virtu Financial Units repurchases</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2,178,315</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28.36</w:t>
            </w: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2,174,919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796,895,811</w:t>
            </w:r>
          </w:p>
        </w:tc>
        <w:tc>
          <w:tcPr>
            <w:tcW w:w="0" w:type="dxa"/>
            <w:vAlign w:val="bottom"/>
          </w:tcPr>
          <w:p>
            <w:pPr>
              <w:spacing w:after="0"/>
              <w:rPr>
                <w:sz w:val="1"/>
                <w:szCs w:val="1"/>
                <w:color w:val="auto"/>
              </w:rPr>
            </w:pPr>
          </w:p>
        </w:tc>
      </w:tr>
      <w:tr>
        <w:trPr>
          <w:trHeight w:val="163"/>
        </w:trPr>
        <w:tc>
          <w:tcPr>
            <w:tcW w:w="4360" w:type="dxa"/>
            <w:vAlign w:val="bottom"/>
            <w:gridSpan w:val="2"/>
          </w:tcPr>
          <w:p>
            <w:pPr>
              <w:ind w:left="140"/>
              <w:spacing w:after="0"/>
              <w:rPr>
                <w:sz w:val="20"/>
                <w:szCs w:val="20"/>
                <w:color w:val="auto"/>
              </w:rPr>
            </w:pPr>
            <w:r>
              <w:rPr>
                <w:rFonts w:ascii="Arial" w:cs="Arial" w:eastAsia="Arial" w:hAnsi="Arial"/>
                <w:sz w:val="13"/>
                <w:szCs w:val="13"/>
                <w:color w:val="auto"/>
              </w:rPr>
              <w:t>Class C Common Stock/ Virtu Financial Units repurchases</w:t>
            </w:r>
          </w:p>
        </w:tc>
        <w:tc>
          <w:tcPr>
            <w:tcW w:w="1240" w:type="dxa"/>
            <w:vAlign w:val="bottom"/>
          </w:tcPr>
          <w:p>
            <w:pPr>
              <w:jc w:val="right"/>
              <w:spacing w:after="0"/>
              <w:rPr>
                <w:sz w:val="20"/>
                <w:szCs w:val="20"/>
                <w:color w:val="auto"/>
              </w:rPr>
            </w:pPr>
            <w:r>
              <w:rPr>
                <w:rFonts w:ascii="Arial" w:cs="Arial" w:eastAsia="Arial" w:hAnsi="Arial"/>
                <w:sz w:val="13"/>
                <w:szCs w:val="13"/>
                <w:color w:val="auto"/>
              </w:rPr>
              <w:t>510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27.77</w:t>
            </w: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4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3"/>
        </w:trPr>
        <w:tc>
          <w:tcPr>
            <w:tcW w:w="4360" w:type="dxa"/>
            <w:vAlign w:val="bottom"/>
            <w:gridSpan w:val="2"/>
          </w:tcPr>
          <w:p>
            <w:pPr>
              <w:ind w:left="20"/>
              <w:spacing w:after="0"/>
              <w:rPr>
                <w:sz w:val="20"/>
                <w:szCs w:val="20"/>
                <w:color w:val="auto"/>
              </w:rPr>
            </w:pPr>
            <w:r>
              <w:rPr>
                <w:rFonts w:ascii="Arial" w:cs="Arial" w:eastAsia="Arial" w:hAnsi="Arial"/>
                <w:sz w:val="13"/>
                <w:szCs w:val="13"/>
                <w:color w:val="auto"/>
              </w:rPr>
              <w:t>December 1, 2021 - December 31, 2021</w:t>
            </w: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Class A Common Stock / Virtu Financial Units repurchases</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731,905</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28.32</w:t>
            </w: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564,513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780,930,600</w:t>
            </w:r>
          </w:p>
        </w:tc>
        <w:tc>
          <w:tcPr>
            <w:tcW w:w="0" w:type="dxa"/>
            <w:vAlign w:val="bottom"/>
          </w:tcPr>
          <w:p>
            <w:pPr>
              <w:spacing w:after="0"/>
              <w:rPr>
                <w:sz w:val="1"/>
                <w:szCs w:val="1"/>
                <w:color w:val="auto"/>
              </w:rPr>
            </w:pPr>
          </w:p>
        </w:tc>
      </w:tr>
      <w:tr>
        <w:trPr>
          <w:trHeight w:val="163"/>
        </w:trPr>
        <w:tc>
          <w:tcPr>
            <w:tcW w:w="4360" w:type="dxa"/>
            <w:vAlign w:val="bottom"/>
            <w:gridSpan w:val="2"/>
          </w:tcPr>
          <w:p>
            <w:pPr>
              <w:ind w:left="140"/>
              <w:spacing w:after="0"/>
              <w:rPr>
                <w:sz w:val="20"/>
                <w:szCs w:val="20"/>
                <w:color w:val="auto"/>
              </w:rPr>
            </w:pPr>
            <w:r>
              <w:rPr>
                <w:rFonts w:ascii="Arial" w:cs="Arial" w:eastAsia="Arial" w:hAnsi="Arial"/>
                <w:sz w:val="13"/>
                <w:szCs w:val="13"/>
                <w:color w:val="auto"/>
              </w:rPr>
              <w:t>Class C Common Stock/ Virtu Financial Units repurchases</w:t>
            </w:r>
          </w:p>
        </w:tc>
        <w:tc>
          <w:tcPr>
            <w:tcW w:w="1240" w:type="dxa"/>
            <w:vAlign w:val="bottom"/>
          </w:tcPr>
          <w:p>
            <w:pPr>
              <w:jc w:val="right"/>
              <w:spacing w:after="0"/>
              <w:rPr>
                <w:sz w:val="20"/>
                <w:szCs w:val="20"/>
                <w:color w:val="auto"/>
              </w:rPr>
            </w:pPr>
            <w:r>
              <w:rPr>
                <w:rFonts w:ascii="Arial" w:cs="Arial" w:eastAsia="Arial" w:hAnsi="Arial"/>
                <w:sz w:val="13"/>
                <w:szCs w:val="13"/>
                <w:color w:val="auto"/>
              </w:rPr>
              <w:t>60,913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28.83</w:t>
            </w:r>
          </w:p>
        </w:tc>
        <w:tc>
          <w:tcPr>
            <w:tcW w:w="10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4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4360" w:type="dxa"/>
            <w:vAlign w:val="bottom"/>
            <w:gridSpan w:val="2"/>
          </w:tcPr>
          <w:p>
            <w:pPr>
              <w:ind w:left="20"/>
              <w:spacing w:after="0"/>
              <w:rPr>
                <w:sz w:val="20"/>
                <w:szCs w:val="20"/>
                <w:color w:val="auto"/>
              </w:rPr>
            </w:pPr>
            <w:r>
              <w:rPr>
                <w:rFonts w:ascii="Arial" w:cs="Arial" w:eastAsia="Arial" w:hAnsi="Arial"/>
                <w:sz w:val="13"/>
                <w:szCs w:val="13"/>
                <w:color w:val="auto"/>
              </w:rPr>
              <w:t>Total Common Stock / Virtu Financial Unit repurchases</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3,936,837</w:t>
            </w:r>
          </w:p>
        </w:tc>
        <w:tc>
          <w:tcPr>
            <w:tcW w:w="12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27.69</w:t>
            </w:r>
          </w:p>
        </w:tc>
        <w:tc>
          <w:tcPr>
            <w:tcW w:w="100" w:type="dxa"/>
            <w:vAlign w:val="bottom"/>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3,674,422</w:t>
            </w:r>
          </w:p>
        </w:tc>
        <w:tc>
          <w:tcPr>
            <w:tcW w:w="1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780,930,600</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ind w:left="560"/>
        <w:spacing w:after="0"/>
        <w:rPr>
          <w:sz w:val="20"/>
          <w:szCs w:val="20"/>
          <w:color w:val="auto"/>
        </w:rPr>
      </w:pPr>
      <w:r>
        <w:rPr>
          <w:rFonts w:ascii="Arial" w:cs="Arial" w:eastAsia="Arial" w:hAnsi="Arial"/>
          <w:sz w:val="11"/>
          <w:szCs w:val="11"/>
          <w:color w:val="auto"/>
        </w:rPr>
        <w:t>(1) Includes the repurchase of 200,992 shares from employees in order to satisfy statutory tax withholding requirements upon the net settlement of equity awards for the three months ended December 31, 2021</w:t>
      </w:r>
    </w:p>
    <w:p>
      <w:pPr>
        <w:spacing w:after="0" w:line="208" w:lineRule="exact"/>
        <w:rPr>
          <w:sz w:val="20"/>
          <w:szCs w:val="20"/>
          <w:color w:val="auto"/>
        </w:rPr>
      </w:pPr>
    </w:p>
    <w:p>
      <w:pPr>
        <w:ind w:right="20" w:firstLine="568"/>
        <w:spacing w:after="0" w:line="254" w:lineRule="auto"/>
        <w:rPr>
          <w:sz w:val="20"/>
          <w:szCs w:val="20"/>
          <w:color w:val="auto"/>
        </w:rPr>
      </w:pPr>
      <w:r>
        <w:rPr>
          <w:rFonts w:ascii="Arial" w:cs="Arial" w:eastAsia="Arial" w:hAnsi="Arial"/>
          <w:sz w:val="16"/>
          <w:szCs w:val="16"/>
          <w:color w:val="auto"/>
        </w:rPr>
        <w:t>During the year ended December 31, 2021, pursuant to the Exchange Agreement, certain current and former employees elected to exchange 747,849 units in Virtu Financial held directly or on their behalf by Virtu Employee Holdco LLC (“Employee Holdco”) on a one-for-one basis for shares of Class A Common Stock. The shares of our Class A Common Stock were issued in reliance on the registration exemption contained in Section 4(a)(2) of the Securities Act, on the basis that the transaction did not involve a public offering. No underwriters were involved in the transaction.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802" w:right="359" w:bottom="1440" w:gutter="0" w:footer="0" w:header="0"/>
        </w:sectPr>
      </w:pPr>
    </w:p>
    <w:bookmarkStart w:id="44" w:name="page45"/>
    <w:bookmarkEnd w:id="44"/>
    <w:p>
      <w:pPr>
        <w:spacing w:after="0"/>
        <w:rPr>
          <w:sz w:val="20"/>
          <w:szCs w:val="20"/>
          <w:color w:val="auto"/>
        </w:rPr>
      </w:pPr>
      <w:r>
        <w:rPr>
          <w:rFonts w:ascii="Arial" w:cs="Arial" w:eastAsia="Arial" w:hAnsi="Arial"/>
          <w:sz w:val="16"/>
          <w:szCs w:val="16"/>
          <w:b w:val="1"/>
          <w:bCs w:val="1"/>
          <w:color w:val="auto"/>
        </w:rPr>
        <w:t>Equity Compensation Plan Information</w:t>
      </w:r>
    </w:p>
    <w:p>
      <w:pPr>
        <w:spacing w:after="0" w:line="223"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following table provides information about shares of common stock available for future awards under all of the Company’s equity compensation plans as of</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2021:</w:t>
      </w:r>
    </w:p>
    <w:tbl>
      <w:tblPr>
        <w:tblLayout w:type="fixed"/>
        <w:tblInd w:w="3920" w:type="dxa"/>
        <w:tblCellMar>
          <w:top w:w="0" w:type="dxa"/>
          <w:left w:w="0" w:type="dxa"/>
          <w:bottom w:w="0" w:type="dxa"/>
          <w:right w:w="0" w:type="dxa"/>
        </w:tblCellMar>
      </w:tblPr>
      <w:tr>
        <w:trPr>
          <w:trHeight w:val="149"/>
        </w:trPr>
        <w:tc>
          <w:tcPr>
            <w:tcW w:w="1220" w:type="dxa"/>
            <w:vAlign w:val="bottom"/>
          </w:tcPr>
          <w:p>
            <w:pPr>
              <w:spacing w:after="0"/>
              <w:rPr>
                <w:sz w:val="12"/>
                <w:szCs w:val="12"/>
                <w:color w:val="auto"/>
              </w:rPr>
            </w:pPr>
          </w:p>
        </w:tc>
        <w:tc>
          <w:tcPr>
            <w:tcW w:w="2020" w:type="dxa"/>
            <w:vAlign w:val="bottom"/>
            <w:vMerge w:val="restart"/>
          </w:tcPr>
          <w:p>
            <w:pPr>
              <w:jc w:val="center"/>
              <w:ind w:left="257"/>
              <w:spacing w:after="0"/>
              <w:rPr>
                <w:sz w:val="20"/>
                <w:szCs w:val="20"/>
                <w:color w:val="auto"/>
              </w:rPr>
            </w:pPr>
            <w:r>
              <w:rPr>
                <w:rFonts w:ascii="Arial" w:cs="Arial" w:eastAsia="Arial" w:hAnsi="Arial"/>
                <w:sz w:val="13"/>
                <w:szCs w:val="13"/>
                <w:b w:val="1"/>
                <w:bCs w:val="1"/>
                <w:color w:val="auto"/>
                <w:w w:val="86"/>
              </w:rPr>
              <w:t>Number of securities to be</w:t>
            </w:r>
          </w:p>
        </w:tc>
        <w:tc>
          <w:tcPr>
            <w:tcW w:w="14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7"/>
              </w:rPr>
              <w:t>Weighted-average</w:t>
            </w:r>
          </w:p>
        </w:tc>
        <w:tc>
          <w:tcPr>
            <w:tcW w:w="1940" w:type="dxa"/>
            <w:vAlign w:val="bottom"/>
          </w:tcPr>
          <w:p>
            <w:pPr>
              <w:jc w:val="center"/>
              <w:ind w:left="97"/>
              <w:spacing w:after="0"/>
              <w:rPr>
                <w:sz w:val="20"/>
                <w:szCs w:val="20"/>
                <w:color w:val="auto"/>
              </w:rPr>
            </w:pPr>
            <w:r>
              <w:rPr>
                <w:rFonts w:ascii="Arial" w:cs="Arial" w:eastAsia="Arial" w:hAnsi="Arial"/>
                <w:sz w:val="13"/>
                <w:szCs w:val="13"/>
                <w:b w:val="1"/>
                <w:bCs w:val="1"/>
                <w:color w:val="auto"/>
                <w:w w:val="87"/>
              </w:rPr>
              <w:t>Number of securities remaining</w:t>
            </w:r>
          </w:p>
        </w:tc>
        <w:tc>
          <w:tcPr>
            <w:tcW w:w="0" w:type="dxa"/>
            <w:vAlign w:val="bottom"/>
          </w:tcPr>
          <w:p>
            <w:pPr>
              <w:spacing w:after="0"/>
              <w:rPr>
                <w:sz w:val="1"/>
                <w:szCs w:val="1"/>
                <w:color w:val="auto"/>
              </w:rPr>
            </w:pPr>
          </w:p>
        </w:tc>
      </w:tr>
      <w:tr>
        <w:trPr>
          <w:trHeight w:val="118"/>
        </w:trPr>
        <w:tc>
          <w:tcPr>
            <w:tcW w:w="1220" w:type="dxa"/>
            <w:vAlign w:val="bottom"/>
          </w:tcPr>
          <w:p>
            <w:pPr>
              <w:spacing w:after="0"/>
              <w:rPr>
                <w:sz w:val="10"/>
                <w:szCs w:val="10"/>
                <w:color w:val="auto"/>
              </w:rPr>
            </w:pPr>
          </w:p>
        </w:tc>
        <w:tc>
          <w:tcPr>
            <w:tcW w:w="2020" w:type="dxa"/>
            <w:vAlign w:val="bottom"/>
            <w:vMerge w:val="continue"/>
          </w:tcPr>
          <w:p>
            <w:pPr>
              <w:spacing w:after="0"/>
              <w:rPr>
                <w:sz w:val="10"/>
                <w:szCs w:val="10"/>
                <w:color w:val="auto"/>
              </w:rPr>
            </w:pPr>
          </w:p>
        </w:tc>
        <w:tc>
          <w:tcPr>
            <w:tcW w:w="1400" w:type="dxa"/>
            <w:vAlign w:val="bottom"/>
            <w:vMerge w:val="continue"/>
          </w:tcPr>
          <w:p>
            <w:pPr>
              <w:spacing w:after="0"/>
              <w:rPr>
                <w:sz w:val="10"/>
                <w:szCs w:val="10"/>
                <w:color w:val="auto"/>
              </w:rPr>
            </w:pPr>
          </w:p>
        </w:tc>
        <w:tc>
          <w:tcPr>
            <w:tcW w:w="1940" w:type="dxa"/>
            <w:vAlign w:val="bottom"/>
          </w:tcPr>
          <w:p>
            <w:pPr>
              <w:jc w:val="center"/>
              <w:ind w:left="117"/>
              <w:spacing w:after="0" w:line="119" w:lineRule="exact"/>
              <w:rPr>
                <w:sz w:val="20"/>
                <w:szCs w:val="20"/>
                <w:color w:val="auto"/>
              </w:rPr>
            </w:pPr>
            <w:r>
              <w:rPr>
                <w:rFonts w:ascii="Arial" w:cs="Arial" w:eastAsia="Arial" w:hAnsi="Arial"/>
                <w:sz w:val="13"/>
                <w:szCs w:val="13"/>
                <w:b w:val="1"/>
                <w:bCs w:val="1"/>
                <w:color w:val="auto"/>
                <w:w w:val="86"/>
              </w:rPr>
              <w:t>available for future issuance</w:t>
            </w:r>
          </w:p>
        </w:tc>
        <w:tc>
          <w:tcPr>
            <w:tcW w:w="0" w:type="dxa"/>
            <w:vAlign w:val="bottom"/>
          </w:tcPr>
          <w:p>
            <w:pPr>
              <w:spacing w:after="0"/>
              <w:rPr>
                <w:sz w:val="1"/>
                <w:szCs w:val="1"/>
                <w:color w:val="auto"/>
              </w:rPr>
            </w:pPr>
          </w:p>
        </w:tc>
      </w:tr>
      <w:tr>
        <w:trPr>
          <w:trHeight w:val="118"/>
        </w:trPr>
        <w:tc>
          <w:tcPr>
            <w:tcW w:w="1220" w:type="dxa"/>
            <w:vAlign w:val="bottom"/>
          </w:tcPr>
          <w:p>
            <w:pPr>
              <w:spacing w:after="0"/>
              <w:rPr>
                <w:sz w:val="10"/>
                <w:szCs w:val="10"/>
                <w:color w:val="auto"/>
              </w:rPr>
            </w:pPr>
          </w:p>
        </w:tc>
        <w:tc>
          <w:tcPr>
            <w:tcW w:w="2020" w:type="dxa"/>
            <w:vAlign w:val="bottom"/>
          </w:tcPr>
          <w:p>
            <w:pPr>
              <w:jc w:val="center"/>
              <w:ind w:left="257"/>
              <w:spacing w:after="0" w:line="119" w:lineRule="exact"/>
              <w:rPr>
                <w:sz w:val="20"/>
                <w:szCs w:val="20"/>
                <w:color w:val="auto"/>
              </w:rPr>
            </w:pPr>
            <w:r>
              <w:rPr>
                <w:rFonts w:ascii="Arial" w:cs="Arial" w:eastAsia="Arial" w:hAnsi="Arial"/>
                <w:sz w:val="13"/>
                <w:szCs w:val="13"/>
                <w:b w:val="1"/>
                <w:bCs w:val="1"/>
                <w:color w:val="auto"/>
                <w:w w:val="82"/>
              </w:rPr>
              <w:t>issued upon exercise of</w:t>
            </w:r>
          </w:p>
        </w:tc>
        <w:tc>
          <w:tcPr>
            <w:tcW w:w="14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83"/>
              </w:rPr>
              <w:t>exercise price of</w:t>
            </w:r>
          </w:p>
        </w:tc>
        <w:tc>
          <w:tcPr>
            <w:tcW w:w="1940" w:type="dxa"/>
            <w:vAlign w:val="bottom"/>
          </w:tcPr>
          <w:p>
            <w:pPr>
              <w:jc w:val="center"/>
              <w:ind w:left="97"/>
              <w:spacing w:after="0" w:line="119" w:lineRule="exact"/>
              <w:rPr>
                <w:sz w:val="20"/>
                <w:szCs w:val="20"/>
                <w:color w:val="auto"/>
              </w:rPr>
            </w:pPr>
            <w:r>
              <w:rPr>
                <w:rFonts w:ascii="Arial" w:cs="Arial" w:eastAsia="Arial" w:hAnsi="Arial"/>
                <w:sz w:val="13"/>
                <w:szCs w:val="13"/>
                <w:b w:val="1"/>
                <w:bCs w:val="1"/>
                <w:color w:val="auto"/>
                <w:w w:val="85"/>
              </w:rPr>
              <w:t>under equity compensation plans</w:t>
            </w:r>
          </w:p>
        </w:tc>
        <w:tc>
          <w:tcPr>
            <w:tcW w:w="0" w:type="dxa"/>
            <w:vAlign w:val="bottom"/>
          </w:tcPr>
          <w:p>
            <w:pPr>
              <w:spacing w:after="0"/>
              <w:rPr>
                <w:sz w:val="1"/>
                <w:szCs w:val="1"/>
                <w:color w:val="auto"/>
              </w:rPr>
            </w:pPr>
          </w:p>
        </w:tc>
      </w:tr>
      <w:tr>
        <w:trPr>
          <w:trHeight w:val="118"/>
        </w:trPr>
        <w:tc>
          <w:tcPr>
            <w:tcW w:w="1220" w:type="dxa"/>
            <w:vAlign w:val="bottom"/>
            <w:vMerge w:val="restart"/>
          </w:tcPr>
          <w:p>
            <w:pPr>
              <w:spacing w:after="0"/>
              <w:rPr>
                <w:sz w:val="20"/>
                <w:szCs w:val="20"/>
                <w:color w:val="auto"/>
              </w:rPr>
            </w:pPr>
            <w:r>
              <w:rPr>
                <w:rFonts w:ascii="Arial" w:cs="Arial" w:eastAsia="Arial" w:hAnsi="Arial"/>
                <w:sz w:val="13"/>
                <w:szCs w:val="13"/>
                <w:b w:val="1"/>
                <w:bCs w:val="1"/>
                <w:color w:val="auto"/>
              </w:rPr>
              <w:t>Plan Category</w:t>
            </w:r>
          </w:p>
        </w:tc>
        <w:tc>
          <w:tcPr>
            <w:tcW w:w="2020" w:type="dxa"/>
            <w:vAlign w:val="bottom"/>
          </w:tcPr>
          <w:p>
            <w:pPr>
              <w:jc w:val="center"/>
              <w:ind w:left="257"/>
              <w:spacing w:after="0" w:line="119" w:lineRule="exact"/>
              <w:rPr>
                <w:sz w:val="20"/>
                <w:szCs w:val="20"/>
                <w:color w:val="auto"/>
              </w:rPr>
            </w:pPr>
            <w:r>
              <w:rPr>
                <w:rFonts w:ascii="Arial" w:cs="Arial" w:eastAsia="Arial" w:hAnsi="Arial"/>
                <w:sz w:val="13"/>
                <w:szCs w:val="13"/>
                <w:b w:val="1"/>
                <w:bCs w:val="1"/>
                <w:color w:val="auto"/>
                <w:w w:val="85"/>
              </w:rPr>
              <w:t>outstanding options,</w:t>
            </w:r>
          </w:p>
        </w:tc>
        <w:tc>
          <w:tcPr>
            <w:tcW w:w="14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85"/>
              </w:rPr>
              <w:t>outstanding options,</w:t>
            </w:r>
          </w:p>
        </w:tc>
        <w:tc>
          <w:tcPr>
            <w:tcW w:w="1940" w:type="dxa"/>
            <w:vAlign w:val="bottom"/>
          </w:tcPr>
          <w:p>
            <w:pPr>
              <w:jc w:val="center"/>
              <w:ind w:left="97"/>
              <w:spacing w:after="0" w:line="119" w:lineRule="exact"/>
              <w:rPr>
                <w:sz w:val="20"/>
                <w:szCs w:val="20"/>
                <w:color w:val="auto"/>
              </w:rPr>
            </w:pPr>
            <w:r>
              <w:rPr>
                <w:rFonts w:ascii="Arial" w:cs="Arial" w:eastAsia="Arial" w:hAnsi="Arial"/>
                <w:sz w:val="13"/>
                <w:szCs w:val="13"/>
                <w:b w:val="1"/>
                <w:bCs w:val="1"/>
                <w:color w:val="auto"/>
                <w:w w:val="85"/>
              </w:rPr>
              <w:t>(excluding securities reflected in</w:t>
            </w:r>
          </w:p>
        </w:tc>
        <w:tc>
          <w:tcPr>
            <w:tcW w:w="0" w:type="dxa"/>
            <w:vAlign w:val="bottom"/>
          </w:tcPr>
          <w:p>
            <w:pPr>
              <w:spacing w:after="0"/>
              <w:rPr>
                <w:sz w:val="1"/>
                <w:szCs w:val="1"/>
                <w:color w:val="auto"/>
              </w:rPr>
            </w:pPr>
          </w:p>
        </w:tc>
      </w:tr>
      <w:tr>
        <w:trPr>
          <w:trHeight w:val="164"/>
        </w:trPr>
        <w:tc>
          <w:tcPr>
            <w:tcW w:w="1220" w:type="dxa"/>
            <w:vAlign w:val="bottom"/>
            <w:vMerge w:val="continue"/>
          </w:tcPr>
          <w:p>
            <w:pPr>
              <w:spacing w:after="0"/>
              <w:rPr>
                <w:sz w:val="14"/>
                <w:szCs w:val="14"/>
                <w:color w:val="auto"/>
              </w:rPr>
            </w:pPr>
          </w:p>
        </w:tc>
        <w:tc>
          <w:tcPr>
            <w:tcW w:w="2020" w:type="dxa"/>
            <w:vAlign w:val="bottom"/>
          </w:tcPr>
          <w:p>
            <w:pPr>
              <w:jc w:val="center"/>
              <w:ind w:left="237"/>
              <w:spacing w:after="0"/>
              <w:rPr>
                <w:sz w:val="20"/>
                <w:szCs w:val="20"/>
                <w:color w:val="auto"/>
              </w:rPr>
            </w:pPr>
            <w:r>
              <w:rPr>
                <w:rFonts w:ascii="Arial" w:cs="Arial" w:eastAsia="Arial" w:hAnsi="Arial"/>
                <w:sz w:val="13"/>
                <w:szCs w:val="13"/>
                <w:b w:val="1"/>
                <w:bCs w:val="1"/>
                <w:color w:val="auto"/>
                <w:w w:val="89"/>
              </w:rPr>
              <w:t>warrants and rights</w:t>
            </w:r>
          </w:p>
        </w:tc>
        <w:tc>
          <w:tcPr>
            <w:tcW w:w="1400" w:type="dxa"/>
            <w:vAlign w:val="bottom"/>
          </w:tcPr>
          <w:p>
            <w:pPr>
              <w:jc w:val="center"/>
              <w:spacing w:after="0"/>
              <w:rPr>
                <w:sz w:val="20"/>
                <w:szCs w:val="20"/>
                <w:color w:val="auto"/>
              </w:rPr>
            </w:pPr>
            <w:r>
              <w:rPr>
                <w:rFonts w:ascii="Arial" w:cs="Arial" w:eastAsia="Arial" w:hAnsi="Arial"/>
                <w:sz w:val="13"/>
                <w:szCs w:val="13"/>
                <w:b w:val="1"/>
                <w:bCs w:val="1"/>
                <w:color w:val="auto"/>
                <w:w w:val="87"/>
              </w:rPr>
              <w:t>warrants and rights</w:t>
            </w:r>
          </w:p>
        </w:tc>
        <w:tc>
          <w:tcPr>
            <w:tcW w:w="1940" w:type="dxa"/>
            <w:vAlign w:val="bottom"/>
          </w:tcPr>
          <w:p>
            <w:pPr>
              <w:jc w:val="center"/>
              <w:ind w:left="97"/>
              <w:spacing w:after="0"/>
              <w:rPr>
                <w:sz w:val="20"/>
                <w:szCs w:val="20"/>
                <w:color w:val="auto"/>
              </w:rPr>
            </w:pPr>
            <w:r>
              <w:rPr>
                <w:rFonts w:ascii="Arial" w:cs="Arial" w:eastAsia="Arial" w:hAnsi="Arial"/>
                <w:sz w:val="13"/>
                <w:szCs w:val="13"/>
                <w:b w:val="1"/>
                <w:bCs w:val="1"/>
                <w:color w:val="auto"/>
                <w:w w:val="88"/>
              </w:rPr>
              <w:t>first column)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462915</wp:posOffset>
            </wp:positionH>
            <wp:positionV relativeFrom="paragraph">
              <wp:posOffset>635</wp:posOffset>
            </wp:positionV>
            <wp:extent cx="6224270" cy="1879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24270" cy="187960"/>
                    </a:xfrm>
                    <a:prstGeom prst="rect">
                      <a:avLst/>
                    </a:prstGeom>
                    <a:noFill/>
                  </pic:spPr>
                </pic:pic>
              </a:graphicData>
            </a:graphic>
          </wp:anchor>
        </w:drawing>
      </w:r>
    </w:p>
    <w:p>
      <w:pPr>
        <w:sectPr>
          <w:pgSz w:w="11900" w:h="16838" w:orient="portrait"/>
          <w:cols w:equalWidth="0" w:num="1">
            <w:col w:w="10680"/>
          </w:cols>
          <w:pgMar w:left="320" w:top="798" w:right="899" w:bottom="1440" w:gutter="0" w:footer="0" w:header="0"/>
        </w:sectPr>
      </w:pPr>
    </w:p>
    <w:tbl>
      <w:tblPr>
        <w:tblLayout w:type="fixed"/>
        <w:tblInd w:w="740" w:type="dxa"/>
        <w:tblCellMar>
          <w:top w:w="0" w:type="dxa"/>
          <w:left w:w="0" w:type="dxa"/>
          <w:bottom w:w="0" w:type="dxa"/>
          <w:right w:w="0" w:type="dxa"/>
        </w:tblCellMar>
      </w:tblPr>
      <w:tr>
        <w:trPr>
          <w:trHeight w:val="112"/>
        </w:trPr>
        <w:tc>
          <w:tcPr>
            <w:tcW w:w="2400" w:type="dxa"/>
            <w:vAlign w:val="bottom"/>
          </w:tcPr>
          <w:p>
            <w:pPr>
              <w:spacing w:after="0" w:line="111" w:lineRule="exact"/>
              <w:rPr>
                <w:sz w:val="20"/>
                <w:szCs w:val="20"/>
                <w:color w:val="auto"/>
              </w:rPr>
            </w:pPr>
            <w:r>
              <w:rPr>
                <w:rFonts w:ascii="Arial" w:cs="Arial" w:eastAsia="Arial" w:hAnsi="Arial"/>
                <w:sz w:val="12"/>
                <w:szCs w:val="12"/>
                <w:color w:val="auto"/>
              </w:rPr>
              <w:t>Equity compensation plans approved by</w:t>
            </w:r>
          </w:p>
        </w:tc>
        <w:tc>
          <w:tcPr>
            <w:tcW w:w="2340" w:type="dxa"/>
            <w:vAlign w:val="bottom"/>
            <w:tcBorders>
              <w:top w:val="single" w:sz="8" w:color="auto"/>
            </w:tcBorders>
          </w:tcPr>
          <w:p>
            <w:pPr>
              <w:ind w:left="20"/>
              <w:spacing w:after="0" w:line="111" w:lineRule="exact"/>
              <w:rPr>
                <w:sz w:val="20"/>
                <w:szCs w:val="20"/>
                <w:color w:val="auto"/>
              </w:rPr>
            </w:pPr>
            <w:r>
              <w:rPr>
                <w:rFonts w:ascii="Arial" w:cs="Arial" w:eastAsia="Arial" w:hAnsi="Arial"/>
                <w:sz w:val="12"/>
                <w:szCs w:val="12"/>
                <w:color w:val="auto"/>
              </w:rPr>
              <w:t>Amended and Restated 2015 Management</w:t>
            </w:r>
          </w:p>
        </w:tc>
        <w:tc>
          <w:tcPr>
            <w:tcW w:w="0" w:type="dxa"/>
            <w:vAlign w:val="bottom"/>
          </w:tcPr>
          <w:p>
            <w:pPr>
              <w:spacing w:after="0"/>
              <w:rPr>
                <w:sz w:val="1"/>
                <w:szCs w:val="1"/>
                <w:color w:val="auto"/>
              </w:rPr>
            </w:pPr>
          </w:p>
        </w:tc>
      </w:tr>
      <w:tr>
        <w:trPr>
          <w:trHeight w:val="160"/>
        </w:trPr>
        <w:tc>
          <w:tcPr>
            <w:tcW w:w="2400" w:type="dxa"/>
            <w:vAlign w:val="bottom"/>
          </w:tcPr>
          <w:p>
            <w:pPr>
              <w:spacing w:after="0"/>
              <w:rPr>
                <w:sz w:val="20"/>
                <w:szCs w:val="20"/>
                <w:color w:val="auto"/>
              </w:rPr>
            </w:pPr>
            <w:r>
              <w:rPr>
                <w:rFonts w:ascii="Arial" w:cs="Arial" w:eastAsia="Arial" w:hAnsi="Arial"/>
                <w:sz w:val="13"/>
                <w:szCs w:val="13"/>
                <w:color w:val="auto"/>
              </w:rPr>
              <w:t>security holders</w:t>
            </w:r>
          </w:p>
        </w:tc>
        <w:tc>
          <w:tcPr>
            <w:tcW w:w="2340" w:type="dxa"/>
            <w:vAlign w:val="bottom"/>
          </w:tcPr>
          <w:p>
            <w:pPr>
              <w:ind w:left="20"/>
              <w:spacing w:after="0"/>
              <w:rPr>
                <w:sz w:val="20"/>
                <w:szCs w:val="20"/>
                <w:color w:val="auto"/>
              </w:rPr>
            </w:pPr>
            <w:r>
              <w:rPr>
                <w:rFonts w:ascii="Arial" w:cs="Arial" w:eastAsia="Arial" w:hAnsi="Arial"/>
                <w:sz w:val="13"/>
                <w:szCs w:val="13"/>
                <w:color w:val="auto"/>
              </w:rPr>
              <w:t>Incentive Plan</w:t>
            </w:r>
          </w:p>
        </w:tc>
        <w:tc>
          <w:tcPr>
            <w:tcW w:w="0" w:type="dxa"/>
            <w:vAlign w:val="bottom"/>
          </w:tcPr>
          <w:p>
            <w:pPr>
              <w:spacing w:after="0"/>
              <w:rPr>
                <w:sz w:val="1"/>
                <w:szCs w:val="1"/>
                <w:color w:val="auto"/>
              </w:rPr>
            </w:pPr>
          </w:p>
        </w:tc>
      </w:tr>
      <w:tr>
        <w:trPr>
          <w:trHeight w:val="124"/>
        </w:trPr>
        <w:tc>
          <w:tcPr>
            <w:tcW w:w="2400" w:type="dxa"/>
            <w:vAlign w:val="bottom"/>
          </w:tcPr>
          <w:p>
            <w:pPr>
              <w:spacing w:after="0" w:line="124" w:lineRule="exact"/>
              <w:rPr>
                <w:sz w:val="20"/>
                <w:szCs w:val="20"/>
                <w:color w:val="auto"/>
              </w:rPr>
            </w:pPr>
            <w:r>
              <w:rPr>
                <w:rFonts w:ascii="Arial" w:cs="Arial" w:eastAsia="Arial" w:hAnsi="Arial"/>
                <w:sz w:val="13"/>
                <w:szCs w:val="13"/>
                <w:color w:val="auto"/>
                <w:w w:val="94"/>
              </w:rPr>
              <w:t>Equity compensation plans not approved by</w:t>
            </w:r>
          </w:p>
        </w:tc>
        <w:tc>
          <w:tcPr>
            <w:tcW w:w="2340" w:type="dxa"/>
            <w:vAlign w:val="bottom"/>
            <w:vMerge w:val="restart"/>
          </w:tcPr>
          <w:p>
            <w:pPr>
              <w:ind w:left="20"/>
              <w:spacing w:after="0"/>
              <w:rPr>
                <w:sz w:val="20"/>
                <w:szCs w:val="20"/>
                <w:color w:val="auto"/>
              </w:rPr>
            </w:pPr>
            <w:r>
              <w:rPr>
                <w:rFonts w:ascii="Arial" w:cs="Arial" w:eastAsia="Arial" w:hAnsi="Arial"/>
                <w:sz w:val="13"/>
                <w:szCs w:val="13"/>
                <w:color w:val="auto"/>
              </w:rPr>
              <w:t>None</w:t>
            </w:r>
          </w:p>
        </w:tc>
        <w:tc>
          <w:tcPr>
            <w:tcW w:w="0" w:type="dxa"/>
            <w:vAlign w:val="bottom"/>
          </w:tcPr>
          <w:p>
            <w:pPr>
              <w:spacing w:after="0"/>
              <w:rPr>
                <w:sz w:val="1"/>
                <w:szCs w:val="1"/>
                <w:color w:val="auto"/>
              </w:rPr>
            </w:pPr>
          </w:p>
        </w:tc>
      </w:tr>
      <w:tr>
        <w:trPr>
          <w:trHeight w:val="160"/>
        </w:trPr>
        <w:tc>
          <w:tcPr>
            <w:tcW w:w="2400" w:type="dxa"/>
            <w:vAlign w:val="bottom"/>
          </w:tcPr>
          <w:p>
            <w:pPr>
              <w:spacing w:after="0"/>
              <w:rPr>
                <w:sz w:val="20"/>
                <w:szCs w:val="20"/>
                <w:color w:val="auto"/>
              </w:rPr>
            </w:pPr>
            <w:r>
              <w:rPr>
                <w:rFonts w:ascii="Arial" w:cs="Arial" w:eastAsia="Arial" w:hAnsi="Arial"/>
                <w:sz w:val="13"/>
                <w:szCs w:val="13"/>
                <w:color w:val="auto"/>
              </w:rPr>
              <w:t>security holders</w:t>
            </w:r>
          </w:p>
        </w:tc>
        <w:tc>
          <w:tcPr>
            <w:tcW w:w="2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2400" w:type="dxa"/>
            <w:vAlign w:val="bottom"/>
          </w:tcPr>
          <w:p>
            <w:pPr>
              <w:spacing w:after="0"/>
              <w:rPr>
                <w:sz w:val="20"/>
                <w:szCs w:val="20"/>
                <w:color w:val="auto"/>
              </w:rPr>
            </w:pPr>
            <w:r>
              <w:rPr>
                <w:rFonts w:ascii="Arial" w:cs="Arial" w:eastAsia="Arial" w:hAnsi="Arial"/>
                <w:sz w:val="13"/>
                <w:szCs w:val="13"/>
                <w:color w:val="auto"/>
              </w:rPr>
              <w:t>Total</w:t>
            </w:r>
          </w:p>
        </w:tc>
        <w:tc>
          <w:tcPr>
            <w:tcW w:w="23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1460" w:type="dxa"/>
            <w:vAlign w:val="bottom"/>
          </w:tcPr>
          <w:p>
            <w:pPr>
              <w:jc w:val="right"/>
              <w:spacing w:after="0"/>
              <w:rPr>
                <w:sz w:val="20"/>
                <w:szCs w:val="20"/>
                <w:color w:val="auto"/>
              </w:rPr>
            </w:pPr>
            <w:r>
              <w:rPr>
                <w:rFonts w:ascii="Arial" w:cs="Arial" w:eastAsia="Arial" w:hAnsi="Arial"/>
                <w:sz w:val="13"/>
                <w:szCs w:val="13"/>
                <w:color w:val="auto"/>
              </w:rPr>
              <w:t>1,795,655</w:t>
            </w:r>
          </w:p>
        </w:tc>
        <w:tc>
          <w:tcPr>
            <w:tcW w:w="100" w:type="dxa"/>
            <w:vAlign w:val="bottom"/>
          </w:tcPr>
          <w:p>
            <w:pPr>
              <w:spacing w:after="0"/>
              <w:rPr>
                <w:sz w:val="13"/>
                <w:szCs w:val="13"/>
                <w:color w:val="auto"/>
              </w:rPr>
            </w:pPr>
          </w:p>
        </w:tc>
        <w:tc>
          <w:tcPr>
            <w:tcW w:w="600" w:type="dxa"/>
            <w:vAlign w:val="bottom"/>
          </w:tcPr>
          <w:p>
            <w:pPr>
              <w:jc w:val="right"/>
              <w:ind w:right="457"/>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19.00</w:t>
            </w:r>
          </w:p>
        </w:tc>
        <w:tc>
          <w:tcPr>
            <w:tcW w:w="100" w:type="dxa"/>
            <w:vAlign w:val="bottom"/>
          </w:tcPr>
          <w:p>
            <w:pPr>
              <w:spacing w:after="0"/>
              <w:rPr>
                <w:sz w:val="13"/>
                <w:szCs w:val="13"/>
                <w:color w:val="auto"/>
              </w:rPr>
            </w:pPr>
          </w:p>
        </w:tc>
        <w:tc>
          <w:tcPr>
            <w:tcW w:w="1840" w:type="dxa"/>
            <w:vAlign w:val="bottom"/>
          </w:tcPr>
          <w:p>
            <w:pPr>
              <w:jc w:val="right"/>
              <w:spacing w:after="0"/>
              <w:rPr>
                <w:sz w:val="20"/>
                <w:szCs w:val="20"/>
                <w:color w:val="auto"/>
              </w:rPr>
            </w:pPr>
            <w:r>
              <w:rPr>
                <w:rFonts w:ascii="Arial" w:cs="Arial" w:eastAsia="Arial" w:hAnsi="Arial"/>
                <w:sz w:val="13"/>
                <w:szCs w:val="13"/>
                <w:color w:val="auto"/>
              </w:rPr>
              <w:t>4,331,718</w:t>
            </w:r>
          </w:p>
        </w:tc>
      </w:tr>
      <w:tr>
        <w:trPr>
          <w:trHeight w:val="289"/>
        </w:trPr>
        <w:tc>
          <w:tcPr>
            <w:tcW w:w="1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0"/>
        </w:trPr>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1,795,655</w:t>
            </w:r>
          </w:p>
        </w:tc>
        <w:tc>
          <w:tcPr>
            <w:tcW w:w="10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ind w:right="457"/>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19.00</w:t>
            </w:r>
          </w:p>
        </w:tc>
        <w:tc>
          <w:tcPr>
            <w:tcW w:w="100" w:type="dxa"/>
            <w:vAlign w:val="bottom"/>
          </w:tcPr>
          <w:p>
            <w:pPr>
              <w:spacing w:after="0"/>
              <w:rPr>
                <w:sz w:val="13"/>
                <w:szCs w:val="13"/>
                <w:color w:val="auto"/>
              </w:rPr>
            </w:pP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4,331,718</w:t>
            </w:r>
          </w:p>
        </w:tc>
      </w:tr>
      <w:tr>
        <w:trPr>
          <w:trHeight w:val="20"/>
        </w:trPr>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-3079750</wp:posOffset>
            </wp:positionH>
            <wp:positionV relativeFrom="paragraph">
              <wp:posOffset>-142240</wp:posOffset>
            </wp:positionV>
            <wp:extent cx="6224270" cy="1276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24270" cy="127635"/>
                    </a:xfrm>
                    <a:prstGeom prst="rect">
                      <a:avLst/>
                    </a:prstGeom>
                    <a:noFill/>
                  </pic:spPr>
                </pic:pic>
              </a:graphicData>
            </a:graphic>
          </wp:anchor>
        </w:drawing>
      </w:r>
    </w:p>
    <w:p>
      <w:pPr>
        <w:spacing w:after="0" w:line="66" w:lineRule="exact"/>
        <w:rPr>
          <w:sz w:val="20"/>
          <w:szCs w:val="20"/>
          <w:color w:val="auto"/>
        </w:rPr>
      </w:pPr>
    </w:p>
    <w:p>
      <w:pPr>
        <w:sectPr>
          <w:pgSz w:w="11900" w:h="16838" w:orient="portrait"/>
          <w:cols w:equalWidth="0" w:num="2">
            <w:col w:w="5480" w:space="100"/>
            <w:col w:w="5100"/>
          </w:cols>
          <w:pgMar w:left="320" w:top="798" w:right="89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ITEM 6. SELECTED FINANCIAL DATA</w:t>
      </w:r>
    </w:p>
    <w:p>
      <w:pPr>
        <w:spacing w:after="0" w:line="22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91" w:lineRule="exact"/>
        <w:rPr>
          <w:sz w:val="20"/>
          <w:szCs w:val="20"/>
          <w:color w:val="auto"/>
        </w:rPr>
      </w:pPr>
    </w:p>
    <w:p>
      <w:pPr>
        <w:jc w:val="right"/>
        <w:ind w:right="4980"/>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680"/>
          </w:cols>
          <w:pgMar w:left="320" w:top="798" w:right="89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6"/>
          <w:szCs w:val="16"/>
          <w:b w:val="1"/>
          <w:bCs w:val="1"/>
          <w:color w:val="auto"/>
        </w:rPr>
        <w:t>ITEM 7. MANAGEMENT’S DISCUSSION AND ANALYSIS OF FINANCIAL CONDITION AND RESULTS OF OPERATIONS</w:t>
      </w:r>
    </w:p>
    <w:p>
      <w:pPr>
        <w:spacing w:after="0" w:line="151" w:lineRule="exact"/>
        <w:rPr>
          <w:sz w:val="20"/>
          <w:szCs w:val="20"/>
          <w:color w:val="auto"/>
        </w:rPr>
      </w:pPr>
    </w:p>
    <w:p>
      <w:pPr>
        <w:spacing w:after="0" w:line="283" w:lineRule="auto"/>
        <w:rPr>
          <w:sz w:val="20"/>
          <w:szCs w:val="20"/>
          <w:color w:val="auto"/>
        </w:rPr>
      </w:pPr>
      <w:r>
        <w:rPr>
          <w:rFonts w:ascii="Arial" w:cs="Arial" w:eastAsia="Arial" w:hAnsi="Arial"/>
          <w:sz w:val="15"/>
          <w:szCs w:val="15"/>
          <w:i w:val="1"/>
          <w:iCs w:val="1"/>
          <w:color w:val="auto"/>
        </w:rPr>
        <w:t>The following management’s discussion and analysis covers the years ended December 31, 2021, 2020 and 2019 and should be read in conjunction with the audited consolidated financial statements of Virtu Financial, Inc. (the “Company”). This management's discussion and analysis contains forward-looking statements that involve risks and uncertainties. Our actual results could differ materially from those discussed below. Unless otherwise stated, all amounts are presented in thousands of dollars.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104" w:lineRule="exact"/>
        <w:rPr>
          <w:sz w:val="20"/>
          <w:szCs w:val="20"/>
          <w:color w:val="auto"/>
        </w:rPr>
      </w:pPr>
    </w:p>
    <w:p>
      <w:pPr>
        <w:ind w:firstLine="568"/>
        <w:spacing w:after="0" w:line="266" w:lineRule="auto"/>
        <w:rPr>
          <w:sz w:val="20"/>
          <w:szCs w:val="20"/>
          <w:color w:val="auto"/>
        </w:rPr>
      </w:pPr>
      <w:r>
        <w:rPr>
          <w:rFonts w:ascii="Arial" w:cs="Arial" w:eastAsia="Arial" w:hAnsi="Arial"/>
          <w:sz w:val="15"/>
          <w:szCs w:val="15"/>
          <w:color w:val="auto"/>
        </w:rPr>
        <w:t>This Annual Report on Form 10-K contains forward-looking statements. You should not place undue reliance on forward-looking statements because they are subject to numerous uncertainties and factors relating to our operations and business environment, all of which are difficult to predict and many of which are beyond our control. Forward-looking statements include information concerning our possible or assumed future results of operations, including descriptions of our business strategy. These forward-looking statements can be identified by the use of forward-looking terminology, including the terms “may,” “will,” “should,” “believe,” “expect,” “anticipate,” “intend,” “plan,” “estimate,” “project” or, in each case, their negative, or other variations or comparable terminology and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Annual Report on Form 10-K, you should understand that forward-looking statements are not guarantees of performance or results and that our actual results of operations, financial condition and liquidity, and the development of the industry in which we operate, may differ materially from those made in or suggested by the forward-looking statements contained in this Annual Report on Form 10-K. By their nature, forward-looking statements involve known and unknown risks and uncertainties, including those described under the heading “Risk Factors” in this Annual Report on Form 10-K, because they relate to events and depend on circumstances that may or may not occur in the future. Although we believe that the forward-looking statements contained in this Annual Report on Form 10-K are based on reasonable assumptions, you should be aware that many factors, including those described under the heading “Risk Factors” in this Annual Report on Form 10-K, could affect our actual financial results or results of operations and cash flows, and could cause actual results to differ materially from those in such forward-looking statements, including but not limited to:</w:t>
      </w:r>
    </w:p>
    <w:p>
      <w:pPr>
        <w:spacing w:after="0" w:line="70" w:lineRule="exact"/>
        <w:rPr>
          <w:sz w:val="20"/>
          <w:szCs w:val="20"/>
          <w:color w:val="auto"/>
        </w:rPr>
      </w:pPr>
    </w:p>
    <w:p>
      <w:pPr>
        <w:ind w:left="840" w:right="220" w:hanging="135"/>
        <w:spacing w:after="0" w:line="311" w:lineRule="auto"/>
        <w:tabs>
          <w:tab w:leader="none" w:pos="836"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continuing impacts of COVID-19 and the governmental and other responses thereto, including but not limited to the risk of employees and executives contracting COVID-19 and the deployment of our business continuity plan pursuant to which a significant number of our employees may work remotely and our return to office plan, each of which may increase operational risk, as well as increases in market, counterparty and other forms of operational risk;</w:t>
      </w:r>
    </w:p>
    <w:p>
      <w:pPr>
        <w:spacing w:after="0" w:line="37" w:lineRule="exact"/>
        <w:rPr>
          <w:rFonts w:ascii="Arial" w:cs="Arial" w:eastAsia="Arial" w:hAnsi="Arial"/>
          <w:sz w:val="14"/>
          <w:szCs w:val="14"/>
          <w:color w:val="auto"/>
        </w:rPr>
      </w:pPr>
    </w:p>
    <w:p>
      <w:pPr>
        <w:ind w:left="840" w:hanging="135"/>
        <w:spacing w:after="0"/>
        <w:tabs>
          <w:tab w:leader="none" w:pos="8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volatility in levels of overall trading activity;</w:t>
      </w:r>
    </w:p>
    <w:p>
      <w:pPr>
        <w:spacing w:after="0" w:line="100" w:lineRule="exact"/>
        <w:rPr>
          <w:rFonts w:ascii="Arial" w:cs="Arial" w:eastAsia="Arial" w:hAnsi="Arial"/>
          <w:sz w:val="16"/>
          <w:szCs w:val="16"/>
          <w:color w:val="auto"/>
        </w:rPr>
      </w:pPr>
    </w:p>
    <w:p>
      <w:pPr>
        <w:ind w:left="840" w:hanging="135"/>
        <w:spacing w:after="0"/>
        <w:tabs>
          <w:tab w:leader="none" w:pos="8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dependence upon trading counterparties and clearing houses performing their obligations to us;</w:t>
      </w:r>
    </w:p>
    <w:p>
      <w:pPr>
        <w:spacing w:after="0" w:line="100" w:lineRule="exact"/>
        <w:rPr>
          <w:rFonts w:ascii="Arial" w:cs="Arial" w:eastAsia="Arial" w:hAnsi="Arial"/>
          <w:sz w:val="16"/>
          <w:szCs w:val="16"/>
          <w:color w:val="auto"/>
        </w:rPr>
      </w:pPr>
    </w:p>
    <w:p>
      <w:pPr>
        <w:ind w:left="840" w:hanging="135"/>
        <w:spacing w:after="0"/>
        <w:tabs>
          <w:tab w:leader="none" w:pos="8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failures of our customized trading platform;</w:t>
      </w:r>
    </w:p>
    <w:p>
      <w:pPr>
        <w:spacing w:after="0" w:line="100" w:lineRule="exact"/>
        <w:rPr>
          <w:rFonts w:ascii="Arial" w:cs="Arial" w:eastAsia="Arial" w:hAnsi="Arial"/>
          <w:sz w:val="16"/>
          <w:szCs w:val="16"/>
          <w:color w:val="auto"/>
        </w:rPr>
      </w:pPr>
    </w:p>
    <w:p>
      <w:pPr>
        <w:ind w:left="840" w:hanging="135"/>
        <w:spacing w:after="0"/>
        <w:tabs>
          <w:tab w:leader="none" w:pos="8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risks inherent to the electronic market making business and trading generally;</w:t>
      </w:r>
    </w:p>
    <w:p>
      <w:pPr>
        <w:spacing w:after="0" w:line="88" w:lineRule="exact"/>
        <w:rPr>
          <w:rFonts w:ascii="Arial" w:cs="Arial" w:eastAsia="Arial" w:hAnsi="Arial"/>
          <w:sz w:val="16"/>
          <w:szCs w:val="16"/>
          <w:color w:val="auto"/>
        </w:rPr>
      </w:pPr>
    </w:p>
    <w:p>
      <w:pPr>
        <w:ind w:left="840" w:right="20" w:hanging="135"/>
        <w:spacing w:after="0" w:line="227" w:lineRule="auto"/>
        <w:tabs>
          <w:tab w:leader="none" w:pos="836" w:val="left"/>
        </w:tabs>
        <w:numPr>
          <w:ilvl w:val="0"/>
          <w:numId w:val="22"/>
        </w:numPr>
        <w:rPr>
          <w:rFonts w:ascii="Arial" w:cs="Arial" w:eastAsia="Arial" w:hAnsi="Arial"/>
          <w:sz w:val="16"/>
          <w:szCs w:val="16"/>
          <w:color w:val="auto"/>
        </w:rPr>
      </w:pPr>
      <w:r>
        <w:rPr>
          <w:rFonts w:ascii="Arial" w:cs="Arial" w:eastAsia="Arial" w:hAnsi="Arial"/>
          <w:sz w:val="16"/>
          <w:szCs w:val="16"/>
          <w:color w:val="auto"/>
        </w:rPr>
        <w:t>enhanced regulatory media scrutiny, including attention to electronic trading, wholesale market making and off-exchange trading, payment for order flow, and other market structure topics and both the impact of potential changes in regulation or law which could have an adverse effect on our business as well as the potential impact upon public perception of us or of companies in our industry;</w:t>
      </w:r>
    </w:p>
    <w:p>
      <w:pPr>
        <w:spacing w:after="0" w:line="1" w:lineRule="exact"/>
        <w:rPr>
          <w:rFonts w:ascii="Arial" w:cs="Arial" w:eastAsia="Arial" w:hAnsi="Arial"/>
          <w:sz w:val="16"/>
          <w:szCs w:val="16"/>
          <w:color w:val="auto"/>
        </w:rPr>
      </w:pPr>
    </w:p>
    <w:p>
      <w:pPr>
        <w:ind w:left="840" w:hanging="135"/>
        <w:spacing w:after="0"/>
        <w:tabs>
          <w:tab w:leader="none" w:pos="8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increased competition in market making activities and execution services;</w:t>
      </w:r>
    </w:p>
    <w:p>
      <w:pPr>
        <w:spacing w:after="0" w:line="86" w:lineRule="exact"/>
        <w:rPr>
          <w:rFonts w:ascii="Arial" w:cs="Arial" w:eastAsia="Arial" w:hAnsi="Arial"/>
          <w:sz w:val="16"/>
          <w:szCs w:val="16"/>
          <w:color w:val="auto"/>
        </w:rPr>
      </w:pPr>
    </w:p>
    <w:p>
      <w:pPr>
        <w:ind w:left="840" w:hanging="135"/>
        <w:spacing w:after="0"/>
        <w:tabs>
          <w:tab w:leader="none" w:pos="8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dependence on continued access to sources of liquidity;</w:t>
      </w:r>
    </w:p>
    <w:p>
      <w:pPr>
        <w:spacing w:after="0" w:line="100" w:lineRule="exact"/>
        <w:rPr>
          <w:rFonts w:ascii="Arial" w:cs="Arial" w:eastAsia="Arial" w:hAnsi="Arial"/>
          <w:sz w:val="16"/>
          <w:szCs w:val="16"/>
          <w:color w:val="auto"/>
        </w:rPr>
      </w:pPr>
    </w:p>
    <w:p>
      <w:pPr>
        <w:ind w:left="840" w:hanging="135"/>
        <w:spacing w:after="0"/>
        <w:tabs>
          <w:tab w:leader="none" w:pos="8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risks associated with self-clearing and other operational elements of our business, including but limited to risks related to funding and liquidity;</w:t>
      </w:r>
    </w:p>
    <w:p>
      <w:pPr>
        <w:spacing w:after="0" w:line="100" w:lineRule="exact"/>
        <w:rPr>
          <w:rFonts w:ascii="Arial" w:cs="Arial" w:eastAsia="Arial" w:hAnsi="Arial"/>
          <w:sz w:val="16"/>
          <w:szCs w:val="16"/>
          <w:color w:val="auto"/>
        </w:rPr>
      </w:pPr>
    </w:p>
    <w:p>
      <w:pPr>
        <w:ind w:left="840" w:hanging="135"/>
        <w:spacing w:after="0"/>
        <w:tabs>
          <w:tab w:leader="none" w:pos="8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obligations to comply with applicable regulatory capital requirements;</w:t>
      </w:r>
    </w:p>
    <w:p>
      <w:pPr>
        <w:spacing w:after="0" w:line="100" w:lineRule="exact"/>
        <w:rPr>
          <w:rFonts w:ascii="Arial" w:cs="Arial" w:eastAsia="Arial" w:hAnsi="Arial"/>
          <w:sz w:val="16"/>
          <w:szCs w:val="16"/>
          <w:color w:val="auto"/>
        </w:rPr>
      </w:pPr>
    </w:p>
    <w:p>
      <w:pPr>
        <w:ind w:left="840" w:hanging="135"/>
        <w:spacing w:after="0"/>
        <w:tabs>
          <w:tab w:leader="none" w:pos="8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litigation or other legal and regulatory-based liabilities;</w:t>
      </w:r>
    </w:p>
    <w:p>
      <w:pPr>
        <w:spacing w:after="0" w:line="100" w:lineRule="exact"/>
        <w:rPr>
          <w:rFonts w:ascii="Arial" w:cs="Arial" w:eastAsia="Arial" w:hAnsi="Arial"/>
          <w:sz w:val="16"/>
          <w:szCs w:val="16"/>
          <w:color w:val="auto"/>
        </w:rPr>
      </w:pPr>
    </w:p>
    <w:p>
      <w:pPr>
        <w:ind w:left="840" w:right="80" w:hanging="135"/>
        <w:spacing w:after="0" w:line="341" w:lineRule="auto"/>
        <w:tabs>
          <w:tab w:leader="none" w:pos="836" w:val="left"/>
        </w:tabs>
        <w:numPr>
          <w:ilvl w:val="0"/>
          <w:numId w:val="22"/>
        </w:numPr>
        <w:rPr>
          <w:rFonts w:ascii="Arial" w:cs="Arial" w:eastAsia="Arial" w:hAnsi="Arial"/>
          <w:sz w:val="14"/>
          <w:szCs w:val="14"/>
          <w:color w:val="auto"/>
        </w:rPr>
      </w:pPr>
      <w:r>
        <w:rPr>
          <w:rFonts w:ascii="Arial" w:cs="Arial" w:eastAsia="Arial" w:hAnsi="Arial"/>
          <w:sz w:val="14"/>
          <w:szCs w:val="14"/>
          <w:color w:val="auto"/>
        </w:rPr>
        <w:t>changes in laws, rules or regulations, including proposed legislation that would impose taxes on certain financial transactions in the European Union, the U.S. (and certain states therein) and other jurisdictions and other potential changes which could increase our corporate or other tax obligations in one or more jurisdictions;</w:t>
      </w:r>
    </w:p>
    <w:p>
      <w:pPr>
        <w:spacing w:after="0" w:line="16" w:lineRule="exact"/>
        <w:rPr>
          <w:rFonts w:ascii="Arial" w:cs="Arial" w:eastAsia="Arial" w:hAnsi="Arial"/>
          <w:sz w:val="14"/>
          <w:szCs w:val="14"/>
          <w:color w:val="auto"/>
        </w:rPr>
      </w:pPr>
    </w:p>
    <w:p>
      <w:pPr>
        <w:ind w:left="840" w:hanging="135"/>
        <w:spacing w:after="0"/>
        <w:tabs>
          <w:tab w:leader="none" w:pos="8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obligations to comply with laws and regulations applicable to our operations in the U.S. and abroad;</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987" w:right="359" w:bottom="1440" w:gutter="0" w:footer="0" w:header="0"/>
        </w:sectPr>
      </w:pPr>
    </w:p>
    <w:bookmarkStart w:id="46" w:name="page47"/>
    <w:bookmarkEnd w:id="46"/>
    <w:p>
      <w:pPr>
        <w:ind w:left="840" w:hanging="135"/>
        <w:spacing w:after="0"/>
        <w:tabs>
          <w:tab w:leader="none" w:pos="8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need to maintain and continue developing proprietary technologies;</w:t>
      </w:r>
    </w:p>
    <w:p>
      <w:pPr>
        <w:spacing w:after="0" w:line="100" w:lineRule="exact"/>
        <w:rPr>
          <w:rFonts w:ascii="Arial" w:cs="Arial" w:eastAsia="Arial" w:hAnsi="Arial"/>
          <w:sz w:val="16"/>
          <w:szCs w:val="16"/>
          <w:color w:val="auto"/>
        </w:rPr>
      </w:pPr>
    </w:p>
    <w:p>
      <w:pPr>
        <w:ind w:left="840" w:right="220" w:hanging="135"/>
        <w:spacing w:after="0" w:line="268" w:lineRule="auto"/>
        <w:tabs>
          <w:tab w:leader="none" w:pos="836"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effect of the Acquisition of KCG and the ITG Acquisition (as defined below) on ongoing business operations generally, including the assumption of potential liabilities and risks relating to these historical acquisitions;</w:t>
      </w:r>
    </w:p>
    <w:p>
      <w:pPr>
        <w:spacing w:after="0" w:line="62" w:lineRule="exact"/>
        <w:rPr>
          <w:rFonts w:ascii="Arial" w:cs="Arial" w:eastAsia="Arial" w:hAnsi="Arial"/>
          <w:sz w:val="16"/>
          <w:szCs w:val="16"/>
          <w:color w:val="auto"/>
        </w:rPr>
      </w:pPr>
    </w:p>
    <w:p>
      <w:pPr>
        <w:ind w:left="840" w:hanging="135"/>
        <w:spacing w:after="0"/>
        <w:tabs>
          <w:tab w:leader="none" w:pos="8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capacity constraints, system failures, and delays;</w:t>
      </w:r>
    </w:p>
    <w:p>
      <w:pPr>
        <w:spacing w:after="0" w:line="100" w:lineRule="exact"/>
        <w:rPr>
          <w:rFonts w:ascii="Arial" w:cs="Arial" w:eastAsia="Arial" w:hAnsi="Arial"/>
          <w:sz w:val="16"/>
          <w:szCs w:val="16"/>
          <w:color w:val="auto"/>
        </w:rPr>
      </w:pPr>
    </w:p>
    <w:p>
      <w:pPr>
        <w:ind w:left="840" w:hanging="135"/>
        <w:spacing w:after="0"/>
        <w:tabs>
          <w:tab w:leader="none" w:pos="8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dependence on third-party infrastructure or systems;</w:t>
      </w:r>
    </w:p>
    <w:p>
      <w:pPr>
        <w:spacing w:after="0" w:line="100" w:lineRule="exact"/>
        <w:rPr>
          <w:rFonts w:ascii="Arial" w:cs="Arial" w:eastAsia="Arial" w:hAnsi="Arial"/>
          <w:sz w:val="16"/>
          <w:szCs w:val="16"/>
          <w:color w:val="auto"/>
        </w:rPr>
      </w:pPr>
    </w:p>
    <w:p>
      <w:pPr>
        <w:ind w:left="840" w:hanging="135"/>
        <w:spacing w:after="0"/>
        <w:tabs>
          <w:tab w:leader="none" w:pos="8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use of open source software;</w:t>
      </w:r>
    </w:p>
    <w:p>
      <w:pPr>
        <w:spacing w:after="0" w:line="100" w:lineRule="exact"/>
        <w:rPr>
          <w:rFonts w:ascii="Arial" w:cs="Arial" w:eastAsia="Arial" w:hAnsi="Arial"/>
          <w:sz w:val="16"/>
          <w:szCs w:val="16"/>
          <w:color w:val="auto"/>
        </w:rPr>
      </w:pPr>
    </w:p>
    <w:p>
      <w:pPr>
        <w:ind w:left="840" w:hanging="135"/>
        <w:spacing w:after="0"/>
        <w:tabs>
          <w:tab w:leader="none" w:pos="8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failure to protect or enforce our intellectual property rights in our proprietary technology;</w:t>
      </w:r>
    </w:p>
    <w:p>
      <w:pPr>
        <w:spacing w:after="0" w:line="100" w:lineRule="exact"/>
        <w:rPr>
          <w:rFonts w:ascii="Arial" w:cs="Arial" w:eastAsia="Arial" w:hAnsi="Arial"/>
          <w:sz w:val="16"/>
          <w:szCs w:val="16"/>
          <w:color w:val="auto"/>
        </w:rPr>
      </w:pPr>
    </w:p>
    <w:p>
      <w:pPr>
        <w:ind w:left="840" w:hanging="135"/>
        <w:spacing w:after="0"/>
        <w:tabs>
          <w:tab w:leader="none" w:pos="8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failure to protect confidential and proprietary information;</w:t>
      </w:r>
    </w:p>
    <w:p>
      <w:pPr>
        <w:spacing w:after="0" w:line="100" w:lineRule="exact"/>
        <w:rPr>
          <w:rFonts w:ascii="Arial" w:cs="Arial" w:eastAsia="Arial" w:hAnsi="Arial"/>
          <w:sz w:val="16"/>
          <w:szCs w:val="16"/>
          <w:color w:val="auto"/>
        </w:rPr>
      </w:pPr>
    </w:p>
    <w:p>
      <w:pPr>
        <w:ind w:left="840" w:right="560" w:hanging="135"/>
        <w:spacing w:after="0" w:line="268" w:lineRule="auto"/>
        <w:tabs>
          <w:tab w:leader="none" w:pos="836" w:val="left"/>
        </w:tabs>
        <w:numPr>
          <w:ilvl w:val="0"/>
          <w:numId w:val="23"/>
        </w:numPr>
        <w:rPr>
          <w:rFonts w:ascii="Arial" w:cs="Arial" w:eastAsia="Arial" w:hAnsi="Arial"/>
          <w:sz w:val="16"/>
          <w:szCs w:val="16"/>
          <w:color w:val="auto"/>
        </w:rPr>
      </w:pPr>
      <w:r>
        <w:rPr>
          <w:rFonts w:ascii="Arial" w:cs="Arial" w:eastAsia="Arial" w:hAnsi="Arial"/>
          <w:sz w:val="16"/>
          <w:szCs w:val="16"/>
          <w:color w:val="auto"/>
        </w:rPr>
        <w:t>failure to protect our systems from internal or external cyber threats that could result in damage to our computer systems, business interruption, loss of data, monetary payment demands or other consequences;</w:t>
      </w:r>
    </w:p>
    <w:p>
      <w:pPr>
        <w:spacing w:after="0" w:line="62" w:lineRule="exact"/>
        <w:rPr>
          <w:rFonts w:ascii="Arial" w:cs="Arial" w:eastAsia="Arial" w:hAnsi="Arial"/>
          <w:sz w:val="16"/>
          <w:szCs w:val="16"/>
          <w:color w:val="auto"/>
        </w:rPr>
      </w:pPr>
    </w:p>
    <w:p>
      <w:pPr>
        <w:ind w:left="840" w:hanging="135"/>
        <w:spacing w:after="0"/>
        <w:tabs>
          <w:tab w:leader="none" w:pos="8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risks associated with international operations and expansion, including failed acquisitions or dispositions;</w:t>
      </w:r>
    </w:p>
    <w:p>
      <w:pPr>
        <w:spacing w:after="0" w:line="100" w:lineRule="exact"/>
        <w:rPr>
          <w:rFonts w:ascii="Arial" w:cs="Arial" w:eastAsia="Arial" w:hAnsi="Arial"/>
          <w:sz w:val="16"/>
          <w:szCs w:val="16"/>
          <w:color w:val="auto"/>
        </w:rPr>
      </w:pPr>
    </w:p>
    <w:p>
      <w:pPr>
        <w:jc w:val="both"/>
        <w:ind w:left="840" w:right="40" w:hanging="135"/>
        <w:spacing w:after="0" w:line="311" w:lineRule="auto"/>
        <w:tabs>
          <w:tab w:leader="none" w:pos="836"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effects of and changes in economic conditions (such as volatility in the financial markets, inflation, monetary conditions and foreign currency and exchange rate fluctuations, foreign currency controls and/or government mandated pricing controls, as well as in trade, monetary, fiscal and tax policies in international markets), political conditions (such as military actions and terrorist activities), and other global events such as fires, natural disasters, pandemics or extreme weather;</w:t>
      </w:r>
    </w:p>
    <w:p>
      <w:pPr>
        <w:spacing w:after="0" w:line="37" w:lineRule="exact"/>
        <w:rPr>
          <w:rFonts w:ascii="Arial" w:cs="Arial" w:eastAsia="Arial" w:hAnsi="Arial"/>
          <w:sz w:val="14"/>
          <w:szCs w:val="14"/>
          <w:color w:val="auto"/>
        </w:rPr>
      </w:pPr>
    </w:p>
    <w:p>
      <w:pPr>
        <w:ind w:left="840" w:hanging="135"/>
        <w:spacing w:after="0"/>
        <w:tabs>
          <w:tab w:leader="none" w:pos="8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risks associated with potential growth and associated corporate actions;</w:t>
      </w:r>
    </w:p>
    <w:p>
      <w:pPr>
        <w:spacing w:after="0" w:line="100" w:lineRule="exact"/>
        <w:rPr>
          <w:rFonts w:ascii="Arial" w:cs="Arial" w:eastAsia="Arial" w:hAnsi="Arial"/>
          <w:sz w:val="16"/>
          <w:szCs w:val="16"/>
          <w:color w:val="auto"/>
        </w:rPr>
      </w:pPr>
    </w:p>
    <w:p>
      <w:pPr>
        <w:ind w:left="840" w:hanging="135"/>
        <w:spacing w:after="0"/>
        <w:tabs>
          <w:tab w:leader="none" w:pos="8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inability to access, or delay in accessing the capital markets to sell shares or raise additional capital;</w:t>
      </w:r>
    </w:p>
    <w:p>
      <w:pPr>
        <w:spacing w:after="0" w:line="100" w:lineRule="exact"/>
        <w:rPr>
          <w:rFonts w:ascii="Arial" w:cs="Arial" w:eastAsia="Arial" w:hAnsi="Arial"/>
          <w:sz w:val="16"/>
          <w:szCs w:val="16"/>
          <w:color w:val="auto"/>
        </w:rPr>
      </w:pPr>
    </w:p>
    <w:p>
      <w:pPr>
        <w:ind w:left="840" w:hanging="135"/>
        <w:spacing w:after="0"/>
        <w:tabs>
          <w:tab w:leader="none" w:pos="8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loss of key executives and failure to recruit and retain qualified personnel; and</w:t>
      </w:r>
    </w:p>
    <w:p>
      <w:pPr>
        <w:spacing w:after="0" w:line="100" w:lineRule="exact"/>
        <w:rPr>
          <w:rFonts w:ascii="Arial" w:cs="Arial" w:eastAsia="Arial" w:hAnsi="Arial"/>
          <w:sz w:val="16"/>
          <w:szCs w:val="16"/>
          <w:color w:val="auto"/>
        </w:rPr>
      </w:pPr>
    </w:p>
    <w:p>
      <w:pPr>
        <w:ind w:left="840" w:hanging="135"/>
        <w:spacing w:after="0"/>
        <w:tabs>
          <w:tab w:leader="none" w:pos="8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risks associated with losing access to a significant exchange or other trading venue.</w:t>
      </w:r>
    </w:p>
    <w:p>
      <w:pPr>
        <w:spacing w:after="0" w:line="219" w:lineRule="exact"/>
        <w:rPr>
          <w:sz w:val="20"/>
          <w:szCs w:val="20"/>
          <w:color w:val="auto"/>
        </w:rPr>
      </w:pPr>
    </w:p>
    <w:p>
      <w:pPr>
        <w:ind w:firstLine="568"/>
        <w:spacing w:after="0" w:line="276" w:lineRule="auto"/>
        <w:rPr>
          <w:sz w:val="20"/>
          <w:szCs w:val="20"/>
          <w:color w:val="auto"/>
        </w:rPr>
      </w:pPr>
      <w:r>
        <w:rPr>
          <w:rFonts w:ascii="Arial" w:cs="Arial" w:eastAsia="Arial" w:hAnsi="Arial"/>
          <w:sz w:val="15"/>
          <w:szCs w:val="15"/>
          <w:color w:val="auto"/>
        </w:rPr>
        <w:t>Our forward-looking statements made herein are made only as of the date of this Annual Report on Form 10-K. We expressly disclaim any intent, obligation or undertaking to update or revise any forward-looking statements made herein to reflect any change in our expectations with regard thereto or any change in events, conditions or circumstances on which any such statements are based. All subsequent written and oral forward-looking statements attributable to us or persons acting on our behalf are expressly qualified in their entirety by the cautionary statements contained in this Annual Report on Form 10-K.</w:t>
      </w:r>
    </w:p>
    <w:p>
      <w:pPr>
        <w:spacing w:after="0" w:line="177" w:lineRule="exact"/>
        <w:rPr>
          <w:sz w:val="20"/>
          <w:szCs w:val="20"/>
          <w:color w:val="auto"/>
        </w:rPr>
      </w:pPr>
    </w:p>
    <w:p>
      <w:pPr>
        <w:ind w:right="600"/>
        <w:spacing w:after="0" w:line="302" w:lineRule="auto"/>
        <w:rPr>
          <w:sz w:val="20"/>
          <w:szCs w:val="20"/>
          <w:color w:val="auto"/>
        </w:rPr>
      </w:pPr>
      <w:r>
        <w:rPr>
          <w:rFonts w:ascii="Arial" w:cs="Arial" w:eastAsia="Arial" w:hAnsi="Arial"/>
          <w:sz w:val="15"/>
          <w:szCs w:val="15"/>
          <w:color w:val="auto"/>
        </w:rPr>
        <w:t>Unless the context otherwise requires, the terms "we," "us," "our," "Virtu" and the "Company" refer to Virtu Financial, Inc., a Delaware corporation, and its consolidated subsidiaries and the term "Virtu Financial" refers to Virtu Financial LLC, a Delaware limited liability company and a consolidated subsidiary of ours.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of Preparation</w:t>
      </w:r>
    </w:p>
    <w:p>
      <w:pPr>
        <w:spacing w:after="0" w:line="223" w:lineRule="exact"/>
        <w:rPr>
          <w:sz w:val="20"/>
          <w:szCs w:val="20"/>
          <w:color w:val="auto"/>
        </w:rPr>
      </w:pPr>
    </w:p>
    <w:p>
      <w:pPr>
        <w:ind w:right="20" w:firstLine="568"/>
        <w:spacing w:after="0" w:line="271" w:lineRule="auto"/>
        <w:rPr>
          <w:sz w:val="20"/>
          <w:szCs w:val="20"/>
          <w:color w:val="auto"/>
        </w:rPr>
      </w:pPr>
      <w:r>
        <w:rPr>
          <w:rFonts w:ascii="Arial" w:cs="Arial" w:eastAsia="Arial" w:hAnsi="Arial"/>
          <w:sz w:val="15"/>
          <w:szCs w:val="15"/>
          <w:color w:val="auto"/>
        </w:rPr>
        <w:t>Our consolidated financial statements for the years ended December 31, 2021 and 2020 reflect our operations and those of our consolidated subsidiaries. As discussed in Note 1 "Organization and Basis of Presentation" and in Note 3 "ITG Acquisition" of Part II Item 8 “Financial Statements and Supplementary Data” of this Annual Report on Form 10-K, we have accounted for the ITG Acquisition under the acquisition method of accounting. Under the acquisition method of accounting, the assets and liabilities of ITG, as of March 1, 2019 (the "ITG Closing Date"), were recorded at their respective fair values and added to the carrying value of our existing assets and liabilities. Our reported financial condition, results of operations and cash flows for the periods following the ITG Closing Date reflect ITG's and our balances, and reflect the impact of purchase accounting adjustments, including revised amortization and depreciation expense for acquired assets.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802" w:right="339" w:bottom="1440" w:gutter="0" w:footer="0" w:header="0"/>
        </w:sectPr>
      </w:pPr>
    </w:p>
    <w:bookmarkStart w:id="47" w:name="page48"/>
    <w:bookmarkEnd w:id="47"/>
    <w:p>
      <w:pPr>
        <w:spacing w:after="0"/>
        <w:rPr>
          <w:sz w:val="20"/>
          <w:szCs w:val="20"/>
          <w:color w:val="auto"/>
        </w:rPr>
      </w:pPr>
      <w:r>
        <w:rPr>
          <w:rFonts w:ascii="Arial" w:cs="Arial" w:eastAsia="Arial" w:hAnsi="Arial"/>
          <w:sz w:val="16"/>
          <w:szCs w:val="16"/>
          <w:b w:val="1"/>
          <w:bCs w:val="1"/>
          <w:color w:val="auto"/>
        </w:rPr>
        <w:t>Overview</w:t>
      </w:r>
    </w:p>
    <w:p>
      <w:pPr>
        <w:spacing w:after="0" w:line="223" w:lineRule="exact"/>
        <w:rPr>
          <w:sz w:val="20"/>
          <w:szCs w:val="20"/>
          <w:color w:val="auto"/>
        </w:rPr>
      </w:pPr>
    </w:p>
    <w:p>
      <w:pPr>
        <w:ind w:right="120" w:firstLine="568"/>
        <w:spacing w:after="0" w:line="269" w:lineRule="auto"/>
        <w:rPr>
          <w:sz w:val="20"/>
          <w:szCs w:val="20"/>
          <w:color w:val="auto"/>
        </w:rPr>
      </w:pPr>
      <w:r>
        <w:rPr>
          <w:rFonts w:ascii="Arial" w:cs="Arial" w:eastAsia="Arial" w:hAnsi="Arial"/>
          <w:sz w:val="15"/>
          <w:szCs w:val="15"/>
          <w:color w:val="auto"/>
        </w:rPr>
        <w:t>We are a leading financial services firm that leverages cutting edge technology to deliver liquidity to the global markets and innovative, transparent trading solutions to our clients. Leveraging our global market structure expertise and scaled, multi-asset technology infrastructure, we provide our clients with a robust product suite including offerings in execution, liquidity sourcing, analytics and broker-neutral, multi-dealer platforms in workflow technology. Our product offerings allow our clients to trade on hundreds of venues across over 50 countries and in multiple asset classes, including global equities, ETFs, foreign exchange, futures, fixed income, cryptocurrencies and other commodities. Our integrated, multi-asset analytics platform provides a range of pre- and post-trade services, data products and compliance tools that our clients rely upon to invest, trade and manage risk across global markets. We believe that our broad diversification, in combination with our proprietary technology platform and low-cost structure gives us the scale necessary to grow our business around the globe as we service clients and facilitate risk transfer between global capital markets participants by providing liquidity, while at the same time earning attractive margins and returns.</w:t>
      </w:r>
    </w:p>
    <w:p>
      <w:pPr>
        <w:spacing w:after="0" w:line="182" w:lineRule="exact"/>
        <w:rPr>
          <w:sz w:val="20"/>
          <w:szCs w:val="20"/>
          <w:color w:val="auto"/>
        </w:rPr>
      </w:pPr>
    </w:p>
    <w:p>
      <w:pPr>
        <w:ind w:firstLine="568"/>
        <w:spacing w:after="0" w:line="252" w:lineRule="auto"/>
        <w:rPr>
          <w:sz w:val="20"/>
          <w:szCs w:val="20"/>
          <w:color w:val="auto"/>
        </w:rPr>
      </w:pPr>
      <w:r>
        <w:rPr>
          <w:rFonts w:ascii="Arial" w:cs="Arial" w:eastAsia="Arial" w:hAnsi="Arial"/>
          <w:sz w:val="16"/>
          <w:szCs w:val="16"/>
          <w:color w:val="auto"/>
        </w:rPr>
        <w:t>Technology and operational efficiency are at the core of our business, and our focus on technology is a key element of our success. We have developed a proprietary, multi-asset, multi-currency technology platform that is highly reliable, scalable and modular, and we integrate directly with exchanges, liquidity centers, and our clients. Our market data, order routing, transaction processing, risk management and market surveillance technology modules manage our market making and execution services activities in an efficient manner and enable us to scale our activities globally across additional securities and other financial instruments and asset classes without significant incremental costs or third-party licensing or processing fees.</w:t>
      </w:r>
    </w:p>
    <w:p>
      <w:pPr>
        <w:spacing w:after="0" w:line="194" w:lineRule="exact"/>
        <w:rPr>
          <w:sz w:val="20"/>
          <w:szCs w:val="20"/>
          <w:color w:val="auto"/>
        </w:rPr>
      </w:pPr>
    </w:p>
    <w:p>
      <w:pPr>
        <w:jc w:val="both"/>
        <w:ind w:right="100" w:firstLine="568"/>
        <w:spacing w:after="0" w:line="283" w:lineRule="auto"/>
        <w:rPr>
          <w:sz w:val="20"/>
          <w:szCs w:val="20"/>
          <w:color w:val="auto"/>
        </w:rPr>
      </w:pPr>
      <w:r>
        <w:rPr>
          <w:rFonts w:ascii="Arial" w:cs="Arial" w:eastAsia="Arial" w:hAnsi="Arial"/>
          <w:sz w:val="15"/>
          <w:szCs w:val="15"/>
          <w:color w:val="auto"/>
        </w:rPr>
        <w:t>We believe that technology-enabled market makers and execution services providers like Virtu serve an important role in maintaining and enhancing the overall health and efficiency of the global capital markets by ensuring that market participants have an efficient means to invest, transfer risk and analyze the quality of executions. We believe that market participants benefit from the increased liquidity, lower overall trading costs and execution transparency that Virtu provides.</w:t>
      </w:r>
    </w:p>
    <w:p>
      <w:pPr>
        <w:spacing w:after="0" w:line="171" w:lineRule="exact"/>
        <w:rPr>
          <w:sz w:val="20"/>
          <w:szCs w:val="20"/>
          <w:color w:val="auto"/>
        </w:rPr>
      </w:pPr>
    </w:p>
    <w:p>
      <w:pPr>
        <w:ind w:right="160" w:firstLine="568"/>
        <w:spacing w:after="0" w:line="311" w:lineRule="auto"/>
        <w:rPr>
          <w:sz w:val="20"/>
          <w:szCs w:val="20"/>
          <w:color w:val="auto"/>
        </w:rPr>
      </w:pPr>
      <w:r>
        <w:rPr>
          <w:rFonts w:ascii="Arial" w:cs="Arial" w:eastAsia="Arial" w:hAnsi="Arial"/>
          <w:sz w:val="14"/>
          <w:szCs w:val="14"/>
          <w:color w:val="auto"/>
        </w:rPr>
        <w:t>Our execution services and client solutions products are designed to be transparent, because we believe transparency makes markets more efficient and helps investors make better, more informed decisions. We use the latest technology to create and deliver liquidity to global markets and innovative trading solutions and analytics tools to our clients. We interact directly with hundreds of retail brokers, Registered Investment Advisors, private client networks, sell-side brokers, and buy-side institutions.</w:t>
      </w:r>
    </w:p>
    <w:p>
      <w:pPr>
        <w:spacing w:after="0" w:line="155" w:lineRule="exact"/>
        <w:rPr>
          <w:sz w:val="20"/>
          <w:szCs w:val="20"/>
          <w:color w:val="auto"/>
        </w:rPr>
      </w:pPr>
    </w:p>
    <w:p>
      <w:pPr>
        <w:ind w:right="240" w:firstLine="568"/>
        <w:spacing w:after="0" w:line="268" w:lineRule="auto"/>
        <w:rPr>
          <w:sz w:val="20"/>
          <w:szCs w:val="20"/>
          <w:color w:val="auto"/>
        </w:rPr>
      </w:pPr>
      <w:r>
        <w:rPr>
          <w:rFonts w:ascii="Arial" w:cs="Arial" w:eastAsia="Arial" w:hAnsi="Arial"/>
          <w:sz w:val="16"/>
          <w:szCs w:val="16"/>
          <w:color w:val="auto"/>
        </w:rPr>
        <w:t>We have two operating segments: Market Making and Execution Services, and one non-operating segment: Corporate. Our management allocates resources, assesses performance and manages our business according to these segments.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Market Making</w:t>
      </w:r>
    </w:p>
    <w:p>
      <w:pPr>
        <w:spacing w:after="0" w:line="219" w:lineRule="exact"/>
        <w:rPr>
          <w:sz w:val="20"/>
          <w:szCs w:val="20"/>
          <w:color w:val="auto"/>
        </w:rPr>
      </w:pPr>
    </w:p>
    <w:p>
      <w:pPr>
        <w:ind w:right="100" w:firstLine="568"/>
        <w:spacing w:after="0" w:line="294" w:lineRule="auto"/>
        <w:rPr>
          <w:sz w:val="20"/>
          <w:szCs w:val="20"/>
          <w:color w:val="auto"/>
        </w:rPr>
      </w:pPr>
      <w:r>
        <w:rPr>
          <w:rFonts w:ascii="Arial" w:cs="Arial" w:eastAsia="Arial" w:hAnsi="Arial"/>
          <w:sz w:val="14"/>
          <w:szCs w:val="14"/>
          <w:color w:val="auto"/>
        </w:rPr>
        <w:t>We leverage cutting edge technology to provide competitive and deep liquidity that helps to create more efficient markets around the world. As a market maker and liquidity provider, we stand ready, at any time, to buy or sell a broad range of securities and other financial instruments, and we generate profits by buying and selling large volumes of securities and other financial instruments and earning small bid/ask spreads. Our market structure expertise, broad diversification, and scalable execution technology enable us to provide competitive bids and offers in over 25,000 securities and other financial instruments, on over 235 venues, in 36 countries worldwide. We use the latest technology to create and deliver liquidity to the global markets and automate our market making, risk controls, and post-trade processes. As a market maker, we interact directly with hundreds of retail brokers, Registered Investment Advisors, private client networks, sell-side brokers, and buy-side institutions.</w:t>
      </w:r>
    </w:p>
    <w:p>
      <w:pPr>
        <w:spacing w:after="0" w:line="166" w:lineRule="exact"/>
        <w:rPr>
          <w:sz w:val="20"/>
          <w:szCs w:val="20"/>
          <w:color w:val="auto"/>
        </w:rPr>
      </w:pPr>
    </w:p>
    <w:p>
      <w:pPr>
        <w:ind w:right="100" w:firstLine="568"/>
        <w:spacing w:after="0" w:line="257" w:lineRule="auto"/>
        <w:rPr>
          <w:sz w:val="20"/>
          <w:szCs w:val="20"/>
          <w:color w:val="auto"/>
        </w:rPr>
      </w:pPr>
      <w:r>
        <w:rPr>
          <w:rFonts w:ascii="Arial" w:cs="Arial" w:eastAsia="Arial" w:hAnsi="Arial"/>
          <w:sz w:val="16"/>
          <w:szCs w:val="16"/>
          <w:color w:val="auto"/>
        </w:rPr>
        <w:t>We believe the overall level of volumes and realized volatility in the various markets we serve have the greatest impact on our market making businesses. Increases in market volatility can cause bid/ask spreads to widen as market participants are more willing to pay market makers like us to transact immediately and as a result, market makers' capture rate per notional amount transacted increases.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48" w:name="page49"/>
    <w:bookmarkEnd w:id="48"/>
    <w:p>
      <w:pPr>
        <w:spacing w:after="0"/>
        <w:rPr>
          <w:sz w:val="20"/>
          <w:szCs w:val="20"/>
          <w:color w:val="auto"/>
        </w:rPr>
      </w:pPr>
      <w:r>
        <w:rPr>
          <w:rFonts w:ascii="Arial" w:cs="Arial" w:eastAsia="Arial" w:hAnsi="Arial"/>
          <w:sz w:val="16"/>
          <w:szCs w:val="16"/>
          <w:b w:val="1"/>
          <w:bCs w:val="1"/>
          <w:i w:val="1"/>
          <w:iCs w:val="1"/>
          <w:color w:val="auto"/>
        </w:rPr>
        <w:t>Execution Services</w:t>
      </w:r>
    </w:p>
    <w:p>
      <w:pPr>
        <w:spacing w:after="0" w:line="219" w:lineRule="exact"/>
        <w:rPr>
          <w:sz w:val="20"/>
          <w:szCs w:val="20"/>
          <w:color w:val="auto"/>
        </w:rPr>
      </w:pPr>
    </w:p>
    <w:p>
      <w:pPr>
        <w:ind w:firstLine="568"/>
        <w:spacing w:after="0" w:line="289" w:lineRule="auto"/>
        <w:rPr>
          <w:sz w:val="20"/>
          <w:szCs w:val="20"/>
          <w:color w:val="auto"/>
        </w:rPr>
      </w:pPr>
      <w:r>
        <w:rPr>
          <w:rFonts w:ascii="Arial" w:cs="Arial" w:eastAsia="Arial" w:hAnsi="Arial"/>
          <w:sz w:val="14"/>
          <w:szCs w:val="14"/>
          <w:color w:val="auto"/>
        </w:rPr>
        <w:t>We offer client execution services and trading venues that provide transparent trading in global equities, ETFs, fixed income, currencies, and commodities to institutions, banks and broker-dealers. We generally earn commissions when transacting as an agent for our clients. Client-based, execution-only trading within this segment is done through a variety of access points including: (a) algorithmic trading and order routing; (b) institutional sales traders who offer portfolio trading and single stock sales trading which provides execution expertise for program, block and riskless principal trades in global equities and ETFs; and (c) matching of client conditional orders in POSIT Alert and in our ATSs, including Virtu MatchIt and POSIT. We also earn revenues (a) by providing our proprietary technology and infrastructure to select third parties for a service fee, (b) through workflow technology and our integrated, broker-neutral trading tools delivered across the globe, including order and execution management systems and order management software applications and network connectivity and (c) through trading analytics, including (1) tools enabling portfolio managers and traders to improve pre-trade, real-time and post-trade execution performance, (2) portfolio construction and optimization decisions and (3) securities valuation. The segment also includes the results of our capital markets business, in which we act as an agent for issuers in connection with at-the-market offerings and buyback programs.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Corporate</w:t>
      </w:r>
    </w:p>
    <w:p>
      <w:pPr>
        <w:spacing w:after="0" w:line="219" w:lineRule="exact"/>
        <w:rPr>
          <w:sz w:val="20"/>
          <w:szCs w:val="20"/>
          <w:color w:val="auto"/>
        </w:rPr>
      </w:pPr>
    </w:p>
    <w:p>
      <w:pPr>
        <w:ind w:right="180" w:firstLine="568"/>
        <w:spacing w:after="0" w:line="268" w:lineRule="auto"/>
        <w:rPr>
          <w:sz w:val="20"/>
          <w:szCs w:val="20"/>
          <w:color w:val="auto"/>
        </w:rPr>
      </w:pPr>
      <w:r>
        <w:rPr>
          <w:rFonts w:ascii="Arial" w:cs="Arial" w:eastAsia="Arial" w:hAnsi="Arial"/>
          <w:sz w:val="16"/>
          <w:szCs w:val="16"/>
          <w:color w:val="auto"/>
        </w:rPr>
        <w:t>Our Corporate segment contains investments principally in strategic financial services-oriented opportunities and maintains corporate overhead expenses and all other income and expenses that are not attributable to our other segments.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Acquisition of ITG</w:t>
      </w:r>
    </w:p>
    <w:p>
      <w:pPr>
        <w:spacing w:after="0" w:line="223" w:lineRule="exact"/>
        <w:rPr>
          <w:sz w:val="20"/>
          <w:szCs w:val="20"/>
          <w:color w:val="auto"/>
        </w:rPr>
      </w:pPr>
    </w:p>
    <w:p>
      <w:pPr>
        <w:ind w:right="40" w:firstLine="568"/>
        <w:spacing w:after="0" w:line="288" w:lineRule="auto"/>
        <w:rPr>
          <w:sz w:val="20"/>
          <w:szCs w:val="20"/>
          <w:color w:val="auto"/>
        </w:rPr>
      </w:pPr>
      <w:r>
        <w:rPr>
          <w:rFonts w:ascii="Arial" w:cs="Arial" w:eastAsia="Arial" w:hAnsi="Arial"/>
          <w:sz w:val="14"/>
          <w:szCs w:val="14"/>
          <w:color w:val="auto"/>
        </w:rPr>
        <w:t>On March 1, 2019, the "ITG Closing Date", we announced the completion of Investment Technology Group, Inc. and its subsidiaries ("ITG") in an all-cash transaction (the "ITG Acquisition"). In connection with the ITG Acquisition, Virtu Financial, VFH Parent LLC, a Delaware limited liability company and a subsidiary of Virtu Financial ("VFH"), and Impala Borrower LLC (the "Acquisition Borrower"), a subsidiary of the Company, entered into the Acquisition Credit Agreement, with the lenders party thereto, Jefferies Finance LLC, as administrative agent and Jefferies Finance LLC and RBC Capital Markets, as joint lead arrangers and joint bookrunners. The Acquisition Credit Agreement provided (i) the First Lien Term Loan Facility (as defined below) in an aggregate principal amount of $1.5 billion, drawn in its entirety on the ITG Closing Date, with approximately $404.5 million borrowed by VFH to repay all amounts outstanding under its existing term loan facility and the remaining approximately $1,095.0 million borrowed by the Acquisition Borrower to finance the consideration and fees and expenses to be paid in connection with the ITG Acquisition, and (ii) the First Lien Revolving Facility (as defined below), with a $5.0 million letter of credit subfacility and a $5.0 million swingline subfacility. After the closing of the ITG Acquisition, VFH assumed the obligations of the Acquisition Borrower in respect of the acquisition term loans. Additionally, on the ITG Closing Date, the Company’s fourth amended and restated credit agreement, dated as of June 30, 2017 (as amended on January 2, 2018 and September 19, 2018, the “Fourth Amended and Restated Credit Agreement”) was terminated.</w:t>
      </w:r>
    </w:p>
    <w:p>
      <w:pPr>
        <w:spacing w:after="0" w:line="164" w:lineRule="exact"/>
        <w:rPr>
          <w:sz w:val="20"/>
          <w:szCs w:val="20"/>
          <w:color w:val="auto"/>
        </w:rPr>
      </w:pPr>
    </w:p>
    <w:p>
      <w:pPr>
        <w:ind w:right="40" w:firstLine="568"/>
        <w:spacing w:after="0" w:line="257" w:lineRule="auto"/>
        <w:rPr>
          <w:sz w:val="20"/>
          <w:szCs w:val="20"/>
          <w:color w:val="auto"/>
        </w:rPr>
      </w:pPr>
      <w:r>
        <w:rPr>
          <w:rFonts w:ascii="Arial" w:cs="Arial" w:eastAsia="Arial" w:hAnsi="Arial"/>
          <w:sz w:val="14"/>
          <w:szCs w:val="14"/>
          <w:color w:val="auto"/>
        </w:rPr>
        <w:t>As described below, the Acquisition Credit Agreement was amended on October 9, 2019, on which date VFH borrowed an additional $525.0 million of incremental first lien term loans, the proceeds of which were used together with cash on hand to redeem the Notes (as defined below). The Indenture (as defined below) was fully terminated following such redemption. The Credit Agreement was further amended on March 2, 2020 to, among other things, reduce the interest rate spread over LIBOR or the applicable benchmark by 0.50%. On January 13, 2022, VFH and Virtu Financial entered into the Credit Agreement, with the lenders party thereto, JPMorgan Chase Bank, N.A. as administrative agent and JPMorgan Chase bank, N.A., Goldman Sachs Bank USA, RBC Capital Markets, Barclays Bank plc, Jefferies Finance LLC, BMO Capital Markets</w:t>
      </w:r>
    </w:p>
    <w:p>
      <w:pPr>
        <w:spacing w:after="0" w:line="2" w:lineRule="exact"/>
        <w:rPr>
          <w:sz w:val="20"/>
          <w:szCs w:val="20"/>
          <w:color w:val="auto"/>
        </w:rPr>
      </w:pPr>
    </w:p>
    <w:p>
      <w:pPr>
        <w:ind w:right="20"/>
        <w:spacing w:after="0" w:line="231" w:lineRule="auto"/>
        <w:rPr>
          <w:sz w:val="20"/>
          <w:szCs w:val="20"/>
          <w:color w:val="auto"/>
        </w:rPr>
      </w:pPr>
      <w:r>
        <w:rPr>
          <w:rFonts w:ascii="Arial" w:cs="Arial" w:eastAsia="Arial" w:hAnsi="Arial"/>
          <w:sz w:val="16"/>
          <w:szCs w:val="16"/>
          <w:color w:val="auto"/>
        </w:rPr>
        <w:t>Corp., and CIBC World Markets Corp., as joint lead arrangers and bookrunners. The proceeds of the Credit Agreement were used to pay off the Acquisition Credit Agreement. A further description of the Credit Agreement is set forth below in Note 26 “Subsequent Events” of Part II Item 8 “Financial Statements and Supplementary Data”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802" w:right="339" w:bottom="1440" w:gutter="0" w:footer="0" w:header="0"/>
        </w:sectPr>
      </w:pPr>
    </w:p>
    <w:bookmarkStart w:id="49" w:name="page50"/>
    <w:bookmarkEnd w:id="49"/>
    <w:p>
      <w:pPr>
        <w:spacing w:after="0"/>
        <w:rPr>
          <w:sz w:val="20"/>
          <w:szCs w:val="20"/>
          <w:color w:val="auto"/>
        </w:rPr>
      </w:pPr>
      <w:r>
        <w:rPr>
          <w:rFonts w:ascii="Arial" w:cs="Arial" w:eastAsia="Arial" w:hAnsi="Arial"/>
          <w:sz w:val="16"/>
          <w:szCs w:val="16"/>
          <w:b w:val="1"/>
          <w:bCs w:val="1"/>
          <w:color w:val="auto"/>
        </w:rPr>
        <w:t>Amended and Restated 2015 Management Incentive Plan</w:t>
      </w:r>
    </w:p>
    <w:p>
      <w:pPr>
        <w:spacing w:after="0" w:line="223" w:lineRule="exact"/>
        <w:rPr>
          <w:sz w:val="20"/>
          <w:szCs w:val="20"/>
          <w:color w:val="auto"/>
        </w:rPr>
      </w:pPr>
    </w:p>
    <w:p>
      <w:pPr>
        <w:ind w:firstLine="568"/>
        <w:spacing w:after="0" w:line="268" w:lineRule="auto"/>
        <w:rPr>
          <w:sz w:val="20"/>
          <w:szCs w:val="20"/>
          <w:color w:val="auto"/>
        </w:rPr>
      </w:pPr>
      <w:r>
        <w:rPr>
          <w:rFonts w:ascii="Arial" w:cs="Arial" w:eastAsia="Arial" w:hAnsi="Arial"/>
          <w:sz w:val="15"/>
          <w:szCs w:val="15"/>
          <w:color w:val="auto"/>
        </w:rPr>
        <w:t>The Company’s Board of Directors and stockholders adopted the 2015 Management Incentive Plan, which became effective upon consummation of the Company's IPO and was subsequently amended and restated following receipt of approval from the Company’s stockholders on June 30, 2017 (the “Amended and Restated 2015 Management Incentive Plan”). The Amended and Restated 2015 Management Incentive Plan provides for the grant of stock options, restricted stock units, and other awards based on an aggregate of 16,000,000 shares of Class A Common Stock, par value $0.00001 per share (the “Class A Common Stock”), subject to additional sublimits, including limits on the total option grant to any one participant in a single year and the total performance award to any one participant in a single year. On April 23, 2020, the Company’s Board of Directors adopted an amendment to the Company’s Amended and Restated 2015 Management Incentive Plan in order to increase the number of shares of the Company’s Class A Common Stock reserved for issuance, and in respect of which awards may be granted under the Amended and Restated 2015 Plan from 16,000,000 shares of Class A Common Stock to an aggregate of 21,000,000 shares of Class A Common Stock and the amendment was approved by the Company’s shareholders at the Company's annual meeting of shareholders on June 5, 2020.</w:t>
      </w:r>
    </w:p>
    <w:p>
      <w:pPr>
        <w:spacing w:after="0" w:line="184" w:lineRule="exact"/>
        <w:rPr>
          <w:sz w:val="20"/>
          <w:szCs w:val="20"/>
          <w:color w:val="auto"/>
        </w:rPr>
      </w:pPr>
    </w:p>
    <w:p>
      <w:pPr>
        <w:ind w:right="100" w:firstLine="568"/>
        <w:spacing w:after="0" w:line="292" w:lineRule="auto"/>
        <w:rPr>
          <w:sz w:val="20"/>
          <w:szCs w:val="20"/>
          <w:color w:val="auto"/>
        </w:rPr>
      </w:pPr>
      <w:r>
        <w:rPr>
          <w:rFonts w:ascii="Arial" w:cs="Arial" w:eastAsia="Arial" w:hAnsi="Arial"/>
          <w:sz w:val="14"/>
          <w:szCs w:val="14"/>
          <w:color w:val="auto"/>
        </w:rPr>
        <w:t>In connection with the IPO, non-qualified stock options to purchase 9,228,000 shares were granted at the IPO per share price, each of which vests in equal annual installments over a period of four years from the grant date and expires not later than 10 years from the grant date. Subsequent to the IPO and through December 31, 2021, options to purchase 1,628,750 shares in the aggregate were forfeited and 5,722,095 options were exercised. The fair value of the stock option grants was determined through the application of the Black-Scholes-Merton model and was recognized on a straight-line basis over the vesting period. In connection with and subsequent to the IPO, 1,677,318 shares of immediately vested Class A Common Stock and 2,620,051 restricted stock units were granted, which vest over a period of up to 4 years and are settled in shares of Class A Common Stock. The fair value of the Class A Common Stock and restricted stock units was determined based on the volume weighted average price for the three days preceding the grant, and with respect to the restricted stock units is recognized on a straight-line basis over the vesting period.</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Amended and Restated Investment Technology Group, Inc. 2007 Omnibus Equity Compensation Plan</w:t>
      </w:r>
    </w:p>
    <w:p>
      <w:pPr>
        <w:spacing w:after="0" w:line="223" w:lineRule="exact"/>
        <w:rPr>
          <w:sz w:val="20"/>
          <w:szCs w:val="20"/>
          <w:color w:val="auto"/>
        </w:rPr>
      </w:pPr>
    </w:p>
    <w:p>
      <w:pPr>
        <w:ind w:right="20" w:firstLine="568"/>
        <w:spacing w:after="0" w:line="288" w:lineRule="auto"/>
        <w:rPr>
          <w:sz w:val="20"/>
          <w:szCs w:val="20"/>
          <w:color w:val="auto"/>
        </w:rPr>
      </w:pPr>
      <w:r>
        <w:rPr>
          <w:rFonts w:ascii="Arial" w:cs="Arial" w:eastAsia="Arial" w:hAnsi="Arial"/>
          <w:sz w:val="14"/>
          <w:szCs w:val="14"/>
          <w:color w:val="auto"/>
        </w:rPr>
        <w:t>On the ITG Closing Date, the Company assumed the Amended and Restated ITG 2007 Omnibus Equity Compensation Plan, dated as of June 8, 2017 (the “Amended and Restated ITG 2007 Equity Plan”) and certain stock option awards, restricted stock unit awards, deferred stock unit awards and performance stock unit awards granted under the Amended and Restated ITG 2007 Equity Plan (the “Assumed Awards”). The Assumed Awards are subject to the same terms and conditions that were applicable to them under the Amended and Restated ITG 2007 Equity Plan, except that (i) the Assumed Awards relate to shares of the Company’s Class A Common Stock, (ii) the number of shares of Class A Common Stock subject to the Assumed Awards was the result of an adjustment based upon an Exchange Ratio (as defined in the Agreement and Plan of Merger by and between the Company, Impala Merger Sub, Inc., a Delaware corporation and an indirect wholly owned subsidiary of the Company, and ITG, dated as of November 6, 2018, the “ITG Merger Agreement”) and (iii) the performance share unit awards were converted into service-based vesting restricted stock unit awards that were no longer subject to any performance based vesting conditions. As of the ITG Closing Date, the aggregate number of shares of Class A Common Stock subject to such Assumed Awards was 2,497,028 and the aggregate number of shares of Class A Common Stock that remained issuable pursuant to the Amended and Restated ITG 2007 Equity Plan was 1,230,406. The Company filed a Registration Statement on Form S-8 on the ITG Closing Date to register such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798" w:right="359" w:bottom="1440" w:gutter="0" w:footer="0" w:header="0"/>
        </w:sectPr>
      </w:pPr>
    </w:p>
    <w:bookmarkStart w:id="50" w:name="page51"/>
    <w:bookmarkEnd w:id="50"/>
    <w:p>
      <w:pPr>
        <w:spacing w:after="0"/>
        <w:rPr>
          <w:sz w:val="20"/>
          <w:szCs w:val="20"/>
          <w:color w:val="auto"/>
        </w:rPr>
      </w:pPr>
      <w:r>
        <w:rPr>
          <w:rFonts w:ascii="Arial" w:cs="Arial" w:eastAsia="Arial" w:hAnsi="Arial"/>
          <w:sz w:val="16"/>
          <w:szCs w:val="16"/>
          <w:b w:val="1"/>
          <w:bCs w:val="1"/>
          <w:color w:val="auto"/>
        </w:rPr>
        <w:t>Components of Our Results of Operations</w:t>
      </w:r>
    </w:p>
    <w:p>
      <w:pPr>
        <w:spacing w:after="0" w:line="223" w:lineRule="exact"/>
        <w:rPr>
          <w:sz w:val="20"/>
          <w:szCs w:val="20"/>
          <w:color w:val="auto"/>
        </w:rPr>
      </w:pPr>
    </w:p>
    <w:p>
      <w:pPr>
        <w:ind w:firstLine="568"/>
        <w:spacing w:after="0" w:line="268" w:lineRule="auto"/>
        <w:rPr>
          <w:sz w:val="20"/>
          <w:szCs w:val="20"/>
          <w:color w:val="auto"/>
        </w:rPr>
      </w:pPr>
      <w:r>
        <w:rPr>
          <w:rFonts w:ascii="Arial" w:cs="Arial" w:eastAsia="Arial" w:hAnsi="Arial"/>
          <w:sz w:val="16"/>
          <w:szCs w:val="16"/>
          <w:color w:val="auto"/>
        </w:rPr>
        <w:t>The following table shows our i) Total revenue, ii) Total operating expenses, and iii) Income before income taxes and noncontrolling interest by segment for the years ended December 31, 2021, 2020 and 2019:</w:t>
      </w:r>
    </w:p>
    <w:p>
      <w:pPr>
        <w:spacing w:after="0" w:line="209" w:lineRule="exact"/>
        <w:rPr>
          <w:sz w:val="20"/>
          <w:szCs w:val="20"/>
          <w:color w:val="auto"/>
        </w:rPr>
      </w:pPr>
    </w:p>
    <w:tbl>
      <w:tblPr>
        <w:tblLayout w:type="fixed"/>
        <w:tblInd w:w="800" w:type="dxa"/>
        <w:tblCellMar>
          <w:top w:w="0" w:type="dxa"/>
          <w:left w:w="0" w:type="dxa"/>
          <w:bottom w:w="0" w:type="dxa"/>
          <w:right w:w="0" w:type="dxa"/>
        </w:tblCellMar>
      </w:tblPr>
      <w:tr>
        <w:trPr>
          <w:trHeight w:val="169"/>
        </w:trPr>
        <w:tc>
          <w:tcPr>
            <w:tcW w:w="5280" w:type="dxa"/>
            <w:vAlign w:val="bottom"/>
            <w:gridSpan w:val="2"/>
          </w:tcPr>
          <w:p>
            <w:pPr>
              <w:ind w:left="20"/>
              <w:spacing w:after="0"/>
              <w:rPr>
                <w:sz w:val="20"/>
                <w:szCs w:val="20"/>
                <w:color w:val="auto"/>
              </w:rPr>
            </w:pPr>
            <w:r>
              <w:rPr>
                <w:rFonts w:ascii="Arial" w:cs="Arial" w:eastAsia="Arial" w:hAnsi="Arial"/>
                <w:sz w:val="13"/>
                <w:szCs w:val="13"/>
                <w:b w:val="1"/>
                <w:bCs w:val="1"/>
                <w:color w:val="auto"/>
              </w:rPr>
              <w:t>(in thousands)</w:t>
            </w: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0" w:type="dxa"/>
            <w:vAlign w:val="bottom"/>
            <w:gridSpan w:val="4"/>
          </w:tcPr>
          <w:p>
            <w:pPr>
              <w:ind w:left="80"/>
              <w:spacing w:after="0"/>
              <w:rPr>
                <w:sz w:val="20"/>
                <w:szCs w:val="20"/>
                <w:color w:val="auto"/>
              </w:rPr>
            </w:pPr>
            <w:r>
              <w:rPr>
                <w:rFonts w:ascii="Arial" w:cs="Arial" w:eastAsia="Arial" w:hAnsi="Arial"/>
                <w:sz w:val="13"/>
                <w:szCs w:val="13"/>
                <w:b w:val="1"/>
                <w:bCs w:val="1"/>
                <w:color w:val="auto"/>
                <w:w w:val="89"/>
              </w:rPr>
              <w:t>Years Ended December 31,</w:t>
            </w: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2"/>
        </w:trPr>
        <w:tc>
          <w:tcPr>
            <w:tcW w:w="5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Market Making</w:t>
            </w:r>
          </w:p>
        </w:tc>
        <w:tc>
          <w:tcPr>
            <w:tcW w:w="14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spacing w:after="0"/>
              <w:rPr>
                <w:sz w:val="14"/>
                <w:szCs w:val="14"/>
                <w:color w:val="auto"/>
              </w:rPr>
            </w:pPr>
          </w:p>
        </w:tc>
        <w:tc>
          <w:tcPr>
            <w:tcW w:w="1060" w:type="dxa"/>
            <w:vAlign w:val="bottom"/>
            <w:tcBorders>
              <w:top w:val="single" w:sz="8" w:color="auto"/>
              <w:bottom w:val="single" w:sz="8" w:color="auto"/>
            </w:tcBorders>
            <w:shd w:val="clear" w:color="auto" w:fill="CCEEFF"/>
          </w:tcPr>
          <w:p>
            <w:pPr>
              <w:jc w:val="right"/>
              <w:ind w:right="497"/>
              <w:spacing w:after="0"/>
              <w:rPr>
                <w:sz w:val="20"/>
                <w:szCs w:val="20"/>
                <w:color w:val="auto"/>
              </w:rPr>
            </w:pPr>
            <w:r>
              <w:rPr>
                <w:rFonts w:ascii="Arial" w:cs="Arial" w:eastAsia="Arial" w:hAnsi="Arial"/>
                <w:sz w:val="13"/>
                <w:szCs w:val="13"/>
                <w:b w:val="1"/>
                <w:bCs w:val="1"/>
                <w:color w:val="auto"/>
              </w:rPr>
              <w:t>2021</w:t>
            </w:r>
          </w:p>
        </w:tc>
        <w:tc>
          <w:tcPr>
            <w:tcW w:w="12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spacing w:after="0"/>
              <w:rPr>
                <w:sz w:val="14"/>
                <w:szCs w:val="14"/>
                <w:color w:val="auto"/>
              </w:rPr>
            </w:pPr>
          </w:p>
        </w:tc>
        <w:tc>
          <w:tcPr>
            <w:tcW w:w="1060" w:type="dxa"/>
            <w:vAlign w:val="bottom"/>
            <w:tcBorders>
              <w:top w:val="single" w:sz="8" w:color="auto"/>
              <w:bottom w:val="single" w:sz="8" w:color="auto"/>
            </w:tcBorders>
            <w:shd w:val="clear" w:color="auto" w:fill="CCEEFF"/>
          </w:tcPr>
          <w:p>
            <w:pPr>
              <w:jc w:val="right"/>
              <w:ind w:right="497"/>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spacing w:after="0"/>
              <w:rPr>
                <w:sz w:val="14"/>
                <w:szCs w:val="14"/>
                <w:color w:val="auto"/>
              </w:rPr>
            </w:pPr>
          </w:p>
        </w:tc>
        <w:tc>
          <w:tcPr>
            <w:tcW w:w="1060" w:type="dxa"/>
            <w:vAlign w:val="bottom"/>
            <w:tcBorders>
              <w:top w:val="single" w:sz="8" w:color="auto"/>
              <w:bottom w:val="single" w:sz="8" w:color="auto"/>
            </w:tcBorders>
            <w:shd w:val="clear" w:color="auto" w:fill="CCEEFF"/>
          </w:tcPr>
          <w:p>
            <w:pPr>
              <w:jc w:val="right"/>
              <w:ind w:right="497"/>
              <w:spacing w:after="0"/>
              <w:rPr>
                <w:sz w:val="20"/>
                <w:szCs w:val="20"/>
                <w:color w:val="auto"/>
              </w:rPr>
            </w:pPr>
            <w:r>
              <w:rPr>
                <w:rFonts w:ascii="Arial" w:cs="Arial" w:eastAsia="Arial" w:hAnsi="Arial"/>
                <w:sz w:val="13"/>
                <w:szCs w:val="13"/>
                <w:b w:val="1"/>
                <w:bCs w:val="1"/>
                <w:color w:val="auto"/>
              </w:rPr>
              <w:t>2019</w:t>
            </w:r>
          </w:p>
        </w:tc>
      </w:tr>
      <w:tr>
        <w:trPr>
          <w:trHeight w:val="155"/>
        </w:trPr>
        <w:tc>
          <w:tcPr>
            <w:tcW w:w="5280" w:type="dxa"/>
            <w:vAlign w:val="bottom"/>
            <w:gridSpan w:val="2"/>
          </w:tcPr>
          <w:p>
            <w:pPr>
              <w:ind w:left="120"/>
              <w:spacing w:after="0" w:line="148" w:lineRule="exact"/>
              <w:rPr>
                <w:sz w:val="20"/>
                <w:szCs w:val="20"/>
                <w:color w:val="auto"/>
              </w:rPr>
            </w:pPr>
            <w:r>
              <w:rPr>
                <w:rFonts w:ascii="Arial" w:cs="Arial" w:eastAsia="Arial" w:hAnsi="Arial"/>
                <w:sz w:val="13"/>
                <w:szCs w:val="13"/>
                <w:color w:val="auto"/>
              </w:rPr>
              <w:t>Total revenue</w:t>
            </w:r>
          </w:p>
        </w:tc>
        <w:tc>
          <w:tcPr>
            <w:tcW w:w="320" w:type="dxa"/>
            <w:vAlign w:val="bottom"/>
          </w:tcPr>
          <w:p>
            <w:pPr>
              <w:jc w:val="right"/>
              <w:ind w:right="177"/>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2,203,046</w:t>
            </w:r>
          </w:p>
        </w:tc>
        <w:tc>
          <w:tcPr>
            <w:tcW w:w="120" w:type="dxa"/>
            <w:vAlign w:val="bottom"/>
          </w:tcPr>
          <w:p>
            <w:pPr>
              <w:spacing w:after="0"/>
              <w:rPr>
                <w:sz w:val="13"/>
                <w:szCs w:val="13"/>
                <w:color w:val="auto"/>
              </w:rPr>
            </w:pPr>
          </w:p>
        </w:tc>
        <w:tc>
          <w:tcPr>
            <w:tcW w:w="320" w:type="dxa"/>
            <w:vAlign w:val="bottom"/>
          </w:tcPr>
          <w:p>
            <w:pPr>
              <w:jc w:val="right"/>
              <w:ind w:right="177"/>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2,593,342</w:t>
            </w:r>
          </w:p>
        </w:tc>
        <w:tc>
          <w:tcPr>
            <w:tcW w:w="100" w:type="dxa"/>
            <w:vAlign w:val="bottom"/>
          </w:tcPr>
          <w:p>
            <w:pPr>
              <w:spacing w:after="0"/>
              <w:rPr>
                <w:sz w:val="13"/>
                <w:szCs w:val="13"/>
                <w:color w:val="auto"/>
              </w:rPr>
            </w:pPr>
          </w:p>
        </w:tc>
        <w:tc>
          <w:tcPr>
            <w:tcW w:w="320" w:type="dxa"/>
            <w:vAlign w:val="bottom"/>
          </w:tcPr>
          <w:p>
            <w:pPr>
              <w:jc w:val="right"/>
              <w:ind w:right="177"/>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1,028,094</w:t>
            </w:r>
          </w:p>
        </w:tc>
      </w:tr>
      <w:tr>
        <w:trPr>
          <w:trHeight w:val="168"/>
        </w:trPr>
        <w:tc>
          <w:tcPr>
            <w:tcW w:w="52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Total operating expenses</w:t>
            </w: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1,277,078</w:t>
            </w:r>
          </w:p>
        </w:tc>
        <w:tc>
          <w:tcPr>
            <w:tcW w:w="12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1,352,029</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918,904</w:t>
            </w:r>
          </w:p>
        </w:tc>
      </w:tr>
      <w:tr>
        <w:trPr>
          <w:trHeight w:val="155"/>
        </w:trPr>
        <w:tc>
          <w:tcPr>
            <w:tcW w:w="5280" w:type="dxa"/>
            <w:vAlign w:val="bottom"/>
            <w:gridSpan w:val="2"/>
          </w:tcPr>
          <w:p>
            <w:pPr>
              <w:ind w:left="120"/>
              <w:spacing w:after="0" w:line="148" w:lineRule="exact"/>
              <w:rPr>
                <w:sz w:val="20"/>
                <w:szCs w:val="20"/>
                <w:color w:val="auto"/>
              </w:rPr>
            </w:pPr>
            <w:r>
              <w:rPr>
                <w:rFonts w:ascii="Arial" w:cs="Arial" w:eastAsia="Arial" w:hAnsi="Arial"/>
                <w:sz w:val="13"/>
                <w:szCs w:val="13"/>
                <w:color w:val="auto"/>
              </w:rPr>
              <w:t>Income before income taxes and noncontrolling interest</w:t>
            </w:r>
          </w:p>
        </w:tc>
        <w:tc>
          <w:tcPr>
            <w:tcW w:w="3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925,968</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1,241,313</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109,190</w:t>
            </w:r>
          </w:p>
        </w:tc>
      </w:tr>
      <w:tr>
        <w:trPr>
          <w:trHeight w:val="168"/>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Execution Services</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63"/>
        </w:trPr>
        <w:tc>
          <w:tcPr>
            <w:tcW w:w="5280" w:type="dxa"/>
            <w:vAlign w:val="bottom"/>
            <w:gridSpan w:val="2"/>
          </w:tcPr>
          <w:p>
            <w:pPr>
              <w:ind w:left="120"/>
              <w:spacing w:after="0"/>
              <w:rPr>
                <w:sz w:val="20"/>
                <w:szCs w:val="20"/>
                <w:color w:val="auto"/>
              </w:rPr>
            </w:pPr>
            <w:r>
              <w:rPr>
                <w:rFonts w:ascii="Arial" w:cs="Arial" w:eastAsia="Arial" w:hAnsi="Arial"/>
                <w:sz w:val="13"/>
                <w:szCs w:val="13"/>
                <w:color w:val="auto"/>
              </w:rPr>
              <w:t>Total revenue</w:t>
            </w: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600,215</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650,143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491,736</w:t>
            </w:r>
          </w:p>
        </w:tc>
      </w:tr>
      <w:tr>
        <w:trPr>
          <w:trHeight w:val="168"/>
        </w:trPr>
        <w:tc>
          <w:tcPr>
            <w:tcW w:w="52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Total operating expenses</w:t>
            </w: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530,196</w:t>
            </w:r>
          </w:p>
        </w:tc>
        <w:tc>
          <w:tcPr>
            <w:tcW w:w="12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475,526</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618,667</w:t>
            </w:r>
          </w:p>
        </w:tc>
      </w:tr>
      <w:tr>
        <w:trPr>
          <w:trHeight w:val="155"/>
        </w:trPr>
        <w:tc>
          <w:tcPr>
            <w:tcW w:w="5280" w:type="dxa"/>
            <w:vAlign w:val="bottom"/>
            <w:gridSpan w:val="2"/>
          </w:tcPr>
          <w:p>
            <w:pPr>
              <w:ind w:left="120"/>
              <w:spacing w:after="0" w:line="148" w:lineRule="exact"/>
              <w:rPr>
                <w:sz w:val="20"/>
                <w:szCs w:val="20"/>
                <w:color w:val="auto"/>
              </w:rPr>
            </w:pPr>
            <w:r>
              <w:rPr>
                <w:rFonts w:ascii="Arial" w:cs="Arial" w:eastAsia="Arial" w:hAnsi="Arial"/>
                <w:sz w:val="13"/>
                <w:szCs w:val="13"/>
                <w:color w:val="auto"/>
              </w:rPr>
              <w:t>Income (loss) before income taxes and noncontrolling interest</w:t>
            </w:r>
          </w:p>
        </w:tc>
        <w:tc>
          <w:tcPr>
            <w:tcW w:w="3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70,019</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174,617</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(126,931)</w:t>
            </w:r>
          </w:p>
        </w:tc>
      </w:tr>
      <w:tr>
        <w:trPr>
          <w:trHeight w:val="168"/>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Corporate</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63"/>
        </w:trPr>
        <w:tc>
          <w:tcPr>
            <w:tcW w:w="5280" w:type="dxa"/>
            <w:vAlign w:val="bottom"/>
            <w:gridSpan w:val="2"/>
          </w:tcPr>
          <w:p>
            <w:pPr>
              <w:ind w:left="120"/>
              <w:spacing w:after="0"/>
              <w:rPr>
                <w:sz w:val="20"/>
                <w:szCs w:val="20"/>
                <w:color w:val="auto"/>
              </w:rPr>
            </w:pPr>
            <w:r>
              <w:rPr>
                <w:rFonts w:ascii="Arial" w:cs="Arial" w:eastAsia="Arial" w:hAnsi="Arial"/>
                <w:sz w:val="13"/>
                <w:szCs w:val="13"/>
                <w:color w:val="auto"/>
              </w:rPr>
              <w:t>Total revenue</w:t>
            </w: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8,224</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(4,154)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(2,338)</w:t>
            </w:r>
          </w:p>
        </w:tc>
      </w:tr>
      <w:tr>
        <w:trPr>
          <w:trHeight w:val="168"/>
        </w:trPr>
        <w:tc>
          <w:tcPr>
            <w:tcW w:w="52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Total operating expenses</w:t>
            </w: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7,307</w:t>
            </w:r>
          </w:p>
        </w:tc>
        <w:tc>
          <w:tcPr>
            <w:tcW w:w="12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28,939</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95,903</w:t>
            </w:r>
          </w:p>
        </w:tc>
      </w:tr>
      <w:tr>
        <w:trPr>
          <w:trHeight w:val="155"/>
        </w:trPr>
        <w:tc>
          <w:tcPr>
            <w:tcW w:w="5280" w:type="dxa"/>
            <w:vAlign w:val="bottom"/>
            <w:gridSpan w:val="2"/>
          </w:tcPr>
          <w:p>
            <w:pPr>
              <w:ind w:left="120"/>
              <w:spacing w:after="0" w:line="148" w:lineRule="exact"/>
              <w:rPr>
                <w:sz w:val="20"/>
                <w:szCs w:val="20"/>
                <w:color w:val="auto"/>
              </w:rPr>
            </w:pPr>
            <w:r>
              <w:rPr>
                <w:rFonts w:ascii="Arial" w:cs="Arial" w:eastAsia="Arial" w:hAnsi="Arial"/>
                <w:sz w:val="13"/>
                <w:szCs w:val="13"/>
                <w:color w:val="auto"/>
              </w:rPr>
              <w:t>Income (loss) before income taxes and noncontrolling interest</w:t>
            </w:r>
          </w:p>
        </w:tc>
        <w:tc>
          <w:tcPr>
            <w:tcW w:w="3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917</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(33,093)</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(98,241)</w:t>
            </w:r>
          </w:p>
        </w:tc>
      </w:tr>
      <w:tr>
        <w:trPr>
          <w:trHeight w:val="168"/>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Consolidated</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63"/>
        </w:trPr>
        <w:tc>
          <w:tcPr>
            <w:tcW w:w="5280" w:type="dxa"/>
            <w:vAlign w:val="bottom"/>
            <w:gridSpan w:val="2"/>
          </w:tcPr>
          <w:p>
            <w:pPr>
              <w:ind w:left="120"/>
              <w:spacing w:after="0"/>
              <w:rPr>
                <w:sz w:val="20"/>
                <w:szCs w:val="20"/>
                <w:color w:val="auto"/>
              </w:rPr>
            </w:pPr>
            <w:r>
              <w:rPr>
                <w:rFonts w:ascii="Arial" w:cs="Arial" w:eastAsia="Arial" w:hAnsi="Arial"/>
                <w:sz w:val="13"/>
                <w:szCs w:val="13"/>
                <w:color w:val="auto"/>
              </w:rPr>
              <w:t>Total revenue</w:t>
            </w: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2,811,485</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3,239,331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1,517,492</w:t>
            </w:r>
          </w:p>
        </w:tc>
      </w:tr>
      <w:tr>
        <w:trPr>
          <w:trHeight w:val="168"/>
        </w:trPr>
        <w:tc>
          <w:tcPr>
            <w:tcW w:w="52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Total operating expenses</w:t>
            </w: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1,814,581</w:t>
            </w:r>
          </w:p>
        </w:tc>
        <w:tc>
          <w:tcPr>
            <w:tcW w:w="12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1,856,494</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1,633,474</w:t>
            </w:r>
          </w:p>
        </w:tc>
      </w:tr>
      <w:tr>
        <w:trPr>
          <w:trHeight w:val="158"/>
        </w:trPr>
        <w:tc>
          <w:tcPr>
            <w:tcW w:w="5280" w:type="dxa"/>
            <w:vAlign w:val="bottom"/>
            <w:gridSpan w:val="2"/>
          </w:tcPr>
          <w:p>
            <w:pPr>
              <w:ind w:left="120"/>
              <w:spacing w:after="0"/>
              <w:rPr>
                <w:sz w:val="20"/>
                <w:szCs w:val="20"/>
                <w:color w:val="auto"/>
              </w:rPr>
            </w:pPr>
            <w:r>
              <w:rPr>
                <w:rFonts w:ascii="Arial" w:cs="Arial" w:eastAsia="Arial" w:hAnsi="Arial"/>
                <w:sz w:val="13"/>
                <w:szCs w:val="13"/>
                <w:color w:val="auto"/>
              </w:rPr>
              <w:t>Income (loss) before income taxes and noncontrolling interest</w:t>
            </w:r>
          </w:p>
        </w:tc>
        <w:tc>
          <w:tcPr>
            <w:tcW w:w="32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996,904</w:t>
            </w:r>
          </w:p>
        </w:tc>
        <w:tc>
          <w:tcPr>
            <w:tcW w:w="120" w:type="dxa"/>
            <w:vAlign w:val="bottom"/>
          </w:tcPr>
          <w:p>
            <w:pPr>
              <w:spacing w:after="0"/>
              <w:rPr>
                <w:sz w:val="13"/>
                <w:szCs w:val="13"/>
                <w:color w:val="auto"/>
              </w:rPr>
            </w:pPr>
          </w:p>
        </w:tc>
        <w:tc>
          <w:tcPr>
            <w:tcW w:w="32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1,382,837</w:t>
            </w:r>
          </w:p>
        </w:tc>
        <w:tc>
          <w:tcPr>
            <w:tcW w:w="100" w:type="dxa"/>
            <w:vAlign w:val="bottom"/>
          </w:tcPr>
          <w:p>
            <w:pPr>
              <w:spacing w:after="0"/>
              <w:rPr>
                <w:sz w:val="13"/>
                <w:szCs w:val="13"/>
                <w:color w:val="auto"/>
              </w:rPr>
            </w:pPr>
          </w:p>
        </w:tc>
        <w:tc>
          <w:tcPr>
            <w:tcW w:w="32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(115,982)</w:t>
            </w:r>
          </w:p>
        </w:tc>
      </w:tr>
      <w:tr>
        <w:trPr>
          <w:trHeight w:val="20"/>
        </w:trPr>
        <w:tc>
          <w:tcPr>
            <w:tcW w:w="5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shows our results of operations for the years ended December 31, 2021, 2020, and 2019:</w:t>
      </w:r>
    </w:p>
    <w:p>
      <w:pPr>
        <w:spacing w:after="0" w:line="247" w:lineRule="exact"/>
        <w:rPr>
          <w:sz w:val="20"/>
          <w:szCs w:val="20"/>
          <w:color w:val="auto"/>
        </w:rPr>
      </w:pPr>
    </w:p>
    <w:tbl>
      <w:tblPr>
        <w:tblLayout w:type="fixed"/>
        <w:tblInd w:w="760" w:type="dxa"/>
        <w:tblCellMar>
          <w:top w:w="0" w:type="dxa"/>
          <w:left w:w="0" w:type="dxa"/>
          <w:bottom w:w="0" w:type="dxa"/>
          <w:right w:w="0" w:type="dxa"/>
        </w:tblCellMar>
      </w:tblPr>
      <w:tr>
        <w:trPr>
          <w:trHeight w:val="166"/>
        </w:trPr>
        <w:tc>
          <w:tcPr>
            <w:tcW w:w="5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ind w:left="80"/>
              <w:spacing w:after="0"/>
              <w:rPr>
                <w:sz w:val="20"/>
                <w:szCs w:val="20"/>
                <w:color w:val="auto"/>
              </w:rPr>
            </w:pPr>
            <w:r>
              <w:rPr>
                <w:rFonts w:ascii="Arial" w:cs="Arial" w:eastAsia="Arial" w:hAnsi="Arial"/>
                <w:sz w:val="13"/>
                <w:szCs w:val="13"/>
                <w:b w:val="1"/>
                <w:bCs w:val="1"/>
                <w:color w:val="auto"/>
                <w:w w:val="91"/>
              </w:rPr>
              <w:t>Years Ended December 31,</w:t>
            </w: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r>
      <w:tr>
        <w:trPr>
          <w:trHeight w:val="165"/>
        </w:trPr>
        <w:tc>
          <w:tcPr>
            <w:tcW w:w="528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320" w:type="dxa"/>
            <w:vAlign w:val="bottom"/>
          </w:tcPr>
          <w:p>
            <w:pPr>
              <w:spacing w:after="0"/>
              <w:rPr>
                <w:sz w:val="14"/>
                <w:szCs w:val="14"/>
                <w:color w:val="auto"/>
              </w:rPr>
            </w:pPr>
          </w:p>
        </w:tc>
        <w:tc>
          <w:tcPr>
            <w:tcW w:w="1100" w:type="dxa"/>
            <w:vAlign w:val="bottom"/>
          </w:tcPr>
          <w:p>
            <w:pPr>
              <w:jc w:val="right"/>
              <w:ind w:right="537"/>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ind w:right="517"/>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ind w:right="517"/>
              <w:spacing w:after="0"/>
              <w:rPr>
                <w:sz w:val="20"/>
                <w:szCs w:val="20"/>
                <w:color w:val="auto"/>
              </w:rPr>
            </w:pPr>
            <w:r>
              <w:rPr>
                <w:rFonts w:ascii="Arial" w:cs="Arial" w:eastAsia="Arial" w:hAnsi="Arial"/>
                <w:sz w:val="13"/>
                <w:szCs w:val="13"/>
                <w:b w:val="1"/>
                <w:bCs w:val="1"/>
                <w:color w:val="auto"/>
              </w:rPr>
              <w:t>2019</w:t>
            </w:r>
          </w:p>
        </w:tc>
      </w:tr>
      <w:tr>
        <w:trPr>
          <w:trHeight w:val="158"/>
        </w:trPr>
        <w:tc>
          <w:tcPr>
            <w:tcW w:w="51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Revenues:</w:t>
            </w:r>
          </w:p>
        </w:tc>
        <w:tc>
          <w:tcPr>
            <w:tcW w:w="14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r>
      <w:tr>
        <w:trPr>
          <w:trHeight w:val="166"/>
        </w:trPr>
        <w:tc>
          <w:tcPr>
            <w:tcW w:w="52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Trading income, net</w:t>
            </w:r>
          </w:p>
        </w:tc>
        <w:tc>
          <w:tcPr>
            <w:tcW w:w="320" w:type="dxa"/>
            <w:vAlign w:val="bottom"/>
            <w:shd w:val="clear" w:color="auto" w:fill="CCEEFF"/>
          </w:tcPr>
          <w:p>
            <w:pPr>
              <w:jc w:val="right"/>
              <w:ind w:right="213"/>
              <w:spacing w:after="0"/>
              <w:rPr>
                <w:sz w:val="20"/>
                <w:szCs w:val="20"/>
                <w:color w:val="auto"/>
              </w:rPr>
            </w:pPr>
            <w:r>
              <w:rPr>
                <w:rFonts w:ascii="Arial" w:cs="Arial" w:eastAsia="Arial" w:hAnsi="Arial"/>
                <w:sz w:val="9"/>
                <w:szCs w:val="9"/>
                <w:color w:val="auto"/>
                <w:w w:val="78"/>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2,105,194</w:t>
            </w:r>
          </w:p>
        </w:tc>
        <w:tc>
          <w:tcPr>
            <w:tcW w:w="420" w:type="dxa"/>
            <w:vAlign w:val="bottom"/>
            <w:gridSpan w:val="2"/>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2,493,248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912,316</w:t>
            </w:r>
          </w:p>
        </w:tc>
      </w:tr>
      <w:tr>
        <w:trPr>
          <w:trHeight w:val="163"/>
        </w:trPr>
        <w:tc>
          <w:tcPr>
            <w:tcW w:w="5280" w:type="dxa"/>
            <w:vAlign w:val="bottom"/>
            <w:gridSpan w:val="2"/>
          </w:tcPr>
          <w:p>
            <w:pPr>
              <w:ind w:left="100"/>
              <w:spacing w:after="0"/>
              <w:rPr>
                <w:sz w:val="20"/>
                <w:szCs w:val="20"/>
                <w:color w:val="auto"/>
              </w:rPr>
            </w:pPr>
            <w:r>
              <w:rPr>
                <w:rFonts w:ascii="Arial" w:cs="Arial" w:eastAsia="Arial" w:hAnsi="Arial"/>
                <w:sz w:val="13"/>
                <w:szCs w:val="13"/>
                <w:color w:val="auto"/>
              </w:rPr>
              <w:t>Interest and dividends income</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75,384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62,119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108,778</w:t>
            </w:r>
          </w:p>
        </w:tc>
      </w:tr>
      <w:tr>
        <w:trPr>
          <w:trHeight w:val="168"/>
        </w:trPr>
        <w:tc>
          <w:tcPr>
            <w:tcW w:w="52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Commissions, net and technology services</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614,489</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600,510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498,544</w:t>
            </w:r>
          </w:p>
        </w:tc>
      </w:tr>
      <w:tr>
        <w:trPr>
          <w:trHeight w:val="163"/>
        </w:trPr>
        <w:tc>
          <w:tcPr>
            <w:tcW w:w="5280" w:type="dxa"/>
            <w:vAlign w:val="bottom"/>
            <w:tcBorders>
              <w:bottom w:val="single" w:sz="8" w:color="CCEEFF"/>
            </w:tcBorders>
            <w:gridSpan w:val="2"/>
          </w:tcPr>
          <w:p>
            <w:pPr>
              <w:ind w:left="100"/>
              <w:spacing w:after="0"/>
              <w:rPr>
                <w:sz w:val="20"/>
                <w:szCs w:val="20"/>
                <w:color w:val="auto"/>
              </w:rPr>
            </w:pPr>
            <w:r>
              <w:rPr>
                <w:rFonts w:ascii="Arial" w:cs="Arial" w:eastAsia="Arial" w:hAnsi="Arial"/>
                <w:sz w:val="13"/>
                <w:szCs w:val="13"/>
                <w:color w:val="auto"/>
              </w:rPr>
              <w:t>Other, net</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16,418</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83,454</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(2,146)</w:t>
            </w:r>
          </w:p>
        </w:tc>
      </w:tr>
      <w:tr>
        <w:trPr>
          <w:trHeight w:val="160"/>
        </w:trPr>
        <w:tc>
          <w:tcPr>
            <w:tcW w:w="528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Total revenue</w:t>
            </w: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2,811,485</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3,239,331</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1,517,492</w:t>
            </w:r>
          </w:p>
        </w:tc>
      </w:tr>
      <w:tr>
        <w:trPr>
          <w:trHeight w:val="189"/>
        </w:trPr>
        <w:tc>
          <w:tcPr>
            <w:tcW w:w="5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66"/>
        </w:trPr>
        <w:tc>
          <w:tcPr>
            <w:tcW w:w="52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Operating Expenses:</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63"/>
        </w:trPr>
        <w:tc>
          <w:tcPr>
            <w:tcW w:w="5280" w:type="dxa"/>
            <w:vAlign w:val="bottom"/>
            <w:gridSpan w:val="2"/>
          </w:tcPr>
          <w:p>
            <w:pPr>
              <w:ind w:left="100"/>
              <w:spacing w:after="0"/>
              <w:rPr>
                <w:sz w:val="20"/>
                <w:szCs w:val="20"/>
                <w:color w:val="auto"/>
              </w:rPr>
            </w:pPr>
            <w:r>
              <w:rPr>
                <w:rFonts w:ascii="Arial" w:cs="Arial" w:eastAsia="Arial" w:hAnsi="Arial"/>
                <w:sz w:val="13"/>
                <w:szCs w:val="13"/>
                <w:color w:val="auto"/>
              </w:rPr>
              <w:t>Brokerage, exchange, clearance fees and payments for order flow, net</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745,434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758,843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386,888</w:t>
            </w:r>
          </w:p>
        </w:tc>
      </w:tr>
      <w:tr>
        <w:trPr>
          <w:trHeight w:val="168"/>
        </w:trPr>
        <w:tc>
          <w:tcPr>
            <w:tcW w:w="52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Communication and data processing</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211,988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213,750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209,393</w:t>
            </w:r>
          </w:p>
        </w:tc>
      </w:tr>
      <w:tr>
        <w:trPr>
          <w:trHeight w:val="163"/>
        </w:trPr>
        <w:tc>
          <w:tcPr>
            <w:tcW w:w="5280" w:type="dxa"/>
            <w:vAlign w:val="bottom"/>
            <w:gridSpan w:val="2"/>
          </w:tcPr>
          <w:p>
            <w:pPr>
              <w:ind w:left="100"/>
              <w:spacing w:after="0"/>
              <w:rPr>
                <w:sz w:val="20"/>
                <w:szCs w:val="20"/>
                <w:color w:val="auto"/>
              </w:rPr>
            </w:pPr>
            <w:r>
              <w:rPr>
                <w:rFonts w:ascii="Arial" w:cs="Arial" w:eastAsia="Arial" w:hAnsi="Arial"/>
                <w:sz w:val="13"/>
                <w:szCs w:val="13"/>
                <w:color w:val="auto"/>
              </w:rPr>
              <w:t>Employee compensation and payroll taxes</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376,282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393,536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383,713</w:t>
            </w:r>
          </w:p>
        </w:tc>
      </w:tr>
      <w:tr>
        <w:trPr>
          <w:trHeight w:val="168"/>
        </w:trPr>
        <w:tc>
          <w:tcPr>
            <w:tcW w:w="52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Interest and dividends expense</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139,704</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125,649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158,039</w:t>
            </w:r>
          </w:p>
        </w:tc>
      </w:tr>
      <w:tr>
        <w:trPr>
          <w:trHeight w:val="163"/>
        </w:trPr>
        <w:tc>
          <w:tcPr>
            <w:tcW w:w="5280" w:type="dxa"/>
            <w:vAlign w:val="bottom"/>
            <w:gridSpan w:val="2"/>
          </w:tcPr>
          <w:p>
            <w:pPr>
              <w:ind w:left="100"/>
              <w:spacing w:after="0"/>
              <w:rPr>
                <w:sz w:val="20"/>
                <w:szCs w:val="20"/>
                <w:color w:val="auto"/>
              </w:rPr>
            </w:pPr>
            <w:r>
              <w:rPr>
                <w:rFonts w:ascii="Arial" w:cs="Arial" w:eastAsia="Arial" w:hAnsi="Arial"/>
                <w:sz w:val="13"/>
                <w:szCs w:val="13"/>
                <w:color w:val="auto"/>
              </w:rPr>
              <w:t>Operations and administrative</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88,149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94,558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103,642</w:t>
            </w:r>
          </w:p>
        </w:tc>
      </w:tr>
      <w:tr>
        <w:trPr>
          <w:trHeight w:val="168"/>
        </w:trPr>
        <w:tc>
          <w:tcPr>
            <w:tcW w:w="52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Depreciation and amortization</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67,816</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66,741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65,644</w:t>
            </w:r>
          </w:p>
        </w:tc>
      </w:tr>
      <w:tr>
        <w:trPr>
          <w:trHeight w:val="163"/>
        </w:trPr>
        <w:tc>
          <w:tcPr>
            <w:tcW w:w="5280" w:type="dxa"/>
            <w:vAlign w:val="bottom"/>
            <w:gridSpan w:val="2"/>
          </w:tcPr>
          <w:p>
            <w:pPr>
              <w:ind w:left="100"/>
              <w:spacing w:after="0"/>
              <w:rPr>
                <w:sz w:val="20"/>
                <w:szCs w:val="20"/>
                <w:color w:val="auto"/>
              </w:rPr>
            </w:pPr>
            <w:r>
              <w:rPr>
                <w:rFonts w:ascii="Arial" w:cs="Arial" w:eastAsia="Arial" w:hAnsi="Arial"/>
                <w:sz w:val="13"/>
                <w:szCs w:val="13"/>
                <w:color w:val="auto"/>
              </w:rPr>
              <w:t>Amortization of purchased intangibles and acquired capitalized software</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69,668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74,254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70,595</w:t>
            </w:r>
          </w:p>
        </w:tc>
      </w:tr>
      <w:tr>
        <w:trPr>
          <w:trHeight w:val="168"/>
        </w:trPr>
        <w:tc>
          <w:tcPr>
            <w:tcW w:w="52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Termination of office leases</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28,138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9,608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66,452</w:t>
            </w:r>
          </w:p>
        </w:tc>
      </w:tr>
      <w:tr>
        <w:trPr>
          <w:trHeight w:val="163"/>
        </w:trPr>
        <w:tc>
          <w:tcPr>
            <w:tcW w:w="5280" w:type="dxa"/>
            <w:vAlign w:val="bottom"/>
            <w:gridSpan w:val="2"/>
          </w:tcPr>
          <w:p>
            <w:pPr>
              <w:ind w:left="100"/>
              <w:spacing w:after="0"/>
              <w:rPr>
                <w:sz w:val="20"/>
                <w:szCs w:val="20"/>
                <w:color w:val="auto"/>
              </w:rPr>
            </w:pPr>
            <w:r>
              <w:rPr>
                <w:rFonts w:ascii="Arial" w:cs="Arial" w:eastAsia="Arial" w:hAnsi="Arial"/>
                <w:sz w:val="13"/>
                <w:szCs w:val="13"/>
                <w:color w:val="auto"/>
              </w:rPr>
              <w:t>Debt issue cost related to debt refinancing, prepayment and commitment fees</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6,590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28,879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41,132</w:t>
            </w:r>
          </w:p>
        </w:tc>
      </w:tr>
      <w:tr>
        <w:trPr>
          <w:trHeight w:val="168"/>
        </w:trPr>
        <w:tc>
          <w:tcPr>
            <w:tcW w:w="52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Transaction advisory fees and expenses</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843</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2,941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26,117</w:t>
            </w:r>
          </w:p>
        </w:tc>
      </w:tr>
      <w:tr>
        <w:trPr>
          <w:trHeight w:val="163"/>
        </w:trPr>
        <w:tc>
          <w:tcPr>
            <w:tcW w:w="5280" w:type="dxa"/>
            <w:vAlign w:val="bottom"/>
            <w:tcBorders>
              <w:bottom w:val="single" w:sz="8" w:color="CCEEFF"/>
            </w:tcBorders>
            <w:gridSpan w:val="2"/>
          </w:tcPr>
          <w:p>
            <w:pPr>
              <w:ind w:left="100"/>
              <w:spacing w:after="0"/>
              <w:rPr>
                <w:sz w:val="20"/>
                <w:szCs w:val="20"/>
                <w:color w:val="auto"/>
              </w:rPr>
            </w:pPr>
            <w:r>
              <w:rPr>
                <w:rFonts w:ascii="Arial" w:cs="Arial" w:eastAsia="Arial" w:hAnsi="Arial"/>
                <w:sz w:val="13"/>
                <w:szCs w:val="13"/>
                <w:color w:val="auto"/>
              </w:rPr>
              <w:t>Financing interest expense on long-term borrowings</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79,969</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87,735</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121,859</w:t>
            </w:r>
          </w:p>
        </w:tc>
      </w:tr>
      <w:tr>
        <w:trPr>
          <w:trHeight w:val="160"/>
        </w:trPr>
        <w:tc>
          <w:tcPr>
            <w:tcW w:w="528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Total operating expenses</w:t>
            </w:r>
          </w:p>
        </w:tc>
        <w:tc>
          <w:tcPr>
            <w:tcW w:w="32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1,814,581</w:t>
            </w:r>
          </w:p>
        </w:tc>
        <w:tc>
          <w:tcPr>
            <w:tcW w:w="10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1,856,494</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1,633,474</w:t>
            </w:r>
          </w:p>
        </w:tc>
      </w:tr>
      <w:tr>
        <w:trPr>
          <w:trHeight w:val="155"/>
        </w:trPr>
        <w:tc>
          <w:tcPr>
            <w:tcW w:w="5280" w:type="dxa"/>
            <w:vAlign w:val="bottom"/>
            <w:gridSpan w:val="2"/>
          </w:tcPr>
          <w:p>
            <w:pPr>
              <w:ind w:left="100"/>
              <w:spacing w:after="0" w:line="148" w:lineRule="exact"/>
              <w:rPr>
                <w:sz w:val="20"/>
                <w:szCs w:val="20"/>
                <w:color w:val="auto"/>
              </w:rPr>
            </w:pPr>
            <w:r>
              <w:rPr>
                <w:rFonts w:ascii="Arial" w:cs="Arial" w:eastAsia="Arial" w:hAnsi="Arial"/>
                <w:sz w:val="13"/>
                <w:szCs w:val="13"/>
                <w:color w:val="auto"/>
              </w:rPr>
              <w:t>Income (loss) before income taxes and noncontrolling interest</w:t>
            </w: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996,904</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1,382,837</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(115,982)</w:t>
            </w:r>
          </w:p>
        </w:tc>
      </w:tr>
      <w:tr>
        <w:trPr>
          <w:trHeight w:val="168"/>
        </w:trPr>
        <w:tc>
          <w:tcPr>
            <w:tcW w:w="52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Provision for (benefit from) income taxes</w:t>
            </w: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169,670</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261,924</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(12,277)</w:t>
            </w:r>
          </w:p>
        </w:tc>
      </w:tr>
      <w:tr>
        <w:trPr>
          <w:trHeight w:val="158"/>
        </w:trPr>
        <w:tc>
          <w:tcPr>
            <w:tcW w:w="5280" w:type="dxa"/>
            <w:vAlign w:val="bottom"/>
            <w:gridSpan w:val="2"/>
          </w:tcPr>
          <w:p>
            <w:pPr>
              <w:ind w:left="180"/>
              <w:spacing w:after="0"/>
              <w:rPr>
                <w:sz w:val="20"/>
                <w:szCs w:val="20"/>
                <w:color w:val="auto"/>
              </w:rPr>
            </w:pPr>
            <w:r>
              <w:rPr>
                <w:rFonts w:ascii="Arial" w:cs="Arial" w:eastAsia="Arial" w:hAnsi="Arial"/>
                <w:sz w:val="13"/>
                <w:szCs w:val="13"/>
                <w:color w:val="auto"/>
              </w:rPr>
              <w:t>Net income (loss)</w:t>
            </w:r>
          </w:p>
        </w:tc>
        <w:tc>
          <w:tcPr>
            <w:tcW w:w="320" w:type="dxa"/>
            <w:vAlign w:val="bottom"/>
            <w:tcBorders>
              <w:bottom w:val="single" w:sz="8" w:color="auto"/>
            </w:tcBorders>
          </w:tcPr>
          <w:p>
            <w:pPr>
              <w:jc w:val="right"/>
              <w:ind w:right="213"/>
              <w:spacing w:after="0"/>
              <w:rPr>
                <w:sz w:val="20"/>
                <w:szCs w:val="20"/>
                <w:color w:val="auto"/>
              </w:rPr>
            </w:pPr>
            <w:r>
              <w:rPr>
                <w:rFonts w:ascii="Arial" w:cs="Arial" w:eastAsia="Arial" w:hAnsi="Arial"/>
                <w:sz w:val="9"/>
                <w:szCs w:val="9"/>
                <w:color w:val="auto"/>
                <w:w w:val="78"/>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827,234</w:t>
            </w:r>
          </w:p>
        </w:tc>
        <w:tc>
          <w:tcPr>
            <w:tcW w:w="100" w:type="dxa"/>
            <w:vAlign w:val="bottom"/>
          </w:tcPr>
          <w:p>
            <w:pPr>
              <w:spacing w:after="0"/>
              <w:rPr>
                <w:sz w:val="13"/>
                <w:szCs w:val="13"/>
                <w:color w:val="auto"/>
              </w:rPr>
            </w:pPr>
          </w:p>
        </w:tc>
        <w:tc>
          <w:tcPr>
            <w:tcW w:w="32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1,120,913</w:t>
            </w:r>
          </w:p>
        </w:tc>
        <w:tc>
          <w:tcPr>
            <w:tcW w:w="100" w:type="dxa"/>
            <w:vAlign w:val="bottom"/>
          </w:tcPr>
          <w:p>
            <w:pPr>
              <w:spacing w:after="0"/>
              <w:rPr>
                <w:sz w:val="13"/>
                <w:szCs w:val="13"/>
                <w:color w:val="auto"/>
              </w:rPr>
            </w:pPr>
          </w:p>
        </w:tc>
        <w:tc>
          <w:tcPr>
            <w:tcW w:w="34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(103,705)</w:t>
            </w:r>
          </w:p>
        </w:tc>
      </w:tr>
      <w:tr>
        <w:trPr>
          <w:trHeight w:val="20"/>
        </w:trPr>
        <w:tc>
          <w:tcPr>
            <w:tcW w:w="5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040"/>
          </w:cols>
          <w:pgMar w:left="320" w:top="892" w:right="539" w:bottom="1440" w:gutter="0" w:footer="0" w:header="0"/>
        </w:sectPr>
      </w:pPr>
    </w:p>
    <w:bookmarkStart w:id="51" w:name="page52"/>
    <w:bookmarkEnd w:id="51"/>
    <w:p>
      <w:pPr>
        <w:spacing w:after="0"/>
        <w:rPr>
          <w:sz w:val="20"/>
          <w:szCs w:val="20"/>
          <w:color w:val="auto"/>
        </w:rPr>
      </w:pPr>
      <w:r>
        <w:rPr>
          <w:rFonts w:ascii="Arial" w:cs="Arial" w:eastAsia="Arial" w:hAnsi="Arial"/>
          <w:sz w:val="16"/>
          <w:szCs w:val="16"/>
          <w:b w:val="1"/>
          <w:bCs w:val="1"/>
          <w:i w:val="1"/>
          <w:iCs w:val="1"/>
          <w:color w:val="auto"/>
        </w:rPr>
        <w:t>Total Revenues</w:t>
      </w:r>
    </w:p>
    <w:p>
      <w:pPr>
        <w:spacing w:after="0" w:line="219" w:lineRule="exact"/>
        <w:rPr>
          <w:sz w:val="20"/>
          <w:szCs w:val="20"/>
          <w:color w:val="auto"/>
        </w:rPr>
      </w:pPr>
    </w:p>
    <w:p>
      <w:pPr>
        <w:ind w:right="220" w:firstLine="568"/>
        <w:spacing w:after="0" w:line="250" w:lineRule="auto"/>
        <w:rPr>
          <w:sz w:val="20"/>
          <w:szCs w:val="20"/>
          <w:color w:val="auto"/>
        </w:rPr>
      </w:pPr>
      <w:r>
        <w:rPr>
          <w:rFonts w:ascii="Arial" w:cs="Arial" w:eastAsia="Arial" w:hAnsi="Arial"/>
          <w:sz w:val="16"/>
          <w:szCs w:val="16"/>
          <w:color w:val="auto"/>
        </w:rPr>
        <w:t>Revenues are generated through market marking activities, commissions and fees on execution services activities, which include recurring subscriptions on workflow technology and analytic products. The majority of our revenues are generated through market making activities, which are recorded as Trading income, net and Interest and dividends income. Commissions and fees are derived from commissions charged for trade executions in client execution services. We earn commissions and commission equivalents, as well as, in certain cases, contingent fees based on client revenues, which represent variable consideration. The services offered under these contracts have the same pattern of transfer; accordingly, they are being measured and recognized as a single performance obligation. The performance obligation is satisfied over time, and accordingly, revenue is recognized as time passes. Variable consideration has not been included in the transaction price as the amount of consideration is contingent on factors outside our control.</w:t>
      </w:r>
    </w:p>
    <w:p>
      <w:pPr>
        <w:spacing w:after="0" w:line="197" w:lineRule="exact"/>
        <w:rPr>
          <w:sz w:val="20"/>
          <w:szCs w:val="20"/>
          <w:color w:val="auto"/>
        </w:rPr>
      </w:pPr>
    </w:p>
    <w:p>
      <w:pPr>
        <w:ind w:right="40" w:firstLine="568"/>
        <w:spacing w:after="0" w:line="283" w:lineRule="auto"/>
        <w:rPr>
          <w:sz w:val="20"/>
          <w:szCs w:val="20"/>
          <w:color w:val="auto"/>
        </w:rPr>
      </w:pPr>
      <w:r>
        <w:rPr>
          <w:rFonts w:ascii="Arial" w:cs="Arial" w:eastAsia="Arial" w:hAnsi="Arial"/>
          <w:sz w:val="15"/>
          <w:szCs w:val="15"/>
          <w:color w:val="auto"/>
        </w:rPr>
        <w:t>Recurring revenues are primarily derived from workflow technology connectivity fees generated for matching client orders, and analytics services to select third parties. Revenues from connectivity fees are recognized and billed to clients on a monthly basis. Revenues from commissions attributable to analytic products under bundled arrangements are recognized over the course of the year as the performance obligations for those analytics products are satisfied.</w:t>
      </w:r>
    </w:p>
    <w:p>
      <w:pPr>
        <w:spacing w:after="0" w:line="171" w:lineRule="exact"/>
        <w:rPr>
          <w:sz w:val="20"/>
          <w:szCs w:val="20"/>
          <w:color w:val="auto"/>
        </w:rPr>
      </w:pPr>
    </w:p>
    <w:p>
      <w:pPr>
        <w:ind w:right="20" w:firstLine="568"/>
        <w:spacing w:after="0" w:line="252" w:lineRule="auto"/>
        <w:rPr>
          <w:sz w:val="20"/>
          <w:szCs w:val="20"/>
          <w:color w:val="auto"/>
        </w:rPr>
      </w:pPr>
      <w:r>
        <w:rPr>
          <w:rFonts w:ascii="Arial" w:cs="Arial" w:eastAsia="Arial" w:hAnsi="Arial"/>
          <w:sz w:val="16"/>
          <w:szCs w:val="16"/>
          <w:b w:val="1"/>
          <w:bCs w:val="1"/>
          <w:i w:val="1"/>
          <w:iCs w:val="1"/>
          <w:color w:val="auto"/>
        </w:rPr>
        <w:t xml:space="preserve">Trading income, net. </w:t>
      </w:r>
      <w:r>
        <w:rPr>
          <w:rFonts w:ascii="Arial" w:cs="Arial" w:eastAsia="Arial" w:hAnsi="Arial"/>
          <w:sz w:val="16"/>
          <w:szCs w:val="16"/>
          <w:color w:val="auto"/>
        </w:rPr>
        <w:t>Trading income, net represents revenue earned from bid/ask spreads. Trading income is generated in the normal course of our market making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activities and is typically proportional to the level of trading activity, or volumes, and bid/ask spreads in the asset classes we serve. Our trading income is highly diversified by asset class and geography and is comprised of small amounts earned on millions of trades on various exchanges. Our trading income, net, results from gains and losses associated with trading strategies, which are designed to capture small bid ask spreads, while hedging risks. Trading income, net, accounted for 75% and 77% of our total revenues for the years ended December 31, 2021 and 2020, respectively.</w:t>
      </w:r>
    </w:p>
    <w:p>
      <w:pPr>
        <w:spacing w:after="0" w:line="194" w:lineRule="exact"/>
        <w:rPr>
          <w:sz w:val="20"/>
          <w:szCs w:val="20"/>
          <w:color w:val="auto"/>
        </w:rPr>
      </w:pPr>
    </w:p>
    <w:p>
      <w:pPr>
        <w:ind w:right="260" w:firstLine="568"/>
        <w:spacing w:after="0" w:line="311" w:lineRule="auto"/>
        <w:rPr>
          <w:sz w:val="20"/>
          <w:szCs w:val="20"/>
          <w:color w:val="auto"/>
        </w:rPr>
      </w:pPr>
      <w:r>
        <w:rPr>
          <w:rFonts w:ascii="Arial" w:cs="Arial" w:eastAsia="Arial" w:hAnsi="Arial"/>
          <w:sz w:val="14"/>
          <w:szCs w:val="14"/>
          <w:b w:val="1"/>
          <w:bCs w:val="1"/>
          <w:i w:val="1"/>
          <w:iCs w:val="1"/>
          <w:color w:val="auto"/>
        </w:rPr>
        <w:t xml:space="preserve">Interest and dividends income. </w:t>
      </w:r>
      <w:r>
        <w:rPr>
          <w:rFonts w:ascii="Arial" w:cs="Arial" w:eastAsia="Arial" w:hAnsi="Arial"/>
          <w:sz w:val="14"/>
          <w:szCs w:val="14"/>
          <w:color w:val="auto"/>
        </w:rPr>
        <w:t>Our market making activities require us to hold securities on a regular basis, and we generate revenues in the form of interest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dividends income from these securities. Interest is also earned on securities borrowed from other market participants pursuant to collateralized financing arrangements and on cash held by brokers. Dividends income arises from holding market making positions over dates on which dividends are paid to shareholders of record.</w:t>
      </w:r>
    </w:p>
    <w:p>
      <w:pPr>
        <w:spacing w:after="0" w:line="155" w:lineRule="exact"/>
        <w:rPr>
          <w:sz w:val="20"/>
          <w:szCs w:val="20"/>
          <w:color w:val="auto"/>
        </w:rPr>
      </w:pPr>
    </w:p>
    <w:p>
      <w:pPr>
        <w:ind w:right="20" w:firstLine="568"/>
        <w:spacing w:after="0" w:line="270" w:lineRule="auto"/>
        <w:rPr>
          <w:sz w:val="20"/>
          <w:szCs w:val="20"/>
          <w:color w:val="auto"/>
        </w:rPr>
      </w:pPr>
      <w:r>
        <w:rPr>
          <w:rFonts w:ascii="Arial" w:cs="Arial" w:eastAsia="Arial" w:hAnsi="Arial"/>
          <w:sz w:val="15"/>
          <w:szCs w:val="15"/>
          <w:b w:val="1"/>
          <w:bCs w:val="1"/>
          <w:i w:val="1"/>
          <w:iCs w:val="1"/>
          <w:color w:val="auto"/>
        </w:rPr>
        <w:t xml:space="preserve">Commissions, net and technology services. </w:t>
      </w:r>
      <w:r>
        <w:rPr>
          <w:rFonts w:ascii="Arial" w:cs="Arial" w:eastAsia="Arial" w:hAnsi="Arial"/>
          <w:sz w:val="15"/>
          <w:szCs w:val="15"/>
          <w:color w:val="auto"/>
        </w:rPr>
        <w:t>We earn revenues on transactions for which we charge explicit commissions or commission equivalents, which include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majority of our institutional client orders. Commissions and fees are primarily affected by changes in our equities, fixed income and futures transaction volumes with institutional clients, which vary based on client relationships; changes in commission rates; client experience on the various platforms; level of volume based fees from providing liquidity to other trading venues; and the level of our soft dollar and commission recapture activity. Client commission fees are charged for client trades executed by us on behalf of third-party broker-dealers and other financial institutions. Revenue is recognized on a trade date basis, which is the point at which the performance obligation to the customer is satisfied, based on the trade being executed. In addition, we offer workflow technology and analytics services to select third parties. Revenues are derived from fees generated by matching sell-side and buy-side clients orders, and from analytic products delivered to the clients.</w:t>
      </w:r>
    </w:p>
    <w:p>
      <w:pPr>
        <w:spacing w:after="0" w:line="181" w:lineRule="exact"/>
        <w:rPr>
          <w:sz w:val="20"/>
          <w:szCs w:val="20"/>
          <w:color w:val="auto"/>
        </w:rPr>
      </w:pPr>
    </w:p>
    <w:p>
      <w:pPr>
        <w:ind w:right="100" w:firstLine="568"/>
        <w:spacing w:after="0" w:line="257" w:lineRule="auto"/>
        <w:rPr>
          <w:sz w:val="20"/>
          <w:szCs w:val="20"/>
          <w:color w:val="auto"/>
        </w:rPr>
      </w:pPr>
      <w:r>
        <w:rPr>
          <w:rFonts w:ascii="Arial" w:cs="Arial" w:eastAsia="Arial" w:hAnsi="Arial"/>
          <w:sz w:val="16"/>
          <w:szCs w:val="16"/>
          <w:color w:val="auto"/>
        </w:rPr>
        <w:t>Technology licensing fees are charged for the licensing of our proprietary technology and the provision of related services, including hosting, management and support. These fees include an up-front component and a recurring fee for the relevant terms, which may include both fixed and variable components. Revenue is recognized ratably for these services over the contractual term of the agreement.</w:t>
      </w:r>
    </w:p>
    <w:p>
      <w:pPr>
        <w:spacing w:after="0" w:line="190" w:lineRule="exact"/>
        <w:rPr>
          <w:sz w:val="20"/>
          <w:szCs w:val="20"/>
          <w:color w:val="auto"/>
        </w:rPr>
      </w:pPr>
    </w:p>
    <w:p>
      <w:pPr>
        <w:ind w:right="300" w:firstLine="568"/>
        <w:spacing w:after="0" w:line="341" w:lineRule="auto"/>
        <w:rPr>
          <w:sz w:val="20"/>
          <w:szCs w:val="20"/>
          <w:color w:val="auto"/>
        </w:rPr>
      </w:pPr>
      <w:r>
        <w:rPr>
          <w:rFonts w:ascii="Arial" w:cs="Arial" w:eastAsia="Arial" w:hAnsi="Arial"/>
          <w:sz w:val="14"/>
          <w:szCs w:val="14"/>
          <w:b w:val="1"/>
          <w:bCs w:val="1"/>
          <w:i w:val="1"/>
          <w:iCs w:val="1"/>
          <w:color w:val="auto"/>
        </w:rPr>
        <w:t xml:space="preserve">Other, net. </w:t>
      </w:r>
      <w:r>
        <w:rPr>
          <w:rFonts w:ascii="Arial" w:cs="Arial" w:eastAsia="Arial" w:hAnsi="Arial"/>
          <w:sz w:val="14"/>
          <w:szCs w:val="14"/>
          <w:color w:val="auto"/>
        </w:rPr>
        <w:t>We have interests in multiple strategic investments and telecommunications joint ventures (“JVs”). We record our pro-rata share of each JV’s earnings or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losses within other, net, while fees related to the use of communication services provided by the JVs are recorded within communications and data processing.</w:t>
      </w:r>
    </w:p>
    <w:p>
      <w:pPr>
        <w:spacing w:after="0" w:line="123" w:lineRule="exact"/>
        <w:rPr>
          <w:sz w:val="20"/>
          <w:szCs w:val="20"/>
          <w:color w:val="auto"/>
        </w:rPr>
      </w:pPr>
    </w:p>
    <w:p>
      <w:pPr>
        <w:ind w:right="220" w:firstLine="568"/>
        <w:spacing w:after="0" w:line="231" w:lineRule="auto"/>
        <w:rPr>
          <w:sz w:val="20"/>
          <w:szCs w:val="20"/>
          <w:color w:val="auto"/>
        </w:rPr>
      </w:pPr>
      <w:r>
        <w:rPr>
          <w:rFonts w:ascii="Arial" w:cs="Arial" w:eastAsia="Arial" w:hAnsi="Arial"/>
          <w:sz w:val="16"/>
          <w:szCs w:val="16"/>
          <w:color w:val="auto"/>
        </w:rPr>
        <w:t>We have a noncontrolling investment (the “JNX Investment”) in Japannext Co., Ltd. (“JNX”), a proprietary trading system based in Tokyo. In connection with the investment, we issued bonds to certain affiliates of JNX and used the proceeds to partially finance the transaction. Revenues or losses are recognized due to the changes in fair value of the investment or fluctuations in Japanese Yen conversion rates within Other, net.</w:t>
      </w:r>
    </w:p>
    <w:p>
      <w:pPr>
        <w:spacing w:after="0" w:line="191" w:lineRule="exact"/>
        <w:rPr>
          <w:sz w:val="20"/>
          <w:szCs w:val="20"/>
          <w:color w:val="auto"/>
        </w:rPr>
      </w:pPr>
    </w:p>
    <w:p>
      <w:pPr>
        <w:ind w:firstLine="568"/>
        <w:spacing w:after="0" w:line="268" w:lineRule="auto"/>
        <w:rPr>
          <w:sz w:val="20"/>
          <w:szCs w:val="20"/>
          <w:color w:val="auto"/>
        </w:rPr>
      </w:pPr>
      <w:r>
        <w:rPr>
          <w:rFonts w:ascii="Arial" w:cs="Arial" w:eastAsia="Arial" w:hAnsi="Arial"/>
          <w:sz w:val="16"/>
          <w:szCs w:val="16"/>
          <w:color w:val="auto"/>
        </w:rPr>
        <w:t>Other, net can also include gains on sales of businesses, revenues from service agreements related to the sale of businesses, and the gain or loss on the ineffective portion of derivatives used as cash flow hedging instruments.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802" w:right="339" w:bottom="1440" w:gutter="0" w:footer="0" w:header="0"/>
        </w:sectPr>
      </w:pPr>
    </w:p>
    <w:bookmarkStart w:id="52" w:name="page53"/>
    <w:bookmarkEnd w:id="52"/>
    <w:p>
      <w:pPr>
        <w:spacing w:after="0"/>
        <w:rPr>
          <w:sz w:val="20"/>
          <w:szCs w:val="20"/>
          <w:color w:val="auto"/>
        </w:rPr>
      </w:pPr>
      <w:r>
        <w:rPr>
          <w:rFonts w:ascii="Arial" w:cs="Arial" w:eastAsia="Arial" w:hAnsi="Arial"/>
          <w:sz w:val="16"/>
          <w:szCs w:val="16"/>
          <w:b w:val="1"/>
          <w:bCs w:val="1"/>
          <w:i w:val="1"/>
          <w:iCs w:val="1"/>
          <w:color w:val="auto"/>
        </w:rPr>
        <w:t>Operating Expenses</w:t>
      </w:r>
    </w:p>
    <w:p>
      <w:pPr>
        <w:spacing w:after="0" w:line="219" w:lineRule="exact"/>
        <w:rPr>
          <w:sz w:val="20"/>
          <w:szCs w:val="20"/>
          <w:color w:val="auto"/>
        </w:rPr>
      </w:pPr>
    </w:p>
    <w:p>
      <w:pPr>
        <w:ind w:firstLine="568"/>
        <w:spacing w:after="0" w:line="250" w:lineRule="auto"/>
        <w:rPr>
          <w:sz w:val="20"/>
          <w:szCs w:val="20"/>
          <w:color w:val="auto"/>
        </w:rPr>
      </w:pPr>
      <w:r>
        <w:rPr>
          <w:rFonts w:ascii="Arial" w:cs="Arial" w:eastAsia="Arial" w:hAnsi="Arial"/>
          <w:sz w:val="16"/>
          <w:szCs w:val="16"/>
          <w:b w:val="1"/>
          <w:bCs w:val="1"/>
          <w:i w:val="1"/>
          <w:iCs w:val="1"/>
          <w:color w:val="auto"/>
        </w:rPr>
        <w:t xml:space="preserve">Brokerage, exchange, clearance fees and payments for order flow, net. </w:t>
      </w:r>
      <w:r>
        <w:rPr>
          <w:rFonts w:ascii="Arial" w:cs="Arial" w:eastAsia="Arial" w:hAnsi="Arial"/>
          <w:sz w:val="16"/>
          <w:szCs w:val="16"/>
          <w:color w:val="auto"/>
        </w:rPr>
        <w:t>Brokerage, exchange, clearance fees and payments for order flow are our most significant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expenses, which include the direct expenses of executing and clearing transactions that we consummate in the course of our market making activities. Brokerage, exchange, clearance fees and payments for order flow primarily consist of fees charged by third parties for executing, processing and settling trades. These fees generally increase and decrease in direct correlation with the level of our trading activity. Execution fees are paid primarily to exchanges and venues where we trade. Clearance fees are paid to clearing houses and clearing agents. Payments for order flow represent payments to broker-dealer clients, in the normal course of business, for directing their order flow in U.S. equities to the Company. Rebates based on volume discounts, credits or payments received from exchanges or other marketplaces are netted against brokerage, exchange, clearance fees and payments for order flow.</w:t>
      </w:r>
    </w:p>
    <w:p>
      <w:pPr>
        <w:spacing w:after="0" w:line="197" w:lineRule="exact"/>
        <w:rPr>
          <w:sz w:val="20"/>
          <w:szCs w:val="20"/>
          <w:color w:val="auto"/>
        </w:rPr>
      </w:pPr>
    </w:p>
    <w:p>
      <w:pPr>
        <w:ind w:right="240" w:firstLine="568"/>
        <w:spacing w:after="0" w:line="254" w:lineRule="auto"/>
        <w:rPr>
          <w:sz w:val="20"/>
          <w:szCs w:val="20"/>
          <w:color w:val="auto"/>
        </w:rPr>
      </w:pPr>
      <w:r>
        <w:rPr>
          <w:rFonts w:ascii="Arial" w:cs="Arial" w:eastAsia="Arial" w:hAnsi="Arial"/>
          <w:sz w:val="16"/>
          <w:szCs w:val="16"/>
          <w:b w:val="1"/>
          <w:bCs w:val="1"/>
          <w:i w:val="1"/>
          <w:iCs w:val="1"/>
          <w:color w:val="auto"/>
        </w:rPr>
        <w:t xml:space="preserve">Communication and data processing. </w:t>
      </w:r>
      <w:r>
        <w:rPr>
          <w:rFonts w:ascii="Arial" w:cs="Arial" w:eastAsia="Arial" w:hAnsi="Arial"/>
          <w:sz w:val="16"/>
          <w:szCs w:val="16"/>
          <w:color w:val="auto"/>
        </w:rPr>
        <w:t>Communication and data processing represent primarily fixed expenses for leased equipment, equipment co-location, network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lines and connectivity for our trading centers and co-location facilities. Communications expense consists primarily of the cost of voice and data telecommunication lines supporting our business, including connectivity to data centers, exchanges, markets and liquidity pools around the world, and data processing expense consists primarily of market data subscription fees that we pay to third parties to receive price quotes and related information.</w:t>
      </w:r>
    </w:p>
    <w:p>
      <w:pPr>
        <w:spacing w:after="0" w:line="192" w:lineRule="exact"/>
        <w:rPr>
          <w:sz w:val="20"/>
          <w:szCs w:val="20"/>
          <w:color w:val="auto"/>
        </w:rPr>
      </w:pPr>
    </w:p>
    <w:p>
      <w:pPr>
        <w:ind w:right="60" w:firstLine="568"/>
        <w:spacing w:after="0" w:line="302" w:lineRule="auto"/>
        <w:rPr>
          <w:sz w:val="20"/>
          <w:szCs w:val="20"/>
          <w:color w:val="auto"/>
        </w:rPr>
      </w:pPr>
      <w:r>
        <w:rPr>
          <w:rFonts w:ascii="Arial" w:cs="Arial" w:eastAsia="Arial" w:hAnsi="Arial"/>
          <w:sz w:val="14"/>
          <w:szCs w:val="14"/>
          <w:b w:val="1"/>
          <w:bCs w:val="1"/>
          <w:i w:val="1"/>
          <w:iCs w:val="1"/>
          <w:color w:val="auto"/>
        </w:rPr>
        <w:t xml:space="preserve">Employee compensation and payroll taxes. </w:t>
      </w:r>
      <w:r>
        <w:rPr>
          <w:rFonts w:ascii="Arial" w:cs="Arial" w:eastAsia="Arial" w:hAnsi="Arial"/>
          <w:sz w:val="14"/>
          <w:szCs w:val="14"/>
          <w:color w:val="auto"/>
        </w:rPr>
        <w:t>Employee compensation and payroll taxes include employee salaries, cash and non-cash incentive compensation, employee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benefits, payroll taxes, severance and other employee related costs. Employee compensation and payroll taxes also includes non-cash compensation expenses with respect to restricted stock units and restricted stock awards granted in connection with and subsequent to the IPO pursuant to the Amended and Restated 2015 Management Incentive Plan and Class A Common Stock underlying certain awards assumed pursuant to the Amended and Restated ITG 2007 Equity Plan.</w:t>
      </w:r>
    </w:p>
    <w:p>
      <w:pPr>
        <w:spacing w:after="0" w:line="160" w:lineRule="exact"/>
        <w:rPr>
          <w:sz w:val="20"/>
          <w:szCs w:val="20"/>
          <w:color w:val="auto"/>
        </w:rPr>
      </w:pPr>
    </w:p>
    <w:p>
      <w:pPr>
        <w:ind w:right="480" w:firstLine="568"/>
        <w:spacing w:after="0" w:line="268" w:lineRule="auto"/>
        <w:rPr>
          <w:sz w:val="20"/>
          <w:szCs w:val="20"/>
          <w:color w:val="auto"/>
        </w:rPr>
      </w:pPr>
      <w:r>
        <w:rPr>
          <w:rFonts w:ascii="Arial" w:cs="Arial" w:eastAsia="Arial" w:hAnsi="Arial"/>
          <w:sz w:val="16"/>
          <w:szCs w:val="16"/>
          <w:b w:val="1"/>
          <w:bCs w:val="1"/>
          <w:i w:val="1"/>
          <w:iCs w:val="1"/>
          <w:color w:val="auto"/>
        </w:rPr>
        <w:t xml:space="preserve">Interest and dividends expense. </w:t>
      </w:r>
      <w:r>
        <w:rPr>
          <w:rFonts w:ascii="Arial" w:cs="Arial" w:eastAsia="Arial" w:hAnsi="Arial"/>
          <w:sz w:val="16"/>
          <w:szCs w:val="16"/>
          <w:color w:val="auto"/>
        </w:rPr>
        <w:t>We incur interest expense from loaning certain equity securities in the general course of our market making activities pursuant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collateralized lending transactions. Typically, dividend expense is incurred when a dividend is paid on securities sold short.</w:t>
      </w:r>
    </w:p>
    <w:p>
      <w:pPr>
        <w:spacing w:after="0" w:line="181" w:lineRule="exact"/>
        <w:rPr>
          <w:sz w:val="20"/>
          <w:szCs w:val="20"/>
          <w:color w:val="auto"/>
        </w:rPr>
      </w:pPr>
    </w:p>
    <w:p>
      <w:pPr>
        <w:ind w:right="600" w:firstLine="568"/>
        <w:spacing w:after="0" w:line="268" w:lineRule="auto"/>
        <w:rPr>
          <w:sz w:val="20"/>
          <w:szCs w:val="20"/>
          <w:color w:val="auto"/>
        </w:rPr>
      </w:pPr>
      <w:r>
        <w:rPr>
          <w:rFonts w:ascii="Arial" w:cs="Arial" w:eastAsia="Arial" w:hAnsi="Arial"/>
          <w:sz w:val="16"/>
          <w:szCs w:val="16"/>
          <w:b w:val="1"/>
          <w:bCs w:val="1"/>
          <w:i w:val="1"/>
          <w:iCs w:val="1"/>
          <w:color w:val="auto"/>
        </w:rPr>
        <w:t xml:space="preserve">Operations and administrative. </w:t>
      </w:r>
      <w:r>
        <w:rPr>
          <w:rFonts w:ascii="Arial" w:cs="Arial" w:eastAsia="Arial" w:hAnsi="Arial"/>
          <w:sz w:val="16"/>
          <w:szCs w:val="16"/>
          <w:color w:val="auto"/>
        </w:rPr>
        <w:t>Operations and administrative expense represents occupancy, recruiting, travel and related expense, professional fees and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expenses.</w:t>
      </w:r>
    </w:p>
    <w:p>
      <w:pPr>
        <w:spacing w:after="0" w:line="181" w:lineRule="exact"/>
        <w:rPr>
          <w:sz w:val="20"/>
          <w:szCs w:val="20"/>
          <w:color w:val="auto"/>
        </w:rPr>
      </w:pPr>
    </w:p>
    <w:p>
      <w:pPr>
        <w:ind w:right="60" w:firstLine="568"/>
        <w:spacing w:after="0" w:line="273" w:lineRule="auto"/>
        <w:rPr>
          <w:sz w:val="20"/>
          <w:szCs w:val="20"/>
          <w:color w:val="auto"/>
        </w:rPr>
      </w:pPr>
      <w:r>
        <w:rPr>
          <w:rFonts w:ascii="Arial" w:cs="Arial" w:eastAsia="Arial" w:hAnsi="Arial"/>
          <w:sz w:val="15"/>
          <w:szCs w:val="15"/>
          <w:b w:val="1"/>
          <w:bCs w:val="1"/>
          <w:i w:val="1"/>
          <w:iCs w:val="1"/>
          <w:color w:val="auto"/>
        </w:rPr>
        <w:t xml:space="preserve">Depreciation and amortization. </w:t>
      </w:r>
      <w:r>
        <w:rPr>
          <w:rFonts w:ascii="Arial" w:cs="Arial" w:eastAsia="Arial" w:hAnsi="Arial"/>
          <w:sz w:val="15"/>
          <w:szCs w:val="15"/>
          <w:color w:val="auto"/>
        </w:rPr>
        <w:t>Depreciation and amortization expense results from the depreciation of fixed assets, such as computing and communications hardware,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as well as amortization of leasehold improvements and capitalized in-house software development. We depreciate our computer hardware and related software, office hardware and furniture and fixtures on a straight-line basis over a period of 3 to 7 years based on the estimated useful life of the underlying asset, and we amortize our capitalized software development costs on a straight-line basis over a period of 1.5 to 3 years, which represents the estimated useful lives of the underlying software. We amortize leasehold improvements on a straight-line basis over the lesser of the life of the improvement or the term of the lease.</w:t>
      </w:r>
    </w:p>
    <w:p>
      <w:pPr>
        <w:spacing w:after="0" w:line="179" w:lineRule="exact"/>
        <w:rPr>
          <w:sz w:val="20"/>
          <w:szCs w:val="20"/>
          <w:color w:val="auto"/>
        </w:rPr>
      </w:pPr>
    </w:p>
    <w:p>
      <w:pPr>
        <w:ind w:right="220" w:firstLine="568"/>
        <w:spacing w:after="0" w:line="254" w:lineRule="auto"/>
        <w:rPr>
          <w:sz w:val="20"/>
          <w:szCs w:val="20"/>
          <w:color w:val="auto"/>
        </w:rPr>
      </w:pPr>
      <w:r>
        <w:rPr>
          <w:rFonts w:ascii="Arial" w:cs="Arial" w:eastAsia="Arial" w:hAnsi="Arial"/>
          <w:sz w:val="16"/>
          <w:szCs w:val="16"/>
          <w:b w:val="1"/>
          <w:bCs w:val="1"/>
          <w:i w:val="1"/>
          <w:iCs w:val="1"/>
          <w:color w:val="auto"/>
        </w:rPr>
        <w:t xml:space="preserve">Amortization of purchased intangibles and acquired capitalized software. </w:t>
      </w:r>
      <w:r>
        <w:rPr>
          <w:rFonts w:ascii="Arial" w:cs="Arial" w:eastAsia="Arial" w:hAnsi="Arial"/>
          <w:sz w:val="16"/>
          <w:szCs w:val="16"/>
          <w:color w:val="auto"/>
        </w:rPr>
        <w:t>Amortization of purchased intangibles and acquired capitalized software represents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amortization of finite lived intangible assets acquired in connection with the acquisition of certain assets from Nyenburgh Holding B.V., Teza Technologies, the Acquisition of KCG, and the ITG Acquisition. These assets are amortized over their useful lives, ranging from 1 to 15 years, except for certain assets which were categorized as having indefinite useful lives.</w:t>
      </w:r>
    </w:p>
    <w:p>
      <w:pPr>
        <w:spacing w:after="0" w:line="192" w:lineRule="exact"/>
        <w:rPr>
          <w:sz w:val="20"/>
          <w:szCs w:val="20"/>
          <w:color w:val="auto"/>
        </w:rPr>
      </w:pPr>
    </w:p>
    <w:p>
      <w:pPr>
        <w:ind w:right="80" w:firstLine="568"/>
        <w:spacing w:after="0" w:line="257" w:lineRule="auto"/>
        <w:rPr>
          <w:sz w:val="20"/>
          <w:szCs w:val="20"/>
          <w:color w:val="auto"/>
        </w:rPr>
      </w:pPr>
      <w:r>
        <w:rPr>
          <w:rFonts w:ascii="Arial" w:cs="Arial" w:eastAsia="Arial" w:hAnsi="Arial"/>
          <w:sz w:val="16"/>
          <w:szCs w:val="16"/>
          <w:b w:val="1"/>
          <w:bCs w:val="1"/>
          <w:i w:val="1"/>
          <w:iCs w:val="1"/>
          <w:color w:val="auto"/>
        </w:rPr>
        <w:t xml:space="preserve">Termination of office leases. </w:t>
      </w:r>
      <w:r>
        <w:rPr>
          <w:rFonts w:ascii="Arial" w:cs="Arial" w:eastAsia="Arial" w:hAnsi="Arial"/>
          <w:sz w:val="16"/>
          <w:szCs w:val="16"/>
          <w:color w:val="auto"/>
        </w:rPr>
        <w:t>Termination of office leases represents the write-off expense related to certain office space we ceased use of as part of the effort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integrate and consolidate office space in connection with the Acquisition of KCG and the ITG Acquisition. The aggregate write-off amount includes the impairment of operating lease right-of-use assets, leasehold improvements and fixed assets, and dilapidation charges.</w:t>
      </w:r>
    </w:p>
    <w:p>
      <w:pPr>
        <w:spacing w:after="0" w:line="190" w:lineRule="exact"/>
        <w:rPr>
          <w:sz w:val="20"/>
          <w:szCs w:val="20"/>
          <w:color w:val="auto"/>
        </w:rPr>
      </w:pPr>
    </w:p>
    <w:p>
      <w:pPr>
        <w:ind w:right="320" w:firstLine="568"/>
        <w:spacing w:after="0" w:line="283" w:lineRule="auto"/>
        <w:rPr>
          <w:sz w:val="20"/>
          <w:szCs w:val="20"/>
          <w:color w:val="auto"/>
        </w:rPr>
      </w:pPr>
      <w:r>
        <w:rPr>
          <w:rFonts w:ascii="Arial" w:cs="Arial" w:eastAsia="Arial" w:hAnsi="Arial"/>
          <w:sz w:val="15"/>
          <w:szCs w:val="15"/>
          <w:b w:val="1"/>
          <w:bCs w:val="1"/>
          <w:i w:val="1"/>
          <w:iCs w:val="1"/>
          <w:color w:val="auto"/>
        </w:rPr>
        <w:t xml:space="preserve">Debt issue costs related to debt refinancing, prepayment and commitment fees. </w:t>
      </w:r>
      <w:r>
        <w:rPr>
          <w:rFonts w:ascii="Arial" w:cs="Arial" w:eastAsia="Arial" w:hAnsi="Arial"/>
          <w:sz w:val="15"/>
          <w:szCs w:val="15"/>
          <w:color w:val="auto"/>
        </w:rPr>
        <w:t>As a result of the refinancing or early termination of our long-term borrowings, we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accelerate the capitalized debt issue costs and the discount on the term loan that would otherwise be amortized or accreted over the life of the term loan. Premium paid in connection with retiring outstanding bonds, and commitment fees paid for lines of credit are also included in this category.</w:t>
      </w:r>
    </w:p>
    <w:p>
      <w:pPr>
        <w:spacing w:after="0" w:line="171" w:lineRule="exact"/>
        <w:rPr>
          <w:sz w:val="20"/>
          <w:szCs w:val="20"/>
          <w:color w:val="auto"/>
        </w:rPr>
      </w:pPr>
    </w:p>
    <w:p>
      <w:pPr>
        <w:ind w:right="420" w:firstLine="568"/>
        <w:spacing w:after="0" w:line="268" w:lineRule="auto"/>
        <w:rPr>
          <w:sz w:val="20"/>
          <w:szCs w:val="20"/>
          <w:color w:val="auto"/>
        </w:rPr>
      </w:pPr>
      <w:r>
        <w:rPr>
          <w:rFonts w:ascii="Arial" w:cs="Arial" w:eastAsia="Arial" w:hAnsi="Arial"/>
          <w:sz w:val="16"/>
          <w:szCs w:val="16"/>
          <w:b w:val="1"/>
          <w:bCs w:val="1"/>
          <w:i w:val="1"/>
          <w:iCs w:val="1"/>
          <w:color w:val="auto"/>
        </w:rPr>
        <w:t xml:space="preserve">Transaction advisory fees and expenses. </w:t>
      </w:r>
      <w:r>
        <w:rPr>
          <w:rFonts w:ascii="Arial" w:cs="Arial" w:eastAsia="Arial" w:hAnsi="Arial"/>
          <w:sz w:val="16"/>
          <w:szCs w:val="16"/>
          <w:color w:val="auto"/>
        </w:rPr>
        <w:t>Transaction advisory fees and expenses primarily reflect professional fees incurred by us in connection with one or more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acquisitions or dispositions.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802" w:right="339" w:bottom="1440" w:gutter="0" w:footer="0" w:header="0"/>
        </w:sectPr>
      </w:pPr>
    </w:p>
    <w:bookmarkStart w:id="53" w:name="page54"/>
    <w:bookmarkEnd w:id="53"/>
    <w:p>
      <w:pPr>
        <w:ind w:firstLine="568"/>
        <w:spacing w:after="0" w:line="268" w:lineRule="auto"/>
        <w:rPr>
          <w:sz w:val="20"/>
          <w:szCs w:val="20"/>
          <w:color w:val="auto"/>
        </w:rPr>
      </w:pPr>
      <w:r>
        <w:rPr>
          <w:rFonts w:ascii="Arial" w:cs="Arial" w:eastAsia="Arial" w:hAnsi="Arial"/>
          <w:sz w:val="16"/>
          <w:szCs w:val="16"/>
          <w:b w:val="1"/>
          <w:bCs w:val="1"/>
          <w:i w:val="1"/>
          <w:iCs w:val="1"/>
          <w:color w:val="auto"/>
        </w:rPr>
        <w:t xml:space="preserve">Financing interest expense on long-term borrowings. </w:t>
      </w:r>
      <w:r>
        <w:rPr>
          <w:rFonts w:ascii="Arial" w:cs="Arial" w:eastAsia="Arial" w:hAnsi="Arial"/>
          <w:sz w:val="16"/>
          <w:szCs w:val="16"/>
          <w:color w:val="auto"/>
        </w:rPr>
        <w:t>Financing interest expense reflects interest accrued on outstanding indebtedness under our long-term borrowing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arrangements.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Provision for (benefit from) income taxes</w:t>
      </w:r>
    </w:p>
    <w:p>
      <w:pPr>
        <w:spacing w:after="0" w:line="219" w:lineRule="exact"/>
        <w:rPr>
          <w:sz w:val="20"/>
          <w:szCs w:val="20"/>
          <w:color w:val="auto"/>
        </w:rPr>
      </w:pPr>
    </w:p>
    <w:p>
      <w:pPr>
        <w:ind w:left="560"/>
        <w:spacing w:after="0"/>
        <w:rPr>
          <w:sz w:val="20"/>
          <w:szCs w:val="20"/>
          <w:color w:val="auto"/>
        </w:rPr>
      </w:pPr>
      <w:r>
        <w:rPr>
          <w:rFonts w:ascii="Arial" w:cs="Arial" w:eastAsia="Arial" w:hAnsi="Arial"/>
          <w:sz w:val="14"/>
          <w:szCs w:val="14"/>
          <w:color w:val="auto"/>
        </w:rPr>
        <w:t>We are subject to U.S. federal, state and local income tax at the rate applicable to corporations less the rate attributable to the noncontrolling interest in Virtu Financial.</w:t>
      </w:r>
    </w:p>
    <w:p>
      <w:pPr>
        <w:spacing w:after="0" w:line="242" w:lineRule="exact"/>
        <w:rPr>
          <w:sz w:val="20"/>
          <w:szCs w:val="20"/>
          <w:color w:val="auto"/>
        </w:rPr>
      </w:pPr>
    </w:p>
    <w:p>
      <w:pPr>
        <w:jc w:val="both"/>
        <w:ind w:right="60" w:firstLine="568"/>
        <w:spacing w:after="0" w:line="252" w:lineRule="auto"/>
        <w:rPr>
          <w:sz w:val="20"/>
          <w:szCs w:val="20"/>
          <w:color w:val="auto"/>
        </w:rPr>
      </w:pPr>
      <w:r>
        <w:rPr>
          <w:rFonts w:ascii="Arial" w:cs="Arial" w:eastAsia="Arial" w:hAnsi="Arial"/>
          <w:sz w:val="16"/>
          <w:szCs w:val="16"/>
          <w:color w:val="auto"/>
        </w:rPr>
        <w:t>Our effective tax rate is subject to significant variation due to several factors, including variability in our pre-tax and taxable income and loss and the jurisdictions to which they relate, changes in how we do business, acquisitions and investments, audit-related developments, tax law developments (including changes in statutes, regulations, case law, and administrative practices), and relative changes of expenses or losses for which tax benefits are not recognized. Additionally, our effective tax rate can be more or less volatile based on the amount of pre-tax income or loss. For example, the impact of discrete items and non-deductible expenses on our effective tax rate is greater when our pre-tax income is lower.</w:t>
      </w:r>
    </w:p>
    <w:p>
      <w:pPr>
        <w:spacing w:after="0" w:line="194" w:lineRule="exact"/>
        <w:rPr>
          <w:sz w:val="20"/>
          <w:szCs w:val="20"/>
          <w:color w:val="auto"/>
        </w:rPr>
      </w:pPr>
    </w:p>
    <w:p>
      <w:pPr>
        <w:ind w:right="80" w:firstLine="568"/>
        <w:spacing w:after="0" w:line="254" w:lineRule="auto"/>
        <w:rPr>
          <w:sz w:val="20"/>
          <w:szCs w:val="20"/>
          <w:color w:val="auto"/>
        </w:rPr>
      </w:pPr>
      <w:r>
        <w:rPr>
          <w:rFonts w:ascii="Arial" w:cs="Arial" w:eastAsia="Arial" w:hAnsi="Arial"/>
          <w:sz w:val="16"/>
          <w:szCs w:val="16"/>
          <w:color w:val="auto"/>
        </w:rPr>
        <w:t>We regularly assess whether it is more likely than not that we will realize our deferred tax assets in each taxing jurisdiction in which we operate. In performing this assessment with respect to each jurisdiction, we review all available evidence, including actual and expected future earnings, capital gains, and investment in such jurisdiction, the carry-forward periods available to us for tax reporting purposes, and other relevant factors. See Note 15 "Income Taxes" of Part II Item 8 “Financial Statements and Supplementary Data” of this Annual Report on Form 10-K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20"/>
          </w:cols>
          <w:pgMar w:left="320" w:top="802" w:right="459" w:bottom="1440" w:gutter="0" w:footer="0" w:header="0"/>
        </w:sectPr>
      </w:pPr>
    </w:p>
    <w:bookmarkStart w:id="54" w:name="page55"/>
    <w:bookmarkEnd w:id="54"/>
    <w:p>
      <w:pPr>
        <w:spacing w:after="0"/>
        <w:rPr>
          <w:sz w:val="20"/>
          <w:szCs w:val="20"/>
          <w:color w:val="auto"/>
        </w:rPr>
      </w:pPr>
      <w:r>
        <w:rPr>
          <w:rFonts w:ascii="Arial" w:cs="Arial" w:eastAsia="Arial" w:hAnsi="Arial"/>
          <w:sz w:val="16"/>
          <w:szCs w:val="16"/>
          <w:b w:val="1"/>
          <w:bCs w:val="1"/>
          <w:color w:val="auto"/>
        </w:rPr>
        <w:t>Non-GAAP Financial Measures and Other Items</w:t>
      </w:r>
    </w:p>
    <w:p>
      <w:pPr>
        <w:spacing w:after="0" w:line="223" w:lineRule="exact"/>
        <w:rPr>
          <w:sz w:val="20"/>
          <w:szCs w:val="20"/>
          <w:color w:val="auto"/>
        </w:rPr>
      </w:pPr>
    </w:p>
    <w:p>
      <w:pPr>
        <w:ind w:right="20" w:firstLine="568"/>
        <w:spacing w:after="0" w:line="268" w:lineRule="auto"/>
        <w:rPr>
          <w:sz w:val="20"/>
          <w:szCs w:val="20"/>
          <w:color w:val="auto"/>
        </w:rPr>
      </w:pPr>
      <w:r>
        <w:rPr>
          <w:rFonts w:ascii="Arial" w:cs="Arial" w:eastAsia="Arial" w:hAnsi="Arial"/>
          <w:sz w:val="16"/>
          <w:szCs w:val="16"/>
          <w:color w:val="auto"/>
        </w:rPr>
        <w:t>To supplement our consolidated financial statements presented in accordance with generally accepted accounting principles in the United States (“U.S. GAAP”), we use the following non-U.S. GAAP (“Non-GAAP”) financial measures of financial performance:</w:t>
      </w:r>
    </w:p>
    <w:p>
      <w:pPr>
        <w:spacing w:after="0" w:line="181" w:lineRule="exact"/>
        <w:rPr>
          <w:sz w:val="20"/>
          <w:szCs w:val="20"/>
          <w:color w:val="auto"/>
        </w:rPr>
      </w:pPr>
    </w:p>
    <w:p>
      <w:pPr>
        <w:ind w:left="920" w:right="40" w:hanging="215"/>
        <w:spacing w:after="0" w:line="250" w:lineRule="auto"/>
        <w:tabs>
          <w:tab w:leader="none" w:pos="916" w:val="left"/>
        </w:tabs>
        <w:numPr>
          <w:ilvl w:val="0"/>
          <w:numId w:val="24"/>
        </w:numPr>
        <w:rPr>
          <w:rFonts w:ascii="Arial" w:cs="Arial" w:eastAsia="Arial" w:hAnsi="Arial"/>
          <w:sz w:val="16"/>
          <w:szCs w:val="16"/>
          <w:color w:val="auto"/>
        </w:rPr>
      </w:pPr>
      <w:r>
        <w:rPr>
          <w:rFonts w:ascii="Arial" w:cs="Arial" w:eastAsia="Arial" w:hAnsi="Arial"/>
          <w:sz w:val="16"/>
          <w:szCs w:val="16"/>
          <w:color w:val="auto"/>
        </w:rPr>
        <w:t>“Adjusted Net Trading Income”, which is the amount of revenue we generate from our market making activities, or Trading income, net, plus Commissions, net and technology services, plus Interest and dividends income, less direct costs associated with those revenues, including Brokerage, exchange, clearance fees and payments for order flow, net, and Interest and dividends expense. Management believes that this measurement is useful for comparing general operating performance from period to period. Although we use Adjusted Net Trading Income as a financial measure to assess the performance of our business, the use of Adjusted Net Trading Income is limited because it does not include certain material costs that are necessary to operate our business. Our presentation of Adjusted Net Trading Income should not be construed as an indication that our future results will be unaffected by revenues or expenses that are not directly associated with our market making activities.</w:t>
      </w:r>
    </w:p>
    <w:p>
      <w:pPr>
        <w:spacing w:after="0" w:line="79" w:lineRule="exact"/>
        <w:rPr>
          <w:rFonts w:ascii="Arial" w:cs="Arial" w:eastAsia="Arial" w:hAnsi="Arial"/>
          <w:sz w:val="16"/>
          <w:szCs w:val="16"/>
          <w:color w:val="auto"/>
        </w:rPr>
      </w:pPr>
    </w:p>
    <w:p>
      <w:pPr>
        <w:ind w:left="920" w:right="140" w:hanging="215"/>
        <w:spacing w:after="0" w:line="252" w:lineRule="auto"/>
        <w:tabs>
          <w:tab w:leader="none" w:pos="916" w:val="left"/>
        </w:tabs>
        <w:numPr>
          <w:ilvl w:val="0"/>
          <w:numId w:val="24"/>
        </w:numPr>
        <w:rPr>
          <w:rFonts w:ascii="Arial" w:cs="Arial" w:eastAsia="Arial" w:hAnsi="Arial"/>
          <w:sz w:val="16"/>
          <w:szCs w:val="16"/>
          <w:color w:val="auto"/>
        </w:rPr>
      </w:pPr>
      <w:r>
        <w:rPr>
          <w:rFonts w:ascii="Arial" w:cs="Arial" w:eastAsia="Arial" w:hAnsi="Arial"/>
          <w:sz w:val="16"/>
          <w:szCs w:val="16"/>
          <w:color w:val="auto"/>
        </w:rPr>
        <w:t>“EBITDA”, which measures our operating performance by adjusting net income to exclude Financing interest expense on long-term borrowings, Debt issue cost related to debt refinancing, prepayment, and commitment fees, Depreciation and amortization, Amortization of purchased intangibles and acquired capitalized software, and Income tax expense, and “Adjusted EBITDA”, which measures our operating performance by further adjusting EBITDA to exclude severance, transaction advisory fees and expenses, termination of office leases, charges related to share based compensation and other expenses, which includes reserves for legal matters, COVID-19 one-time costs and donations and Other, net.</w:t>
      </w:r>
    </w:p>
    <w:p>
      <w:pPr>
        <w:spacing w:after="0" w:line="75" w:lineRule="exact"/>
        <w:rPr>
          <w:rFonts w:ascii="Arial" w:cs="Arial" w:eastAsia="Arial" w:hAnsi="Arial"/>
          <w:sz w:val="16"/>
          <w:szCs w:val="16"/>
          <w:color w:val="auto"/>
        </w:rPr>
      </w:pPr>
    </w:p>
    <w:p>
      <w:pPr>
        <w:jc w:val="both"/>
        <w:ind w:left="920" w:right="480" w:hanging="215"/>
        <w:spacing w:after="0" w:line="311" w:lineRule="auto"/>
        <w:tabs>
          <w:tab w:leader="none" w:pos="916" w:val="left"/>
        </w:tabs>
        <w:numPr>
          <w:ilvl w:val="0"/>
          <w:numId w:val="24"/>
        </w:numPr>
        <w:rPr>
          <w:rFonts w:ascii="Arial" w:cs="Arial" w:eastAsia="Arial" w:hAnsi="Arial"/>
          <w:sz w:val="14"/>
          <w:szCs w:val="14"/>
          <w:color w:val="auto"/>
        </w:rPr>
      </w:pPr>
      <w:r>
        <w:rPr>
          <w:rFonts w:ascii="Arial" w:cs="Arial" w:eastAsia="Arial" w:hAnsi="Arial"/>
          <w:sz w:val="14"/>
          <w:szCs w:val="14"/>
          <w:color w:val="auto"/>
        </w:rPr>
        <w:t>“Normalized Adjusted Net Income”, “Normalized Adjusted Net Income before income taxes”, “Normalized provision for income taxes”, and “Normalized Adjusted EPS”, which we calculate by adjusting Net Income to exclude certain items and other non-cash items, assuming that all vested and unvested Virtu Financial Units have been exchanged for Class A Common Stock, and applying an effective tax rate, which was approximately 24%.</w:t>
      </w:r>
    </w:p>
    <w:p>
      <w:pPr>
        <w:spacing w:after="0" w:line="37" w:lineRule="exact"/>
        <w:rPr>
          <w:rFonts w:ascii="Arial" w:cs="Arial" w:eastAsia="Arial" w:hAnsi="Arial"/>
          <w:sz w:val="14"/>
          <w:szCs w:val="14"/>
          <w:color w:val="auto"/>
        </w:rPr>
      </w:pPr>
    </w:p>
    <w:p>
      <w:pPr>
        <w:ind w:left="920" w:hanging="215"/>
        <w:spacing w:after="0"/>
        <w:tabs>
          <w:tab w:leader="none" w:pos="9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Operating Margins, which are calculated by dividing net income, EBITDA, and Adjusted EBITDA by Adjusted Net Trading Income.</w:t>
      </w:r>
    </w:p>
    <w:p>
      <w:pPr>
        <w:spacing w:after="0" w:line="219" w:lineRule="exact"/>
        <w:rPr>
          <w:sz w:val="20"/>
          <w:szCs w:val="20"/>
          <w:color w:val="auto"/>
        </w:rPr>
      </w:pPr>
    </w:p>
    <w:p>
      <w:pPr>
        <w:ind w:firstLine="568"/>
        <w:spacing w:after="0" w:line="267" w:lineRule="auto"/>
        <w:rPr>
          <w:sz w:val="20"/>
          <w:szCs w:val="20"/>
          <w:color w:val="auto"/>
        </w:rPr>
      </w:pPr>
      <w:r>
        <w:rPr>
          <w:rFonts w:ascii="Arial" w:cs="Arial" w:eastAsia="Arial" w:hAnsi="Arial"/>
          <w:sz w:val="15"/>
          <w:szCs w:val="15"/>
          <w:color w:val="auto"/>
        </w:rPr>
        <w:t>Adjusted Net Trading Income, EBITDA, Adjusted EBITDA, Normalized Adjusted Net Income, Normalized Adjusted Net Income before income taxes, Normalized provision for income taxes, Normalized Adjusted EPS, and Operating Margins (collectively, the “Company's Non-GAAP Measures”) are non-GAAP financial measures used by management in evaluating operating performance and in making strategic decisions. In addition, the Company's Non-GAAP Measures or similar non-GAAP financial measures are used by research analysts, investment bankers and lenders to assess our operating performance. Management believes that the presentation of the Company's Non-GAAP Measures provides useful information to investors regarding our results of operations and cash flows because they assist both investors and management in analyzing and benchmarking the performance and value of our business. The Company's Non-GAAP Measures provide indicators of general economic performance that are not affected by fluctuations in certain costs or other items. Accordingly, management believes that these measurements are useful for comparing general operating performance from period to period. Furthermore, our Credit Agreement contains covenants and other tests based on metrics similar to Adjusted EBITDA. Other companies may define Adjusted Net Trading Income, Adjusted EBITDA, Normalized Adjusted Net Income, Normalized Adjusted Net Income before income taxes, Normalized provision for income taxes, Normalized Adjusted EPS, and Operating Margins differently, and as a result the Company's Non-GAAP Measures may not be directly comparable to those of other companies. Although we use the Company's Non-GAAP Measures as financial measures to assess the performance of our business, such use is limited because they do not include certain material costs necessary to operate our business.</w:t>
      </w:r>
    </w:p>
    <w:p>
      <w:pPr>
        <w:spacing w:after="0" w:line="183" w:lineRule="exact"/>
        <w:rPr>
          <w:sz w:val="20"/>
          <w:szCs w:val="20"/>
          <w:color w:val="auto"/>
        </w:rPr>
      </w:pPr>
    </w:p>
    <w:p>
      <w:pPr>
        <w:ind w:right="100" w:firstLine="568"/>
        <w:spacing w:after="0" w:line="254" w:lineRule="auto"/>
        <w:rPr>
          <w:sz w:val="20"/>
          <w:szCs w:val="20"/>
          <w:color w:val="auto"/>
        </w:rPr>
      </w:pPr>
      <w:r>
        <w:rPr>
          <w:rFonts w:ascii="Arial" w:cs="Arial" w:eastAsia="Arial" w:hAnsi="Arial"/>
          <w:sz w:val="16"/>
          <w:szCs w:val="16"/>
          <w:color w:val="auto"/>
        </w:rPr>
        <w:t>The Company's Non-GAAP Measures should be considered in addition to, and not as a substitute for, Net Income in accordance with U.S. GAAP as a measure of performance. Our presentation of the Company's Non-GAAP Measures should not be construed as an indication that our future results will be unaffected by unusual or nonrecurring items. The Company's Non-GAAP Measures have limitations as analytical tools, and you should not consider them in isolation or as substitutes for analysis of our results as reported under U.S. GAAP. Some of these limitations are:</w:t>
      </w:r>
    </w:p>
    <w:p>
      <w:pPr>
        <w:spacing w:after="0" w:line="192" w:lineRule="exact"/>
        <w:rPr>
          <w:sz w:val="20"/>
          <w:szCs w:val="20"/>
          <w:color w:val="auto"/>
        </w:rPr>
      </w:pPr>
    </w:p>
    <w:p>
      <w:pPr>
        <w:ind w:left="920" w:hanging="215"/>
        <w:spacing w:after="0"/>
        <w:tabs>
          <w:tab w:leader="none" w:pos="9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they do not reflect every cash expenditure, future requirements for capital expenditures or contractual commitments;</w:t>
      </w:r>
    </w:p>
    <w:p>
      <w:pPr>
        <w:spacing w:after="0" w:line="100" w:lineRule="exact"/>
        <w:rPr>
          <w:rFonts w:ascii="Arial" w:cs="Arial" w:eastAsia="Arial" w:hAnsi="Arial"/>
          <w:sz w:val="16"/>
          <w:szCs w:val="16"/>
          <w:color w:val="auto"/>
        </w:rPr>
      </w:pPr>
    </w:p>
    <w:p>
      <w:pPr>
        <w:ind w:left="920" w:hanging="215"/>
        <w:spacing w:after="0"/>
        <w:tabs>
          <w:tab w:leader="none" w:pos="9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our EBITDA-based measures do not reflect the significant interest expense or the cash requirements necessary to service interest or principal payment on our debt;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892" w:right="359" w:bottom="1440" w:gutter="0" w:footer="0" w:header="0"/>
        </w:sectPr>
      </w:pPr>
    </w:p>
    <w:bookmarkStart w:id="55" w:name="page56"/>
    <w:bookmarkEnd w:id="55"/>
    <w:p>
      <w:pPr>
        <w:ind w:left="925" w:hanging="215"/>
        <w:spacing w:after="0" w:line="302" w:lineRule="auto"/>
        <w:tabs>
          <w:tab w:leader="none" w:pos="921" w:val="left"/>
        </w:tabs>
        <w:numPr>
          <w:ilvl w:val="0"/>
          <w:numId w:val="26"/>
        </w:numPr>
        <w:rPr>
          <w:rFonts w:ascii="Arial" w:cs="Arial" w:eastAsia="Arial" w:hAnsi="Arial"/>
          <w:sz w:val="15"/>
          <w:szCs w:val="15"/>
          <w:color w:val="auto"/>
        </w:rPr>
      </w:pPr>
      <w:r>
        <w:rPr>
          <w:rFonts w:ascii="Arial" w:cs="Arial" w:eastAsia="Arial" w:hAnsi="Arial"/>
          <w:sz w:val="15"/>
          <w:szCs w:val="15"/>
          <w:color w:val="auto"/>
        </w:rPr>
        <w:t>although depreciation and amortization are non-cash charges, the assets being depreciated and amortized will often have to be replaced or require improvements in the future, and our EBITDA-based measures do not reflect any cash requirement for such replacements or improvements;</w:t>
      </w:r>
    </w:p>
    <w:p>
      <w:pPr>
        <w:spacing w:after="0" w:line="39" w:lineRule="exact"/>
        <w:rPr>
          <w:rFonts w:ascii="Arial" w:cs="Arial" w:eastAsia="Arial" w:hAnsi="Arial"/>
          <w:sz w:val="15"/>
          <w:szCs w:val="15"/>
          <w:color w:val="auto"/>
        </w:rPr>
      </w:pPr>
    </w:p>
    <w:p>
      <w:pPr>
        <w:ind w:left="925" w:hanging="215"/>
        <w:spacing w:after="0"/>
        <w:tabs>
          <w:tab w:leader="none" w:pos="925"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they are not adjusted for all non-cash income or expense items that are reflected in our consolidated statements of cash flows;</w:t>
      </w:r>
    </w:p>
    <w:p>
      <w:pPr>
        <w:spacing w:after="0" w:line="100" w:lineRule="exact"/>
        <w:rPr>
          <w:rFonts w:ascii="Arial" w:cs="Arial" w:eastAsia="Arial" w:hAnsi="Arial"/>
          <w:sz w:val="16"/>
          <w:szCs w:val="16"/>
          <w:color w:val="auto"/>
        </w:rPr>
      </w:pPr>
    </w:p>
    <w:p>
      <w:pPr>
        <w:ind w:left="925" w:hanging="215"/>
        <w:spacing w:after="0"/>
        <w:tabs>
          <w:tab w:leader="none" w:pos="925"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they do not reflect the impact of earnings or charges resulting from matters we consider not to be indicative of our ongoing operations; and</w:t>
      </w:r>
    </w:p>
    <w:p>
      <w:pPr>
        <w:spacing w:after="0" w:line="100" w:lineRule="exact"/>
        <w:rPr>
          <w:rFonts w:ascii="Arial" w:cs="Arial" w:eastAsia="Arial" w:hAnsi="Arial"/>
          <w:sz w:val="16"/>
          <w:szCs w:val="16"/>
          <w:color w:val="auto"/>
        </w:rPr>
      </w:pPr>
    </w:p>
    <w:p>
      <w:pPr>
        <w:ind w:left="925" w:hanging="215"/>
        <w:spacing w:after="0"/>
        <w:tabs>
          <w:tab w:leader="none" w:pos="925"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they do not reflect limitations on our costs related to transferring earnings from our subsidiaries to us.</w:t>
      </w:r>
    </w:p>
    <w:p>
      <w:pPr>
        <w:spacing w:after="0" w:line="219" w:lineRule="exact"/>
        <w:rPr>
          <w:sz w:val="20"/>
          <w:szCs w:val="20"/>
          <w:color w:val="auto"/>
        </w:rPr>
      </w:pPr>
    </w:p>
    <w:p>
      <w:pPr>
        <w:ind w:left="5" w:right="20" w:firstLine="568"/>
        <w:spacing w:after="0" w:line="273" w:lineRule="auto"/>
        <w:rPr>
          <w:sz w:val="20"/>
          <w:szCs w:val="20"/>
          <w:color w:val="auto"/>
        </w:rPr>
      </w:pPr>
      <w:r>
        <w:rPr>
          <w:rFonts w:ascii="Arial" w:cs="Arial" w:eastAsia="Arial" w:hAnsi="Arial"/>
          <w:sz w:val="15"/>
          <w:szCs w:val="15"/>
          <w:color w:val="auto"/>
        </w:rPr>
        <w:t>Because of these limitations, the Company's Non-GAAP Measures are not intended as alternatives to Net Income as indicators of our operating performance and should not be considered as measures of discretionary cash available to us to invest in the growth of our business or as measures of cash that will be available to us to meet our obligations. We compensate for these limitations by using the Company's Non-GAAP Measures along with other comparative tools, together with U.S. GAAP measurements, to assist in the evaluation of operating performance. These U.S. GAAP measurements include operating Net Income, cash flows from operations and cash flow data. See below a reconciliation of each of the Company's Non-GAAP Measures to the most directly comparable U.S. GAAP measure.</w:t>
      </w:r>
    </w:p>
    <w:p>
      <w:pPr>
        <w:spacing w:after="0" w:line="179" w:lineRule="exact"/>
        <w:rPr>
          <w:sz w:val="20"/>
          <w:szCs w:val="20"/>
          <w:color w:val="auto"/>
        </w:rPr>
      </w:pPr>
    </w:p>
    <w:p>
      <w:pPr>
        <w:ind w:left="5" w:right="280" w:firstLine="568"/>
        <w:spacing w:after="0" w:line="268" w:lineRule="auto"/>
        <w:rPr>
          <w:sz w:val="20"/>
          <w:szCs w:val="20"/>
          <w:color w:val="auto"/>
        </w:rPr>
      </w:pPr>
      <w:r>
        <w:rPr>
          <w:rFonts w:ascii="Arial" w:cs="Arial" w:eastAsia="Arial" w:hAnsi="Arial"/>
          <w:sz w:val="16"/>
          <w:szCs w:val="16"/>
          <w:color w:val="auto"/>
        </w:rPr>
        <w:t>The following table reconciles the Consolidated Statements of Comprehensive Income to arrive at Adjusted Net Trading Income, EBITDA, Adjusted EBITDA, and Operating Margins for the years ended December 31, 2021, 2020 and 2019.</w:t>
      </w:r>
    </w:p>
    <w:p>
      <w:pPr>
        <w:spacing w:after="0" w:line="209" w:lineRule="exact"/>
        <w:rPr>
          <w:sz w:val="20"/>
          <w:szCs w:val="20"/>
          <w:color w:val="auto"/>
        </w:rPr>
      </w:pPr>
    </w:p>
    <w:tbl>
      <w:tblPr>
        <w:tblLayout w:type="fixed"/>
        <w:tblInd w:w="625" w:type="dxa"/>
        <w:tblCellMar>
          <w:top w:w="0" w:type="dxa"/>
          <w:left w:w="0" w:type="dxa"/>
          <w:bottom w:w="0" w:type="dxa"/>
          <w:right w:w="0" w:type="dxa"/>
        </w:tblCellMar>
      </w:tblPr>
      <w:tr>
        <w:trPr>
          <w:trHeight w:val="166"/>
        </w:trPr>
        <w:tc>
          <w:tcPr>
            <w:tcW w:w="5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ind w:left="40"/>
              <w:spacing w:after="0"/>
              <w:rPr>
                <w:sz w:val="20"/>
                <w:szCs w:val="20"/>
                <w:color w:val="auto"/>
              </w:rPr>
            </w:pPr>
            <w:r>
              <w:rPr>
                <w:rFonts w:ascii="Arial" w:cs="Arial" w:eastAsia="Arial" w:hAnsi="Arial"/>
                <w:sz w:val="13"/>
                <w:szCs w:val="13"/>
                <w:b w:val="1"/>
                <w:bCs w:val="1"/>
                <w:color w:val="auto"/>
                <w:w w:val="88"/>
              </w:rPr>
              <w:t>Years Ended December 31,</w:t>
            </w: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r>
      <w:tr>
        <w:trPr>
          <w:trHeight w:val="165"/>
        </w:trPr>
        <w:tc>
          <w:tcPr>
            <w:tcW w:w="5880" w:type="dxa"/>
            <w:vAlign w:val="bottom"/>
            <w:gridSpan w:val="2"/>
          </w:tcPr>
          <w:p>
            <w:pPr>
              <w:ind w:left="20"/>
              <w:spacing w:after="0"/>
              <w:rPr>
                <w:sz w:val="20"/>
                <w:szCs w:val="20"/>
                <w:color w:val="auto"/>
              </w:rPr>
            </w:pPr>
            <w:r>
              <w:rPr>
                <w:rFonts w:ascii="Arial" w:cs="Arial" w:eastAsia="Arial" w:hAnsi="Arial"/>
                <w:sz w:val="13"/>
                <w:szCs w:val="13"/>
                <w:b w:val="1"/>
                <w:bCs w:val="1"/>
                <w:color w:val="auto"/>
              </w:rPr>
              <w:t>(in thousands)</w:t>
            </w:r>
          </w:p>
        </w:tc>
        <w:tc>
          <w:tcPr>
            <w:tcW w:w="300" w:type="dxa"/>
            <w:vAlign w:val="bottom"/>
          </w:tcPr>
          <w:p>
            <w:pPr>
              <w:spacing w:after="0"/>
              <w:rPr>
                <w:sz w:val="14"/>
                <w:szCs w:val="14"/>
                <w:color w:val="auto"/>
              </w:rPr>
            </w:pPr>
          </w:p>
        </w:tc>
        <w:tc>
          <w:tcPr>
            <w:tcW w:w="1000" w:type="dxa"/>
            <w:vAlign w:val="bottom"/>
          </w:tcPr>
          <w:p>
            <w:pPr>
              <w:jc w:val="right"/>
              <w:ind w:right="457"/>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457"/>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457"/>
              <w:spacing w:after="0"/>
              <w:rPr>
                <w:sz w:val="20"/>
                <w:szCs w:val="20"/>
                <w:color w:val="auto"/>
              </w:rPr>
            </w:pPr>
            <w:r>
              <w:rPr>
                <w:rFonts w:ascii="Arial" w:cs="Arial" w:eastAsia="Arial" w:hAnsi="Arial"/>
                <w:sz w:val="13"/>
                <w:szCs w:val="13"/>
                <w:b w:val="1"/>
                <w:bCs w:val="1"/>
                <w:color w:val="auto"/>
              </w:rPr>
              <w:t>2019</w:t>
            </w:r>
          </w:p>
        </w:tc>
      </w:tr>
      <w:tr>
        <w:trPr>
          <w:trHeight w:val="158"/>
        </w:trPr>
        <w:tc>
          <w:tcPr>
            <w:tcW w:w="5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Reconciliation of Trading income, net to Adjusted Net Trading Income</w:t>
            </w:r>
          </w:p>
        </w:tc>
        <w:tc>
          <w:tcPr>
            <w:tcW w:w="14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r>
      <w:tr>
        <w:trPr>
          <w:trHeight w:val="163"/>
        </w:trPr>
        <w:tc>
          <w:tcPr>
            <w:tcW w:w="5880" w:type="dxa"/>
            <w:vAlign w:val="bottom"/>
            <w:gridSpan w:val="2"/>
          </w:tcPr>
          <w:p>
            <w:pPr>
              <w:ind w:left="120"/>
              <w:spacing w:after="0"/>
              <w:rPr>
                <w:sz w:val="20"/>
                <w:szCs w:val="20"/>
                <w:color w:val="auto"/>
              </w:rPr>
            </w:pPr>
            <w:r>
              <w:rPr>
                <w:rFonts w:ascii="Arial" w:cs="Arial" w:eastAsia="Arial" w:hAnsi="Arial"/>
                <w:sz w:val="13"/>
                <w:szCs w:val="13"/>
                <w:color w:val="auto"/>
              </w:rPr>
              <w:t>Trading income, net</w:t>
            </w: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ind w:right="97"/>
              <w:spacing w:after="0"/>
              <w:rPr>
                <w:sz w:val="20"/>
                <w:szCs w:val="20"/>
                <w:color w:val="auto"/>
              </w:rPr>
            </w:pPr>
            <w:r>
              <w:rPr>
                <w:rFonts w:ascii="Arial" w:cs="Arial" w:eastAsia="Arial" w:hAnsi="Arial"/>
                <w:sz w:val="13"/>
                <w:szCs w:val="13"/>
                <w:color w:val="auto"/>
              </w:rPr>
              <w:t>2,105,194</w:t>
            </w:r>
          </w:p>
        </w:tc>
        <w:tc>
          <w:tcPr>
            <w:tcW w:w="42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97"/>
              <w:spacing w:after="0"/>
              <w:rPr>
                <w:sz w:val="20"/>
                <w:szCs w:val="20"/>
                <w:color w:val="auto"/>
              </w:rPr>
            </w:pPr>
            <w:r>
              <w:rPr>
                <w:rFonts w:ascii="Arial" w:cs="Arial" w:eastAsia="Arial" w:hAnsi="Arial"/>
                <w:sz w:val="13"/>
                <w:szCs w:val="13"/>
                <w:color w:val="auto"/>
              </w:rPr>
              <w:t>2,493,248</w:t>
            </w:r>
          </w:p>
        </w:tc>
        <w:tc>
          <w:tcPr>
            <w:tcW w:w="120" w:type="dxa"/>
            <w:vAlign w:val="bottom"/>
          </w:tcPr>
          <w:p>
            <w:pPr>
              <w:spacing w:after="0"/>
              <w:rPr>
                <w:sz w:val="14"/>
                <w:szCs w:val="14"/>
                <w:color w:val="auto"/>
              </w:rPr>
            </w:pP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ind w:right="97"/>
              <w:spacing w:after="0"/>
              <w:rPr>
                <w:sz w:val="20"/>
                <w:szCs w:val="20"/>
                <w:color w:val="auto"/>
              </w:rPr>
            </w:pPr>
            <w:r>
              <w:rPr>
                <w:rFonts w:ascii="Arial" w:cs="Arial" w:eastAsia="Arial" w:hAnsi="Arial"/>
                <w:sz w:val="13"/>
                <w:szCs w:val="13"/>
                <w:color w:val="auto"/>
              </w:rPr>
              <w:t>912,316</w:t>
            </w:r>
          </w:p>
        </w:tc>
      </w:tr>
      <w:tr>
        <w:trPr>
          <w:trHeight w:val="168"/>
        </w:trPr>
        <w:tc>
          <w:tcPr>
            <w:tcW w:w="58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Interest and dividends income</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75,384</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62,119</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108,778</w:t>
            </w:r>
          </w:p>
        </w:tc>
      </w:tr>
      <w:tr>
        <w:trPr>
          <w:trHeight w:val="163"/>
        </w:trPr>
        <w:tc>
          <w:tcPr>
            <w:tcW w:w="5880" w:type="dxa"/>
            <w:vAlign w:val="bottom"/>
            <w:gridSpan w:val="2"/>
          </w:tcPr>
          <w:p>
            <w:pPr>
              <w:ind w:left="120"/>
              <w:spacing w:after="0"/>
              <w:rPr>
                <w:sz w:val="20"/>
                <w:szCs w:val="20"/>
                <w:color w:val="auto"/>
              </w:rPr>
            </w:pPr>
            <w:r>
              <w:rPr>
                <w:rFonts w:ascii="Arial" w:cs="Arial" w:eastAsia="Arial" w:hAnsi="Arial"/>
                <w:sz w:val="13"/>
                <w:szCs w:val="13"/>
                <w:color w:val="auto"/>
              </w:rPr>
              <w:t>Commissions, net and technology services</w:t>
            </w:r>
          </w:p>
        </w:tc>
        <w:tc>
          <w:tcPr>
            <w:tcW w:w="300" w:type="dxa"/>
            <w:vAlign w:val="bottom"/>
          </w:tcPr>
          <w:p>
            <w:pPr>
              <w:spacing w:after="0"/>
              <w:rPr>
                <w:sz w:val="14"/>
                <w:szCs w:val="14"/>
                <w:color w:val="auto"/>
              </w:rPr>
            </w:pPr>
          </w:p>
        </w:tc>
        <w:tc>
          <w:tcPr>
            <w:tcW w:w="1000" w:type="dxa"/>
            <w:vAlign w:val="bottom"/>
          </w:tcPr>
          <w:p>
            <w:pPr>
              <w:jc w:val="right"/>
              <w:ind w:right="97"/>
              <w:spacing w:after="0"/>
              <w:rPr>
                <w:sz w:val="20"/>
                <w:szCs w:val="20"/>
                <w:color w:val="auto"/>
              </w:rPr>
            </w:pPr>
            <w:r>
              <w:rPr>
                <w:rFonts w:ascii="Arial" w:cs="Arial" w:eastAsia="Arial" w:hAnsi="Arial"/>
                <w:sz w:val="13"/>
                <w:szCs w:val="13"/>
                <w:color w:val="auto"/>
              </w:rPr>
              <w:t>614,489</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97"/>
              <w:spacing w:after="0"/>
              <w:rPr>
                <w:sz w:val="20"/>
                <w:szCs w:val="20"/>
                <w:color w:val="auto"/>
              </w:rPr>
            </w:pPr>
            <w:r>
              <w:rPr>
                <w:rFonts w:ascii="Arial" w:cs="Arial" w:eastAsia="Arial" w:hAnsi="Arial"/>
                <w:sz w:val="13"/>
                <w:szCs w:val="13"/>
                <w:color w:val="auto"/>
              </w:rPr>
              <w:t>600,510</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97"/>
              <w:spacing w:after="0"/>
              <w:rPr>
                <w:sz w:val="20"/>
                <w:szCs w:val="20"/>
                <w:color w:val="auto"/>
              </w:rPr>
            </w:pPr>
            <w:r>
              <w:rPr>
                <w:rFonts w:ascii="Arial" w:cs="Arial" w:eastAsia="Arial" w:hAnsi="Arial"/>
                <w:sz w:val="13"/>
                <w:szCs w:val="13"/>
                <w:color w:val="auto"/>
              </w:rPr>
              <w:t>498,544</w:t>
            </w:r>
          </w:p>
        </w:tc>
      </w:tr>
      <w:tr>
        <w:trPr>
          <w:trHeight w:val="168"/>
        </w:trPr>
        <w:tc>
          <w:tcPr>
            <w:tcW w:w="58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Brokerage, exchange, clearance fees and payments for order flow, net</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(745,434)</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(758,843)</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(386,888)</w:t>
            </w:r>
          </w:p>
        </w:tc>
      </w:tr>
      <w:tr>
        <w:trPr>
          <w:trHeight w:val="163"/>
        </w:trPr>
        <w:tc>
          <w:tcPr>
            <w:tcW w:w="5880" w:type="dxa"/>
            <w:vAlign w:val="bottom"/>
            <w:tcBorders>
              <w:bottom w:val="single" w:sz="8" w:color="CCEEFF"/>
            </w:tcBorders>
            <w:gridSpan w:val="2"/>
          </w:tcPr>
          <w:p>
            <w:pPr>
              <w:ind w:left="120"/>
              <w:spacing w:after="0"/>
              <w:rPr>
                <w:sz w:val="20"/>
                <w:szCs w:val="20"/>
                <w:color w:val="auto"/>
              </w:rPr>
            </w:pPr>
            <w:r>
              <w:rPr>
                <w:rFonts w:ascii="Arial" w:cs="Arial" w:eastAsia="Arial" w:hAnsi="Arial"/>
                <w:sz w:val="13"/>
                <w:szCs w:val="13"/>
                <w:color w:val="auto"/>
              </w:rPr>
              <w:t>Interest and dividends expense</w:t>
            </w: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(139,704)</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(125,649)</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(158,039)</w:t>
            </w:r>
          </w:p>
        </w:tc>
      </w:tr>
      <w:tr>
        <w:trPr>
          <w:trHeight w:val="185"/>
        </w:trPr>
        <w:tc>
          <w:tcPr>
            <w:tcW w:w="5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Adjusted Net Trading Income</w:t>
            </w: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1,909,929</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2,271,385</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974,711</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133"/>
        </w:trPr>
        <w:tc>
          <w:tcPr>
            <w:tcW w:w="5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66"/>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Reconciliation of Net Income to EBITDA and Adjusted EBITDA</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63"/>
        </w:trPr>
        <w:tc>
          <w:tcPr>
            <w:tcW w:w="5880" w:type="dxa"/>
            <w:vAlign w:val="bottom"/>
            <w:gridSpan w:val="2"/>
          </w:tcPr>
          <w:p>
            <w:pPr>
              <w:ind w:left="120"/>
              <w:spacing w:after="0"/>
              <w:rPr>
                <w:sz w:val="20"/>
                <w:szCs w:val="20"/>
                <w:color w:val="auto"/>
              </w:rPr>
            </w:pPr>
            <w:r>
              <w:rPr>
                <w:rFonts w:ascii="Arial" w:cs="Arial" w:eastAsia="Arial" w:hAnsi="Arial"/>
                <w:sz w:val="13"/>
                <w:szCs w:val="13"/>
                <w:color w:val="auto"/>
              </w:rPr>
              <w:t>Net income (loss)</w:t>
            </w: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ind w:right="97"/>
              <w:spacing w:after="0"/>
              <w:rPr>
                <w:sz w:val="20"/>
                <w:szCs w:val="20"/>
                <w:color w:val="auto"/>
              </w:rPr>
            </w:pPr>
            <w:r>
              <w:rPr>
                <w:rFonts w:ascii="Arial" w:cs="Arial" w:eastAsia="Arial" w:hAnsi="Arial"/>
                <w:sz w:val="13"/>
                <w:szCs w:val="13"/>
                <w:color w:val="auto"/>
              </w:rPr>
              <w:t>827,234</w:t>
            </w:r>
          </w:p>
        </w:tc>
        <w:tc>
          <w:tcPr>
            <w:tcW w:w="42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97"/>
              <w:spacing w:after="0"/>
              <w:rPr>
                <w:sz w:val="20"/>
                <w:szCs w:val="20"/>
                <w:color w:val="auto"/>
              </w:rPr>
            </w:pPr>
            <w:r>
              <w:rPr>
                <w:rFonts w:ascii="Arial" w:cs="Arial" w:eastAsia="Arial" w:hAnsi="Arial"/>
                <w:sz w:val="13"/>
                <w:szCs w:val="13"/>
                <w:color w:val="auto"/>
              </w:rPr>
              <w:t>1,120,913</w:t>
            </w:r>
          </w:p>
        </w:tc>
        <w:tc>
          <w:tcPr>
            <w:tcW w:w="120" w:type="dxa"/>
            <w:vAlign w:val="bottom"/>
          </w:tcPr>
          <w:p>
            <w:pPr>
              <w:spacing w:after="0"/>
              <w:rPr>
                <w:sz w:val="14"/>
                <w:szCs w:val="14"/>
                <w:color w:val="auto"/>
              </w:rPr>
            </w:pP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(103,705)</w:t>
            </w:r>
          </w:p>
        </w:tc>
      </w:tr>
      <w:tr>
        <w:trPr>
          <w:trHeight w:val="168"/>
        </w:trPr>
        <w:tc>
          <w:tcPr>
            <w:tcW w:w="58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Financing interest expense on long-term borrowings</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79,969</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87,735</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121,859</w:t>
            </w:r>
          </w:p>
        </w:tc>
      </w:tr>
      <w:tr>
        <w:trPr>
          <w:trHeight w:val="163"/>
        </w:trPr>
        <w:tc>
          <w:tcPr>
            <w:tcW w:w="5880" w:type="dxa"/>
            <w:vAlign w:val="bottom"/>
            <w:gridSpan w:val="2"/>
          </w:tcPr>
          <w:p>
            <w:pPr>
              <w:ind w:left="120"/>
              <w:spacing w:after="0"/>
              <w:rPr>
                <w:sz w:val="20"/>
                <w:szCs w:val="20"/>
                <w:color w:val="auto"/>
              </w:rPr>
            </w:pPr>
            <w:r>
              <w:rPr>
                <w:rFonts w:ascii="Arial" w:cs="Arial" w:eastAsia="Arial" w:hAnsi="Arial"/>
                <w:sz w:val="13"/>
                <w:szCs w:val="13"/>
                <w:color w:val="auto"/>
              </w:rPr>
              <w:t>Debt issue cost related to debt refinancing, prepayment, and commitment fees</w:t>
            </w:r>
          </w:p>
        </w:tc>
        <w:tc>
          <w:tcPr>
            <w:tcW w:w="300" w:type="dxa"/>
            <w:vAlign w:val="bottom"/>
          </w:tcPr>
          <w:p>
            <w:pPr>
              <w:spacing w:after="0"/>
              <w:rPr>
                <w:sz w:val="14"/>
                <w:szCs w:val="14"/>
                <w:color w:val="auto"/>
              </w:rPr>
            </w:pPr>
          </w:p>
        </w:tc>
        <w:tc>
          <w:tcPr>
            <w:tcW w:w="1000" w:type="dxa"/>
            <w:vAlign w:val="bottom"/>
          </w:tcPr>
          <w:p>
            <w:pPr>
              <w:jc w:val="right"/>
              <w:ind w:right="97"/>
              <w:spacing w:after="0"/>
              <w:rPr>
                <w:sz w:val="20"/>
                <w:szCs w:val="20"/>
                <w:color w:val="auto"/>
              </w:rPr>
            </w:pPr>
            <w:r>
              <w:rPr>
                <w:rFonts w:ascii="Arial" w:cs="Arial" w:eastAsia="Arial" w:hAnsi="Arial"/>
                <w:sz w:val="13"/>
                <w:szCs w:val="13"/>
                <w:color w:val="auto"/>
              </w:rPr>
              <w:t>6,590</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97"/>
              <w:spacing w:after="0"/>
              <w:rPr>
                <w:sz w:val="20"/>
                <w:szCs w:val="20"/>
                <w:color w:val="auto"/>
              </w:rPr>
            </w:pPr>
            <w:r>
              <w:rPr>
                <w:rFonts w:ascii="Arial" w:cs="Arial" w:eastAsia="Arial" w:hAnsi="Arial"/>
                <w:sz w:val="13"/>
                <w:szCs w:val="13"/>
                <w:color w:val="auto"/>
              </w:rPr>
              <w:t>28,879</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97"/>
              <w:spacing w:after="0"/>
              <w:rPr>
                <w:sz w:val="20"/>
                <w:szCs w:val="20"/>
                <w:color w:val="auto"/>
              </w:rPr>
            </w:pPr>
            <w:r>
              <w:rPr>
                <w:rFonts w:ascii="Arial" w:cs="Arial" w:eastAsia="Arial" w:hAnsi="Arial"/>
                <w:sz w:val="13"/>
                <w:szCs w:val="13"/>
                <w:color w:val="auto"/>
              </w:rPr>
              <w:t>41,132</w:t>
            </w:r>
          </w:p>
        </w:tc>
      </w:tr>
      <w:tr>
        <w:trPr>
          <w:trHeight w:val="168"/>
        </w:trPr>
        <w:tc>
          <w:tcPr>
            <w:tcW w:w="58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Depreciation and amortization</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67,816</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66,741</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65,644</w:t>
            </w:r>
          </w:p>
        </w:tc>
      </w:tr>
      <w:tr>
        <w:trPr>
          <w:trHeight w:val="163"/>
        </w:trPr>
        <w:tc>
          <w:tcPr>
            <w:tcW w:w="5880" w:type="dxa"/>
            <w:vAlign w:val="bottom"/>
            <w:gridSpan w:val="2"/>
          </w:tcPr>
          <w:p>
            <w:pPr>
              <w:ind w:left="120"/>
              <w:spacing w:after="0"/>
              <w:rPr>
                <w:sz w:val="20"/>
                <w:szCs w:val="20"/>
                <w:color w:val="auto"/>
              </w:rPr>
            </w:pPr>
            <w:r>
              <w:rPr>
                <w:rFonts w:ascii="Arial" w:cs="Arial" w:eastAsia="Arial" w:hAnsi="Arial"/>
                <w:sz w:val="13"/>
                <w:szCs w:val="13"/>
                <w:color w:val="auto"/>
              </w:rPr>
              <w:t>Amortization of purchased intangibles and acquired capitalized software</w:t>
            </w:r>
          </w:p>
        </w:tc>
        <w:tc>
          <w:tcPr>
            <w:tcW w:w="300" w:type="dxa"/>
            <w:vAlign w:val="bottom"/>
          </w:tcPr>
          <w:p>
            <w:pPr>
              <w:spacing w:after="0"/>
              <w:rPr>
                <w:sz w:val="14"/>
                <w:szCs w:val="14"/>
                <w:color w:val="auto"/>
              </w:rPr>
            </w:pPr>
          </w:p>
        </w:tc>
        <w:tc>
          <w:tcPr>
            <w:tcW w:w="1000" w:type="dxa"/>
            <w:vAlign w:val="bottom"/>
          </w:tcPr>
          <w:p>
            <w:pPr>
              <w:jc w:val="right"/>
              <w:ind w:right="97"/>
              <w:spacing w:after="0"/>
              <w:rPr>
                <w:sz w:val="20"/>
                <w:szCs w:val="20"/>
                <w:color w:val="auto"/>
              </w:rPr>
            </w:pPr>
            <w:r>
              <w:rPr>
                <w:rFonts w:ascii="Arial" w:cs="Arial" w:eastAsia="Arial" w:hAnsi="Arial"/>
                <w:sz w:val="13"/>
                <w:szCs w:val="13"/>
                <w:color w:val="auto"/>
              </w:rPr>
              <w:t>69,668</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97"/>
              <w:spacing w:after="0"/>
              <w:rPr>
                <w:sz w:val="20"/>
                <w:szCs w:val="20"/>
                <w:color w:val="auto"/>
              </w:rPr>
            </w:pPr>
            <w:r>
              <w:rPr>
                <w:rFonts w:ascii="Arial" w:cs="Arial" w:eastAsia="Arial" w:hAnsi="Arial"/>
                <w:sz w:val="13"/>
                <w:szCs w:val="13"/>
                <w:color w:val="auto"/>
              </w:rPr>
              <w:t>74,254</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97"/>
              <w:spacing w:after="0"/>
              <w:rPr>
                <w:sz w:val="20"/>
                <w:szCs w:val="20"/>
                <w:color w:val="auto"/>
              </w:rPr>
            </w:pPr>
            <w:r>
              <w:rPr>
                <w:rFonts w:ascii="Arial" w:cs="Arial" w:eastAsia="Arial" w:hAnsi="Arial"/>
                <w:sz w:val="13"/>
                <w:szCs w:val="13"/>
                <w:color w:val="auto"/>
              </w:rPr>
              <w:t>70,595</w:t>
            </w:r>
          </w:p>
        </w:tc>
      </w:tr>
      <w:tr>
        <w:trPr>
          <w:trHeight w:val="168"/>
        </w:trPr>
        <w:tc>
          <w:tcPr>
            <w:tcW w:w="58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Provision for (benefit from) income taxes</w:t>
            </w:r>
          </w:p>
        </w:tc>
        <w:tc>
          <w:tcPr>
            <w:tcW w:w="3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169,670</w:t>
            </w:r>
          </w:p>
        </w:tc>
        <w:tc>
          <w:tcPr>
            <w:tcW w:w="12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261,924</w:t>
            </w:r>
          </w:p>
        </w:tc>
        <w:tc>
          <w:tcPr>
            <w:tcW w:w="12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(12,277)</w:t>
            </w:r>
          </w:p>
        </w:tc>
      </w:tr>
      <w:tr>
        <w:trPr>
          <w:trHeight w:val="155"/>
        </w:trPr>
        <w:tc>
          <w:tcPr>
            <w:tcW w:w="5880" w:type="dxa"/>
            <w:vAlign w:val="bottom"/>
            <w:gridSpan w:val="2"/>
          </w:tcPr>
          <w:p>
            <w:pPr>
              <w:ind w:left="20"/>
              <w:spacing w:after="0" w:line="148" w:lineRule="exact"/>
              <w:rPr>
                <w:sz w:val="20"/>
                <w:szCs w:val="20"/>
                <w:color w:val="auto"/>
              </w:rPr>
            </w:pPr>
            <w:r>
              <w:rPr>
                <w:rFonts w:ascii="Arial" w:cs="Arial" w:eastAsia="Arial" w:hAnsi="Arial"/>
                <w:sz w:val="13"/>
                <w:szCs w:val="13"/>
                <w:b w:val="1"/>
                <w:bCs w:val="1"/>
                <w:color w:val="auto"/>
              </w:rPr>
              <w:t>EBITDA</w:t>
            </w: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ind w:right="97"/>
              <w:spacing w:after="0"/>
              <w:rPr>
                <w:sz w:val="20"/>
                <w:szCs w:val="20"/>
                <w:color w:val="auto"/>
              </w:rPr>
            </w:pPr>
            <w:r>
              <w:rPr>
                <w:rFonts w:ascii="Arial" w:cs="Arial" w:eastAsia="Arial" w:hAnsi="Arial"/>
                <w:sz w:val="13"/>
                <w:szCs w:val="13"/>
                <w:color w:val="auto"/>
              </w:rPr>
              <w:t>1,220,947</w:t>
            </w:r>
          </w:p>
        </w:tc>
        <w:tc>
          <w:tcPr>
            <w:tcW w:w="120" w:type="dxa"/>
            <w:vAlign w:val="bottom"/>
          </w:tcPr>
          <w:p>
            <w:pPr>
              <w:spacing w:after="0"/>
              <w:rPr>
                <w:sz w:val="13"/>
                <w:szCs w:val="13"/>
                <w:color w:val="auto"/>
              </w:rPr>
            </w:pP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ind w:right="97"/>
              <w:spacing w:after="0"/>
              <w:rPr>
                <w:sz w:val="20"/>
                <w:szCs w:val="20"/>
                <w:color w:val="auto"/>
              </w:rPr>
            </w:pPr>
            <w:r>
              <w:rPr>
                <w:rFonts w:ascii="Arial" w:cs="Arial" w:eastAsia="Arial" w:hAnsi="Arial"/>
                <w:sz w:val="13"/>
                <w:szCs w:val="13"/>
                <w:color w:val="auto"/>
              </w:rPr>
              <w:t>1,640,446</w:t>
            </w:r>
          </w:p>
        </w:tc>
        <w:tc>
          <w:tcPr>
            <w:tcW w:w="120" w:type="dxa"/>
            <w:vAlign w:val="bottom"/>
          </w:tcPr>
          <w:p>
            <w:pPr>
              <w:spacing w:after="0"/>
              <w:rPr>
                <w:sz w:val="13"/>
                <w:szCs w:val="13"/>
                <w:color w:val="auto"/>
              </w:rPr>
            </w:pP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ind w:right="97"/>
              <w:spacing w:after="0"/>
              <w:rPr>
                <w:sz w:val="20"/>
                <w:szCs w:val="20"/>
                <w:color w:val="auto"/>
              </w:rPr>
            </w:pPr>
            <w:r>
              <w:rPr>
                <w:rFonts w:ascii="Arial" w:cs="Arial" w:eastAsia="Arial" w:hAnsi="Arial"/>
                <w:sz w:val="13"/>
                <w:szCs w:val="13"/>
                <w:color w:val="auto"/>
              </w:rPr>
              <w:t>183,248</w:t>
            </w:r>
          </w:p>
        </w:tc>
      </w:tr>
      <w:tr>
        <w:trPr>
          <w:trHeight w:val="168"/>
        </w:trPr>
        <w:tc>
          <w:tcPr>
            <w:tcW w:w="58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Severance</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6,112</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10,286</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102,768</w:t>
            </w:r>
          </w:p>
        </w:tc>
      </w:tr>
      <w:tr>
        <w:trPr>
          <w:trHeight w:val="163"/>
        </w:trPr>
        <w:tc>
          <w:tcPr>
            <w:tcW w:w="5880" w:type="dxa"/>
            <w:vAlign w:val="bottom"/>
            <w:gridSpan w:val="2"/>
          </w:tcPr>
          <w:p>
            <w:pPr>
              <w:ind w:left="120"/>
              <w:spacing w:after="0"/>
              <w:rPr>
                <w:sz w:val="20"/>
                <w:szCs w:val="20"/>
                <w:color w:val="auto"/>
              </w:rPr>
            </w:pPr>
            <w:r>
              <w:rPr>
                <w:rFonts w:ascii="Arial" w:cs="Arial" w:eastAsia="Arial" w:hAnsi="Arial"/>
                <w:sz w:val="13"/>
                <w:szCs w:val="13"/>
                <w:color w:val="auto"/>
              </w:rPr>
              <w:t>Transaction advisory fees and expenses</w:t>
            </w:r>
          </w:p>
        </w:tc>
        <w:tc>
          <w:tcPr>
            <w:tcW w:w="300" w:type="dxa"/>
            <w:vAlign w:val="bottom"/>
          </w:tcPr>
          <w:p>
            <w:pPr>
              <w:spacing w:after="0"/>
              <w:rPr>
                <w:sz w:val="14"/>
                <w:szCs w:val="14"/>
                <w:color w:val="auto"/>
              </w:rPr>
            </w:pPr>
          </w:p>
        </w:tc>
        <w:tc>
          <w:tcPr>
            <w:tcW w:w="1000" w:type="dxa"/>
            <w:vAlign w:val="bottom"/>
          </w:tcPr>
          <w:p>
            <w:pPr>
              <w:jc w:val="right"/>
              <w:ind w:right="97"/>
              <w:spacing w:after="0"/>
              <w:rPr>
                <w:sz w:val="20"/>
                <w:szCs w:val="20"/>
                <w:color w:val="auto"/>
              </w:rPr>
            </w:pPr>
            <w:r>
              <w:rPr>
                <w:rFonts w:ascii="Arial" w:cs="Arial" w:eastAsia="Arial" w:hAnsi="Arial"/>
                <w:sz w:val="13"/>
                <w:szCs w:val="13"/>
                <w:color w:val="auto"/>
              </w:rPr>
              <w:t>843</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97"/>
              <w:spacing w:after="0"/>
              <w:rPr>
                <w:sz w:val="20"/>
                <w:szCs w:val="20"/>
                <w:color w:val="auto"/>
              </w:rPr>
            </w:pPr>
            <w:r>
              <w:rPr>
                <w:rFonts w:ascii="Arial" w:cs="Arial" w:eastAsia="Arial" w:hAnsi="Arial"/>
                <w:sz w:val="13"/>
                <w:szCs w:val="13"/>
                <w:color w:val="auto"/>
              </w:rPr>
              <w:t>2,941</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97"/>
              <w:spacing w:after="0"/>
              <w:rPr>
                <w:sz w:val="20"/>
                <w:szCs w:val="20"/>
                <w:color w:val="auto"/>
              </w:rPr>
            </w:pPr>
            <w:r>
              <w:rPr>
                <w:rFonts w:ascii="Arial" w:cs="Arial" w:eastAsia="Arial" w:hAnsi="Arial"/>
                <w:sz w:val="13"/>
                <w:szCs w:val="13"/>
                <w:color w:val="auto"/>
              </w:rPr>
              <w:t>26,117</w:t>
            </w:r>
          </w:p>
        </w:tc>
      </w:tr>
      <w:tr>
        <w:trPr>
          <w:trHeight w:val="168"/>
        </w:trPr>
        <w:tc>
          <w:tcPr>
            <w:tcW w:w="58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Termination of office leases</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28,138</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9,608</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66,452</w:t>
            </w:r>
          </w:p>
        </w:tc>
      </w:tr>
      <w:tr>
        <w:trPr>
          <w:trHeight w:val="163"/>
        </w:trPr>
        <w:tc>
          <w:tcPr>
            <w:tcW w:w="5880" w:type="dxa"/>
            <w:vAlign w:val="bottom"/>
            <w:gridSpan w:val="2"/>
          </w:tcPr>
          <w:p>
            <w:pPr>
              <w:ind w:left="120"/>
              <w:spacing w:after="0"/>
              <w:rPr>
                <w:sz w:val="20"/>
                <w:szCs w:val="20"/>
                <w:color w:val="auto"/>
              </w:rPr>
            </w:pPr>
            <w:r>
              <w:rPr>
                <w:rFonts w:ascii="Arial" w:cs="Arial" w:eastAsia="Arial" w:hAnsi="Arial"/>
                <w:sz w:val="13"/>
                <w:szCs w:val="13"/>
                <w:color w:val="auto"/>
              </w:rPr>
              <w:t>Gain on sale of MATCHNow</w:t>
            </w:r>
          </w:p>
        </w:tc>
        <w:tc>
          <w:tcPr>
            <w:tcW w:w="300" w:type="dxa"/>
            <w:vAlign w:val="bottom"/>
          </w:tcPr>
          <w:p>
            <w:pPr>
              <w:spacing w:after="0"/>
              <w:rPr>
                <w:sz w:val="14"/>
                <w:szCs w:val="14"/>
                <w:color w:val="auto"/>
              </w:rPr>
            </w:pPr>
          </w:p>
        </w:tc>
        <w:tc>
          <w:tcPr>
            <w:tcW w:w="100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(58,652)</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97"/>
              <w:spacing w:after="0"/>
              <w:rPr>
                <w:sz w:val="20"/>
                <w:szCs w:val="20"/>
                <w:color w:val="auto"/>
              </w:rPr>
            </w:pPr>
            <w:r>
              <w:rPr>
                <w:rFonts w:ascii="Arial" w:cs="Arial" w:eastAsia="Arial" w:hAnsi="Arial"/>
                <w:sz w:val="13"/>
                <w:szCs w:val="13"/>
                <w:color w:val="auto"/>
              </w:rPr>
              <w:t>—</w:t>
            </w:r>
          </w:p>
        </w:tc>
      </w:tr>
      <w:tr>
        <w:trPr>
          <w:trHeight w:val="168"/>
        </w:trPr>
        <w:tc>
          <w:tcPr>
            <w:tcW w:w="58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Other</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(10,558)</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(16,418)</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2,651</w:t>
            </w:r>
          </w:p>
        </w:tc>
      </w:tr>
      <w:tr>
        <w:trPr>
          <w:trHeight w:val="163"/>
        </w:trPr>
        <w:tc>
          <w:tcPr>
            <w:tcW w:w="5880" w:type="dxa"/>
            <w:vAlign w:val="bottom"/>
            <w:tcBorders>
              <w:bottom w:val="single" w:sz="8" w:color="CCEEFF"/>
            </w:tcBorders>
            <w:gridSpan w:val="2"/>
          </w:tcPr>
          <w:p>
            <w:pPr>
              <w:ind w:left="120"/>
              <w:spacing w:after="0"/>
              <w:rPr>
                <w:sz w:val="20"/>
                <w:szCs w:val="20"/>
                <w:color w:val="auto"/>
              </w:rPr>
            </w:pPr>
            <w:r>
              <w:rPr>
                <w:rFonts w:ascii="Arial" w:cs="Arial" w:eastAsia="Arial" w:hAnsi="Arial"/>
                <w:sz w:val="13"/>
                <w:szCs w:val="13"/>
                <w:color w:val="auto"/>
              </w:rPr>
              <w:t>Share based compensation</w:t>
            </w: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55,751</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59,838</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50,627</w:t>
            </w:r>
          </w:p>
        </w:tc>
      </w:tr>
      <w:tr>
        <w:trPr>
          <w:trHeight w:val="185"/>
        </w:trPr>
        <w:tc>
          <w:tcPr>
            <w:tcW w:w="5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Adjusted EBITDA</w:t>
            </w: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1,301,233</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1,648,049</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431,863</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tbl>
      <w:tblPr>
        <w:tblLayout w:type="fixed"/>
        <w:tblInd w:w="625" w:type="dxa"/>
        <w:tblCellMar>
          <w:top w:w="0" w:type="dxa"/>
          <w:left w:w="0" w:type="dxa"/>
          <w:bottom w:w="0" w:type="dxa"/>
          <w:right w:w="0" w:type="dxa"/>
        </w:tblCellMar>
      </w:tblPr>
      <w:tr>
        <w:trPr>
          <w:trHeight w:val="166"/>
        </w:trPr>
        <w:tc>
          <w:tcPr>
            <w:tcW w:w="42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Selected Operating Margins</w:t>
            </w:r>
          </w:p>
        </w:tc>
        <w:tc>
          <w:tcPr>
            <w:tcW w:w="34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3"/>
        </w:trPr>
        <w:tc>
          <w:tcPr>
            <w:tcW w:w="4220" w:type="dxa"/>
            <w:vAlign w:val="bottom"/>
          </w:tcPr>
          <w:p>
            <w:pPr>
              <w:ind w:left="120"/>
              <w:spacing w:after="0"/>
              <w:rPr>
                <w:sz w:val="20"/>
                <w:szCs w:val="20"/>
                <w:color w:val="auto"/>
              </w:rPr>
            </w:pPr>
            <w:r>
              <w:rPr>
                <w:rFonts w:ascii="Arial" w:cs="Arial" w:eastAsia="Arial" w:hAnsi="Arial"/>
                <w:sz w:val="13"/>
                <w:szCs w:val="13"/>
                <w:color w:val="auto"/>
              </w:rPr>
              <w:t>Net Income Margin (1)</w:t>
            </w:r>
          </w:p>
        </w:tc>
        <w:tc>
          <w:tcPr>
            <w:tcW w:w="3480" w:type="dxa"/>
            <w:vAlign w:val="bottom"/>
          </w:tcPr>
          <w:p>
            <w:pPr>
              <w:jc w:val="right"/>
              <w:ind w:right="457"/>
              <w:spacing w:after="0"/>
              <w:rPr>
                <w:sz w:val="20"/>
                <w:szCs w:val="20"/>
                <w:color w:val="auto"/>
              </w:rPr>
            </w:pPr>
            <w:r>
              <w:rPr>
                <w:rFonts w:ascii="Arial" w:cs="Arial" w:eastAsia="Arial" w:hAnsi="Arial"/>
                <w:sz w:val="13"/>
                <w:szCs w:val="13"/>
                <w:color w:val="auto"/>
              </w:rPr>
              <w:t>43.3 %</w:t>
            </w:r>
          </w:p>
        </w:tc>
        <w:tc>
          <w:tcPr>
            <w:tcW w:w="1380" w:type="dxa"/>
            <w:vAlign w:val="bottom"/>
          </w:tcPr>
          <w:p>
            <w:pPr>
              <w:jc w:val="right"/>
              <w:ind w:right="417"/>
              <w:spacing w:after="0"/>
              <w:rPr>
                <w:sz w:val="20"/>
                <w:szCs w:val="20"/>
                <w:color w:val="auto"/>
              </w:rPr>
            </w:pPr>
            <w:r>
              <w:rPr>
                <w:rFonts w:ascii="Arial" w:cs="Arial" w:eastAsia="Arial" w:hAnsi="Arial"/>
                <w:sz w:val="13"/>
                <w:szCs w:val="13"/>
                <w:color w:val="auto"/>
              </w:rPr>
              <w:t>49.3 %</w:t>
            </w:r>
          </w:p>
        </w:tc>
        <w:tc>
          <w:tcPr>
            <w:tcW w:w="920" w:type="dxa"/>
            <w:vAlign w:val="bottom"/>
          </w:tcPr>
          <w:p>
            <w:pPr>
              <w:jc w:val="right"/>
              <w:spacing w:after="0"/>
              <w:rPr>
                <w:sz w:val="20"/>
                <w:szCs w:val="20"/>
                <w:color w:val="auto"/>
              </w:rPr>
            </w:pPr>
            <w:r>
              <w:rPr>
                <w:rFonts w:ascii="Arial" w:cs="Arial" w:eastAsia="Arial" w:hAnsi="Arial"/>
                <w:sz w:val="13"/>
                <w:szCs w:val="13"/>
                <w:color w:val="auto"/>
              </w:rPr>
              <w:t>(10.6)%</w:t>
            </w:r>
          </w:p>
        </w:tc>
      </w:tr>
      <w:tr>
        <w:trPr>
          <w:trHeight w:val="168"/>
        </w:trPr>
        <w:tc>
          <w:tcPr>
            <w:tcW w:w="42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EBITDA Margin (2)</w:t>
            </w:r>
          </w:p>
        </w:tc>
        <w:tc>
          <w:tcPr>
            <w:tcW w:w="3480" w:type="dxa"/>
            <w:vAlign w:val="bottom"/>
            <w:shd w:val="clear" w:color="auto" w:fill="CCEEFF"/>
          </w:tcPr>
          <w:p>
            <w:pPr>
              <w:jc w:val="right"/>
              <w:ind w:right="457"/>
              <w:spacing w:after="0"/>
              <w:rPr>
                <w:sz w:val="20"/>
                <w:szCs w:val="20"/>
                <w:color w:val="auto"/>
              </w:rPr>
            </w:pPr>
            <w:r>
              <w:rPr>
                <w:rFonts w:ascii="Arial" w:cs="Arial" w:eastAsia="Arial" w:hAnsi="Arial"/>
                <w:sz w:val="13"/>
                <w:szCs w:val="13"/>
                <w:color w:val="auto"/>
              </w:rPr>
              <w:t>63.9 %</w:t>
            </w:r>
          </w:p>
        </w:tc>
        <w:tc>
          <w:tcPr>
            <w:tcW w:w="1380" w:type="dxa"/>
            <w:vAlign w:val="bottom"/>
            <w:shd w:val="clear" w:color="auto" w:fill="CCEEFF"/>
          </w:tcPr>
          <w:p>
            <w:pPr>
              <w:jc w:val="right"/>
              <w:ind w:right="417"/>
              <w:spacing w:after="0"/>
              <w:rPr>
                <w:sz w:val="20"/>
                <w:szCs w:val="20"/>
                <w:color w:val="auto"/>
              </w:rPr>
            </w:pPr>
            <w:r>
              <w:rPr>
                <w:rFonts w:ascii="Arial" w:cs="Arial" w:eastAsia="Arial" w:hAnsi="Arial"/>
                <w:sz w:val="13"/>
                <w:szCs w:val="13"/>
                <w:color w:val="auto"/>
              </w:rPr>
              <w:t>72.2 %</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18.8 %</w:t>
            </w:r>
          </w:p>
        </w:tc>
      </w:tr>
      <w:tr>
        <w:trPr>
          <w:trHeight w:val="160"/>
        </w:trPr>
        <w:tc>
          <w:tcPr>
            <w:tcW w:w="4220" w:type="dxa"/>
            <w:vAlign w:val="bottom"/>
          </w:tcPr>
          <w:p>
            <w:pPr>
              <w:ind w:left="120"/>
              <w:spacing w:after="0"/>
              <w:rPr>
                <w:sz w:val="20"/>
                <w:szCs w:val="20"/>
                <w:color w:val="auto"/>
              </w:rPr>
            </w:pPr>
            <w:r>
              <w:rPr>
                <w:rFonts w:ascii="Arial" w:cs="Arial" w:eastAsia="Arial" w:hAnsi="Arial"/>
                <w:sz w:val="13"/>
                <w:szCs w:val="13"/>
                <w:color w:val="auto"/>
              </w:rPr>
              <w:t>Adjusted EBITDA Margin (3)</w:t>
            </w:r>
          </w:p>
        </w:tc>
        <w:tc>
          <w:tcPr>
            <w:tcW w:w="3480" w:type="dxa"/>
            <w:vAlign w:val="bottom"/>
          </w:tcPr>
          <w:p>
            <w:pPr>
              <w:jc w:val="right"/>
              <w:ind w:right="457"/>
              <w:spacing w:after="0"/>
              <w:rPr>
                <w:sz w:val="20"/>
                <w:szCs w:val="20"/>
                <w:color w:val="auto"/>
              </w:rPr>
            </w:pPr>
            <w:r>
              <w:rPr>
                <w:rFonts w:ascii="Arial" w:cs="Arial" w:eastAsia="Arial" w:hAnsi="Arial"/>
                <w:sz w:val="13"/>
                <w:szCs w:val="13"/>
                <w:color w:val="auto"/>
              </w:rPr>
              <w:t>68.1 %</w:t>
            </w:r>
          </w:p>
        </w:tc>
        <w:tc>
          <w:tcPr>
            <w:tcW w:w="1380" w:type="dxa"/>
            <w:vAlign w:val="bottom"/>
          </w:tcPr>
          <w:p>
            <w:pPr>
              <w:jc w:val="right"/>
              <w:ind w:right="417"/>
              <w:spacing w:after="0"/>
              <w:rPr>
                <w:sz w:val="20"/>
                <w:szCs w:val="20"/>
                <w:color w:val="auto"/>
              </w:rPr>
            </w:pPr>
            <w:r>
              <w:rPr>
                <w:rFonts w:ascii="Arial" w:cs="Arial" w:eastAsia="Arial" w:hAnsi="Arial"/>
                <w:sz w:val="13"/>
                <w:szCs w:val="13"/>
                <w:color w:val="auto"/>
              </w:rPr>
              <w:t>72.6 %</w:t>
            </w:r>
          </w:p>
        </w:tc>
        <w:tc>
          <w:tcPr>
            <w:tcW w:w="920" w:type="dxa"/>
            <w:vAlign w:val="bottom"/>
          </w:tcPr>
          <w:p>
            <w:pPr>
              <w:jc w:val="right"/>
              <w:spacing w:after="0"/>
              <w:rPr>
                <w:sz w:val="20"/>
                <w:szCs w:val="20"/>
                <w:color w:val="auto"/>
              </w:rPr>
            </w:pPr>
            <w:r>
              <w:rPr>
                <w:rFonts w:ascii="Arial" w:cs="Arial" w:eastAsia="Arial" w:hAnsi="Arial"/>
                <w:sz w:val="13"/>
                <w:szCs w:val="13"/>
                <w:color w:val="auto"/>
              </w:rPr>
              <w:t>44.3 %</w:t>
            </w:r>
          </w:p>
        </w:tc>
      </w:tr>
    </w:tbl>
    <w:p>
      <w:pPr>
        <w:spacing w:after="0" w:line="80" w:lineRule="exact"/>
        <w:rPr>
          <w:sz w:val="20"/>
          <w:szCs w:val="20"/>
          <w:color w:val="auto"/>
        </w:rPr>
      </w:pPr>
    </w:p>
    <w:p>
      <w:pPr>
        <w:ind w:left="345" w:hanging="345"/>
        <w:spacing w:after="0"/>
        <w:tabs>
          <w:tab w:leader="none" w:pos="345" w:val="left"/>
        </w:tabs>
        <w:numPr>
          <w:ilvl w:val="0"/>
          <w:numId w:val="27"/>
        </w:numPr>
        <w:rPr>
          <w:rFonts w:ascii="Arial" w:cs="Arial" w:eastAsia="Arial" w:hAnsi="Arial"/>
          <w:sz w:val="14"/>
          <w:szCs w:val="14"/>
          <w:color w:val="auto"/>
        </w:rPr>
      </w:pPr>
      <w:r>
        <w:rPr>
          <w:rFonts w:ascii="Arial" w:cs="Arial" w:eastAsia="Arial" w:hAnsi="Arial"/>
          <w:sz w:val="14"/>
          <w:szCs w:val="14"/>
          <w:color w:val="auto"/>
        </w:rPr>
        <w:t>Calculated by dividing net income by Adjusted Net Trading Income.</w:t>
      </w:r>
    </w:p>
    <w:p>
      <w:pPr>
        <w:spacing w:after="0" w:line="16" w:lineRule="exact"/>
        <w:rPr>
          <w:rFonts w:ascii="Arial" w:cs="Arial" w:eastAsia="Arial" w:hAnsi="Arial"/>
          <w:sz w:val="14"/>
          <w:szCs w:val="14"/>
          <w:color w:val="auto"/>
        </w:rPr>
      </w:pPr>
    </w:p>
    <w:p>
      <w:pPr>
        <w:ind w:left="345" w:hanging="345"/>
        <w:spacing w:after="0"/>
        <w:tabs>
          <w:tab w:leader="none" w:pos="345" w:val="left"/>
        </w:tabs>
        <w:numPr>
          <w:ilvl w:val="0"/>
          <w:numId w:val="27"/>
        </w:numPr>
        <w:rPr>
          <w:rFonts w:ascii="Arial" w:cs="Arial" w:eastAsia="Arial" w:hAnsi="Arial"/>
          <w:sz w:val="14"/>
          <w:szCs w:val="14"/>
          <w:color w:val="auto"/>
        </w:rPr>
      </w:pPr>
      <w:r>
        <w:rPr>
          <w:rFonts w:ascii="Arial" w:cs="Arial" w:eastAsia="Arial" w:hAnsi="Arial"/>
          <w:sz w:val="14"/>
          <w:szCs w:val="14"/>
          <w:color w:val="auto"/>
        </w:rPr>
        <w:t>Calculated by dividing EBITDA by Adjusted Net Trading Income.</w:t>
      </w:r>
    </w:p>
    <w:p>
      <w:pPr>
        <w:spacing w:after="0" w:line="4" w:lineRule="exact"/>
        <w:rPr>
          <w:rFonts w:ascii="Arial" w:cs="Arial" w:eastAsia="Arial" w:hAnsi="Arial"/>
          <w:sz w:val="14"/>
          <w:szCs w:val="14"/>
          <w:color w:val="auto"/>
        </w:rPr>
      </w:pPr>
    </w:p>
    <w:p>
      <w:pPr>
        <w:ind w:left="345" w:hanging="345"/>
        <w:spacing w:after="0"/>
        <w:tabs>
          <w:tab w:leader="none" w:pos="345" w:val="left"/>
        </w:tabs>
        <w:numPr>
          <w:ilvl w:val="0"/>
          <w:numId w:val="27"/>
        </w:numPr>
        <w:rPr>
          <w:rFonts w:ascii="Arial" w:cs="Arial" w:eastAsia="Arial" w:hAnsi="Arial"/>
          <w:sz w:val="14"/>
          <w:szCs w:val="14"/>
          <w:color w:val="auto"/>
        </w:rPr>
      </w:pPr>
      <w:r>
        <w:rPr>
          <w:rFonts w:ascii="Arial" w:cs="Arial" w:eastAsia="Arial" w:hAnsi="Arial"/>
          <w:sz w:val="14"/>
          <w:szCs w:val="14"/>
          <w:color w:val="auto"/>
        </w:rPr>
        <w:t>Calculated by dividing Adjusted EBITDA by Adjusted Net Trading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64"/>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59055</wp:posOffset>
            </wp:positionV>
            <wp:extent cx="7174865" cy="406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5"/>
          </w:cols>
          <w:pgMar w:left="315" w:top="802" w:right="379" w:bottom="1440" w:gutter="0" w:footer="0" w:header="0"/>
        </w:sectPr>
      </w:pPr>
    </w:p>
    <w:bookmarkStart w:id="56" w:name="page57"/>
    <w:bookmarkEnd w:id="56"/>
    <w:p>
      <w:pPr>
        <w:ind w:left="5" w:right="300" w:firstLine="568"/>
        <w:spacing w:after="0" w:line="268" w:lineRule="auto"/>
        <w:rPr>
          <w:sz w:val="20"/>
          <w:szCs w:val="20"/>
          <w:color w:val="auto"/>
        </w:rPr>
      </w:pPr>
      <w:r>
        <w:rPr>
          <w:rFonts w:ascii="Arial" w:cs="Arial" w:eastAsia="Arial" w:hAnsi="Arial"/>
          <w:sz w:val="16"/>
          <w:szCs w:val="16"/>
          <w:color w:val="auto"/>
        </w:rPr>
        <w:t>The following table reconciles Net Income to arrive at Normalized Adjusted Net Income before income taxes, Normalized provision for income taxes, Normalized Adjusted Net Income and Normalized Adjusted EPS for the years ended December 31, 2021, 2020 and 2019:</w:t>
      </w:r>
    </w:p>
    <w:p>
      <w:pPr>
        <w:spacing w:after="0" w:line="150" w:lineRule="exact"/>
        <w:rPr>
          <w:sz w:val="20"/>
          <w:szCs w:val="20"/>
          <w:color w:val="auto"/>
        </w:rPr>
      </w:pPr>
    </w:p>
    <w:tbl>
      <w:tblPr>
        <w:tblLayout w:type="fixed"/>
        <w:tblInd w:w="705" w:type="dxa"/>
        <w:tblCellMar>
          <w:top w:w="0" w:type="dxa"/>
          <w:left w:w="0" w:type="dxa"/>
          <w:bottom w:w="0" w:type="dxa"/>
          <w:right w:w="0" w:type="dxa"/>
        </w:tblCellMar>
      </w:tblPr>
      <w:tr>
        <w:trPr>
          <w:trHeight w:val="166"/>
        </w:trPr>
        <w:tc>
          <w:tcPr>
            <w:tcW w:w="5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5"/>
          </w:tcPr>
          <w:p>
            <w:pPr>
              <w:ind w:left="20"/>
              <w:spacing w:after="0"/>
              <w:rPr>
                <w:sz w:val="20"/>
                <w:szCs w:val="20"/>
                <w:color w:val="auto"/>
              </w:rPr>
            </w:pPr>
            <w:r>
              <w:rPr>
                <w:rFonts w:ascii="Arial" w:cs="Arial" w:eastAsia="Arial" w:hAnsi="Arial"/>
                <w:sz w:val="13"/>
                <w:szCs w:val="13"/>
                <w:b w:val="1"/>
                <w:bCs w:val="1"/>
                <w:color w:val="auto"/>
                <w:w w:val="87"/>
              </w:rPr>
              <w:t>Years Ended December 31,</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165"/>
        </w:trPr>
        <w:tc>
          <w:tcPr>
            <w:tcW w:w="5920" w:type="dxa"/>
            <w:vAlign w:val="bottom"/>
            <w:gridSpan w:val="2"/>
          </w:tcPr>
          <w:p>
            <w:pPr>
              <w:ind w:left="20"/>
              <w:spacing w:after="0"/>
              <w:rPr>
                <w:sz w:val="20"/>
                <w:szCs w:val="20"/>
                <w:color w:val="auto"/>
              </w:rPr>
            </w:pPr>
            <w:r>
              <w:rPr>
                <w:rFonts w:ascii="Arial" w:cs="Arial" w:eastAsia="Arial" w:hAnsi="Arial"/>
                <w:sz w:val="13"/>
                <w:szCs w:val="13"/>
                <w:b w:val="1"/>
                <w:bCs w:val="1"/>
                <w:color w:val="auto"/>
              </w:rPr>
              <w:t>(in thousands, except share and per share data)</w:t>
            </w:r>
          </w:p>
        </w:tc>
        <w:tc>
          <w:tcPr>
            <w:tcW w:w="280" w:type="dxa"/>
            <w:vAlign w:val="bottom"/>
          </w:tcPr>
          <w:p>
            <w:pPr>
              <w:spacing w:after="0"/>
              <w:rPr>
                <w:sz w:val="14"/>
                <w:szCs w:val="14"/>
                <w:color w:val="auto"/>
              </w:rPr>
            </w:pPr>
          </w:p>
        </w:tc>
        <w:tc>
          <w:tcPr>
            <w:tcW w:w="940" w:type="dxa"/>
            <w:vAlign w:val="bottom"/>
          </w:tcPr>
          <w:p>
            <w:pPr>
              <w:jc w:val="right"/>
              <w:ind w:right="417"/>
              <w:spacing w:after="0"/>
              <w:rPr>
                <w:sz w:val="20"/>
                <w:szCs w:val="20"/>
                <w:color w:val="auto"/>
              </w:rPr>
            </w:pPr>
            <w:r>
              <w:rPr>
                <w:rFonts w:ascii="Arial" w:cs="Arial" w:eastAsia="Arial" w:hAnsi="Arial"/>
                <w:sz w:val="13"/>
                <w:szCs w:val="13"/>
                <w:b w:val="1"/>
                <w:bCs w:val="1"/>
                <w:color w:val="auto"/>
              </w:rPr>
              <w:t>2021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437"/>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417"/>
              <w:spacing w:after="0"/>
              <w:rPr>
                <w:sz w:val="20"/>
                <w:szCs w:val="20"/>
                <w:color w:val="auto"/>
              </w:rPr>
            </w:pPr>
            <w:r>
              <w:rPr>
                <w:rFonts w:ascii="Arial" w:cs="Arial" w:eastAsia="Arial" w:hAnsi="Arial"/>
                <w:sz w:val="13"/>
                <w:szCs w:val="13"/>
                <w:b w:val="1"/>
                <w:bCs w:val="1"/>
                <w:color w:val="auto"/>
              </w:rPr>
              <w:t>2019</w:t>
            </w:r>
          </w:p>
        </w:tc>
      </w:tr>
      <w:tr>
        <w:trPr>
          <w:trHeight w:val="158"/>
        </w:trPr>
        <w:tc>
          <w:tcPr>
            <w:tcW w:w="5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Reconciliation of Net Income to Normalized Adjusted Net Income</w:t>
            </w:r>
          </w:p>
        </w:tc>
        <w:tc>
          <w:tcPr>
            <w:tcW w:w="14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r>
      <w:tr>
        <w:trPr>
          <w:trHeight w:val="163"/>
        </w:trPr>
        <w:tc>
          <w:tcPr>
            <w:tcW w:w="5920" w:type="dxa"/>
            <w:vAlign w:val="bottom"/>
            <w:gridSpan w:val="2"/>
          </w:tcPr>
          <w:p>
            <w:pPr>
              <w:ind w:left="120"/>
              <w:spacing w:after="0"/>
              <w:rPr>
                <w:sz w:val="20"/>
                <w:szCs w:val="20"/>
                <w:color w:val="auto"/>
              </w:rPr>
            </w:pPr>
            <w:r>
              <w:rPr>
                <w:rFonts w:ascii="Arial" w:cs="Arial" w:eastAsia="Arial" w:hAnsi="Arial"/>
                <w:sz w:val="13"/>
                <w:szCs w:val="13"/>
                <w:color w:val="auto"/>
              </w:rPr>
              <w:t>Net income (loss)</w:t>
            </w:r>
          </w:p>
        </w:tc>
        <w:tc>
          <w:tcPr>
            <w:tcW w:w="280" w:type="dxa"/>
            <w:vAlign w:val="bottom"/>
          </w:tcPr>
          <w:p>
            <w:pPr>
              <w:jc w:val="right"/>
              <w:ind w:right="137"/>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827,234</w:t>
            </w:r>
          </w:p>
        </w:tc>
        <w:tc>
          <w:tcPr>
            <w:tcW w:w="420" w:type="dxa"/>
            <w:vAlign w:val="bottom"/>
            <w:gridSpan w:val="3"/>
          </w:tcPr>
          <w:p>
            <w:pPr>
              <w:jc w:val="right"/>
              <w:ind w:right="137"/>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1,120,913</w:t>
            </w:r>
          </w:p>
        </w:tc>
        <w:tc>
          <w:tcPr>
            <w:tcW w:w="120" w:type="dxa"/>
            <w:vAlign w:val="bottom"/>
          </w:tcPr>
          <w:p>
            <w:pPr>
              <w:spacing w:after="0"/>
              <w:rPr>
                <w:sz w:val="14"/>
                <w:szCs w:val="14"/>
                <w:color w:val="auto"/>
              </w:rPr>
            </w:pPr>
          </w:p>
        </w:tc>
        <w:tc>
          <w:tcPr>
            <w:tcW w:w="280" w:type="dxa"/>
            <w:vAlign w:val="bottom"/>
          </w:tcPr>
          <w:p>
            <w:pPr>
              <w:jc w:val="right"/>
              <w:ind w:right="137"/>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(103,705)</w:t>
            </w:r>
          </w:p>
        </w:tc>
      </w:tr>
      <w:tr>
        <w:trPr>
          <w:trHeight w:val="168"/>
        </w:trPr>
        <w:tc>
          <w:tcPr>
            <w:tcW w:w="59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Provision for (benefit from) income taxes</w:t>
            </w:r>
          </w:p>
        </w:tc>
        <w:tc>
          <w:tcPr>
            <w:tcW w:w="2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169,670</w:t>
            </w: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261,924</w:t>
            </w:r>
          </w:p>
        </w:tc>
        <w:tc>
          <w:tcPr>
            <w:tcW w:w="12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(12,277)</w:t>
            </w:r>
          </w:p>
        </w:tc>
      </w:tr>
      <w:tr>
        <w:trPr>
          <w:trHeight w:val="155"/>
        </w:trPr>
        <w:tc>
          <w:tcPr>
            <w:tcW w:w="5920" w:type="dxa"/>
            <w:vAlign w:val="bottom"/>
            <w:gridSpan w:val="2"/>
          </w:tcPr>
          <w:p>
            <w:pPr>
              <w:ind w:left="120"/>
              <w:spacing w:after="0" w:line="148" w:lineRule="exact"/>
              <w:rPr>
                <w:sz w:val="20"/>
                <w:szCs w:val="20"/>
                <w:color w:val="auto"/>
              </w:rPr>
            </w:pPr>
            <w:r>
              <w:rPr>
                <w:rFonts w:ascii="Arial" w:cs="Arial" w:eastAsia="Arial" w:hAnsi="Arial"/>
                <w:sz w:val="13"/>
                <w:szCs w:val="13"/>
                <w:color w:val="auto"/>
              </w:rPr>
              <w:t>Income (loss) before income taxes</w:t>
            </w: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996,904</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1,382,837</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(115,982)</w:t>
            </w:r>
          </w:p>
        </w:tc>
      </w:tr>
      <w:tr>
        <w:trPr>
          <w:trHeight w:val="192"/>
        </w:trPr>
        <w:tc>
          <w:tcPr>
            <w:tcW w:w="5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63"/>
        </w:trPr>
        <w:tc>
          <w:tcPr>
            <w:tcW w:w="5920" w:type="dxa"/>
            <w:vAlign w:val="bottom"/>
            <w:gridSpan w:val="2"/>
          </w:tcPr>
          <w:p>
            <w:pPr>
              <w:ind w:left="120"/>
              <w:spacing w:after="0"/>
              <w:rPr>
                <w:sz w:val="20"/>
                <w:szCs w:val="20"/>
                <w:color w:val="auto"/>
              </w:rPr>
            </w:pPr>
            <w:r>
              <w:rPr>
                <w:rFonts w:ascii="Arial" w:cs="Arial" w:eastAsia="Arial" w:hAnsi="Arial"/>
                <w:sz w:val="13"/>
                <w:szCs w:val="13"/>
                <w:color w:val="auto"/>
              </w:rPr>
              <w:t>Amortization of purchased intangibles and acquired capitalized software</w:t>
            </w: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69,668</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74,254</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70,595</w:t>
            </w:r>
          </w:p>
        </w:tc>
      </w:tr>
      <w:tr>
        <w:trPr>
          <w:trHeight w:val="168"/>
        </w:trPr>
        <w:tc>
          <w:tcPr>
            <w:tcW w:w="59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Debt issue cost related to debt refinancing, prepayment, and commitment fees</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6,590</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28,879</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41,132</w:t>
            </w:r>
          </w:p>
        </w:tc>
      </w:tr>
      <w:tr>
        <w:trPr>
          <w:trHeight w:val="163"/>
        </w:trPr>
        <w:tc>
          <w:tcPr>
            <w:tcW w:w="5920" w:type="dxa"/>
            <w:vAlign w:val="bottom"/>
            <w:gridSpan w:val="2"/>
          </w:tcPr>
          <w:p>
            <w:pPr>
              <w:ind w:left="120"/>
              <w:spacing w:after="0"/>
              <w:rPr>
                <w:sz w:val="20"/>
                <w:szCs w:val="20"/>
                <w:color w:val="auto"/>
              </w:rPr>
            </w:pPr>
            <w:r>
              <w:rPr>
                <w:rFonts w:ascii="Arial" w:cs="Arial" w:eastAsia="Arial" w:hAnsi="Arial"/>
                <w:sz w:val="13"/>
                <w:szCs w:val="13"/>
                <w:color w:val="auto"/>
              </w:rPr>
              <w:t>Severance</w:t>
            </w: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6,112</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10,286</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102,768</w:t>
            </w:r>
          </w:p>
        </w:tc>
      </w:tr>
      <w:tr>
        <w:trPr>
          <w:trHeight w:val="168"/>
        </w:trPr>
        <w:tc>
          <w:tcPr>
            <w:tcW w:w="59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Transaction advisory fees and expenses</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843</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2,941</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26,117</w:t>
            </w:r>
          </w:p>
        </w:tc>
      </w:tr>
      <w:tr>
        <w:trPr>
          <w:trHeight w:val="163"/>
        </w:trPr>
        <w:tc>
          <w:tcPr>
            <w:tcW w:w="5920" w:type="dxa"/>
            <w:vAlign w:val="bottom"/>
            <w:gridSpan w:val="2"/>
          </w:tcPr>
          <w:p>
            <w:pPr>
              <w:ind w:left="120"/>
              <w:spacing w:after="0"/>
              <w:rPr>
                <w:sz w:val="20"/>
                <w:szCs w:val="20"/>
                <w:color w:val="auto"/>
              </w:rPr>
            </w:pPr>
            <w:r>
              <w:rPr>
                <w:rFonts w:ascii="Arial" w:cs="Arial" w:eastAsia="Arial" w:hAnsi="Arial"/>
                <w:sz w:val="13"/>
                <w:szCs w:val="13"/>
                <w:color w:val="auto"/>
              </w:rPr>
              <w:t>Termination of office leases</w:t>
            </w: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28,138</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9,608</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66,452</w:t>
            </w:r>
          </w:p>
        </w:tc>
      </w:tr>
      <w:tr>
        <w:trPr>
          <w:trHeight w:val="168"/>
        </w:trPr>
        <w:tc>
          <w:tcPr>
            <w:tcW w:w="59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Gain on sale of MATCHNow</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(58,652)</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3"/>
        </w:trPr>
        <w:tc>
          <w:tcPr>
            <w:tcW w:w="5920" w:type="dxa"/>
            <w:vAlign w:val="bottom"/>
            <w:gridSpan w:val="2"/>
          </w:tcPr>
          <w:p>
            <w:pPr>
              <w:ind w:left="120"/>
              <w:spacing w:after="0"/>
              <w:rPr>
                <w:sz w:val="20"/>
                <w:szCs w:val="20"/>
                <w:color w:val="auto"/>
              </w:rPr>
            </w:pPr>
            <w:r>
              <w:rPr>
                <w:rFonts w:ascii="Arial" w:cs="Arial" w:eastAsia="Arial" w:hAnsi="Arial"/>
                <w:sz w:val="13"/>
                <w:szCs w:val="13"/>
                <w:color w:val="auto"/>
              </w:rPr>
              <w:t>Other</w:t>
            </w: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(10,558)</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(16,418)</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2,651</w:t>
            </w:r>
          </w:p>
        </w:tc>
      </w:tr>
      <w:tr>
        <w:trPr>
          <w:trHeight w:val="168"/>
        </w:trPr>
        <w:tc>
          <w:tcPr>
            <w:tcW w:w="59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Share based compensation</w:t>
            </w:r>
          </w:p>
        </w:tc>
        <w:tc>
          <w:tcPr>
            <w:tcW w:w="2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55,751</w:t>
            </w: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59,838</w:t>
            </w:r>
          </w:p>
        </w:tc>
        <w:tc>
          <w:tcPr>
            <w:tcW w:w="12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50,627</w:t>
            </w:r>
          </w:p>
        </w:tc>
      </w:tr>
      <w:tr>
        <w:trPr>
          <w:trHeight w:val="155"/>
        </w:trPr>
        <w:tc>
          <w:tcPr>
            <w:tcW w:w="5920" w:type="dxa"/>
            <w:vAlign w:val="bottom"/>
            <w:gridSpan w:val="2"/>
          </w:tcPr>
          <w:p>
            <w:pPr>
              <w:ind w:left="120"/>
              <w:spacing w:after="0" w:line="148" w:lineRule="exact"/>
              <w:rPr>
                <w:sz w:val="20"/>
                <w:szCs w:val="20"/>
                <w:color w:val="auto"/>
              </w:rPr>
            </w:pPr>
            <w:r>
              <w:rPr>
                <w:rFonts w:ascii="Arial" w:cs="Arial" w:eastAsia="Arial" w:hAnsi="Arial"/>
                <w:sz w:val="13"/>
                <w:szCs w:val="13"/>
                <w:color w:val="auto"/>
              </w:rPr>
              <w:t>Normalized Adjusted Net Income before income taxes</w:t>
            </w: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1,153,448</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1,493,573</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244,360</w:t>
            </w:r>
          </w:p>
        </w:tc>
      </w:tr>
      <w:tr>
        <w:trPr>
          <w:trHeight w:val="168"/>
        </w:trPr>
        <w:tc>
          <w:tcPr>
            <w:tcW w:w="59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Normalized provision for income taxes (1)</w:t>
            </w:r>
          </w:p>
        </w:tc>
        <w:tc>
          <w:tcPr>
            <w:tcW w:w="2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276,827</w:t>
            </w: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358,458</w:t>
            </w:r>
          </w:p>
        </w:tc>
        <w:tc>
          <w:tcPr>
            <w:tcW w:w="12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58,646</w:t>
            </w:r>
          </w:p>
        </w:tc>
      </w:tr>
      <w:tr>
        <w:trPr>
          <w:trHeight w:val="155"/>
        </w:trPr>
        <w:tc>
          <w:tcPr>
            <w:tcW w:w="592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Normalized Adjusted Net Income</w:t>
            </w:r>
          </w:p>
        </w:tc>
        <w:tc>
          <w:tcPr>
            <w:tcW w:w="280" w:type="dxa"/>
            <w:vAlign w:val="bottom"/>
          </w:tcPr>
          <w:p>
            <w:pPr>
              <w:jc w:val="right"/>
              <w:ind w:right="137"/>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876,621</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jc w:val="right"/>
              <w:ind w:right="137"/>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1,135,115</w:t>
            </w:r>
          </w:p>
        </w:tc>
        <w:tc>
          <w:tcPr>
            <w:tcW w:w="120" w:type="dxa"/>
            <w:vAlign w:val="bottom"/>
          </w:tcPr>
          <w:p>
            <w:pPr>
              <w:spacing w:after="0"/>
              <w:rPr>
                <w:sz w:val="13"/>
                <w:szCs w:val="13"/>
                <w:color w:val="auto"/>
              </w:rPr>
            </w:pPr>
          </w:p>
        </w:tc>
        <w:tc>
          <w:tcPr>
            <w:tcW w:w="280" w:type="dxa"/>
            <w:vAlign w:val="bottom"/>
          </w:tcPr>
          <w:p>
            <w:pPr>
              <w:jc w:val="right"/>
              <w:ind w:right="137"/>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185,714</w:t>
            </w:r>
          </w:p>
        </w:tc>
      </w:tr>
      <w:tr>
        <w:trPr>
          <w:trHeight w:val="239"/>
        </w:trPr>
        <w:tc>
          <w:tcPr>
            <w:tcW w:w="57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163"/>
        </w:trPr>
        <w:tc>
          <w:tcPr>
            <w:tcW w:w="5920" w:type="dxa"/>
            <w:vAlign w:val="bottom"/>
            <w:gridSpan w:val="2"/>
          </w:tcPr>
          <w:p>
            <w:pPr>
              <w:ind w:left="20"/>
              <w:spacing w:after="0"/>
              <w:rPr>
                <w:sz w:val="20"/>
                <w:szCs w:val="20"/>
                <w:color w:val="auto"/>
              </w:rPr>
            </w:pPr>
            <w:r>
              <w:rPr>
                <w:rFonts w:ascii="Arial" w:cs="Arial" w:eastAsia="Arial" w:hAnsi="Arial"/>
                <w:sz w:val="13"/>
                <w:szCs w:val="13"/>
                <w:color w:val="auto"/>
              </w:rPr>
              <w:t>Weighted Average Adjusted shares outstanding (2)</w:t>
            </w: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191,958,870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196,929,673</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193,153,745</w:t>
            </w:r>
          </w:p>
        </w:tc>
      </w:tr>
      <w:tr>
        <w:trPr>
          <w:trHeight w:val="239"/>
        </w:trPr>
        <w:tc>
          <w:tcPr>
            <w:tcW w:w="57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160"/>
        </w:trPr>
        <w:tc>
          <w:tcPr>
            <w:tcW w:w="5920" w:type="dxa"/>
            <w:vAlign w:val="bottom"/>
            <w:gridSpan w:val="2"/>
          </w:tcPr>
          <w:p>
            <w:pPr>
              <w:ind w:left="20"/>
              <w:spacing w:after="0"/>
              <w:rPr>
                <w:sz w:val="20"/>
                <w:szCs w:val="20"/>
                <w:color w:val="auto"/>
              </w:rPr>
            </w:pPr>
            <w:r>
              <w:rPr>
                <w:rFonts w:ascii="Arial" w:cs="Arial" w:eastAsia="Arial" w:hAnsi="Arial"/>
                <w:sz w:val="13"/>
                <w:szCs w:val="13"/>
                <w:color w:val="auto"/>
              </w:rPr>
              <w:t>Normalized Adjusted EPS</w:t>
            </w:r>
          </w:p>
        </w:tc>
        <w:tc>
          <w:tcPr>
            <w:tcW w:w="280" w:type="dxa"/>
            <w:vAlign w:val="bottom"/>
          </w:tcPr>
          <w:p>
            <w:pPr>
              <w:jc w:val="right"/>
              <w:ind w:right="137"/>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4.57</w:t>
            </w:r>
          </w:p>
        </w:tc>
        <w:tc>
          <w:tcPr>
            <w:tcW w:w="420" w:type="dxa"/>
            <w:vAlign w:val="bottom"/>
            <w:gridSpan w:val="3"/>
          </w:tcPr>
          <w:p>
            <w:pPr>
              <w:jc w:val="right"/>
              <w:ind w:right="137"/>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5.76</w:t>
            </w:r>
          </w:p>
        </w:tc>
        <w:tc>
          <w:tcPr>
            <w:tcW w:w="120" w:type="dxa"/>
            <w:vAlign w:val="bottom"/>
          </w:tcPr>
          <w:p>
            <w:pPr>
              <w:spacing w:after="0"/>
              <w:rPr>
                <w:sz w:val="13"/>
                <w:szCs w:val="13"/>
                <w:color w:val="auto"/>
              </w:rPr>
            </w:pPr>
          </w:p>
        </w:tc>
        <w:tc>
          <w:tcPr>
            <w:tcW w:w="280" w:type="dxa"/>
            <w:vAlign w:val="bottom"/>
          </w:tcPr>
          <w:p>
            <w:pPr>
              <w:jc w:val="right"/>
              <w:ind w:right="137"/>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0.96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1849120"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849120" cy="7620"/>
                    </a:xfrm>
                    <a:prstGeom prst="rect">
                      <a:avLst/>
                    </a:prstGeom>
                    <a:noFill/>
                  </pic:spPr>
                </pic:pic>
              </a:graphicData>
            </a:graphic>
          </wp:anchor>
        </w:drawing>
      </w:r>
    </w:p>
    <w:p>
      <w:pPr>
        <w:spacing w:after="0" w:line="237" w:lineRule="exact"/>
        <w:rPr>
          <w:sz w:val="20"/>
          <w:szCs w:val="20"/>
          <w:color w:val="auto"/>
        </w:rPr>
      </w:pPr>
    </w:p>
    <w:p>
      <w:pPr>
        <w:ind w:left="345" w:hanging="345"/>
        <w:spacing w:after="0"/>
        <w:tabs>
          <w:tab w:leader="none" w:pos="345"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Reflects U.S. federal, state, and local income tax rate applicable to corporations of approximately 24% for 2021, 2020, and 2019.</w:t>
      </w:r>
    </w:p>
    <w:p>
      <w:pPr>
        <w:spacing w:after="0" w:line="16" w:lineRule="exact"/>
        <w:rPr>
          <w:rFonts w:ascii="Arial" w:cs="Arial" w:eastAsia="Arial" w:hAnsi="Arial"/>
          <w:sz w:val="14"/>
          <w:szCs w:val="14"/>
          <w:color w:val="auto"/>
        </w:rPr>
      </w:pPr>
    </w:p>
    <w:p>
      <w:pPr>
        <w:ind w:left="345" w:hanging="345"/>
        <w:spacing w:after="0" w:line="297" w:lineRule="auto"/>
        <w:tabs>
          <w:tab w:leader="none" w:pos="345" w:val="left"/>
        </w:tabs>
        <w:numPr>
          <w:ilvl w:val="0"/>
          <w:numId w:val="28"/>
        </w:numPr>
        <w:rPr>
          <w:rFonts w:ascii="Arial" w:cs="Arial" w:eastAsia="Arial" w:hAnsi="Arial"/>
          <w:sz w:val="12"/>
          <w:szCs w:val="12"/>
          <w:color w:val="auto"/>
        </w:rPr>
      </w:pPr>
      <w:r>
        <w:rPr>
          <w:rFonts w:ascii="Arial" w:cs="Arial" w:eastAsia="Arial" w:hAnsi="Arial"/>
          <w:sz w:val="12"/>
          <w:szCs w:val="12"/>
          <w:color w:val="auto"/>
        </w:rPr>
        <w:t>Assumes that (1) holders of all vested and unvested non-vesting Virtu Financial Units (together with corresponding shares of the Company's Class C common stock, par value $0.00001 per share (the “Class C Common Stock”)) have exercised their right to exchange such Virtu Financial Units for shares of Class A Common Stock on a one-for-one basis, (2) holders of all Virtu Financial Units (together with corresponding shares of the Company's Class D common stock, par value $0.00001 per share (the “Class D Common Stock”)) have exercised their right to exchange such Virtu Financial Units for shares of the Company's Class B common stock, par value $0.00001 per share (the “Class B Common Stock”) on a one-for-one basis, and subsequently exercised their right to convert the shares of Class B Common Stock into shares of Class A Common Stock on a one-for-one basis. Includes additional shares from dilutive impact of options, restricted stock units and restricted stock awards outstanding under the Amended and Restated 2015 Management Incentive Plan and the Amended and Restated ITG 2007 Equity Plan during the years ended December 31, 2021, 2020 and 2019 as well as warrants issued in connection with the Founder Member Loan during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24"/>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59055</wp:posOffset>
            </wp:positionV>
            <wp:extent cx="7174865" cy="406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45"/>
          </w:cols>
          <w:pgMar w:left="315" w:top="802" w:right="439" w:bottom="1440" w:gutter="0" w:footer="0" w:header="0"/>
        </w:sectPr>
      </w:pPr>
    </w:p>
    <w:bookmarkStart w:id="57" w:name="page58"/>
    <w:bookmarkEnd w:id="57"/>
    <w:p>
      <w:pPr>
        <w:ind w:left="560"/>
        <w:spacing w:after="0"/>
        <w:rPr>
          <w:sz w:val="20"/>
          <w:szCs w:val="20"/>
          <w:color w:val="auto"/>
        </w:rPr>
      </w:pPr>
      <w:r>
        <w:rPr>
          <w:rFonts w:ascii="Arial" w:cs="Arial" w:eastAsia="Arial" w:hAnsi="Arial"/>
          <w:sz w:val="15"/>
          <w:szCs w:val="15"/>
          <w:color w:val="auto"/>
        </w:rPr>
        <w:t>The following tables reconcile Trading income, net to Adjusted Net Trading Income by segment for the years ended December 31, 2021, 2020 and 2019:</w:t>
      </w:r>
    </w:p>
    <w:p>
      <w:pPr>
        <w:spacing w:after="0" w:line="365" w:lineRule="exact"/>
        <w:rPr>
          <w:sz w:val="20"/>
          <w:szCs w:val="20"/>
          <w:color w:val="auto"/>
        </w:rPr>
      </w:pPr>
    </w:p>
    <w:tbl>
      <w:tblPr>
        <w:tblLayout w:type="fixed"/>
        <w:tblInd w:w="1060" w:type="dxa"/>
        <w:tblCellMar>
          <w:top w:w="0" w:type="dxa"/>
          <w:left w:w="0" w:type="dxa"/>
          <w:bottom w:w="0" w:type="dxa"/>
          <w:right w:w="0" w:type="dxa"/>
        </w:tblCellMar>
      </w:tblPr>
      <w:tr>
        <w:trPr>
          <w:trHeight w:val="166"/>
        </w:trPr>
        <w:tc>
          <w:tcPr>
            <w:tcW w:w="3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3"/>
          </w:tcPr>
          <w:p>
            <w:pPr>
              <w:jc w:val="right"/>
              <w:ind w:right="137"/>
              <w:spacing w:after="0"/>
              <w:rPr>
                <w:sz w:val="20"/>
                <w:szCs w:val="20"/>
                <w:color w:val="auto"/>
              </w:rPr>
            </w:pPr>
            <w:r>
              <w:rPr>
                <w:rFonts w:ascii="Arial" w:cs="Arial" w:eastAsia="Arial" w:hAnsi="Arial"/>
                <w:sz w:val="13"/>
                <w:szCs w:val="13"/>
                <w:b w:val="1"/>
                <w:bCs w:val="1"/>
                <w:color w:val="auto"/>
              </w:rPr>
              <w:t>Year Ended December 31, 2021</w:t>
            </w: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r>
      <w:tr>
        <w:trPr>
          <w:trHeight w:val="165"/>
        </w:trPr>
        <w:tc>
          <w:tcPr>
            <w:tcW w:w="3780" w:type="dxa"/>
            <w:vAlign w:val="bottom"/>
            <w:gridSpan w:val="2"/>
          </w:tcPr>
          <w:p>
            <w:pPr>
              <w:ind w:left="20"/>
              <w:spacing w:after="0"/>
              <w:rPr>
                <w:sz w:val="20"/>
                <w:szCs w:val="20"/>
                <w:color w:val="auto"/>
              </w:rPr>
            </w:pPr>
            <w:r>
              <w:rPr>
                <w:rFonts w:ascii="Arial" w:cs="Arial" w:eastAsia="Arial" w:hAnsi="Arial"/>
                <w:sz w:val="13"/>
                <w:szCs w:val="13"/>
                <w:b w:val="1"/>
                <w:bCs w:val="1"/>
                <w:color w:val="auto"/>
              </w:rPr>
              <w:t>(in thousands)</w:t>
            </w:r>
          </w:p>
        </w:tc>
        <w:tc>
          <w:tcPr>
            <w:tcW w:w="14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3"/>
                <w:szCs w:val="13"/>
                <w:b w:val="1"/>
                <w:bCs w:val="1"/>
                <w:color w:val="auto"/>
              </w:rPr>
              <w:t>Market Making</w:t>
            </w:r>
          </w:p>
        </w:tc>
        <w:tc>
          <w:tcPr>
            <w:tcW w:w="100" w:type="dxa"/>
            <w:vAlign w:val="bottom"/>
          </w:tcPr>
          <w:p>
            <w:pPr>
              <w:spacing w:after="0"/>
              <w:rPr>
                <w:sz w:val="14"/>
                <w:szCs w:val="14"/>
                <w:color w:val="auto"/>
              </w:rPr>
            </w:pPr>
          </w:p>
        </w:tc>
        <w:tc>
          <w:tcPr>
            <w:tcW w:w="1260" w:type="dxa"/>
            <w:vAlign w:val="bottom"/>
            <w:gridSpan w:val="2"/>
          </w:tcPr>
          <w:p>
            <w:pPr>
              <w:ind w:left="20"/>
              <w:spacing w:after="0"/>
              <w:rPr>
                <w:sz w:val="20"/>
                <w:szCs w:val="20"/>
                <w:color w:val="auto"/>
              </w:rPr>
            </w:pPr>
            <w:r>
              <w:rPr>
                <w:rFonts w:ascii="Arial" w:cs="Arial" w:eastAsia="Arial" w:hAnsi="Arial"/>
                <w:sz w:val="13"/>
                <w:szCs w:val="13"/>
                <w:b w:val="1"/>
                <w:bCs w:val="1"/>
                <w:color w:val="auto"/>
              </w:rPr>
              <w:t>Execution Services</w:t>
            </w:r>
          </w:p>
        </w:tc>
        <w:tc>
          <w:tcPr>
            <w:tcW w:w="1000" w:type="dxa"/>
            <w:vAlign w:val="bottom"/>
          </w:tcPr>
          <w:p>
            <w:pPr>
              <w:jc w:val="right"/>
              <w:ind w:right="37"/>
              <w:spacing w:after="0"/>
              <w:rPr>
                <w:sz w:val="20"/>
                <w:szCs w:val="20"/>
                <w:color w:val="auto"/>
              </w:rPr>
            </w:pPr>
            <w:r>
              <w:rPr>
                <w:rFonts w:ascii="Arial" w:cs="Arial" w:eastAsia="Arial" w:hAnsi="Arial"/>
                <w:sz w:val="13"/>
                <w:szCs w:val="13"/>
                <w:b w:val="1"/>
                <w:bCs w:val="1"/>
                <w:color w:val="auto"/>
              </w:rPr>
              <w:t>Corporate</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417"/>
              <w:spacing w:after="0"/>
              <w:rPr>
                <w:sz w:val="20"/>
                <w:szCs w:val="20"/>
                <w:color w:val="auto"/>
              </w:rPr>
            </w:pPr>
            <w:r>
              <w:rPr>
                <w:rFonts w:ascii="Arial" w:cs="Arial" w:eastAsia="Arial" w:hAnsi="Arial"/>
                <w:sz w:val="13"/>
                <w:szCs w:val="13"/>
                <w:b w:val="1"/>
                <w:bCs w:val="1"/>
                <w:color w:val="auto"/>
              </w:rPr>
              <w:t>Total</w:t>
            </w:r>
          </w:p>
        </w:tc>
      </w:tr>
      <w:tr>
        <w:trPr>
          <w:trHeight w:val="158"/>
        </w:trPr>
        <w:tc>
          <w:tcPr>
            <w:tcW w:w="3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Trading income, net</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2,079,653</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25,541</w:t>
            </w:r>
          </w:p>
        </w:tc>
        <w:tc>
          <w:tcPr>
            <w:tcW w:w="10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jc w:val="right"/>
              <w:ind w:right="857"/>
              <w:spacing w:after="0"/>
              <w:rPr>
                <w:sz w:val="20"/>
                <w:szCs w:val="20"/>
                <w:color w:val="auto"/>
              </w:rPr>
            </w:pPr>
            <w:r>
              <w:rPr>
                <w:rFonts w:ascii="Arial" w:cs="Arial" w:eastAsia="Arial" w:hAnsi="Arial"/>
                <w:sz w:val="13"/>
                <w:szCs w:val="13"/>
                <w:color w:val="auto"/>
                <w:w w:val="82"/>
              </w:rPr>
              <w:t>$</w:t>
            </w:r>
          </w:p>
        </w:tc>
        <w:tc>
          <w:tcPr>
            <w:tcW w:w="2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jc w:val="right"/>
              <w:ind w:right="137"/>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2,105,194</w:t>
            </w:r>
          </w:p>
        </w:tc>
      </w:tr>
      <w:tr>
        <w:trPr>
          <w:trHeight w:val="163"/>
        </w:trPr>
        <w:tc>
          <w:tcPr>
            <w:tcW w:w="3780" w:type="dxa"/>
            <w:vAlign w:val="bottom"/>
            <w:gridSpan w:val="2"/>
          </w:tcPr>
          <w:p>
            <w:pPr>
              <w:ind w:left="20"/>
              <w:spacing w:after="0"/>
              <w:rPr>
                <w:sz w:val="20"/>
                <w:szCs w:val="20"/>
                <w:color w:val="auto"/>
              </w:rPr>
            </w:pPr>
            <w:r>
              <w:rPr>
                <w:rFonts w:ascii="Arial" w:cs="Arial" w:eastAsia="Arial" w:hAnsi="Arial"/>
                <w:sz w:val="13"/>
                <w:szCs w:val="13"/>
                <w:color w:val="auto"/>
              </w:rPr>
              <w:t>Commissions, net and technology services</w:t>
            </w: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40,955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573,534</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614,489</w:t>
            </w:r>
          </w:p>
        </w:tc>
      </w:tr>
      <w:tr>
        <w:trPr>
          <w:trHeight w:val="168"/>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Interest and dividends income</w:t>
            </w: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75,311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6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75,384</w:t>
            </w:r>
          </w:p>
        </w:tc>
      </w:tr>
      <w:tr>
        <w:trPr>
          <w:trHeight w:val="163"/>
        </w:trPr>
        <w:tc>
          <w:tcPr>
            <w:tcW w:w="3780" w:type="dxa"/>
            <w:vAlign w:val="bottom"/>
            <w:gridSpan w:val="2"/>
          </w:tcPr>
          <w:p>
            <w:pPr>
              <w:ind w:left="20"/>
              <w:spacing w:after="0"/>
              <w:rPr>
                <w:sz w:val="20"/>
                <w:szCs w:val="20"/>
                <w:color w:val="auto"/>
              </w:rPr>
            </w:pPr>
            <w:r>
              <w:rPr>
                <w:rFonts w:ascii="Arial" w:cs="Arial" w:eastAsia="Arial" w:hAnsi="Arial"/>
                <w:sz w:val="13"/>
                <w:szCs w:val="13"/>
                <w:color w:val="auto"/>
                <w:w w:val="92"/>
              </w:rPr>
              <w:t>Brokerage, exchange, clearance fees and payments for order flow, net</w:t>
            </w: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(634,783)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(110,651)</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(745,434)</w:t>
            </w:r>
          </w:p>
        </w:tc>
      </w:tr>
      <w:tr>
        <w:trPr>
          <w:trHeight w:val="168"/>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Interest and dividends expense</w:t>
            </w: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(133,584)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(6,120)</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6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(139,704)</w:t>
            </w:r>
          </w:p>
        </w:tc>
      </w:tr>
      <w:tr>
        <w:trPr>
          <w:trHeight w:val="158"/>
        </w:trPr>
        <w:tc>
          <w:tcPr>
            <w:tcW w:w="3780" w:type="dxa"/>
            <w:vAlign w:val="bottom"/>
            <w:gridSpan w:val="2"/>
          </w:tcPr>
          <w:p>
            <w:pPr>
              <w:ind w:left="20"/>
              <w:spacing w:after="0"/>
              <w:rPr>
                <w:sz w:val="20"/>
                <w:szCs w:val="20"/>
                <w:color w:val="auto"/>
              </w:rPr>
            </w:pPr>
            <w:r>
              <w:rPr>
                <w:rFonts w:ascii="Arial" w:cs="Arial" w:eastAsia="Arial" w:hAnsi="Arial"/>
                <w:sz w:val="13"/>
                <w:szCs w:val="13"/>
                <w:color w:val="auto"/>
              </w:rPr>
              <w:t>Adjusted Net Trading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1,427,552</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482,377</w:t>
            </w:r>
          </w:p>
        </w:tc>
        <w:tc>
          <w:tcPr>
            <w:tcW w:w="100" w:type="dxa"/>
            <w:vAlign w:val="bottom"/>
          </w:tcPr>
          <w:p>
            <w:pPr>
              <w:spacing w:after="0"/>
              <w:rPr>
                <w:sz w:val="13"/>
                <w:szCs w:val="13"/>
                <w:color w:val="auto"/>
              </w:rPr>
            </w:pPr>
          </w:p>
        </w:tc>
        <w:tc>
          <w:tcPr>
            <w:tcW w:w="1000" w:type="dxa"/>
            <w:vAlign w:val="bottom"/>
            <w:tcBorders>
              <w:top w:val="single" w:sz="8" w:color="auto"/>
              <w:bottom w:val="single" w:sz="8" w:color="auto"/>
            </w:tcBorders>
          </w:tcPr>
          <w:p>
            <w:pPr>
              <w:jc w:val="right"/>
              <w:ind w:right="857"/>
              <w:spacing w:after="0"/>
              <w:rPr>
                <w:sz w:val="20"/>
                <w:szCs w:val="20"/>
                <w:color w:val="auto"/>
              </w:rPr>
            </w:pPr>
            <w:r>
              <w:rPr>
                <w:rFonts w:ascii="Arial" w:cs="Arial" w:eastAsia="Arial" w:hAnsi="Arial"/>
                <w:sz w:val="13"/>
                <w:szCs w:val="13"/>
                <w:color w:val="auto"/>
                <w:w w:val="82"/>
              </w:rPr>
              <w:t>$</w:t>
            </w:r>
          </w:p>
        </w:tc>
        <w:tc>
          <w:tcPr>
            <w:tcW w:w="2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1,909,929</w:t>
            </w:r>
          </w:p>
        </w:tc>
      </w:tr>
      <w:tr>
        <w:trPr>
          <w:trHeight w:val="20"/>
        </w:trPr>
        <w:tc>
          <w:tcPr>
            <w:tcW w:w="3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00" w:lineRule="exact"/>
        <w:rPr>
          <w:sz w:val="20"/>
          <w:szCs w:val="20"/>
          <w:color w:val="auto"/>
        </w:rPr>
      </w:pPr>
    </w:p>
    <w:tbl>
      <w:tblPr>
        <w:tblLayout w:type="fixed"/>
        <w:tblInd w:w="1060" w:type="dxa"/>
        <w:tblCellMar>
          <w:top w:w="0" w:type="dxa"/>
          <w:left w:w="0" w:type="dxa"/>
          <w:bottom w:w="0" w:type="dxa"/>
          <w:right w:w="0" w:type="dxa"/>
        </w:tblCellMar>
      </w:tblPr>
      <w:tr>
        <w:trPr>
          <w:trHeight w:val="166"/>
        </w:trPr>
        <w:tc>
          <w:tcPr>
            <w:tcW w:w="3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3"/>
          </w:tcPr>
          <w:p>
            <w:pPr>
              <w:jc w:val="right"/>
              <w:ind w:right="137"/>
              <w:spacing w:after="0"/>
              <w:rPr>
                <w:sz w:val="20"/>
                <w:szCs w:val="20"/>
                <w:color w:val="auto"/>
              </w:rPr>
            </w:pPr>
            <w:r>
              <w:rPr>
                <w:rFonts w:ascii="Arial" w:cs="Arial" w:eastAsia="Arial" w:hAnsi="Arial"/>
                <w:sz w:val="13"/>
                <w:szCs w:val="13"/>
                <w:b w:val="1"/>
                <w:bCs w:val="1"/>
                <w:color w:val="auto"/>
              </w:rPr>
              <w:t>Year Ended December 31, 2020</w:t>
            </w: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r>
      <w:tr>
        <w:trPr>
          <w:trHeight w:val="165"/>
        </w:trPr>
        <w:tc>
          <w:tcPr>
            <w:tcW w:w="3780" w:type="dxa"/>
            <w:vAlign w:val="bottom"/>
            <w:gridSpan w:val="2"/>
          </w:tcPr>
          <w:p>
            <w:pPr>
              <w:ind w:left="20"/>
              <w:spacing w:after="0"/>
              <w:rPr>
                <w:sz w:val="20"/>
                <w:szCs w:val="20"/>
                <w:color w:val="auto"/>
              </w:rPr>
            </w:pPr>
            <w:r>
              <w:rPr>
                <w:rFonts w:ascii="Arial" w:cs="Arial" w:eastAsia="Arial" w:hAnsi="Arial"/>
                <w:sz w:val="13"/>
                <w:szCs w:val="13"/>
                <w:b w:val="1"/>
                <w:bCs w:val="1"/>
                <w:color w:val="auto"/>
              </w:rPr>
              <w:t>(in thousands)</w:t>
            </w:r>
          </w:p>
        </w:tc>
        <w:tc>
          <w:tcPr>
            <w:tcW w:w="14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3"/>
                <w:szCs w:val="13"/>
                <w:b w:val="1"/>
                <w:bCs w:val="1"/>
                <w:color w:val="auto"/>
              </w:rPr>
              <w:t>Market Making</w:t>
            </w:r>
          </w:p>
        </w:tc>
        <w:tc>
          <w:tcPr>
            <w:tcW w:w="100" w:type="dxa"/>
            <w:vAlign w:val="bottom"/>
          </w:tcPr>
          <w:p>
            <w:pPr>
              <w:spacing w:after="0"/>
              <w:rPr>
                <w:sz w:val="14"/>
                <w:szCs w:val="14"/>
                <w:color w:val="auto"/>
              </w:rPr>
            </w:pPr>
          </w:p>
        </w:tc>
        <w:tc>
          <w:tcPr>
            <w:tcW w:w="1260" w:type="dxa"/>
            <w:vAlign w:val="bottom"/>
            <w:gridSpan w:val="2"/>
          </w:tcPr>
          <w:p>
            <w:pPr>
              <w:ind w:left="20"/>
              <w:spacing w:after="0"/>
              <w:rPr>
                <w:sz w:val="20"/>
                <w:szCs w:val="20"/>
                <w:color w:val="auto"/>
              </w:rPr>
            </w:pPr>
            <w:r>
              <w:rPr>
                <w:rFonts w:ascii="Arial" w:cs="Arial" w:eastAsia="Arial" w:hAnsi="Arial"/>
                <w:sz w:val="13"/>
                <w:szCs w:val="13"/>
                <w:b w:val="1"/>
                <w:bCs w:val="1"/>
                <w:color w:val="auto"/>
              </w:rPr>
              <w:t>Execution Services</w:t>
            </w:r>
          </w:p>
        </w:tc>
        <w:tc>
          <w:tcPr>
            <w:tcW w:w="1000" w:type="dxa"/>
            <w:vAlign w:val="bottom"/>
          </w:tcPr>
          <w:p>
            <w:pPr>
              <w:jc w:val="right"/>
              <w:ind w:right="37"/>
              <w:spacing w:after="0"/>
              <w:rPr>
                <w:sz w:val="20"/>
                <w:szCs w:val="20"/>
                <w:color w:val="auto"/>
              </w:rPr>
            </w:pPr>
            <w:r>
              <w:rPr>
                <w:rFonts w:ascii="Arial" w:cs="Arial" w:eastAsia="Arial" w:hAnsi="Arial"/>
                <w:sz w:val="13"/>
                <w:szCs w:val="13"/>
                <w:b w:val="1"/>
                <w:bCs w:val="1"/>
                <w:color w:val="auto"/>
              </w:rPr>
              <w:t>Corporate</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417"/>
              <w:spacing w:after="0"/>
              <w:rPr>
                <w:sz w:val="20"/>
                <w:szCs w:val="20"/>
                <w:color w:val="auto"/>
              </w:rPr>
            </w:pPr>
            <w:r>
              <w:rPr>
                <w:rFonts w:ascii="Arial" w:cs="Arial" w:eastAsia="Arial" w:hAnsi="Arial"/>
                <w:sz w:val="13"/>
                <w:szCs w:val="13"/>
                <w:b w:val="1"/>
                <w:bCs w:val="1"/>
                <w:color w:val="auto"/>
              </w:rPr>
              <w:t>Total</w:t>
            </w:r>
          </w:p>
        </w:tc>
      </w:tr>
      <w:tr>
        <w:trPr>
          <w:trHeight w:val="158"/>
        </w:trPr>
        <w:tc>
          <w:tcPr>
            <w:tcW w:w="3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Trading income, net</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2,455,182</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38,066</w:t>
            </w:r>
          </w:p>
        </w:tc>
        <w:tc>
          <w:tcPr>
            <w:tcW w:w="10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jc w:val="right"/>
              <w:ind w:right="857"/>
              <w:spacing w:after="0"/>
              <w:rPr>
                <w:sz w:val="20"/>
                <w:szCs w:val="20"/>
                <w:color w:val="auto"/>
              </w:rPr>
            </w:pPr>
            <w:r>
              <w:rPr>
                <w:rFonts w:ascii="Arial" w:cs="Arial" w:eastAsia="Arial" w:hAnsi="Arial"/>
                <w:sz w:val="13"/>
                <w:szCs w:val="13"/>
                <w:color w:val="auto"/>
                <w:w w:val="82"/>
              </w:rPr>
              <w:t>$</w:t>
            </w:r>
          </w:p>
        </w:tc>
        <w:tc>
          <w:tcPr>
            <w:tcW w:w="2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jc w:val="right"/>
              <w:ind w:right="137"/>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2,493,248</w:t>
            </w:r>
          </w:p>
        </w:tc>
      </w:tr>
      <w:tr>
        <w:trPr>
          <w:trHeight w:val="163"/>
        </w:trPr>
        <w:tc>
          <w:tcPr>
            <w:tcW w:w="3780" w:type="dxa"/>
            <w:vAlign w:val="bottom"/>
            <w:gridSpan w:val="2"/>
          </w:tcPr>
          <w:p>
            <w:pPr>
              <w:ind w:left="20"/>
              <w:spacing w:after="0"/>
              <w:rPr>
                <w:sz w:val="20"/>
                <w:szCs w:val="20"/>
                <w:color w:val="auto"/>
              </w:rPr>
            </w:pPr>
            <w:r>
              <w:rPr>
                <w:rFonts w:ascii="Arial" w:cs="Arial" w:eastAsia="Arial" w:hAnsi="Arial"/>
                <w:sz w:val="13"/>
                <w:szCs w:val="13"/>
                <w:color w:val="auto"/>
              </w:rPr>
              <w:t>Commissions, net and technology services</w:t>
            </w: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52,453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548,057</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600,510</w:t>
            </w:r>
          </w:p>
        </w:tc>
      </w:tr>
      <w:tr>
        <w:trPr>
          <w:trHeight w:val="168"/>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Interest and dividends income</w:t>
            </w: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61,485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634</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6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62,119</w:t>
            </w:r>
          </w:p>
        </w:tc>
      </w:tr>
      <w:tr>
        <w:trPr>
          <w:trHeight w:val="163"/>
        </w:trPr>
        <w:tc>
          <w:tcPr>
            <w:tcW w:w="3780" w:type="dxa"/>
            <w:vAlign w:val="bottom"/>
            <w:gridSpan w:val="2"/>
          </w:tcPr>
          <w:p>
            <w:pPr>
              <w:ind w:left="20"/>
              <w:spacing w:after="0"/>
              <w:rPr>
                <w:sz w:val="20"/>
                <w:szCs w:val="20"/>
                <w:color w:val="auto"/>
              </w:rPr>
            </w:pPr>
            <w:r>
              <w:rPr>
                <w:rFonts w:ascii="Arial" w:cs="Arial" w:eastAsia="Arial" w:hAnsi="Arial"/>
                <w:sz w:val="13"/>
                <w:szCs w:val="13"/>
                <w:color w:val="auto"/>
                <w:w w:val="92"/>
              </w:rPr>
              <w:t>Brokerage, exchange, clearance fees and payments for order flow, net</w:t>
            </w: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(662,994)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(95,849)</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(758,843)</w:t>
            </w:r>
          </w:p>
        </w:tc>
      </w:tr>
      <w:tr>
        <w:trPr>
          <w:trHeight w:val="168"/>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Interest and dividends expense</w:t>
            </w: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(123,715)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(1,934)</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6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(125,649)</w:t>
            </w:r>
          </w:p>
        </w:tc>
      </w:tr>
      <w:tr>
        <w:trPr>
          <w:trHeight w:val="158"/>
        </w:trPr>
        <w:tc>
          <w:tcPr>
            <w:tcW w:w="3780" w:type="dxa"/>
            <w:vAlign w:val="bottom"/>
            <w:gridSpan w:val="2"/>
          </w:tcPr>
          <w:p>
            <w:pPr>
              <w:ind w:left="20"/>
              <w:spacing w:after="0"/>
              <w:rPr>
                <w:sz w:val="20"/>
                <w:szCs w:val="20"/>
                <w:color w:val="auto"/>
              </w:rPr>
            </w:pPr>
            <w:r>
              <w:rPr>
                <w:rFonts w:ascii="Arial" w:cs="Arial" w:eastAsia="Arial" w:hAnsi="Arial"/>
                <w:sz w:val="13"/>
                <w:szCs w:val="13"/>
                <w:color w:val="auto"/>
              </w:rPr>
              <w:t>Adjusted Net Trading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1,782,411</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488,974</w:t>
            </w:r>
          </w:p>
        </w:tc>
        <w:tc>
          <w:tcPr>
            <w:tcW w:w="100" w:type="dxa"/>
            <w:vAlign w:val="bottom"/>
          </w:tcPr>
          <w:p>
            <w:pPr>
              <w:spacing w:after="0"/>
              <w:rPr>
                <w:sz w:val="13"/>
                <w:szCs w:val="13"/>
                <w:color w:val="auto"/>
              </w:rPr>
            </w:pPr>
          </w:p>
        </w:tc>
        <w:tc>
          <w:tcPr>
            <w:tcW w:w="1000" w:type="dxa"/>
            <w:vAlign w:val="bottom"/>
            <w:tcBorders>
              <w:top w:val="single" w:sz="8" w:color="auto"/>
              <w:bottom w:val="single" w:sz="8" w:color="auto"/>
            </w:tcBorders>
          </w:tcPr>
          <w:p>
            <w:pPr>
              <w:jc w:val="right"/>
              <w:ind w:right="857"/>
              <w:spacing w:after="0"/>
              <w:rPr>
                <w:sz w:val="20"/>
                <w:szCs w:val="20"/>
                <w:color w:val="auto"/>
              </w:rPr>
            </w:pPr>
            <w:r>
              <w:rPr>
                <w:rFonts w:ascii="Arial" w:cs="Arial" w:eastAsia="Arial" w:hAnsi="Arial"/>
                <w:sz w:val="13"/>
                <w:szCs w:val="13"/>
                <w:color w:val="auto"/>
                <w:w w:val="82"/>
              </w:rPr>
              <w:t>$</w:t>
            </w:r>
          </w:p>
        </w:tc>
        <w:tc>
          <w:tcPr>
            <w:tcW w:w="2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2,271,385</w:t>
            </w:r>
          </w:p>
        </w:tc>
      </w:tr>
      <w:tr>
        <w:trPr>
          <w:trHeight w:val="20"/>
        </w:trPr>
        <w:tc>
          <w:tcPr>
            <w:tcW w:w="3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tbl>
      <w:tblPr>
        <w:tblLayout w:type="fixed"/>
        <w:tblInd w:w="1200" w:type="dxa"/>
        <w:tblCellMar>
          <w:top w:w="0" w:type="dxa"/>
          <w:left w:w="0" w:type="dxa"/>
          <w:bottom w:w="0" w:type="dxa"/>
          <w:right w:w="0" w:type="dxa"/>
        </w:tblCellMar>
      </w:tblPr>
      <w:tr>
        <w:trPr>
          <w:trHeight w:val="169"/>
        </w:trPr>
        <w:tc>
          <w:tcPr>
            <w:tcW w:w="30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3"/>
          </w:tcPr>
          <w:p>
            <w:pPr>
              <w:jc w:val="right"/>
              <w:ind w:right="197"/>
              <w:spacing w:after="0"/>
              <w:rPr>
                <w:sz w:val="20"/>
                <w:szCs w:val="20"/>
                <w:color w:val="auto"/>
              </w:rPr>
            </w:pPr>
            <w:r>
              <w:rPr>
                <w:rFonts w:ascii="Arial" w:cs="Arial" w:eastAsia="Arial" w:hAnsi="Arial"/>
                <w:sz w:val="13"/>
                <w:szCs w:val="13"/>
                <w:b w:val="1"/>
                <w:bCs w:val="1"/>
                <w:color w:val="auto"/>
                <w:w w:val="98"/>
              </w:rPr>
              <w:t>Year Ended December 31, 2019</w:t>
            </w: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gridSpan w:val="2"/>
          </w:tcPr>
          <w:p>
            <w:pPr>
              <w:ind w:left="40"/>
              <w:spacing w:after="0"/>
              <w:rPr>
                <w:sz w:val="20"/>
                <w:szCs w:val="20"/>
                <w:color w:val="auto"/>
              </w:rPr>
            </w:pPr>
            <w:r>
              <w:rPr>
                <w:rFonts w:ascii="Arial" w:cs="Arial" w:eastAsia="Arial" w:hAnsi="Arial"/>
                <w:sz w:val="13"/>
                <w:szCs w:val="13"/>
                <w:b w:val="1"/>
                <w:bCs w:val="1"/>
                <w:color w:val="auto"/>
              </w:rPr>
              <w:t>Market Making</w:t>
            </w:r>
          </w:p>
        </w:tc>
        <w:tc>
          <w:tcPr>
            <w:tcW w:w="1540" w:type="dxa"/>
            <w:vAlign w:val="bottom"/>
            <w:gridSpan w:val="3"/>
          </w:tcPr>
          <w:p>
            <w:pPr>
              <w:ind w:left="360"/>
              <w:spacing w:after="0"/>
              <w:rPr>
                <w:sz w:val="20"/>
                <w:szCs w:val="20"/>
                <w:color w:val="auto"/>
              </w:rPr>
            </w:pPr>
            <w:r>
              <w:rPr>
                <w:rFonts w:ascii="Arial" w:cs="Arial" w:eastAsia="Arial" w:hAnsi="Arial"/>
                <w:sz w:val="13"/>
                <w:szCs w:val="13"/>
                <w:b w:val="1"/>
                <w:bCs w:val="1"/>
                <w:color w:val="auto"/>
                <w:w w:val="97"/>
              </w:rPr>
              <w:t>Execution Services</w:t>
            </w:r>
          </w:p>
        </w:tc>
        <w:tc>
          <w:tcPr>
            <w:tcW w:w="1220" w:type="dxa"/>
            <w:vAlign w:val="bottom"/>
          </w:tcPr>
          <w:p>
            <w:pPr>
              <w:jc w:val="right"/>
              <w:spacing w:after="0"/>
              <w:rPr>
                <w:sz w:val="20"/>
                <w:szCs w:val="20"/>
                <w:color w:val="auto"/>
              </w:rPr>
            </w:pPr>
            <w:r>
              <w:rPr>
                <w:rFonts w:ascii="Arial" w:cs="Arial" w:eastAsia="Arial" w:hAnsi="Arial"/>
                <w:sz w:val="13"/>
                <w:szCs w:val="13"/>
                <w:b w:val="1"/>
                <w:bCs w:val="1"/>
                <w:color w:val="auto"/>
              </w:rPr>
              <w:t>Corporate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ind w:left="18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8"/>
        </w:trPr>
        <w:tc>
          <w:tcPr>
            <w:tcW w:w="304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3"/>
                <w:szCs w:val="13"/>
                <w:color w:val="auto"/>
              </w:rPr>
              <w:t>Trading income, net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908,328</w:t>
            </w:r>
          </w:p>
        </w:tc>
        <w:tc>
          <w:tcPr>
            <w:tcW w:w="10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3,988</w:t>
            </w:r>
          </w:p>
        </w:tc>
        <w:tc>
          <w:tcPr>
            <w:tcW w:w="100" w:type="dxa"/>
            <w:vAlign w:val="bottom"/>
            <w:tcBorders>
              <w:top w:val="single" w:sz="8" w:color="CCEEFF"/>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jc w:val="right"/>
              <w:ind w:right="797"/>
              <w:spacing w:after="0"/>
              <w:rPr>
                <w:sz w:val="20"/>
                <w:szCs w:val="20"/>
                <w:color w:val="auto"/>
              </w:rPr>
            </w:pPr>
            <w:r>
              <w:rPr>
                <w:rFonts w:ascii="Arial" w:cs="Arial" w:eastAsia="Arial" w:hAnsi="Arial"/>
                <w:sz w:val="13"/>
                <w:szCs w:val="13"/>
                <w:color w:val="auto"/>
              </w:rPr>
              <w:t>$</w:t>
            </w:r>
          </w:p>
        </w:tc>
        <w:tc>
          <w:tcPr>
            <w:tcW w:w="2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880" w:type="dxa"/>
            <w:vAlign w:val="bottom"/>
            <w:tcBorders>
              <w:top w:val="single" w:sz="8" w:color="auto"/>
            </w:tcBorders>
            <w:shd w:val="clear" w:color="auto" w:fill="CCEEFF"/>
          </w:tcPr>
          <w:p>
            <w:pPr>
              <w:jc w:val="center"/>
              <w:ind w:left="317"/>
              <w:spacing w:after="0"/>
              <w:rPr>
                <w:sz w:val="20"/>
                <w:szCs w:val="20"/>
                <w:color w:val="auto"/>
              </w:rPr>
            </w:pPr>
            <w:r>
              <w:rPr>
                <w:rFonts w:ascii="Arial" w:cs="Arial" w:eastAsia="Arial" w:hAnsi="Arial"/>
                <w:sz w:val="13"/>
                <w:szCs w:val="13"/>
                <w:color w:val="auto"/>
                <w:w w:val="89"/>
              </w:rPr>
              <w:t>912,316</w:t>
            </w:r>
          </w:p>
        </w:tc>
        <w:tc>
          <w:tcPr>
            <w:tcW w:w="0" w:type="dxa"/>
            <w:vAlign w:val="bottom"/>
          </w:tcPr>
          <w:p>
            <w:pPr>
              <w:spacing w:after="0"/>
              <w:rPr>
                <w:sz w:val="1"/>
                <w:szCs w:val="1"/>
                <w:color w:val="auto"/>
              </w:rPr>
            </w:pPr>
          </w:p>
        </w:tc>
      </w:tr>
      <w:tr>
        <w:trPr>
          <w:trHeight w:val="163"/>
        </w:trPr>
        <w:tc>
          <w:tcPr>
            <w:tcW w:w="3040" w:type="dxa"/>
            <w:vAlign w:val="bottom"/>
          </w:tcPr>
          <w:p>
            <w:pPr>
              <w:ind w:left="300"/>
              <w:spacing w:after="0"/>
              <w:rPr>
                <w:sz w:val="20"/>
                <w:szCs w:val="20"/>
                <w:color w:val="auto"/>
              </w:rPr>
            </w:pPr>
            <w:r>
              <w:rPr>
                <w:rFonts w:ascii="Arial" w:cs="Arial" w:eastAsia="Arial" w:hAnsi="Arial"/>
                <w:sz w:val="13"/>
                <w:szCs w:val="13"/>
                <w:color w:val="auto"/>
              </w:rPr>
              <w:t>Commissions, net and technology services</w:t>
            </w:r>
          </w:p>
        </w:tc>
        <w:tc>
          <w:tcPr>
            <w:tcW w:w="4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23,526</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475,018</w:t>
            </w: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4"/>
                <w:szCs w:val="14"/>
                <w:color w:val="auto"/>
              </w:rPr>
            </w:pPr>
          </w:p>
        </w:tc>
        <w:tc>
          <w:tcPr>
            <w:tcW w:w="880" w:type="dxa"/>
            <w:vAlign w:val="bottom"/>
          </w:tcPr>
          <w:p>
            <w:pPr>
              <w:jc w:val="center"/>
              <w:ind w:left="317"/>
              <w:spacing w:after="0"/>
              <w:rPr>
                <w:sz w:val="20"/>
                <w:szCs w:val="20"/>
                <w:color w:val="auto"/>
              </w:rPr>
            </w:pPr>
            <w:r>
              <w:rPr>
                <w:rFonts w:ascii="Arial" w:cs="Arial" w:eastAsia="Arial" w:hAnsi="Arial"/>
                <w:sz w:val="13"/>
                <w:szCs w:val="13"/>
                <w:color w:val="auto"/>
                <w:w w:val="89"/>
              </w:rPr>
              <w:t>498,544</w:t>
            </w:r>
          </w:p>
        </w:tc>
        <w:tc>
          <w:tcPr>
            <w:tcW w:w="0" w:type="dxa"/>
            <w:vAlign w:val="bottom"/>
          </w:tcPr>
          <w:p>
            <w:pPr>
              <w:spacing w:after="0"/>
              <w:rPr>
                <w:sz w:val="1"/>
                <w:szCs w:val="1"/>
                <w:color w:val="auto"/>
              </w:rPr>
            </w:pPr>
          </w:p>
        </w:tc>
      </w:tr>
      <w:tr>
        <w:trPr>
          <w:trHeight w:val="168"/>
        </w:trPr>
        <w:tc>
          <w:tcPr>
            <w:tcW w:w="3040" w:type="dxa"/>
            <w:vAlign w:val="bottom"/>
            <w:shd w:val="clear" w:color="auto" w:fill="CCEEFF"/>
          </w:tcPr>
          <w:p>
            <w:pPr>
              <w:ind w:left="300"/>
              <w:spacing w:after="0"/>
              <w:rPr>
                <w:sz w:val="20"/>
                <w:szCs w:val="20"/>
                <w:color w:val="auto"/>
              </w:rPr>
            </w:pPr>
            <w:r>
              <w:rPr>
                <w:rFonts w:ascii="Arial" w:cs="Arial" w:eastAsia="Arial" w:hAnsi="Arial"/>
                <w:sz w:val="13"/>
                <w:szCs w:val="13"/>
                <w:color w:val="auto"/>
              </w:rPr>
              <w:t>Interest and dividends income</w:t>
            </w:r>
          </w:p>
        </w:tc>
        <w:tc>
          <w:tcPr>
            <w:tcW w:w="4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96,197</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12,581</w:t>
            </w: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spacing w:after="0"/>
              <w:rPr>
                <w:sz w:val="14"/>
                <w:szCs w:val="14"/>
                <w:color w:val="auto"/>
              </w:rPr>
            </w:pPr>
          </w:p>
        </w:tc>
        <w:tc>
          <w:tcPr>
            <w:tcW w:w="880" w:type="dxa"/>
            <w:vAlign w:val="bottom"/>
            <w:shd w:val="clear" w:color="auto" w:fill="CCEEFF"/>
          </w:tcPr>
          <w:p>
            <w:pPr>
              <w:jc w:val="center"/>
              <w:ind w:left="317"/>
              <w:spacing w:after="0"/>
              <w:rPr>
                <w:sz w:val="20"/>
                <w:szCs w:val="20"/>
                <w:color w:val="auto"/>
              </w:rPr>
            </w:pPr>
            <w:r>
              <w:rPr>
                <w:rFonts w:ascii="Arial" w:cs="Arial" w:eastAsia="Arial" w:hAnsi="Arial"/>
                <w:sz w:val="13"/>
                <w:szCs w:val="13"/>
                <w:color w:val="auto"/>
                <w:w w:val="89"/>
              </w:rPr>
              <w:t>108,778</w:t>
            </w:r>
          </w:p>
        </w:tc>
        <w:tc>
          <w:tcPr>
            <w:tcW w:w="0" w:type="dxa"/>
            <w:vAlign w:val="bottom"/>
          </w:tcPr>
          <w:p>
            <w:pPr>
              <w:spacing w:after="0"/>
              <w:rPr>
                <w:sz w:val="1"/>
                <w:szCs w:val="1"/>
                <w:color w:val="auto"/>
              </w:rPr>
            </w:pPr>
          </w:p>
        </w:tc>
      </w:tr>
      <w:tr>
        <w:trPr>
          <w:trHeight w:val="118"/>
        </w:trPr>
        <w:tc>
          <w:tcPr>
            <w:tcW w:w="3040" w:type="dxa"/>
            <w:vAlign w:val="bottom"/>
          </w:tcPr>
          <w:p>
            <w:pPr>
              <w:ind w:left="300"/>
              <w:spacing w:after="0" w:line="119" w:lineRule="exact"/>
              <w:rPr>
                <w:sz w:val="20"/>
                <w:szCs w:val="20"/>
                <w:color w:val="auto"/>
              </w:rPr>
            </w:pPr>
            <w:r>
              <w:rPr>
                <w:rFonts w:ascii="Arial" w:cs="Arial" w:eastAsia="Arial" w:hAnsi="Arial"/>
                <w:sz w:val="13"/>
                <w:szCs w:val="13"/>
                <w:color w:val="auto"/>
                <w:w w:val="90"/>
              </w:rPr>
              <w:t>Brokerage, exchange, clearance fees and payments</w:t>
            </w:r>
          </w:p>
        </w:tc>
        <w:tc>
          <w:tcPr>
            <w:tcW w:w="40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(277,668)</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(109,220)</w:t>
            </w: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340" w:type="dxa"/>
            <w:vAlign w:val="bottom"/>
            <w:gridSpan w:val="2"/>
            <w:vMerge w:val="restart"/>
          </w:tcPr>
          <w:p>
            <w:pPr>
              <w:ind w:left="60"/>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0"/>
                <w:szCs w:val="10"/>
                <w:color w:val="auto"/>
              </w:rPr>
            </w:pPr>
          </w:p>
        </w:tc>
        <w:tc>
          <w:tcPr>
            <w:tcW w:w="880" w:type="dxa"/>
            <w:vAlign w:val="bottom"/>
            <w:vMerge w:val="restart"/>
          </w:tcPr>
          <w:p>
            <w:pPr>
              <w:jc w:val="center"/>
              <w:ind w:left="297"/>
              <w:spacing w:after="0"/>
              <w:rPr>
                <w:sz w:val="20"/>
                <w:szCs w:val="20"/>
                <w:color w:val="auto"/>
              </w:rPr>
            </w:pPr>
            <w:r>
              <w:rPr>
                <w:rFonts w:ascii="Arial" w:cs="Arial" w:eastAsia="Arial" w:hAnsi="Arial"/>
                <w:sz w:val="13"/>
                <w:szCs w:val="13"/>
                <w:color w:val="auto"/>
                <w:w w:val="86"/>
              </w:rPr>
              <w:t>(386,888)</w:t>
            </w:r>
          </w:p>
        </w:tc>
        <w:tc>
          <w:tcPr>
            <w:tcW w:w="0" w:type="dxa"/>
            <w:vAlign w:val="bottom"/>
          </w:tcPr>
          <w:p>
            <w:pPr>
              <w:spacing w:after="0"/>
              <w:rPr>
                <w:sz w:val="1"/>
                <w:szCs w:val="1"/>
                <w:color w:val="auto"/>
              </w:rPr>
            </w:pPr>
          </w:p>
        </w:tc>
      </w:tr>
      <w:tr>
        <w:trPr>
          <w:trHeight w:val="163"/>
        </w:trPr>
        <w:tc>
          <w:tcPr>
            <w:tcW w:w="3040" w:type="dxa"/>
            <w:vAlign w:val="bottom"/>
          </w:tcPr>
          <w:p>
            <w:pPr>
              <w:ind w:left="20"/>
              <w:spacing w:after="0"/>
              <w:rPr>
                <w:sz w:val="20"/>
                <w:szCs w:val="20"/>
                <w:color w:val="auto"/>
              </w:rPr>
            </w:pPr>
            <w:r>
              <w:rPr>
                <w:rFonts w:ascii="Arial" w:cs="Arial" w:eastAsia="Arial" w:hAnsi="Arial"/>
                <w:sz w:val="13"/>
                <w:szCs w:val="13"/>
                <w:color w:val="auto"/>
              </w:rPr>
              <w:t>for order flow, net</w:t>
            </w:r>
          </w:p>
        </w:tc>
        <w:tc>
          <w:tcPr>
            <w:tcW w:w="4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040" w:type="dxa"/>
            <w:vAlign w:val="bottom"/>
            <w:shd w:val="clear" w:color="auto" w:fill="CCEEFF"/>
          </w:tcPr>
          <w:p>
            <w:pPr>
              <w:ind w:left="300"/>
              <w:spacing w:after="0"/>
              <w:rPr>
                <w:sz w:val="20"/>
                <w:szCs w:val="20"/>
                <w:color w:val="auto"/>
              </w:rPr>
            </w:pPr>
            <w:r>
              <w:rPr>
                <w:rFonts w:ascii="Arial" w:cs="Arial" w:eastAsia="Arial" w:hAnsi="Arial"/>
                <w:sz w:val="13"/>
                <w:szCs w:val="13"/>
                <w:color w:val="auto"/>
              </w:rPr>
              <w:t>Interest and dividends expense</w:t>
            </w:r>
          </w:p>
        </w:tc>
        <w:tc>
          <w:tcPr>
            <w:tcW w:w="4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(145,782)</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(12,257)</w:t>
            </w: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spacing w:after="0"/>
              <w:rPr>
                <w:sz w:val="14"/>
                <w:szCs w:val="14"/>
                <w:color w:val="auto"/>
              </w:rPr>
            </w:pPr>
          </w:p>
        </w:tc>
        <w:tc>
          <w:tcPr>
            <w:tcW w:w="880" w:type="dxa"/>
            <w:vAlign w:val="bottom"/>
            <w:shd w:val="clear" w:color="auto" w:fill="CCEEFF"/>
          </w:tcPr>
          <w:p>
            <w:pPr>
              <w:jc w:val="center"/>
              <w:ind w:left="297"/>
              <w:spacing w:after="0"/>
              <w:rPr>
                <w:sz w:val="20"/>
                <w:szCs w:val="20"/>
                <w:color w:val="auto"/>
              </w:rPr>
            </w:pPr>
            <w:r>
              <w:rPr>
                <w:rFonts w:ascii="Arial" w:cs="Arial" w:eastAsia="Arial" w:hAnsi="Arial"/>
                <w:sz w:val="13"/>
                <w:szCs w:val="13"/>
                <w:color w:val="auto"/>
                <w:w w:val="86"/>
              </w:rPr>
              <w:t>(158,039)</w:t>
            </w:r>
          </w:p>
        </w:tc>
        <w:tc>
          <w:tcPr>
            <w:tcW w:w="0" w:type="dxa"/>
            <w:vAlign w:val="bottom"/>
          </w:tcPr>
          <w:p>
            <w:pPr>
              <w:spacing w:after="0"/>
              <w:rPr>
                <w:sz w:val="1"/>
                <w:szCs w:val="1"/>
                <w:color w:val="auto"/>
              </w:rPr>
            </w:pPr>
          </w:p>
        </w:tc>
      </w:tr>
      <w:tr>
        <w:trPr>
          <w:trHeight w:val="158"/>
        </w:trPr>
        <w:tc>
          <w:tcPr>
            <w:tcW w:w="3040" w:type="dxa"/>
            <w:vAlign w:val="bottom"/>
          </w:tcPr>
          <w:p>
            <w:pPr>
              <w:ind w:left="300"/>
              <w:spacing w:after="0"/>
              <w:rPr>
                <w:sz w:val="20"/>
                <w:szCs w:val="20"/>
                <w:color w:val="auto"/>
              </w:rPr>
            </w:pPr>
            <w:r>
              <w:rPr>
                <w:rFonts w:ascii="Arial" w:cs="Arial" w:eastAsia="Arial" w:hAnsi="Arial"/>
                <w:sz w:val="13"/>
                <w:szCs w:val="13"/>
                <w:color w:val="auto"/>
              </w:rPr>
              <w:t>Adjusted Net Trading Income</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604,601</w:t>
            </w:r>
          </w:p>
        </w:tc>
        <w:tc>
          <w:tcPr>
            <w:tcW w:w="10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ind w:right="157"/>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370,110</w:t>
            </w:r>
          </w:p>
        </w:tc>
        <w:tc>
          <w:tcPr>
            <w:tcW w:w="100" w:type="dxa"/>
            <w:vAlign w:val="bottom"/>
          </w:tcPr>
          <w:p>
            <w:pPr>
              <w:spacing w:after="0"/>
              <w:rPr>
                <w:sz w:val="13"/>
                <w:szCs w:val="13"/>
                <w:color w:val="auto"/>
              </w:rPr>
            </w:pPr>
          </w:p>
        </w:tc>
        <w:tc>
          <w:tcPr>
            <w:tcW w:w="1220" w:type="dxa"/>
            <w:vAlign w:val="bottom"/>
            <w:tcBorders>
              <w:top w:val="single" w:sz="8" w:color="auto"/>
              <w:bottom w:val="single" w:sz="8" w:color="auto"/>
            </w:tcBorders>
          </w:tcPr>
          <w:p>
            <w:pPr>
              <w:jc w:val="right"/>
              <w:ind w:right="797"/>
              <w:spacing w:after="0"/>
              <w:rPr>
                <w:sz w:val="20"/>
                <w:szCs w:val="20"/>
                <w:color w:val="auto"/>
              </w:rPr>
            </w:pPr>
            <w:r>
              <w:rPr>
                <w:rFonts w:ascii="Arial" w:cs="Arial" w:eastAsia="Arial" w:hAnsi="Arial"/>
                <w:sz w:val="13"/>
                <w:szCs w:val="13"/>
                <w:color w:val="auto"/>
              </w:rPr>
              <w:t>$</w:t>
            </w:r>
          </w:p>
        </w:tc>
        <w:tc>
          <w:tcPr>
            <w:tcW w:w="2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3"/>
                <w:szCs w:val="13"/>
                <w:color w:val="auto"/>
              </w:rPr>
              <w:t>$</w:t>
            </w:r>
          </w:p>
        </w:tc>
        <w:tc>
          <w:tcPr>
            <w:tcW w:w="880" w:type="dxa"/>
            <w:vAlign w:val="bottom"/>
            <w:tcBorders>
              <w:top w:val="single" w:sz="8" w:color="auto"/>
              <w:bottom w:val="single" w:sz="8" w:color="auto"/>
            </w:tcBorders>
          </w:tcPr>
          <w:p>
            <w:pPr>
              <w:jc w:val="center"/>
              <w:ind w:left="317"/>
              <w:spacing w:after="0"/>
              <w:rPr>
                <w:sz w:val="20"/>
                <w:szCs w:val="20"/>
                <w:color w:val="auto"/>
              </w:rPr>
            </w:pPr>
            <w:r>
              <w:rPr>
                <w:rFonts w:ascii="Arial" w:cs="Arial" w:eastAsia="Arial" w:hAnsi="Arial"/>
                <w:sz w:val="13"/>
                <w:szCs w:val="13"/>
                <w:color w:val="auto"/>
                <w:w w:val="89"/>
              </w:rPr>
              <w:t>974,711</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180" w:firstLine="568"/>
        <w:spacing w:after="0" w:line="268" w:lineRule="auto"/>
        <w:rPr>
          <w:sz w:val="20"/>
          <w:szCs w:val="20"/>
          <w:color w:val="auto"/>
        </w:rPr>
      </w:pPr>
      <w:r>
        <w:rPr>
          <w:rFonts w:ascii="Arial" w:cs="Arial" w:eastAsia="Arial" w:hAnsi="Arial"/>
          <w:sz w:val="16"/>
          <w:szCs w:val="16"/>
          <w:color w:val="auto"/>
        </w:rPr>
        <w:t>The following table shows our Adjusted Net Trading Income and average daily Adjusted Net Trading Income by segment for the years ended December 31, 2021, 2020 and 2019:</w:t>
      </w:r>
    </w:p>
    <w:p>
      <w:pPr>
        <w:spacing w:after="0" w:line="305" w:lineRule="exact"/>
        <w:rPr>
          <w:sz w:val="20"/>
          <w:szCs w:val="20"/>
          <w:color w:val="auto"/>
        </w:rPr>
      </w:pPr>
    </w:p>
    <w:tbl>
      <w:tblPr>
        <w:tblLayout w:type="fixed"/>
        <w:tblInd w:w="280" w:type="dxa"/>
        <w:tblCellMar>
          <w:top w:w="0" w:type="dxa"/>
          <w:left w:w="0" w:type="dxa"/>
          <w:bottom w:w="0" w:type="dxa"/>
          <w:right w:w="0" w:type="dxa"/>
        </w:tblCellMar>
      </w:tblPr>
      <w:tr>
        <w:trPr>
          <w:trHeight w:val="149"/>
        </w:trPr>
        <w:tc>
          <w:tcPr>
            <w:tcW w:w="900" w:type="dxa"/>
            <w:vAlign w:val="bottom"/>
            <w:gridSpan w:val="2"/>
          </w:tcPr>
          <w:p>
            <w:pPr>
              <w:ind w:left="300"/>
              <w:spacing w:after="0"/>
              <w:rPr>
                <w:sz w:val="20"/>
                <w:szCs w:val="20"/>
                <w:color w:val="auto"/>
              </w:rPr>
            </w:pPr>
            <w:r>
              <w:rPr>
                <w:rFonts w:ascii="Arial" w:cs="Arial" w:eastAsia="Arial" w:hAnsi="Arial"/>
                <w:sz w:val="13"/>
                <w:szCs w:val="13"/>
                <w:b w:val="1"/>
                <w:bCs w:val="1"/>
                <w:color w:val="auto"/>
              </w:rPr>
              <w:t>(in</w:t>
            </w: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90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thousands,</w:t>
            </w: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0" w:type="dxa"/>
            <w:vAlign w:val="bottom"/>
            <w:vMerge w:val="restart"/>
          </w:tcPr>
          <w:p>
            <w:pPr>
              <w:jc w:val="right"/>
              <w:ind w:right="257"/>
              <w:spacing w:after="0"/>
              <w:rPr>
                <w:sz w:val="20"/>
                <w:szCs w:val="20"/>
                <w:color w:val="auto"/>
              </w:rPr>
            </w:pPr>
            <w:r>
              <w:rPr>
                <w:rFonts w:ascii="Arial" w:cs="Arial" w:eastAsia="Arial" w:hAnsi="Arial"/>
                <w:sz w:val="13"/>
                <w:szCs w:val="13"/>
                <w:b w:val="1"/>
                <w:bCs w:val="1"/>
                <w:color w:val="auto"/>
                <w:w w:val="89"/>
              </w:rPr>
              <w:t>2021</w:t>
            </w: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0" w:type="dxa"/>
            <w:vAlign w:val="bottom"/>
            <w:vMerge w:val="restart"/>
          </w:tcPr>
          <w:p>
            <w:pPr>
              <w:jc w:val="right"/>
              <w:ind w:right="257"/>
              <w:spacing w:after="0"/>
              <w:rPr>
                <w:sz w:val="20"/>
                <w:szCs w:val="20"/>
                <w:color w:val="auto"/>
              </w:rPr>
            </w:pPr>
            <w:r>
              <w:rPr>
                <w:rFonts w:ascii="Arial" w:cs="Arial" w:eastAsia="Arial" w:hAnsi="Arial"/>
                <w:sz w:val="13"/>
                <w:szCs w:val="13"/>
                <w:b w:val="1"/>
                <w:bCs w:val="1"/>
                <w:color w:val="auto"/>
                <w:w w:val="89"/>
              </w:rPr>
              <w:t>2020</w:t>
            </w: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0" w:type="dxa"/>
            <w:vAlign w:val="bottom"/>
            <w:vMerge w:val="restart"/>
          </w:tcPr>
          <w:p>
            <w:pPr>
              <w:jc w:val="right"/>
              <w:ind w:right="217"/>
              <w:spacing w:after="0"/>
              <w:rPr>
                <w:sz w:val="20"/>
                <w:szCs w:val="20"/>
                <w:color w:val="auto"/>
              </w:rPr>
            </w:pPr>
            <w:r>
              <w:rPr>
                <w:rFonts w:ascii="Arial" w:cs="Arial" w:eastAsia="Arial" w:hAnsi="Arial"/>
                <w:sz w:val="13"/>
                <w:szCs w:val="13"/>
                <w:b w:val="1"/>
                <w:bCs w:val="1"/>
                <w:color w:val="auto"/>
              </w:rPr>
              <w:t>2019</w:t>
            </w: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900" w:type="dxa"/>
            <w:vAlign w:val="bottom"/>
            <w:gridSpan w:val="2"/>
          </w:tcPr>
          <w:p>
            <w:pPr>
              <w:ind w:left="20"/>
              <w:spacing w:after="0"/>
              <w:rPr>
                <w:sz w:val="20"/>
                <w:szCs w:val="20"/>
                <w:color w:val="auto"/>
              </w:rPr>
            </w:pPr>
            <w:r>
              <w:rPr>
                <w:rFonts w:ascii="Arial" w:cs="Arial" w:eastAsia="Arial" w:hAnsi="Arial"/>
                <w:sz w:val="13"/>
                <w:szCs w:val="13"/>
                <w:b w:val="1"/>
                <w:bCs w:val="1"/>
                <w:color w:val="auto"/>
              </w:rPr>
              <w:t>except %)</w:t>
            </w: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820" w:type="dxa"/>
            <w:vAlign w:val="bottom"/>
            <w:tcBorders>
              <w:top w:val="single" w:sz="8" w:color="auto"/>
            </w:tcBorders>
          </w:tcPr>
          <w:p>
            <w:pPr>
              <w:ind w:left="300"/>
              <w:spacing w:after="0" w:line="111" w:lineRule="exact"/>
              <w:rPr>
                <w:sz w:val="20"/>
                <w:szCs w:val="20"/>
                <w:color w:val="auto"/>
              </w:rPr>
            </w:pPr>
            <w:r>
              <w:rPr>
                <w:rFonts w:ascii="Arial" w:cs="Arial" w:eastAsia="Arial" w:hAnsi="Arial"/>
                <w:sz w:val="12"/>
                <w:szCs w:val="12"/>
                <w:b w:val="1"/>
                <w:bCs w:val="1"/>
                <w:color w:val="auto"/>
                <w:w w:val="97"/>
              </w:rPr>
              <w:t>Adjusted</w:t>
            </w:r>
          </w:p>
        </w:tc>
        <w:tc>
          <w:tcPr>
            <w:tcW w:w="8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90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Net Trading</w:t>
            </w: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Average</w:t>
            </w: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8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Average</w:t>
            </w: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Average</w:t>
            </w:r>
          </w:p>
        </w:tc>
        <w:tc>
          <w:tcPr>
            <w:tcW w:w="6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0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Income by</w:t>
            </w:r>
          </w:p>
        </w:tc>
        <w:tc>
          <w:tcPr>
            <w:tcW w:w="480" w:type="dxa"/>
            <w:vAlign w:val="bottom"/>
          </w:tcPr>
          <w:p>
            <w:pPr>
              <w:spacing w:after="0"/>
              <w:rPr>
                <w:sz w:val="10"/>
                <w:szCs w:val="10"/>
                <w:color w:val="auto"/>
              </w:rPr>
            </w:pPr>
          </w:p>
        </w:tc>
        <w:tc>
          <w:tcPr>
            <w:tcW w:w="80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Total</w:t>
            </w:r>
          </w:p>
        </w:tc>
        <w:tc>
          <w:tcPr>
            <w:tcW w:w="40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580" w:type="dxa"/>
            <w:vAlign w:val="bottom"/>
          </w:tcPr>
          <w:p>
            <w:pPr>
              <w:spacing w:after="0"/>
              <w:rPr>
                <w:sz w:val="10"/>
                <w:szCs w:val="10"/>
                <w:color w:val="auto"/>
              </w:rPr>
            </w:pPr>
          </w:p>
        </w:tc>
        <w:tc>
          <w:tcPr>
            <w:tcW w:w="440" w:type="dxa"/>
            <w:vAlign w:val="bottom"/>
            <w:vMerge w:val="restart"/>
          </w:tcPr>
          <w:p>
            <w:pPr>
              <w:jc w:val="right"/>
              <w:ind w:right="257"/>
              <w:spacing w:after="0"/>
              <w:rPr>
                <w:sz w:val="20"/>
                <w:szCs w:val="20"/>
                <w:color w:val="auto"/>
              </w:rPr>
            </w:pPr>
            <w:r>
              <w:rPr>
                <w:rFonts w:ascii="Arial" w:cs="Arial" w:eastAsia="Arial" w:hAnsi="Arial"/>
                <w:sz w:val="13"/>
                <w:szCs w:val="13"/>
                <w:b w:val="1"/>
                <w:bCs w:val="1"/>
                <w:color w:val="auto"/>
                <w:w w:val="86"/>
              </w:rPr>
              <w:t>%</w:t>
            </w: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Total</w:t>
            </w:r>
          </w:p>
        </w:tc>
        <w:tc>
          <w:tcPr>
            <w:tcW w:w="38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580" w:type="dxa"/>
            <w:vAlign w:val="bottom"/>
          </w:tcPr>
          <w:p>
            <w:pPr>
              <w:spacing w:after="0"/>
              <w:rPr>
                <w:sz w:val="10"/>
                <w:szCs w:val="10"/>
                <w:color w:val="auto"/>
              </w:rPr>
            </w:pPr>
          </w:p>
        </w:tc>
        <w:tc>
          <w:tcPr>
            <w:tcW w:w="440" w:type="dxa"/>
            <w:vAlign w:val="bottom"/>
            <w:vMerge w:val="restart"/>
          </w:tcPr>
          <w:p>
            <w:pPr>
              <w:jc w:val="right"/>
              <w:ind w:right="237"/>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Total</w:t>
            </w:r>
          </w:p>
        </w:tc>
        <w:tc>
          <w:tcPr>
            <w:tcW w:w="40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600" w:type="dxa"/>
            <w:vAlign w:val="bottom"/>
          </w:tcPr>
          <w:p>
            <w:pPr>
              <w:spacing w:after="0"/>
              <w:rPr>
                <w:sz w:val="10"/>
                <w:szCs w:val="10"/>
                <w:color w:val="auto"/>
              </w:rPr>
            </w:pPr>
          </w:p>
        </w:tc>
        <w:tc>
          <w:tcPr>
            <w:tcW w:w="420" w:type="dxa"/>
            <w:vAlign w:val="bottom"/>
            <w:vMerge w:val="restart"/>
          </w:tcPr>
          <w:p>
            <w:pPr>
              <w:jc w:val="right"/>
              <w:ind w:right="237"/>
              <w:spacing w:after="0"/>
              <w:rPr>
                <w:sz w:val="20"/>
                <w:szCs w:val="20"/>
                <w:color w:val="auto"/>
              </w:rPr>
            </w:pPr>
            <w:r>
              <w:rPr>
                <w:rFonts w:ascii="Arial" w:cs="Arial" w:eastAsia="Arial" w:hAnsi="Arial"/>
                <w:sz w:val="13"/>
                <w:szCs w:val="13"/>
                <w:b w:val="1"/>
                <w:bCs w:val="1"/>
                <w:color w:val="auto"/>
                <w:w w:val="86"/>
              </w:rPr>
              <w:t>%</w:t>
            </w:r>
          </w:p>
        </w:tc>
        <w:tc>
          <w:tcPr>
            <w:tcW w:w="0" w:type="dxa"/>
            <w:vAlign w:val="bottom"/>
          </w:tcPr>
          <w:p>
            <w:pPr>
              <w:spacing w:after="0"/>
              <w:rPr>
                <w:sz w:val="1"/>
                <w:szCs w:val="1"/>
                <w:color w:val="auto"/>
              </w:rPr>
            </w:pPr>
          </w:p>
        </w:tc>
      </w:tr>
      <w:tr>
        <w:trPr>
          <w:trHeight w:val="165"/>
        </w:trPr>
        <w:tc>
          <w:tcPr>
            <w:tcW w:w="900" w:type="dxa"/>
            <w:vAlign w:val="bottom"/>
            <w:gridSpan w:val="2"/>
          </w:tcPr>
          <w:p>
            <w:pPr>
              <w:ind w:left="20"/>
              <w:spacing w:after="0"/>
              <w:rPr>
                <w:sz w:val="20"/>
                <w:szCs w:val="20"/>
                <w:color w:val="auto"/>
              </w:rPr>
            </w:pPr>
            <w:r>
              <w:rPr>
                <w:rFonts w:ascii="Arial" w:cs="Arial" w:eastAsia="Arial" w:hAnsi="Arial"/>
                <w:sz w:val="13"/>
                <w:szCs w:val="13"/>
                <w:b w:val="1"/>
                <w:bCs w:val="1"/>
                <w:color w:val="auto"/>
              </w:rPr>
              <w:t>Segment:</w:t>
            </w:r>
          </w:p>
        </w:tc>
        <w:tc>
          <w:tcPr>
            <w:tcW w:w="4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80" w:type="dxa"/>
            <w:vAlign w:val="bottom"/>
            <w:gridSpan w:val="3"/>
          </w:tcPr>
          <w:p>
            <w:pPr>
              <w:ind w:left="360"/>
              <w:spacing w:after="0"/>
              <w:rPr>
                <w:sz w:val="20"/>
                <w:szCs w:val="20"/>
                <w:color w:val="auto"/>
              </w:rPr>
            </w:pPr>
            <w:r>
              <w:rPr>
                <w:rFonts w:ascii="Arial" w:cs="Arial" w:eastAsia="Arial" w:hAnsi="Arial"/>
                <w:sz w:val="13"/>
                <w:szCs w:val="13"/>
                <w:b w:val="1"/>
                <w:bCs w:val="1"/>
                <w:color w:val="auto"/>
              </w:rPr>
              <w:t>Daily</w:t>
            </w:r>
          </w:p>
        </w:tc>
        <w:tc>
          <w:tcPr>
            <w:tcW w:w="58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60" w:type="dxa"/>
            <w:vAlign w:val="bottom"/>
            <w:gridSpan w:val="3"/>
          </w:tcPr>
          <w:p>
            <w:pPr>
              <w:ind w:left="340"/>
              <w:spacing w:after="0"/>
              <w:rPr>
                <w:sz w:val="20"/>
                <w:szCs w:val="20"/>
                <w:color w:val="auto"/>
              </w:rPr>
            </w:pPr>
            <w:r>
              <w:rPr>
                <w:rFonts w:ascii="Arial" w:cs="Arial" w:eastAsia="Arial" w:hAnsi="Arial"/>
                <w:sz w:val="13"/>
                <w:szCs w:val="13"/>
                <w:b w:val="1"/>
                <w:bCs w:val="1"/>
                <w:color w:val="auto"/>
              </w:rPr>
              <w:t>Daily</w:t>
            </w:r>
          </w:p>
        </w:tc>
        <w:tc>
          <w:tcPr>
            <w:tcW w:w="58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60" w:type="dxa"/>
            <w:vAlign w:val="bottom"/>
            <w:gridSpan w:val="3"/>
          </w:tcPr>
          <w:p>
            <w:pPr>
              <w:ind w:left="360"/>
              <w:spacing w:after="0"/>
              <w:rPr>
                <w:sz w:val="20"/>
                <w:szCs w:val="20"/>
                <w:color w:val="auto"/>
              </w:rPr>
            </w:pPr>
            <w:r>
              <w:rPr>
                <w:rFonts w:ascii="Arial" w:cs="Arial" w:eastAsia="Arial" w:hAnsi="Arial"/>
                <w:sz w:val="13"/>
                <w:szCs w:val="13"/>
                <w:b w:val="1"/>
                <w:bCs w:val="1"/>
                <w:color w:val="auto"/>
              </w:rPr>
              <w:t>Daily</w:t>
            </w:r>
          </w:p>
        </w:tc>
        <w:tc>
          <w:tcPr>
            <w:tcW w:w="60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9"/>
        </w:trPr>
        <w:tc>
          <w:tcPr>
            <w:tcW w:w="900" w:type="dxa"/>
            <w:vAlign w:val="bottom"/>
            <w:tcBorders>
              <w:top w:val="single" w:sz="8" w:color="CCEEFF"/>
            </w:tcBorders>
            <w:gridSpan w:val="2"/>
            <w:shd w:val="clear" w:color="auto" w:fill="CCEEFF"/>
          </w:tcPr>
          <w:p>
            <w:pPr>
              <w:ind w:left="300"/>
              <w:spacing w:after="0" w:line="99" w:lineRule="exact"/>
              <w:rPr>
                <w:sz w:val="20"/>
                <w:szCs w:val="20"/>
                <w:color w:val="auto"/>
              </w:rPr>
            </w:pPr>
            <w:r>
              <w:rPr>
                <w:rFonts w:ascii="Arial" w:cs="Arial" w:eastAsia="Arial" w:hAnsi="Arial"/>
                <w:sz w:val="11"/>
                <w:szCs w:val="11"/>
                <w:color w:val="auto"/>
              </w:rPr>
              <w:t>Market</w:t>
            </w:r>
          </w:p>
        </w:tc>
        <w:tc>
          <w:tcPr>
            <w:tcW w:w="480" w:type="dxa"/>
            <w:vAlign w:val="bottom"/>
            <w:tcBorders>
              <w:top w:val="single" w:sz="8" w:color="auto"/>
            </w:tcBorders>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1,427,552</w:t>
            </w:r>
          </w:p>
        </w:tc>
        <w:tc>
          <w:tcPr>
            <w:tcW w:w="60" w:type="dxa"/>
            <w:vAlign w:val="bottom"/>
            <w:tcBorders>
              <w:top w:val="single" w:sz="8" w:color="CCEEFF"/>
            </w:tcBorders>
            <w:shd w:val="clear" w:color="auto" w:fill="CCEEFF"/>
          </w:tcPr>
          <w:p>
            <w:pPr>
              <w:spacing w:after="0"/>
              <w:rPr>
                <w:sz w:val="8"/>
                <w:szCs w:val="8"/>
                <w:color w:val="auto"/>
              </w:rPr>
            </w:pPr>
          </w:p>
        </w:tc>
        <w:tc>
          <w:tcPr>
            <w:tcW w:w="4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5,665</w:t>
            </w:r>
          </w:p>
        </w:tc>
        <w:tc>
          <w:tcPr>
            <w:tcW w:w="8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74.7</w:t>
            </w:r>
          </w:p>
        </w:tc>
        <w:tc>
          <w:tcPr>
            <w:tcW w:w="4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auto"/>
            </w:tcBorders>
            <w:vMerge w:val="restart"/>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1,782,411</w:t>
            </w:r>
          </w:p>
        </w:tc>
        <w:tc>
          <w:tcPr>
            <w:tcW w:w="8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7,045</w:t>
            </w:r>
          </w:p>
        </w:tc>
        <w:tc>
          <w:tcPr>
            <w:tcW w:w="8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78.5</w:t>
            </w:r>
          </w:p>
        </w:tc>
        <w:tc>
          <w:tcPr>
            <w:tcW w:w="4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auto"/>
            </w:tcBorders>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604,601</w:t>
            </w:r>
          </w:p>
        </w:tc>
        <w:tc>
          <w:tcPr>
            <w:tcW w:w="60" w:type="dxa"/>
            <w:vAlign w:val="bottom"/>
            <w:tcBorders>
              <w:top w:val="single" w:sz="8" w:color="CCEEFF"/>
            </w:tcBorders>
            <w:shd w:val="clear" w:color="auto" w:fill="CCEEFF"/>
          </w:tcPr>
          <w:p>
            <w:pPr>
              <w:spacing w:after="0"/>
              <w:rPr>
                <w:sz w:val="8"/>
                <w:szCs w:val="8"/>
                <w:color w:val="auto"/>
              </w:rPr>
            </w:pPr>
          </w:p>
        </w:tc>
        <w:tc>
          <w:tcPr>
            <w:tcW w:w="4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2,390</w:t>
            </w:r>
          </w:p>
        </w:tc>
        <w:tc>
          <w:tcPr>
            <w:tcW w:w="6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62.0</w:t>
            </w:r>
          </w:p>
        </w:tc>
        <w:tc>
          <w:tcPr>
            <w:tcW w:w="4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6"/>
        </w:trPr>
        <w:tc>
          <w:tcPr>
            <w:tcW w:w="9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Making</w:t>
            </w:r>
          </w:p>
        </w:tc>
        <w:tc>
          <w:tcPr>
            <w:tcW w:w="480" w:type="dxa"/>
            <w:vAlign w:val="bottom"/>
            <w:vMerge w:val="continue"/>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vMerge w:val="continue"/>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44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vMerge w:val="continue"/>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44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vMerge w:val="continue"/>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900" w:type="dxa"/>
            <w:vAlign w:val="bottom"/>
            <w:gridSpan w:val="2"/>
            <w:shd w:val="clear" w:color="auto" w:fill="CCEEFF"/>
          </w:tcPr>
          <w:p>
            <w:pPr>
              <w:ind w:left="300"/>
              <w:spacing w:after="0" w:line="119" w:lineRule="exact"/>
              <w:rPr>
                <w:sz w:val="20"/>
                <w:szCs w:val="20"/>
                <w:color w:val="auto"/>
              </w:rPr>
            </w:pPr>
            <w:r>
              <w:rPr>
                <w:rFonts w:ascii="Arial" w:cs="Arial" w:eastAsia="Arial" w:hAnsi="Arial"/>
                <w:sz w:val="13"/>
                <w:szCs w:val="13"/>
                <w:color w:val="auto"/>
              </w:rPr>
              <w:t>Execution</w:t>
            </w:r>
          </w:p>
        </w:tc>
        <w:tc>
          <w:tcPr>
            <w:tcW w:w="48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482,377</w:t>
            </w: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1,914</w:t>
            </w:r>
          </w:p>
        </w:tc>
        <w:tc>
          <w:tcPr>
            <w:tcW w:w="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25.3</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488,974</w:t>
            </w: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1,933</w:t>
            </w:r>
          </w:p>
        </w:tc>
        <w:tc>
          <w:tcPr>
            <w:tcW w:w="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21.5</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370,110</w:t>
            </w: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1,463</w:t>
            </w:r>
          </w:p>
        </w:tc>
        <w:tc>
          <w:tcPr>
            <w:tcW w:w="6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38.0</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6"/>
        </w:trPr>
        <w:tc>
          <w:tcPr>
            <w:tcW w:w="9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Services</w:t>
            </w:r>
          </w:p>
        </w:tc>
        <w:tc>
          <w:tcPr>
            <w:tcW w:w="48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44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44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8"/>
        </w:trPr>
        <w:tc>
          <w:tcPr>
            <w:tcW w:w="900" w:type="dxa"/>
            <w:vAlign w:val="bottom"/>
            <w:gridSpan w:val="2"/>
            <w:shd w:val="clear" w:color="auto" w:fill="CCEEFF"/>
          </w:tcPr>
          <w:p>
            <w:pPr>
              <w:ind w:left="300"/>
              <w:spacing w:after="0" w:line="99" w:lineRule="exact"/>
              <w:rPr>
                <w:sz w:val="20"/>
                <w:szCs w:val="20"/>
                <w:color w:val="auto"/>
              </w:rPr>
            </w:pPr>
            <w:r>
              <w:rPr>
                <w:rFonts w:ascii="Arial" w:cs="Arial" w:eastAsia="Arial" w:hAnsi="Arial"/>
                <w:sz w:val="11"/>
                <w:szCs w:val="11"/>
                <w:b w:val="1"/>
                <w:bCs w:val="1"/>
                <w:color w:val="auto"/>
              </w:rPr>
              <w:t>Adjusted</w:t>
            </w:r>
          </w:p>
        </w:tc>
        <w:tc>
          <w:tcPr>
            <w:tcW w:w="48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900" w:type="dxa"/>
            <w:vAlign w:val="bottom"/>
            <w:gridSpan w:val="2"/>
            <w:shd w:val="clear" w:color="auto" w:fill="CCEEFF"/>
          </w:tcPr>
          <w:p>
            <w:pPr>
              <w:ind w:left="20"/>
              <w:spacing w:after="0" w:line="119" w:lineRule="exact"/>
              <w:rPr>
                <w:sz w:val="20"/>
                <w:szCs w:val="20"/>
                <w:color w:val="auto"/>
              </w:rPr>
            </w:pPr>
            <w:r>
              <w:rPr>
                <w:rFonts w:ascii="Arial" w:cs="Arial" w:eastAsia="Arial" w:hAnsi="Arial"/>
                <w:sz w:val="13"/>
                <w:szCs w:val="13"/>
                <w:b w:val="1"/>
                <w:bCs w:val="1"/>
                <w:color w:val="auto"/>
              </w:rPr>
              <w:t>Net Trading</w:t>
            </w:r>
          </w:p>
        </w:tc>
        <w:tc>
          <w:tcPr>
            <w:tcW w:w="48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1,909,929</w:t>
            </w:r>
          </w:p>
        </w:tc>
        <w:tc>
          <w:tcPr>
            <w:tcW w:w="60" w:type="dxa"/>
            <w:vAlign w:val="bottom"/>
            <w:shd w:val="clear" w:color="auto" w:fill="CCEEFF"/>
          </w:tcPr>
          <w:p>
            <w:pPr>
              <w:spacing w:after="0"/>
              <w:rPr>
                <w:sz w:val="10"/>
                <w:szCs w:val="10"/>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7,579</w:t>
            </w:r>
          </w:p>
        </w:tc>
        <w:tc>
          <w:tcPr>
            <w:tcW w:w="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2,271,385</w:t>
            </w:r>
          </w:p>
        </w:tc>
        <w:tc>
          <w:tcPr>
            <w:tcW w:w="80" w:type="dxa"/>
            <w:vAlign w:val="bottom"/>
            <w:shd w:val="clear" w:color="auto" w:fill="CCEEFF"/>
          </w:tcPr>
          <w:p>
            <w:pPr>
              <w:spacing w:after="0"/>
              <w:rPr>
                <w:sz w:val="10"/>
                <w:szCs w:val="10"/>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8,978</w:t>
            </w:r>
          </w:p>
        </w:tc>
        <w:tc>
          <w:tcPr>
            <w:tcW w:w="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974,711</w:t>
            </w:r>
          </w:p>
        </w:tc>
        <w:tc>
          <w:tcPr>
            <w:tcW w:w="60" w:type="dxa"/>
            <w:vAlign w:val="bottom"/>
            <w:shd w:val="clear" w:color="auto" w:fill="CCEEFF"/>
          </w:tcPr>
          <w:p>
            <w:pPr>
              <w:spacing w:after="0"/>
              <w:rPr>
                <w:sz w:val="10"/>
                <w:szCs w:val="10"/>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3,853</w:t>
            </w:r>
          </w:p>
        </w:tc>
        <w:tc>
          <w:tcPr>
            <w:tcW w:w="6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900" w:type="dxa"/>
            <w:vAlign w:val="bottom"/>
            <w:tcBorders>
              <w:bottom w:val="single" w:sz="8" w:color="CCEEFF"/>
            </w:tcBorders>
            <w:gridSpan w:val="2"/>
            <w:shd w:val="clear" w:color="auto" w:fill="CCEEFF"/>
          </w:tcPr>
          <w:p>
            <w:pPr>
              <w:ind w:left="20"/>
              <w:spacing w:after="0" w:line="143" w:lineRule="exact"/>
              <w:rPr>
                <w:sz w:val="20"/>
                <w:szCs w:val="20"/>
                <w:color w:val="auto"/>
              </w:rPr>
            </w:pPr>
            <w:r>
              <w:rPr>
                <w:rFonts w:ascii="Arial" w:cs="Arial" w:eastAsia="Arial" w:hAnsi="Arial"/>
                <w:sz w:val="13"/>
                <w:szCs w:val="13"/>
                <w:b w:val="1"/>
                <w:bCs w:val="1"/>
                <w:color w:val="auto"/>
              </w:rPr>
              <w:t>Income</w:t>
            </w:r>
          </w:p>
        </w:tc>
        <w:tc>
          <w:tcPr>
            <w:tcW w:w="480" w:type="dxa"/>
            <w:vAlign w:val="bottom"/>
            <w:tcBorders>
              <w:bottom w:val="single" w:sz="8" w:color="auto"/>
            </w:tcBorders>
            <w:vMerge w:val="continue"/>
            <w:shd w:val="clear" w:color="auto" w:fill="CCEEFF"/>
          </w:tcPr>
          <w:p>
            <w:pPr>
              <w:spacing w:after="0"/>
              <w:rPr>
                <w:sz w:val="14"/>
                <w:szCs w:val="14"/>
                <w:color w:val="auto"/>
              </w:rPr>
            </w:pPr>
          </w:p>
        </w:tc>
        <w:tc>
          <w:tcPr>
            <w:tcW w:w="740" w:type="dxa"/>
            <w:vAlign w:val="bottom"/>
            <w:tcBorders>
              <w:bottom w:val="single" w:sz="8" w:color="auto"/>
            </w:tcBorders>
            <w:vMerge w:val="continue"/>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auto"/>
            </w:tcBorders>
            <w:vMerge w:val="continue"/>
            <w:shd w:val="clear" w:color="auto" w:fill="CCEEFF"/>
          </w:tcPr>
          <w:p>
            <w:pPr>
              <w:spacing w:after="0"/>
              <w:rPr>
                <w:sz w:val="14"/>
                <w:szCs w:val="14"/>
                <w:color w:val="auto"/>
              </w:rPr>
            </w:pPr>
          </w:p>
        </w:tc>
        <w:tc>
          <w:tcPr>
            <w:tcW w:w="60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auto"/>
            </w:tcBorders>
            <w:vMerge w:val="continue"/>
            <w:shd w:val="clear" w:color="auto" w:fill="CCEEFF"/>
          </w:tcPr>
          <w:p>
            <w:pPr>
              <w:spacing w:after="0"/>
              <w:rPr>
                <w:sz w:val="14"/>
                <w:szCs w:val="14"/>
                <w:color w:val="auto"/>
              </w:rPr>
            </w:pPr>
          </w:p>
        </w:tc>
        <w:tc>
          <w:tcPr>
            <w:tcW w:w="440" w:type="dxa"/>
            <w:vAlign w:val="bottom"/>
            <w:tcBorders>
              <w:bottom w:val="single" w:sz="8" w:color="auto"/>
            </w:tcBorders>
            <w:vMerge w:val="continue"/>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auto"/>
            </w:tcBorders>
            <w:vMerge w:val="continue"/>
            <w:shd w:val="clear" w:color="auto" w:fill="CCEEFF"/>
          </w:tcPr>
          <w:p>
            <w:pPr>
              <w:spacing w:after="0"/>
              <w:rPr>
                <w:sz w:val="14"/>
                <w:szCs w:val="14"/>
                <w:color w:val="auto"/>
              </w:rPr>
            </w:pPr>
          </w:p>
        </w:tc>
        <w:tc>
          <w:tcPr>
            <w:tcW w:w="72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auto"/>
            </w:tcBorders>
            <w:vMerge w:val="continue"/>
            <w:shd w:val="clear" w:color="auto" w:fill="CCEEFF"/>
          </w:tcPr>
          <w:p>
            <w:pPr>
              <w:spacing w:after="0"/>
              <w:rPr>
                <w:sz w:val="14"/>
                <w:szCs w:val="14"/>
                <w:color w:val="auto"/>
              </w:rPr>
            </w:pPr>
          </w:p>
        </w:tc>
        <w:tc>
          <w:tcPr>
            <w:tcW w:w="60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auto"/>
            </w:tcBorders>
            <w:vMerge w:val="continue"/>
            <w:shd w:val="clear" w:color="auto" w:fill="CCEEFF"/>
          </w:tcPr>
          <w:p>
            <w:pPr>
              <w:spacing w:after="0"/>
              <w:rPr>
                <w:sz w:val="14"/>
                <w:szCs w:val="14"/>
                <w:color w:val="auto"/>
              </w:rPr>
            </w:pPr>
          </w:p>
        </w:tc>
        <w:tc>
          <w:tcPr>
            <w:tcW w:w="440" w:type="dxa"/>
            <w:vAlign w:val="bottom"/>
            <w:tcBorders>
              <w:bottom w:val="single" w:sz="8" w:color="auto"/>
            </w:tcBorders>
            <w:vMerge w:val="continue"/>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auto"/>
            </w:tcBorders>
            <w:vMerge w:val="continue"/>
            <w:shd w:val="clear" w:color="auto" w:fill="CCEEFF"/>
          </w:tcPr>
          <w:p>
            <w:pPr>
              <w:spacing w:after="0"/>
              <w:rPr>
                <w:sz w:val="14"/>
                <w:szCs w:val="14"/>
                <w:color w:val="auto"/>
              </w:rPr>
            </w:pPr>
          </w:p>
        </w:tc>
        <w:tc>
          <w:tcPr>
            <w:tcW w:w="660" w:type="dxa"/>
            <w:vAlign w:val="bottom"/>
            <w:tcBorders>
              <w:bottom w:val="single" w:sz="8" w:color="auto"/>
            </w:tcBorders>
            <w:vMerge w:val="continue"/>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auto"/>
            </w:tcBorders>
            <w:vMerge w:val="continue"/>
            <w:shd w:val="clear" w:color="auto" w:fill="CCEEFF"/>
          </w:tcPr>
          <w:p>
            <w:pPr>
              <w:spacing w:after="0"/>
              <w:rPr>
                <w:sz w:val="14"/>
                <w:szCs w:val="14"/>
                <w:color w:val="auto"/>
              </w:rPr>
            </w:pPr>
          </w:p>
        </w:tc>
        <w:tc>
          <w:tcPr>
            <w:tcW w:w="600" w:type="dxa"/>
            <w:vAlign w:val="bottom"/>
            <w:tcBorders>
              <w:bottom w:val="single" w:sz="8" w:color="auto"/>
            </w:tcBorders>
            <w:vMerge w:val="continue"/>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auto"/>
            </w:tcBorders>
            <w:vMerge w:val="continue"/>
            <w:shd w:val="clear" w:color="auto" w:fill="CCEEFF"/>
          </w:tcPr>
          <w:p>
            <w:pPr>
              <w:spacing w:after="0"/>
              <w:rPr>
                <w:sz w:val="14"/>
                <w:szCs w:val="14"/>
                <w:color w:val="auto"/>
              </w:rPr>
            </w:pPr>
          </w:p>
        </w:tc>
        <w:tc>
          <w:tcPr>
            <w:tcW w:w="42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340"/>
          </w:cols>
          <w:pgMar w:left="320" w:top="802" w:right="239" w:bottom="1440" w:gutter="0" w:footer="0" w:header="0"/>
        </w:sectPr>
      </w:pPr>
    </w:p>
    <w:bookmarkStart w:id="58" w:name="page59"/>
    <w:bookmarkEnd w:id="58"/>
    <w:p>
      <w:pPr>
        <w:spacing w:after="0"/>
        <w:rPr>
          <w:sz w:val="20"/>
          <w:szCs w:val="20"/>
          <w:color w:val="auto"/>
        </w:rPr>
      </w:pPr>
      <w:r>
        <w:rPr>
          <w:rFonts w:ascii="Arial" w:cs="Arial" w:eastAsia="Arial" w:hAnsi="Arial"/>
          <w:sz w:val="16"/>
          <w:szCs w:val="16"/>
          <w:b w:val="1"/>
          <w:bCs w:val="1"/>
          <w:color w:val="auto"/>
        </w:rPr>
        <w:t>Year Ended December 31, 2021 Compared to Year Ended December 31, 2020</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Total Revenues</w:t>
      </w:r>
    </w:p>
    <w:p>
      <w:pPr>
        <w:spacing w:after="0" w:line="219" w:lineRule="exact"/>
        <w:rPr>
          <w:sz w:val="20"/>
          <w:szCs w:val="20"/>
          <w:color w:val="auto"/>
        </w:rPr>
      </w:pPr>
    </w:p>
    <w:p>
      <w:pPr>
        <w:ind w:right="200" w:firstLine="568"/>
        <w:spacing w:after="0" w:line="254" w:lineRule="auto"/>
        <w:rPr>
          <w:sz w:val="20"/>
          <w:szCs w:val="20"/>
          <w:color w:val="auto"/>
        </w:rPr>
      </w:pPr>
      <w:r>
        <w:rPr>
          <w:rFonts w:ascii="Arial" w:cs="Arial" w:eastAsia="Arial" w:hAnsi="Arial"/>
          <w:sz w:val="16"/>
          <w:szCs w:val="16"/>
          <w:color w:val="auto"/>
        </w:rPr>
        <w:t>Our total revenues decreased $427.8 million, or 13.2%, to $2,811.5 million for the year ended December 31, 2021, compared to $3,239.3 million for the year ended December 31, 2020. This decrease was primarily attributable to a decrease of $388.1 million in Trading income, net, which was primarily driven by lower market volatility during the year ended December 31, 2021 compared to the prior period. Additionally, Other, net declined $67.0 million primarily attributable to the sale of MATCHNow on August 4, 2020.</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shows the total revenues by segment for the years ended December 31, 2021 and 2020.</w:t>
      </w:r>
    </w:p>
    <w:p>
      <w:pPr>
        <w:spacing w:after="0" w:line="247" w:lineRule="exact"/>
        <w:rPr>
          <w:sz w:val="20"/>
          <w:szCs w:val="20"/>
          <w:color w:val="auto"/>
        </w:rPr>
      </w:pPr>
    </w:p>
    <w:tbl>
      <w:tblPr>
        <w:tblLayout w:type="fixed"/>
        <w:tblInd w:w="960" w:type="dxa"/>
        <w:tblCellMar>
          <w:top w:w="0" w:type="dxa"/>
          <w:left w:w="0" w:type="dxa"/>
          <w:bottom w:w="0" w:type="dxa"/>
          <w:right w:w="0" w:type="dxa"/>
        </w:tblCellMar>
      </w:tblPr>
      <w:tr>
        <w:trPr>
          <w:trHeight w:val="166"/>
        </w:trPr>
        <w:tc>
          <w:tcPr>
            <w:tcW w:w="4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86"/>
              </w:rPr>
              <w:t>Years Ended December 31,</w:t>
            </w:r>
          </w:p>
        </w:tc>
        <w:tc>
          <w:tcPr>
            <w:tcW w:w="1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spacing w:after="0"/>
              <w:rPr>
                <w:sz w:val="14"/>
                <w:szCs w:val="14"/>
                <w:color w:val="auto"/>
              </w:rPr>
            </w:pPr>
          </w:p>
        </w:tc>
      </w:tr>
      <w:tr>
        <w:trPr>
          <w:trHeight w:val="165"/>
        </w:trPr>
        <w:tc>
          <w:tcPr>
            <w:tcW w:w="4200" w:type="dxa"/>
            <w:vAlign w:val="bottom"/>
            <w:gridSpan w:val="2"/>
          </w:tcPr>
          <w:p>
            <w:pPr>
              <w:spacing w:after="0"/>
              <w:rPr>
                <w:sz w:val="20"/>
                <w:szCs w:val="20"/>
                <w:color w:val="auto"/>
              </w:rPr>
            </w:pPr>
            <w:r>
              <w:rPr>
                <w:rFonts w:ascii="Arial" w:cs="Arial" w:eastAsia="Arial" w:hAnsi="Arial"/>
                <w:sz w:val="13"/>
                <w:szCs w:val="13"/>
                <w:b w:val="1"/>
                <w:bCs w:val="1"/>
                <w:color w:val="auto"/>
              </w:rPr>
              <w:t>(in thousands, except for percentage)</w:t>
            </w:r>
          </w:p>
        </w:tc>
        <w:tc>
          <w:tcPr>
            <w:tcW w:w="400" w:type="dxa"/>
            <w:vAlign w:val="bottom"/>
          </w:tcPr>
          <w:p>
            <w:pPr>
              <w:spacing w:after="0"/>
              <w:rPr>
                <w:sz w:val="14"/>
                <w:szCs w:val="14"/>
                <w:color w:val="auto"/>
              </w:rPr>
            </w:pPr>
          </w:p>
        </w:tc>
        <w:tc>
          <w:tcPr>
            <w:tcW w:w="1240" w:type="dxa"/>
            <w:vAlign w:val="bottom"/>
          </w:tcPr>
          <w:p>
            <w:pPr>
              <w:jc w:val="right"/>
              <w:ind w:right="617"/>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jc w:val="right"/>
              <w:ind w:right="637"/>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3"/>
                <w:szCs w:val="13"/>
                <w:b w:val="1"/>
                <w:bCs w:val="1"/>
                <w:color w:val="auto"/>
                <w:w w:val="89"/>
              </w:rPr>
              <w:t>% Change</w:t>
            </w:r>
          </w:p>
        </w:tc>
      </w:tr>
      <w:tr>
        <w:trPr>
          <w:trHeight w:val="158"/>
        </w:trPr>
        <w:tc>
          <w:tcPr>
            <w:tcW w:w="4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b w:val="1"/>
                <w:bCs w:val="1"/>
                <w:color w:val="auto"/>
              </w:rPr>
              <w:t>Market Making</w:t>
            </w:r>
          </w:p>
        </w:tc>
        <w:tc>
          <w:tcPr>
            <w:tcW w:w="10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5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40" w:type="dxa"/>
            <w:vAlign w:val="bottom"/>
            <w:tcBorders>
              <w:top w:val="single" w:sz="8" w:color="auto"/>
            </w:tcBorders>
            <w:shd w:val="clear" w:color="auto" w:fill="CCEEFF"/>
          </w:tcPr>
          <w:p>
            <w:pPr>
              <w:spacing w:after="0"/>
              <w:rPr>
                <w:sz w:val="13"/>
                <w:szCs w:val="13"/>
                <w:color w:val="auto"/>
              </w:rPr>
            </w:pPr>
          </w:p>
        </w:tc>
      </w:tr>
      <w:tr>
        <w:trPr>
          <w:trHeight w:val="163"/>
        </w:trPr>
        <w:tc>
          <w:tcPr>
            <w:tcW w:w="4200" w:type="dxa"/>
            <w:vAlign w:val="bottom"/>
            <w:gridSpan w:val="2"/>
          </w:tcPr>
          <w:p>
            <w:pPr>
              <w:ind w:left="120"/>
              <w:spacing w:after="0"/>
              <w:rPr>
                <w:sz w:val="20"/>
                <w:szCs w:val="20"/>
                <w:color w:val="auto"/>
              </w:rPr>
            </w:pPr>
            <w:r>
              <w:rPr>
                <w:rFonts w:ascii="Arial" w:cs="Arial" w:eastAsia="Arial" w:hAnsi="Arial"/>
                <w:sz w:val="13"/>
                <w:szCs w:val="13"/>
                <w:color w:val="auto"/>
              </w:rPr>
              <w:t>Trading income, net</w:t>
            </w:r>
          </w:p>
        </w:tc>
        <w:tc>
          <w:tcPr>
            <w:tcW w:w="400" w:type="dxa"/>
            <w:vAlign w:val="bottom"/>
          </w:tcPr>
          <w:p>
            <w:pPr>
              <w:jc w:val="right"/>
              <w:ind w:right="257"/>
              <w:spacing w:after="0"/>
              <w:rPr>
                <w:sz w:val="20"/>
                <w:szCs w:val="20"/>
                <w:color w:val="auto"/>
              </w:rPr>
            </w:pPr>
            <w:r>
              <w:rPr>
                <w:rFonts w:ascii="Arial" w:cs="Arial" w:eastAsia="Arial" w:hAnsi="Arial"/>
                <w:sz w:val="13"/>
                <w:szCs w:val="13"/>
                <w:color w:val="auto"/>
                <w:w w:val="82"/>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2,079,653</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560" w:type="dxa"/>
            <w:vAlign w:val="bottom"/>
          </w:tcPr>
          <w:p>
            <w:pPr>
              <w:jc w:val="right"/>
              <w:spacing w:after="0"/>
              <w:rPr>
                <w:sz w:val="20"/>
                <w:szCs w:val="20"/>
                <w:color w:val="auto"/>
              </w:rPr>
            </w:pPr>
            <w:r>
              <w:rPr>
                <w:rFonts w:ascii="Arial" w:cs="Arial" w:eastAsia="Arial" w:hAnsi="Arial"/>
                <w:sz w:val="13"/>
                <w:szCs w:val="13"/>
                <w:color w:val="auto"/>
              </w:rPr>
              <w:t>2,455,182</w:t>
            </w:r>
          </w:p>
        </w:tc>
        <w:tc>
          <w:tcPr>
            <w:tcW w:w="1740" w:type="dxa"/>
            <w:vAlign w:val="bottom"/>
            <w:gridSpan w:val="2"/>
          </w:tcPr>
          <w:p>
            <w:pPr>
              <w:jc w:val="center"/>
              <w:ind w:left="37"/>
              <w:spacing w:after="0"/>
              <w:rPr>
                <w:sz w:val="20"/>
                <w:szCs w:val="20"/>
                <w:color w:val="auto"/>
              </w:rPr>
            </w:pPr>
            <w:r>
              <w:rPr>
                <w:rFonts w:ascii="Arial" w:cs="Arial" w:eastAsia="Arial" w:hAnsi="Arial"/>
                <w:sz w:val="13"/>
                <w:szCs w:val="13"/>
                <w:color w:val="auto"/>
                <w:w w:val="87"/>
              </w:rPr>
              <w:t>(15.3)%</w:t>
            </w:r>
          </w:p>
        </w:tc>
      </w:tr>
      <w:tr>
        <w:trPr>
          <w:trHeight w:val="168"/>
        </w:trPr>
        <w:tc>
          <w:tcPr>
            <w:tcW w:w="42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Interest and dividends income</w:t>
            </w: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75,311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61,485</w:t>
            </w:r>
          </w:p>
        </w:tc>
        <w:tc>
          <w:tcPr>
            <w:tcW w:w="1740" w:type="dxa"/>
            <w:vAlign w:val="bottom"/>
            <w:gridSpan w:val="2"/>
            <w:shd w:val="clear" w:color="auto" w:fill="CCEEFF"/>
          </w:tcPr>
          <w:p>
            <w:pPr>
              <w:jc w:val="center"/>
              <w:ind w:left="37"/>
              <w:spacing w:after="0"/>
              <w:rPr>
                <w:sz w:val="20"/>
                <w:szCs w:val="20"/>
                <w:color w:val="auto"/>
              </w:rPr>
            </w:pPr>
            <w:r>
              <w:rPr>
                <w:rFonts w:ascii="Arial" w:cs="Arial" w:eastAsia="Arial" w:hAnsi="Arial"/>
                <w:sz w:val="13"/>
                <w:szCs w:val="13"/>
                <w:color w:val="auto"/>
                <w:w w:val="86"/>
              </w:rPr>
              <w:t>22.5%</w:t>
            </w:r>
          </w:p>
        </w:tc>
      </w:tr>
      <w:tr>
        <w:trPr>
          <w:trHeight w:val="163"/>
        </w:trPr>
        <w:tc>
          <w:tcPr>
            <w:tcW w:w="4200" w:type="dxa"/>
            <w:vAlign w:val="bottom"/>
            <w:gridSpan w:val="2"/>
          </w:tcPr>
          <w:p>
            <w:pPr>
              <w:ind w:left="120"/>
              <w:spacing w:after="0"/>
              <w:rPr>
                <w:sz w:val="20"/>
                <w:szCs w:val="20"/>
                <w:color w:val="auto"/>
              </w:rPr>
            </w:pPr>
            <w:r>
              <w:rPr>
                <w:rFonts w:ascii="Arial" w:cs="Arial" w:eastAsia="Arial" w:hAnsi="Arial"/>
                <w:sz w:val="13"/>
                <w:szCs w:val="13"/>
                <w:color w:val="auto"/>
              </w:rPr>
              <w:t>Commissions, net and technology services</w:t>
            </w:r>
          </w:p>
        </w:tc>
        <w:tc>
          <w:tcPr>
            <w:tcW w:w="4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40,955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52,453</w:t>
            </w:r>
          </w:p>
        </w:tc>
        <w:tc>
          <w:tcPr>
            <w:tcW w:w="1740" w:type="dxa"/>
            <w:vAlign w:val="bottom"/>
            <w:gridSpan w:val="2"/>
          </w:tcPr>
          <w:p>
            <w:pPr>
              <w:jc w:val="center"/>
              <w:ind w:left="37"/>
              <w:spacing w:after="0"/>
              <w:rPr>
                <w:sz w:val="20"/>
                <w:szCs w:val="20"/>
                <w:color w:val="auto"/>
              </w:rPr>
            </w:pPr>
            <w:r>
              <w:rPr>
                <w:rFonts w:ascii="Arial" w:cs="Arial" w:eastAsia="Arial" w:hAnsi="Arial"/>
                <w:sz w:val="13"/>
                <w:szCs w:val="13"/>
                <w:color w:val="auto"/>
                <w:w w:val="87"/>
              </w:rPr>
              <w:t>(21.9)%</w:t>
            </w:r>
          </w:p>
        </w:tc>
      </w:tr>
      <w:tr>
        <w:trPr>
          <w:trHeight w:val="166"/>
        </w:trPr>
        <w:tc>
          <w:tcPr>
            <w:tcW w:w="42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Other, net</w:t>
            </w:r>
          </w:p>
        </w:tc>
        <w:tc>
          <w:tcPr>
            <w:tcW w:w="40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7,127</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24,222</w:t>
            </w:r>
          </w:p>
        </w:tc>
        <w:tc>
          <w:tcPr>
            <w:tcW w:w="1740" w:type="dxa"/>
            <w:vAlign w:val="bottom"/>
            <w:gridSpan w:val="2"/>
            <w:shd w:val="clear" w:color="auto" w:fill="CCEEFF"/>
          </w:tcPr>
          <w:p>
            <w:pPr>
              <w:jc w:val="center"/>
              <w:ind w:left="37"/>
              <w:spacing w:after="0"/>
              <w:rPr>
                <w:sz w:val="20"/>
                <w:szCs w:val="20"/>
                <w:color w:val="auto"/>
              </w:rPr>
            </w:pPr>
            <w:r>
              <w:rPr>
                <w:rFonts w:ascii="Arial" w:cs="Arial" w:eastAsia="Arial" w:hAnsi="Arial"/>
                <w:sz w:val="13"/>
                <w:szCs w:val="13"/>
                <w:color w:val="auto"/>
                <w:w w:val="87"/>
              </w:rPr>
              <w:t>(70.6)%</w:t>
            </w:r>
          </w:p>
        </w:tc>
      </w:tr>
      <w:tr>
        <w:trPr>
          <w:trHeight w:val="160"/>
        </w:trPr>
        <w:tc>
          <w:tcPr>
            <w:tcW w:w="4200" w:type="dxa"/>
            <w:vAlign w:val="bottom"/>
            <w:gridSpan w:val="2"/>
          </w:tcPr>
          <w:p>
            <w:pPr>
              <w:ind w:left="120"/>
              <w:spacing w:after="0"/>
              <w:rPr>
                <w:sz w:val="20"/>
                <w:szCs w:val="20"/>
                <w:color w:val="auto"/>
              </w:rPr>
            </w:pPr>
            <w:r>
              <w:rPr>
                <w:rFonts w:ascii="Arial" w:cs="Arial" w:eastAsia="Arial" w:hAnsi="Arial"/>
                <w:sz w:val="13"/>
                <w:szCs w:val="13"/>
                <w:color w:val="auto"/>
              </w:rPr>
              <w:t>Total revenues from Market Making</w:t>
            </w:r>
          </w:p>
        </w:tc>
        <w:tc>
          <w:tcPr>
            <w:tcW w:w="4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w w:val="82"/>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2,203,046</w:t>
            </w:r>
          </w:p>
        </w:tc>
        <w:tc>
          <w:tcPr>
            <w:tcW w:w="1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2,593,342</w:t>
            </w:r>
          </w:p>
        </w:tc>
        <w:tc>
          <w:tcPr>
            <w:tcW w:w="1740" w:type="dxa"/>
            <w:vAlign w:val="bottom"/>
            <w:gridSpan w:val="2"/>
          </w:tcPr>
          <w:p>
            <w:pPr>
              <w:jc w:val="center"/>
              <w:ind w:left="37"/>
              <w:spacing w:after="0"/>
              <w:rPr>
                <w:sz w:val="20"/>
                <w:szCs w:val="20"/>
                <w:color w:val="auto"/>
              </w:rPr>
            </w:pPr>
            <w:r>
              <w:rPr>
                <w:rFonts w:ascii="Arial" w:cs="Arial" w:eastAsia="Arial" w:hAnsi="Arial"/>
                <w:sz w:val="13"/>
                <w:szCs w:val="13"/>
                <w:color w:val="auto"/>
                <w:w w:val="87"/>
              </w:rPr>
              <w:t>(15.0)%</w:t>
            </w:r>
          </w:p>
        </w:tc>
      </w:tr>
      <w:tr>
        <w:trPr>
          <w:trHeight w:val="20"/>
        </w:trPr>
        <w:tc>
          <w:tcPr>
            <w:tcW w:w="4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r>
      <w:tr>
        <w:trPr>
          <w:trHeight w:val="153"/>
        </w:trPr>
        <w:tc>
          <w:tcPr>
            <w:tcW w:w="4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r>
      <w:tr>
        <w:trPr>
          <w:trHeight w:val="165"/>
        </w:trPr>
        <w:tc>
          <w:tcPr>
            <w:tcW w:w="4200" w:type="dxa"/>
            <w:vAlign w:val="bottom"/>
            <w:gridSpan w:val="2"/>
          </w:tcPr>
          <w:p>
            <w:pPr>
              <w:spacing w:after="0"/>
              <w:rPr>
                <w:sz w:val="20"/>
                <w:szCs w:val="20"/>
                <w:color w:val="auto"/>
              </w:rPr>
            </w:pPr>
            <w:r>
              <w:rPr>
                <w:rFonts w:ascii="Arial" w:cs="Arial" w:eastAsia="Arial" w:hAnsi="Arial"/>
                <w:sz w:val="13"/>
                <w:szCs w:val="13"/>
                <w:b w:val="1"/>
                <w:bCs w:val="1"/>
                <w:color w:val="auto"/>
              </w:rPr>
              <w:t>Execution Services</w:t>
            </w:r>
          </w:p>
        </w:tc>
        <w:tc>
          <w:tcPr>
            <w:tcW w:w="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6"/>
        </w:trPr>
        <w:tc>
          <w:tcPr>
            <w:tcW w:w="42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Trading income, net</w:t>
            </w:r>
          </w:p>
        </w:tc>
        <w:tc>
          <w:tcPr>
            <w:tcW w:w="40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w w:val="82"/>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25,541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38,066</w:t>
            </w:r>
          </w:p>
        </w:tc>
        <w:tc>
          <w:tcPr>
            <w:tcW w:w="1740" w:type="dxa"/>
            <w:vAlign w:val="bottom"/>
            <w:gridSpan w:val="2"/>
            <w:shd w:val="clear" w:color="auto" w:fill="CCEEFF"/>
          </w:tcPr>
          <w:p>
            <w:pPr>
              <w:jc w:val="center"/>
              <w:ind w:left="17"/>
              <w:spacing w:after="0"/>
              <w:rPr>
                <w:sz w:val="20"/>
                <w:szCs w:val="20"/>
                <w:color w:val="auto"/>
              </w:rPr>
            </w:pPr>
            <w:r>
              <w:rPr>
                <w:rFonts w:ascii="Arial" w:cs="Arial" w:eastAsia="Arial" w:hAnsi="Arial"/>
                <w:sz w:val="13"/>
                <w:szCs w:val="13"/>
                <w:color w:val="auto"/>
                <w:w w:val="88"/>
              </w:rPr>
              <w:t>(32.9)</w:t>
            </w:r>
          </w:p>
        </w:tc>
      </w:tr>
      <w:tr>
        <w:trPr>
          <w:trHeight w:val="163"/>
        </w:trPr>
        <w:tc>
          <w:tcPr>
            <w:tcW w:w="4200" w:type="dxa"/>
            <w:vAlign w:val="bottom"/>
            <w:gridSpan w:val="2"/>
          </w:tcPr>
          <w:p>
            <w:pPr>
              <w:ind w:left="120"/>
              <w:spacing w:after="0"/>
              <w:rPr>
                <w:sz w:val="20"/>
                <w:szCs w:val="20"/>
                <w:color w:val="auto"/>
              </w:rPr>
            </w:pPr>
            <w:r>
              <w:rPr>
                <w:rFonts w:ascii="Arial" w:cs="Arial" w:eastAsia="Arial" w:hAnsi="Arial"/>
                <w:sz w:val="13"/>
                <w:szCs w:val="13"/>
                <w:color w:val="auto"/>
              </w:rPr>
              <w:t>Interest and dividends income</w:t>
            </w:r>
          </w:p>
        </w:tc>
        <w:tc>
          <w:tcPr>
            <w:tcW w:w="4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73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634</w:t>
            </w:r>
          </w:p>
        </w:tc>
        <w:tc>
          <w:tcPr>
            <w:tcW w:w="1740" w:type="dxa"/>
            <w:vAlign w:val="bottom"/>
            <w:gridSpan w:val="2"/>
          </w:tcPr>
          <w:p>
            <w:pPr>
              <w:jc w:val="center"/>
              <w:ind w:left="37"/>
              <w:spacing w:after="0"/>
              <w:rPr>
                <w:sz w:val="20"/>
                <w:szCs w:val="20"/>
                <w:color w:val="auto"/>
              </w:rPr>
            </w:pPr>
            <w:r>
              <w:rPr>
                <w:rFonts w:ascii="Arial" w:cs="Arial" w:eastAsia="Arial" w:hAnsi="Arial"/>
                <w:sz w:val="13"/>
                <w:szCs w:val="13"/>
                <w:color w:val="auto"/>
                <w:w w:val="87"/>
              </w:rPr>
              <w:t>(88.5)%</w:t>
            </w:r>
          </w:p>
        </w:tc>
      </w:tr>
      <w:tr>
        <w:trPr>
          <w:trHeight w:val="168"/>
        </w:trPr>
        <w:tc>
          <w:tcPr>
            <w:tcW w:w="42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Commissions, net and technology services</w:t>
            </w: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573,534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548,057</w:t>
            </w:r>
          </w:p>
        </w:tc>
        <w:tc>
          <w:tcPr>
            <w:tcW w:w="1740" w:type="dxa"/>
            <w:vAlign w:val="bottom"/>
            <w:gridSpan w:val="2"/>
            <w:shd w:val="clear" w:color="auto" w:fill="CCEEFF"/>
          </w:tcPr>
          <w:p>
            <w:pPr>
              <w:jc w:val="center"/>
              <w:ind w:left="17"/>
              <w:spacing w:after="0"/>
              <w:rPr>
                <w:sz w:val="20"/>
                <w:szCs w:val="20"/>
                <w:color w:val="auto"/>
              </w:rPr>
            </w:pPr>
            <w:r>
              <w:rPr>
                <w:rFonts w:ascii="Arial" w:cs="Arial" w:eastAsia="Arial" w:hAnsi="Arial"/>
                <w:sz w:val="13"/>
                <w:szCs w:val="13"/>
                <w:color w:val="auto"/>
                <w:w w:val="87"/>
              </w:rPr>
              <w:t>4.6%</w:t>
            </w:r>
          </w:p>
        </w:tc>
      </w:tr>
      <w:tr>
        <w:trPr>
          <w:trHeight w:val="163"/>
        </w:trPr>
        <w:tc>
          <w:tcPr>
            <w:tcW w:w="4200" w:type="dxa"/>
            <w:vAlign w:val="bottom"/>
            <w:tcBorders>
              <w:bottom w:val="single" w:sz="8" w:color="CCEEFF"/>
            </w:tcBorders>
            <w:gridSpan w:val="2"/>
          </w:tcPr>
          <w:p>
            <w:pPr>
              <w:ind w:left="120"/>
              <w:spacing w:after="0"/>
              <w:rPr>
                <w:sz w:val="20"/>
                <w:szCs w:val="20"/>
                <w:color w:val="auto"/>
              </w:rPr>
            </w:pPr>
            <w:r>
              <w:rPr>
                <w:rFonts w:ascii="Arial" w:cs="Arial" w:eastAsia="Arial" w:hAnsi="Arial"/>
                <w:sz w:val="13"/>
                <w:szCs w:val="13"/>
                <w:color w:val="auto"/>
              </w:rPr>
              <w:t>Other, net</w:t>
            </w: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1,067</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63,386</w:t>
            </w:r>
          </w:p>
        </w:tc>
        <w:tc>
          <w:tcPr>
            <w:tcW w:w="1740" w:type="dxa"/>
            <w:vAlign w:val="bottom"/>
            <w:tcBorders>
              <w:bottom w:val="single" w:sz="8" w:color="CCEEFF"/>
            </w:tcBorders>
            <w:gridSpan w:val="2"/>
          </w:tcPr>
          <w:p>
            <w:pPr>
              <w:jc w:val="center"/>
              <w:ind w:left="37"/>
              <w:spacing w:after="0"/>
              <w:rPr>
                <w:sz w:val="20"/>
                <w:szCs w:val="20"/>
                <w:color w:val="auto"/>
              </w:rPr>
            </w:pPr>
            <w:r>
              <w:rPr>
                <w:rFonts w:ascii="Arial" w:cs="Arial" w:eastAsia="Arial" w:hAnsi="Arial"/>
                <w:sz w:val="13"/>
                <w:szCs w:val="13"/>
                <w:color w:val="auto"/>
                <w:w w:val="92"/>
              </w:rPr>
              <w:t>(98)%</w:t>
            </w:r>
          </w:p>
        </w:tc>
      </w:tr>
      <w:tr>
        <w:trPr>
          <w:trHeight w:val="185"/>
        </w:trPr>
        <w:tc>
          <w:tcPr>
            <w:tcW w:w="42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3"/>
                <w:szCs w:val="13"/>
                <w:color w:val="auto"/>
              </w:rPr>
              <w:t>Total revenues from Execution Services</w:t>
            </w:r>
          </w:p>
        </w:tc>
        <w:tc>
          <w:tcPr>
            <w:tcW w:w="400" w:type="dxa"/>
            <w:vAlign w:val="bottom"/>
            <w:tcBorders>
              <w:bottom w:val="single" w:sz="8" w:color="auto"/>
            </w:tcBorders>
            <w:shd w:val="clear" w:color="auto" w:fill="CCEEFF"/>
          </w:tcPr>
          <w:p>
            <w:pPr>
              <w:jc w:val="right"/>
              <w:ind w:right="257"/>
              <w:spacing w:after="0"/>
              <w:rPr>
                <w:sz w:val="20"/>
                <w:szCs w:val="20"/>
                <w:color w:val="auto"/>
              </w:rPr>
            </w:pPr>
            <w:r>
              <w:rPr>
                <w:rFonts w:ascii="Arial" w:cs="Arial" w:eastAsia="Arial" w:hAnsi="Arial"/>
                <w:sz w:val="13"/>
                <w:szCs w:val="13"/>
                <w:color w:val="auto"/>
                <w:w w:val="82"/>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600,215</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650,143</w:t>
            </w:r>
          </w:p>
        </w:tc>
        <w:tc>
          <w:tcPr>
            <w:tcW w:w="1740" w:type="dxa"/>
            <w:vAlign w:val="bottom"/>
            <w:tcBorders>
              <w:bottom w:val="single" w:sz="8" w:color="CCEEFF"/>
            </w:tcBorders>
            <w:gridSpan w:val="2"/>
            <w:shd w:val="clear" w:color="auto" w:fill="CCEEFF"/>
          </w:tcPr>
          <w:p>
            <w:pPr>
              <w:jc w:val="center"/>
              <w:ind w:left="37"/>
              <w:spacing w:after="0"/>
              <w:rPr>
                <w:sz w:val="20"/>
                <w:szCs w:val="20"/>
                <w:color w:val="auto"/>
              </w:rPr>
            </w:pPr>
            <w:r>
              <w:rPr>
                <w:rFonts w:ascii="Arial" w:cs="Arial" w:eastAsia="Arial" w:hAnsi="Arial"/>
                <w:sz w:val="13"/>
                <w:szCs w:val="13"/>
                <w:color w:val="auto"/>
                <w:w w:val="93"/>
              </w:rPr>
              <w:t>(7.7)%</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r>
      <w:tr>
        <w:trPr>
          <w:trHeight w:val="133"/>
        </w:trPr>
        <w:tc>
          <w:tcPr>
            <w:tcW w:w="4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tcPr>
          <w:p>
            <w:pPr>
              <w:spacing w:after="0"/>
              <w:rPr>
                <w:sz w:val="11"/>
                <w:szCs w:val="11"/>
                <w:color w:val="auto"/>
              </w:rPr>
            </w:pPr>
          </w:p>
        </w:tc>
      </w:tr>
      <w:tr>
        <w:trPr>
          <w:trHeight w:val="166"/>
        </w:trPr>
        <w:tc>
          <w:tcPr>
            <w:tcW w:w="42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Corporate</w:t>
            </w: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r>
      <w:tr>
        <w:trPr>
          <w:trHeight w:val="163"/>
        </w:trPr>
        <w:tc>
          <w:tcPr>
            <w:tcW w:w="4200" w:type="dxa"/>
            <w:vAlign w:val="bottom"/>
            <w:tcBorders>
              <w:bottom w:val="single" w:sz="8" w:color="CCEEFF"/>
            </w:tcBorders>
            <w:gridSpan w:val="2"/>
          </w:tcPr>
          <w:p>
            <w:pPr>
              <w:ind w:left="120"/>
              <w:spacing w:after="0"/>
              <w:rPr>
                <w:sz w:val="20"/>
                <w:szCs w:val="20"/>
                <w:color w:val="auto"/>
              </w:rPr>
            </w:pPr>
            <w:r>
              <w:rPr>
                <w:rFonts w:ascii="Arial" w:cs="Arial" w:eastAsia="Arial" w:hAnsi="Arial"/>
                <w:sz w:val="13"/>
                <w:szCs w:val="13"/>
                <w:color w:val="auto"/>
              </w:rPr>
              <w:t>Other, net</w:t>
            </w:r>
          </w:p>
        </w:tc>
        <w:tc>
          <w:tcPr>
            <w:tcW w:w="4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w w:val="82"/>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8,224</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(4,154)</w:t>
            </w:r>
          </w:p>
        </w:tc>
        <w:tc>
          <w:tcPr>
            <w:tcW w:w="100" w:type="dxa"/>
            <w:vAlign w:val="bottom"/>
            <w:tcBorders>
              <w:bottom w:val="single" w:sz="8" w:color="CCEEFF"/>
            </w:tcBorders>
          </w:tcPr>
          <w:p>
            <w:pPr>
              <w:spacing w:after="0"/>
              <w:rPr>
                <w:sz w:val="14"/>
                <w:szCs w:val="14"/>
                <w:color w:val="auto"/>
              </w:rPr>
            </w:pPr>
          </w:p>
        </w:tc>
        <w:tc>
          <w:tcPr>
            <w:tcW w:w="1640" w:type="dxa"/>
            <w:vAlign w:val="bottom"/>
            <w:tcBorders>
              <w:bottom w:val="single" w:sz="8" w:color="CCEEFF"/>
            </w:tcBorders>
          </w:tcPr>
          <w:p>
            <w:pPr>
              <w:jc w:val="center"/>
              <w:spacing w:after="0"/>
              <w:rPr>
                <w:sz w:val="20"/>
                <w:szCs w:val="20"/>
                <w:color w:val="auto"/>
              </w:rPr>
            </w:pPr>
            <w:r>
              <w:rPr>
                <w:rFonts w:ascii="Arial" w:cs="Arial" w:eastAsia="Arial" w:hAnsi="Arial"/>
                <w:sz w:val="13"/>
                <w:szCs w:val="13"/>
                <w:color w:val="auto"/>
                <w:w w:val="98"/>
              </w:rPr>
              <w:t>NM</w:t>
            </w:r>
          </w:p>
        </w:tc>
      </w:tr>
      <w:tr>
        <w:trPr>
          <w:trHeight w:val="185"/>
        </w:trPr>
        <w:tc>
          <w:tcPr>
            <w:tcW w:w="42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3"/>
                <w:szCs w:val="13"/>
                <w:color w:val="auto"/>
              </w:rPr>
              <w:t>Total revenues from Corporate</w:t>
            </w:r>
          </w:p>
        </w:tc>
        <w:tc>
          <w:tcPr>
            <w:tcW w:w="400" w:type="dxa"/>
            <w:vAlign w:val="bottom"/>
            <w:tcBorders>
              <w:bottom w:val="single" w:sz="8" w:color="auto"/>
            </w:tcBorders>
            <w:shd w:val="clear" w:color="auto" w:fill="CCEEFF"/>
          </w:tcPr>
          <w:p>
            <w:pPr>
              <w:jc w:val="right"/>
              <w:ind w:right="257"/>
              <w:spacing w:after="0"/>
              <w:rPr>
                <w:sz w:val="20"/>
                <w:szCs w:val="20"/>
                <w:color w:val="auto"/>
              </w:rPr>
            </w:pPr>
            <w:r>
              <w:rPr>
                <w:rFonts w:ascii="Arial" w:cs="Arial" w:eastAsia="Arial" w:hAnsi="Arial"/>
                <w:sz w:val="13"/>
                <w:szCs w:val="13"/>
                <w:color w:val="auto"/>
                <w:w w:val="82"/>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8,224</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(4,154)</w:t>
            </w:r>
          </w:p>
        </w:tc>
        <w:tc>
          <w:tcPr>
            <w:tcW w:w="100" w:type="dxa"/>
            <w:vAlign w:val="bottom"/>
            <w:tcBorders>
              <w:bottom w:val="single" w:sz="8" w:color="CCEEFF"/>
            </w:tcBorders>
            <w:shd w:val="clear" w:color="auto" w:fill="CCEEFF"/>
          </w:tcPr>
          <w:p>
            <w:pPr>
              <w:spacing w:after="0"/>
              <w:rPr>
                <w:sz w:val="15"/>
                <w:szCs w:val="15"/>
                <w:color w:val="auto"/>
              </w:rPr>
            </w:pP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8"/>
              </w:rPr>
              <w:t>NM</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r>
      <w:tr>
        <w:trPr>
          <w:trHeight w:val="133"/>
        </w:trPr>
        <w:tc>
          <w:tcPr>
            <w:tcW w:w="4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tcPr>
          <w:p>
            <w:pPr>
              <w:spacing w:after="0"/>
              <w:rPr>
                <w:sz w:val="11"/>
                <w:szCs w:val="11"/>
                <w:color w:val="auto"/>
              </w:rPr>
            </w:pPr>
          </w:p>
        </w:tc>
      </w:tr>
      <w:tr>
        <w:trPr>
          <w:trHeight w:val="166"/>
        </w:trPr>
        <w:tc>
          <w:tcPr>
            <w:tcW w:w="42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Consolidated</w:t>
            </w: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r>
      <w:tr>
        <w:trPr>
          <w:trHeight w:val="163"/>
        </w:trPr>
        <w:tc>
          <w:tcPr>
            <w:tcW w:w="4200" w:type="dxa"/>
            <w:vAlign w:val="bottom"/>
            <w:gridSpan w:val="2"/>
          </w:tcPr>
          <w:p>
            <w:pPr>
              <w:ind w:left="120"/>
              <w:spacing w:after="0"/>
              <w:rPr>
                <w:sz w:val="20"/>
                <w:szCs w:val="20"/>
                <w:color w:val="auto"/>
              </w:rPr>
            </w:pPr>
            <w:r>
              <w:rPr>
                <w:rFonts w:ascii="Arial" w:cs="Arial" w:eastAsia="Arial" w:hAnsi="Arial"/>
                <w:sz w:val="13"/>
                <w:szCs w:val="13"/>
                <w:color w:val="auto"/>
              </w:rPr>
              <w:t>Trading income, net</w:t>
            </w:r>
          </w:p>
        </w:tc>
        <w:tc>
          <w:tcPr>
            <w:tcW w:w="400" w:type="dxa"/>
            <w:vAlign w:val="bottom"/>
          </w:tcPr>
          <w:p>
            <w:pPr>
              <w:jc w:val="right"/>
              <w:ind w:right="257"/>
              <w:spacing w:after="0"/>
              <w:rPr>
                <w:sz w:val="20"/>
                <w:szCs w:val="20"/>
                <w:color w:val="auto"/>
              </w:rPr>
            </w:pPr>
            <w:r>
              <w:rPr>
                <w:rFonts w:ascii="Arial" w:cs="Arial" w:eastAsia="Arial" w:hAnsi="Arial"/>
                <w:sz w:val="13"/>
                <w:szCs w:val="13"/>
                <w:color w:val="auto"/>
                <w:w w:val="82"/>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2,105,194</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560" w:type="dxa"/>
            <w:vAlign w:val="bottom"/>
          </w:tcPr>
          <w:p>
            <w:pPr>
              <w:jc w:val="right"/>
              <w:spacing w:after="0"/>
              <w:rPr>
                <w:sz w:val="20"/>
                <w:szCs w:val="20"/>
                <w:color w:val="auto"/>
              </w:rPr>
            </w:pPr>
            <w:r>
              <w:rPr>
                <w:rFonts w:ascii="Arial" w:cs="Arial" w:eastAsia="Arial" w:hAnsi="Arial"/>
                <w:sz w:val="13"/>
                <w:szCs w:val="13"/>
                <w:color w:val="auto"/>
              </w:rPr>
              <w:t>2,493,248</w:t>
            </w:r>
          </w:p>
        </w:tc>
        <w:tc>
          <w:tcPr>
            <w:tcW w:w="1740" w:type="dxa"/>
            <w:vAlign w:val="bottom"/>
            <w:gridSpan w:val="2"/>
          </w:tcPr>
          <w:p>
            <w:pPr>
              <w:jc w:val="center"/>
              <w:ind w:left="37"/>
              <w:spacing w:after="0"/>
              <w:rPr>
                <w:sz w:val="20"/>
                <w:szCs w:val="20"/>
                <w:color w:val="auto"/>
              </w:rPr>
            </w:pPr>
            <w:r>
              <w:rPr>
                <w:rFonts w:ascii="Arial" w:cs="Arial" w:eastAsia="Arial" w:hAnsi="Arial"/>
                <w:sz w:val="13"/>
                <w:szCs w:val="13"/>
                <w:color w:val="auto"/>
                <w:w w:val="87"/>
              </w:rPr>
              <w:t>(15.6)%</w:t>
            </w:r>
          </w:p>
        </w:tc>
      </w:tr>
      <w:tr>
        <w:trPr>
          <w:trHeight w:val="168"/>
        </w:trPr>
        <w:tc>
          <w:tcPr>
            <w:tcW w:w="42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Interest and dividends income</w:t>
            </w: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75,384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62,119</w:t>
            </w:r>
          </w:p>
        </w:tc>
        <w:tc>
          <w:tcPr>
            <w:tcW w:w="1740" w:type="dxa"/>
            <w:vAlign w:val="bottom"/>
            <w:gridSpan w:val="2"/>
            <w:shd w:val="clear" w:color="auto" w:fill="CCEEFF"/>
          </w:tcPr>
          <w:p>
            <w:pPr>
              <w:jc w:val="center"/>
              <w:ind w:left="37"/>
              <w:spacing w:after="0"/>
              <w:rPr>
                <w:sz w:val="20"/>
                <w:szCs w:val="20"/>
                <w:color w:val="auto"/>
              </w:rPr>
            </w:pPr>
            <w:r>
              <w:rPr>
                <w:rFonts w:ascii="Arial" w:cs="Arial" w:eastAsia="Arial" w:hAnsi="Arial"/>
                <w:sz w:val="13"/>
                <w:szCs w:val="13"/>
                <w:color w:val="auto"/>
                <w:w w:val="86"/>
              </w:rPr>
              <w:t>21.4%</w:t>
            </w:r>
          </w:p>
        </w:tc>
      </w:tr>
      <w:tr>
        <w:trPr>
          <w:trHeight w:val="163"/>
        </w:trPr>
        <w:tc>
          <w:tcPr>
            <w:tcW w:w="4200" w:type="dxa"/>
            <w:vAlign w:val="bottom"/>
            <w:gridSpan w:val="2"/>
          </w:tcPr>
          <w:p>
            <w:pPr>
              <w:ind w:left="120"/>
              <w:spacing w:after="0"/>
              <w:rPr>
                <w:sz w:val="20"/>
                <w:szCs w:val="20"/>
                <w:color w:val="auto"/>
              </w:rPr>
            </w:pPr>
            <w:r>
              <w:rPr>
                <w:rFonts w:ascii="Arial" w:cs="Arial" w:eastAsia="Arial" w:hAnsi="Arial"/>
                <w:sz w:val="13"/>
                <w:szCs w:val="13"/>
                <w:color w:val="auto"/>
              </w:rPr>
              <w:t>Commissions, net and technology services</w:t>
            </w:r>
          </w:p>
        </w:tc>
        <w:tc>
          <w:tcPr>
            <w:tcW w:w="4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614,489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600,510</w:t>
            </w:r>
          </w:p>
        </w:tc>
        <w:tc>
          <w:tcPr>
            <w:tcW w:w="1740" w:type="dxa"/>
            <w:vAlign w:val="bottom"/>
            <w:gridSpan w:val="2"/>
          </w:tcPr>
          <w:p>
            <w:pPr>
              <w:jc w:val="center"/>
              <w:ind w:left="17"/>
              <w:spacing w:after="0"/>
              <w:rPr>
                <w:sz w:val="20"/>
                <w:szCs w:val="20"/>
                <w:color w:val="auto"/>
              </w:rPr>
            </w:pPr>
            <w:r>
              <w:rPr>
                <w:rFonts w:ascii="Arial" w:cs="Arial" w:eastAsia="Arial" w:hAnsi="Arial"/>
                <w:sz w:val="13"/>
                <w:szCs w:val="13"/>
                <w:color w:val="auto"/>
                <w:w w:val="87"/>
              </w:rPr>
              <w:t>2.3%</w:t>
            </w:r>
          </w:p>
        </w:tc>
      </w:tr>
      <w:tr>
        <w:trPr>
          <w:trHeight w:val="166"/>
        </w:trPr>
        <w:tc>
          <w:tcPr>
            <w:tcW w:w="42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Other, net</w:t>
            </w:r>
          </w:p>
        </w:tc>
        <w:tc>
          <w:tcPr>
            <w:tcW w:w="40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16,418</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83,454</w:t>
            </w:r>
          </w:p>
        </w:tc>
        <w:tc>
          <w:tcPr>
            <w:tcW w:w="1740" w:type="dxa"/>
            <w:vAlign w:val="bottom"/>
            <w:gridSpan w:val="2"/>
            <w:shd w:val="clear" w:color="auto" w:fill="CCEEFF"/>
          </w:tcPr>
          <w:p>
            <w:pPr>
              <w:jc w:val="center"/>
              <w:ind w:left="37"/>
              <w:spacing w:after="0"/>
              <w:rPr>
                <w:sz w:val="20"/>
                <w:szCs w:val="20"/>
                <w:color w:val="auto"/>
              </w:rPr>
            </w:pPr>
            <w:r>
              <w:rPr>
                <w:rFonts w:ascii="Arial" w:cs="Arial" w:eastAsia="Arial" w:hAnsi="Arial"/>
                <w:sz w:val="13"/>
                <w:szCs w:val="13"/>
                <w:color w:val="auto"/>
                <w:w w:val="87"/>
              </w:rPr>
              <w:t>(80.3)%</w:t>
            </w:r>
          </w:p>
        </w:tc>
      </w:tr>
      <w:tr>
        <w:trPr>
          <w:trHeight w:val="160"/>
        </w:trPr>
        <w:tc>
          <w:tcPr>
            <w:tcW w:w="4200" w:type="dxa"/>
            <w:vAlign w:val="bottom"/>
            <w:gridSpan w:val="2"/>
          </w:tcPr>
          <w:p>
            <w:pPr>
              <w:ind w:left="120"/>
              <w:spacing w:after="0"/>
              <w:rPr>
                <w:sz w:val="20"/>
                <w:szCs w:val="20"/>
                <w:color w:val="auto"/>
              </w:rPr>
            </w:pPr>
            <w:r>
              <w:rPr>
                <w:rFonts w:ascii="Arial" w:cs="Arial" w:eastAsia="Arial" w:hAnsi="Arial"/>
                <w:sz w:val="13"/>
                <w:szCs w:val="13"/>
                <w:color w:val="auto"/>
              </w:rPr>
              <w:t>Total revenues</w:t>
            </w:r>
          </w:p>
        </w:tc>
        <w:tc>
          <w:tcPr>
            <w:tcW w:w="4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w w:val="82"/>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2,811,485</w:t>
            </w:r>
          </w:p>
        </w:tc>
        <w:tc>
          <w:tcPr>
            <w:tcW w:w="1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3,239,331</w:t>
            </w:r>
          </w:p>
        </w:tc>
        <w:tc>
          <w:tcPr>
            <w:tcW w:w="1740" w:type="dxa"/>
            <w:vAlign w:val="bottom"/>
            <w:gridSpan w:val="2"/>
          </w:tcPr>
          <w:p>
            <w:pPr>
              <w:jc w:val="center"/>
              <w:ind w:left="37"/>
              <w:spacing w:after="0"/>
              <w:rPr>
                <w:sz w:val="20"/>
                <w:szCs w:val="20"/>
                <w:color w:val="auto"/>
              </w:rPr>
            </w:pPr>
            <w:r>
              <w:rPr>
                <w:rFonts w:ascii="Arial" w:cs="Arial" w:eastAsia="Arial" w:hAnsi="Arial"/>
                <w:sz w:val="13"/>
                <w:szCs w:val="13"/>
                <w:color w:val="auto"/>
                <w:w w:val="87"/>
              </w:rPr>
              <w:t>(13.2)%</w:t>
            </w:r>
          </w:p>
        </w:tc>
      </w:tr>
      <w:tr>
        <w:trPr>
          <w:trHeight w:val="20"/>
        </w:trPr>
        <w:tc>
          <w:tcPr>
            <w:tcW w:w="4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firstLine="568"/>
        <w:spacing w:after="0" w:line="270" w:lineRule="auto"/>
        <w:rPr>
          <w:sz w:val="20"/>
          <w:szCs w:val="20"/>
          <w:color w:val="auto"/>
        </w:rPr>
      </w:pPr>
      <w:r>
        <w:rPr>
          <w:rFonts w:ascii="Arial" w:cs="Arial" w:eastAsia="Arial" w:hAnsi="Arial"/>
          <w:sz w:val="15"/>
          <w:szCs w:val="15"/>
          <w:b w:val="1"/>
          <w:bCs w:val="1"/>
          <w:i w:val="1"/>
          <w:iCs w:val="1"/>
          <w:color w:val="auto"/>
        </w:rPr>
        <w:t xml:space="preserve">Trading income, net. </w:t>
      </w:r>
      <w:r>
        <w:rPr>
          <w:rFonts w:ascii="Arial" w:cs="Arial" w:eastAsia="Arial" w:hAnsi="Arial"/>
          <w:sz w:val="15"/>
          <w:szCs w:val="15"/>
          <w:color w:val="auto"/>
        </w:rPr>
        <w:t>Trading income, net was primarily earned by our Market Making segment. Trading income, net, decreased $388.1 million, or 15.6%, to $2,105.2</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million for the year ended December 31, 2021, compared to $2,493.2 million for the year ended December 31, 2020. The decrease was primarily driven by lower market volatility during the year ended December 31, 2021 compared to 2020, which experienced elevated levels of market volatility and trading volumes largely due to the impacts of COVID-19 and the governmental and other responses thereto. Average daily realized volatility of the S&amp;P 500 Index decreased 57.27.2% compared to the prior period, and the average daily realized volatility of the CVIX decreased 611.22 compared to prior period. Rather than analyzing trading income, net, in isolation, we evaluate it in the broader context of our Adjusted Net Trading Income, together with Interest and dividends income, Interest and dividends expense, Commissions, net and technology services and Brokerage, exchange, clearance fees and payments for order flow, net, each of which are described below.</w:t>
      </w:r>
    </w:p>
    <w:p>
      <w:pPr>
        <w:spacing w:after="0" w:line="181" w:lineRule="exact"/>
        <w:rPr>
          <w:sz w:val="20"/>
          <w:szCs w:val="20"/>
          <w:color w:val="auto"/>
        </w:rPr>
      </w:pPr>
    </w:p>
    <w:p>
      <w:pPr>
        <w:ind w:right="140" w:firstLine="568"/>
        <w:spacing w:after="0" w:line="302" w:lineRule="auto"/>
        <w:rPr>
          <w:sz w:val="20"/>
          <w:szCs w:val="20"/>
          <w:color w:val="auto"/>
        </w:rPr>
      </w:pPr>
      <w:r>
        <w:rPr>
          <w:rFonts w:ascii="Arial" w:cs="Arial" w:eastAsia="Arial" w:hAnsi="Arial"/>
          <w:sz w:val="14"/>
          <w:szCs w:val="14"/>
          <w:b w:val="1"/>
          <w:bCs w:val="1"/>
          <w:i w:val="1"/>
          <w:iCs w:val="1"/>
          <w:color w:val="auto"/>
        </w:rPr>
        <w:t xml:space="preserve">Interest and dividends income. </w:t>
      </w:r>
      <w:r>
        <w:rPr>
          <w:rFonts w:ascii="Arial" w:cs="Arial" w:eastAsia="Arial" w:hAnsi="Arial"/>
          <w:sz w:val="14"/>
          <w:szCs w:val="14"/>
          <w:color w:val="auto"/>
        </w:rPr>
        <w:t>Interest and dividends income was primarily earned by our Market Making segment. Interest and dividends income increased $13.3</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million, or 21.4%, to $75.4 million for the year ended December 31, 2021, compared to $62.1 million for the year ended December 31, 2020. This increase was primarily attributable to higher interest income earned on cash collateral posted as part of securities borrowed transactions driven by higher interest rates for the period compared to the prior period. As indicated above, rather than analyzing interest and dividends income in isolation, we evaluate it in the broader context of our Adjusted Net Trading Income.</w:t>
      </w:r>
    </w:p>
    <w:p>
      <w:pPr>
        <w:spacing w:after="0" w:line="200" w:lineRule="exact"/>
        <w:rPr>
          <w:sz w:val="20"/>
          <w:szCs w:val="20"/>
          <w:color w:val="auto"/>
        </w:rPr>
      </w:pPr>
    </w:p>
    <w:p>
      <w:pPr>
        <w:spacing w:after="0" w:line="233"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00"/>
          </w:cols>
          <w:pgMar w:left="320" w:top="892" w:right="479" w:bottom="1440" w:gutter="0" w:footer="0" w:header="0"/>
        </w:sectPr>
      </w:pPr>
    </w:p>
    <w:bookmarkStart w:id="59" w:name="page60"/>
    <w:bookmarkEnd w:id="59"/>
    <w:p>
      <w:pPr>
        <w:ind w:firstLine="568"/>
        <w:spacing w:after="0" w:line="252" w:lineRule="auto"/>
        <w:rPr>
          <w:sz w:val="20"/>
          <w:szCs w:val="20"/>
          <w:color w:val="auto"/>
        </w:rPr>
      </w:pPr>
      <w:r>
        <w:rPr>
          <w:rFonts w:ascii="Arial" w:cs="Arial" w:eastAsia="Arial" w:hAnsi="Arial"/>
          <w:sz w:val="16"/>
          <w:szCs w:val="16"/>
          <w:b w:val="1"/>
          <w:bCs w:val="1"/>
          <w:i w:val="1"/>
          <w:iCs w:val="1"/>
          <w:color w:val="auto"/>
        </w:rPr>
        <w:t xml:space="preserve">Commissions, net and technology services. </w:t>
      </w:r>
      <w:r>
        <w:rPr>
          <w:rFonts w:ascii="Arial" w:cs="Arial" w:eastAsia="Arial" w:hAnsi="Arial"/>
          <w:sz w:val="16"/>
          <w:szCs w:val="16"/>
          <w:color w:val="auto"/>
        </w:rPr>
        <w:t>Commissions, net and technology services revenues were primarily earned by our Execution Services segment.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Commissions, net and technology services revenues increased $14.0 million, or 2.3%, to $614.5 million for the year ended December 31, 2021, compared to $600.5 million for the year ended December 31, 2020. The increase was primarily attributable to higher trading volumes in U.S. equities. Average daily U.S. equities consolidated volumes increased 4.4% compared to prior period. As indicated above, rather than analyzing commissions, net and technology services in isolation, we evaluate it in the broader context of our Adjusted Net Trading Income.</w:t>
      </w:r>
    </w:p>
    <w:p>
      <w:pPr>
        <w:spacing w:after="0" w:line="194" w:lineRule="exact"/>
        <w:rPr>
          <w:sz w:val="20"/>
          <w:szCs w:val="20"/>
          <w:color w:val="auto"/>
        </w:rPr>
      </w:pPr>
    </w:p>
    <w:p>
      <w:pPr>
        <w:ind w:right="80" w:firstLine="568"/>
        <w:spacing w:after="0" w:line="283" w:lineRule="auto"/>
        <w:rPr>
          <w:sz w:val="20"/>
          <w:szCs w:val="20"/>
          <w:color w:val="auto"/>
        </w:rPr>
      </w:pPr>
      <w:r>
        <w:rPr>
          <w:rFonts w:ascii="Arial" w:cs="Arial" w:eastAsia="Arial" w:hAnsi="Arial"/>
          <w:sz w:val="15"/>
          <w:szCs w:val="15"/>
          <w:b w:val="1"/>
          <w:bCs w:val="1"/>
          <w:i w:val="1"/>
          <w:iCs w:val="1"/>
          <w:color w:val="auto"/>
        </w:rPr>
        <w:t xml:space="preserve">Other, net. </w:t>
      </w:r>
      <w:r>
        <w:rPr>
          <w:rFonts w:ascii="Arial" w:cs="Arial" w:eastAsia="Arial" w:hAnsi="Arial"/>
          <w:sz w:val="15"/>
          <w:szCs w:val="15"/>
          <w:color w:val="auto"/>
        </w:rPr>
        <w:t>Other, net decreased $67.0 million, or 80.3%, to $16.4 million for the year ended December 31, 2021, compared to $83.5 million for the year ended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December 31, 2020. The decrease was primarily due to a $56.2 million gain recorded on the sale of MATCHNow in the third quarter 2020 (see Note 4 "Sale of MATCHNow" of Part II Item 8 “Financial Statements and Supplementary Data” of this Annual Report on Form 10-K for details on the MATCHNow sale).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Adjusted Net Trading Income</w:t>
      </w:r>
    </w:p>
    <w:p>
      <w:pPr>
        <w:spacing w:after="0" w:line="219" w:lineRule="exact"/>
        <w:rPr>
          <w:sz w:val="20"/>
          <w:szCs w:val="20"/>
          <w:color w:val="auto"/>
        </w:rPr>
      </w:pPr>
    </w:p>
    <w:p>
      <w:pPr>
        <w:ind w:right="60" w:firstLine="568"/>
        <w:spacing w:after="0" w:line="268" w:lineRule="auto"/>
        <w:rPr>
          <w:sz w:val="20"/>
          <w:szCs w:val="20"/>
          <w:color w:val="auto"/>
        </w:rPr>
      </w:pPr>
      <w:r>
        <w:rPr>
          <w:rFonts w:ascii="Arial" w:cs="Arial" w:eastAsia="Arial" w:hAnsi="Arial"/>
          <w:sz w:val="15"/>
          <w:szCs w:val="15"/>
          <w:color w:val="auto"/>
        </w:rPr>
        <w:t>Adjusted Net Trading Income decreased $361.5 million, or 15.9%, to $1,909.9 million for the year ended December 31, 2021, compared to $2,271.4 million for the year ended December 31, 2020. This decrease was primarily attributable to lower Trading Income, net (described above), driven by lower market volatility during the year ended December 31, 2021 compared to the prior period, partially offset by lower Brokerage, exchange, clearance fees and payments for order flow, net (described below) incurred by Market Making. Average daily realized volatility of the S&amp;P 500 Index and average daily CVIX realized volatility decreased 57.272% and 61.212%, respectively, compared to the prior period, while average daily U.S. equity consolidated volumes increased 4.44.4%. Adjusted Net Trading Income per day decreased $1.4 million, or 15.6%, to $7.6 million for the year ended December 31, 2021, compared to $9.0 million for the year ended December 31, 2020. The number of trading days was 252 days for the year ended December 31, 2021 and 253 days for the year ended December 31, 2020. Adjusted Net Trading Income is a non-GAAP measure. For a full description of Adjusted Net Trading Income and a reconciliation of Adjusted Net Trading Income to trading income, net, see “Non-GAAP Financial Measures and Other Items” in this “Item 7. Management's Discussion and Analysis of Financial Condition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Expenses</w:t>
      </w:r>
    </w:p>
    <w:p>
      <w:pPr>
        <w:spacing w:after="0" w:line="219" w:lineRule="exact"/>
        <w:rPr>
          <w:sz w:val="20"/>
          <w:szCs w:val="20"/>
          <w:color w:val="auto"/>
        </w:rPr>
      </w:pPr>
    </w:p>
    <w:p>
      <w:pPr>
        <w:ind w:right="200" w:firstLine="568"/>
        <w:spacing w:after="0" w:line="254" w:lineRule="auto"/>
        <w:rPr>
          <w:sz w:val="20"/>
          <w:szCs w:val="20"/>
          <w:color w:val="auto"/>
        </w:rPr>
      </w:pPr>
      <w:r>
        <w:rPr>
          <w:rFonts w:ascii="Arial" w:cs="Arial" w:eastAsia="Arial" w:hAnsi="Arial"/>
          <w:sz w:val="16"/>
          <w:szCs w:val="16"/>
          <w:color w:val="auto"/>
        </w:rPr>
        <w:t>Our operating expenses decreased $41.9 million, or 2.3%, to $1,814.6 million for the year ended December 31, 2021, compared to $1,856.5 million for the year ended December 31, 2020. The decrease in operating expenses was primarily due to lower Employee compensation and payroll taxes, Brokerage, exchange, clearance fees and payments for order flow, net, and Debt issue cost related to debt refinancing, prepayment, and commitment fees, offset by increases in Interest and dividends expense and Termination of office leases as compared to the prior year, described in more detail below.</w:t>
      </w:r>
    </w:p>
    <w:p>
      <w:pPr>
        <w:spacing w:after="0" w:line="192" w:lineRule="exact"/>
        <w:rPr>
          <w:sz w:val="20"/>
          <w:szCs w:val="20"/>
          <w:color w:val="auto"/>
        </w:rPr>
      </w:pPr>
    </w:p>
    <w:p>
      <w:pPr>
        <w:ind w:right="40" w:firstLine="568"/>
        <w:spacing w:after="0" w:line="252" w:lineRule="auto"/>
        <w:rPr>
          <w:sz w:val="20"/>
          <w:szCs w:val="20"/>
          <w:color w:val="auto"/>
        </w:rPr>
      </w:pPr>
      <w:r>
        <w:rPr>
          <w:rFonts w:ascii="Arial" w:cs="Arial" w:eastAsia="Arial" w:hAnsi="Arial"/>
          <w:sz w:val="16"/>
          <w:szCs w:val="16"/>
          <w:b w:val="1"/>
          <w:bCs w:val="1"/>
          <w:i w:val="1"/>
          <w:iCs w:val="1"/>
          <w:color w:val="auto"/>
        </w:rPr>
        <w:t xml:space="preserve">Brokerage, exchange, clearance fees and payments for order flow, net. </w:t>
      </w:r>
      <w:r>
        <w:rPr>
          <w:rFonts w:ascii="Arial" w:cs="Arial" w:eastAsia="Arial" w:hAnsi="Arial"/>
          <w:sz w:val="16"/>
          <w:szCs w:val="16"/>
          <w:color w:val="auto"/>
        </w:rPr>
        <w:t>Brokerage, exchange, clearance fees and payments for order flow, net, decreased $13.4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1.8%, to $745.4 million for the year ended December 31, 2021, compared to $758.8 million for the year ended December 31, 2020. This decrease was primarily attributable to decreases in market volatility in U.S. equities markets offset by increases in volumes from our broker-dealer clients eligible for payments for order flow, driven by higher participation of retail investors in the market during the current year compared to the prior year. We evaluate this category, representing direct costs associated with transacting our business, in the broader context of our Adjusted Net Trading Income.</w:t>
      </w:r>
    </w:p>
    <w:p>
      <w:pPr>
        <w:spacing w:after="0" w:line="194" w:lineRule="exact"/>
        <w:rPr>
          <w:sz w:val="20"/>
          <w:szCs w:val="20"/>
          <w:color w:val="auto"/>
        </w:rPr>
      </w:pPr>
    </w:p>
    <w:p>
      <w:pPr>
        <w:jc w:val="both"/>
        <w:ind w:right="60" w:firstLine="568"/>
        <w:spacing w:after="0" w:line="257" w:lineRule="auto"/>
        <w:rPr>
          <w:sz w:val="20"/>
          <w:szCs w:val="20"/>
          <w:color w:val="auto"/>
        </w:rPr>
      </w:pPr>
      <w:r>
        <w:rPr>
          <w:rFonts w:ascii="Arial" w:cs="Arial" w:eastAsia="Arial" w:hAnsi="Arial"/>
          <w:sz w:val="16"/>
          <w:szCs w:val="16"/>
          <w:b w:val="1"/>
          <w:bCs w:val="1"/>
          <w:i w:val="1"/>
          <w:iCs w:val="1"/>
          <w:color w:val="auto"/>
        </w:rPr>
        <w:t xml:space="preserve">Communication and data processing. </w:t>
      </w:r>
      <w:r>
        <w:rPr>
          <w:rFonts w:ascii="Arial" w:cs="Arial" w:eastAsia="Arial" w:hAnsi="Arial"/>
          <w:sz w:val="16"/>
          <w:szCs w:val="16"/>
          <w:color w:val="auto"/>
        </w:rPr>
        <w:t>Communication and data processing expense decreased $1.8 million, or 0.8%, to $212.0 million for the year ended December 31,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2021, compared to $213.8 million for the year ended December 31, 2020. This decrease was primarily attributable to reductions in connectivity connections as a result of an on-going effort to consolidate various communication and data processing services and subscriptions.</w:t>
      </w:r>
    </w:p>
    <w:p>
      <w:pPr>
        <w:spacing w:after="0" w:line="190" w:lineRule="exact"/>
        <w:rPr>
          <w:sz w:val="20"/>
          <w:szCs w:val="20"/>
          <w:color w:val="auto"/>
        </w:rPr>
      </w:pPr>
    </w:p>
    <w:p>
      <w:pPr>
        <w:ind w:right="40" w:firstLine="568"/>
        <w:spacing w:after="0" w:line="302" w:lineRule="auto"/>
        <w:rPr>
          <w:sz w:val="20"/>
          <w:szCs w:val="20"/>
          <w:color w:val="auto"/>
        </w:rPr>
      </w:pPr>
      <w:r>
        <w:rPr>
          <w:rFonts w:ascii="Arial" w:cs="Arial" w:eastAsia="Arial" w:hAnsi="Arial"/>
          <w:sz w:val="14"/>
          <w:szCs w:val="14"/>
          <w:b w:val="1"/>
          <w:bCs w:val="1"/>
          <w:i w:val="1"/>
          <w:iCs w:val="1"/>
          <w:color w:val="auto"/>
        </w:rPr>
        <w:t xml:space="preserve">Employee compensation and payroll taxes. </w:t>
      </w:r>
      <w:r>
        <w:rPr>
          <w:rFonts w:ascii="Arial" w:cs="Arial" w:eastAsia="Arial" w:hAnsi="Arial"/>
          <w:sz w:val="14"/>
          <w:szCs w:val="14"/>
          <w:color w:val="auto"/>
        </w:rPr>
        <w:t>Employee compensation and payroll taxes decreased $17.3 million, or 4.4%, to $376.3 million for the year ended December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31, 2021, compared to $393.5 million for the year ended December 31, 2020. The decrease in compensation levels was primarily attributable to a reduction in accrued incentive compensation in the current period, relative to the prior period, which is recorded at management’s discretion and is generally accrued in connection with the overall level of profitability, as well as a result of one-time cash bonuses awarded in the first quarter of 2020 to certain employees to mitigate the effects of the COVID-19 pandemic.</w:t>
      </w:r>
    </w:p>
    <w:p>
      <w:pPr>
        <w:spacing w:after="0" w:line="160" w:lineRule="exact"/>
        <w:rPr>
          <w:sz w:val="20"/>
          <w:szCs w:val="20"/>
          <w:color w:val="auto"/>
        </w:rPr>
      </w:pPr>
    </w:p>
    <w:p>
      <w:pPr>
        <w:ind w:right="40" w:firstLine="568"/>
        <w:spacing w:after="0" w:line="268" w:lineRule="auto"/>
        <w:rPr>
          <w:sz w:val="20"/>
          <w:szCs w:val="20"/>
          <w:color w:val="auto"/>
        </w:rPr>
      </w:pPr>
      <w:r>
        <w:rPr>
          <w:rFonts w:ascii="Arial" w:cs="Arial" w:eastAsia="Arial" w:hAnsi="Arial"/>
          <w:sz w:val="16"/>
          <w:szCs w:val="16"/>
          <w:color w:val="auto"/>
        </w:rPr>
        <w:t>We have capitalized and therefore excluded employee compensation and benefits related to software development of $35.8 million and $37.0 million for the years ended December 31,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015" w:right="319" w:bottom="1440" w:gutter="0" w:footer="0" w:header="0"/>
        </w:sectPr>
      </w:pPr>
    </w:p>
    <w:bookmarkStart w:id="60" w:name="page61"/>
    <w:bookmarkEnd w:id="60"/>
    <w:p>
      <w:pPr>
        <w:ind w:firstLine="568"/>
        <w:spacing w:after="0" w:line="276" w:lineRule="auto"/>
        <w:rPr>
          <w:sz w:val="20"/>
          <w:szCs w:val="20"/>
          <w:color w:val="auto"/>
        </w:rPr>
      </w:pPr>
      <w:r>
        <w:rPr>
          <w:rFonts w:ascii="Arial" w:cs="Arial" w:eastAsia="Arial" w:hAnsi="Arial"/>
          <w:sz w:val="15"/>
          <w:szCs w:val="15"/>
          <w:b w:val="1"/>
          <w:bCs w:val="1"/>
          <w:i w:val="1"/>
          <w:iCs w:val="1"/>
          <w:color w:val="auto"/>
        </w:rPr>
        <w:t xml:space="preserve">Interest and dividends expense. </w:t>
      </w:r>
      <w:r>
        <w:rPr>
          <w:rFonts w:ascii="Arial" w:cs="Arial" w:eastAsia="Arial" w:hAnsi="Arial"/>
          <w:sz w:val="15"/>
          <w:szCs w:val="15"/>
          <w:color w:val="auto"/>
        </w:rPr>
        <w:t>Interest and dividends expense increased $14.1 million, or 11.2%, to $139.7 million for the year ended December 31, 2021, compared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$125.6 million for the year ended December 31, 2020. This increase was primarily attributable to higher interest expense incurred on cash collateral received driven by higher interest rates, as well as an increase in securities lending transactions for the period compared to the same period during the prior year. As indicated above, rather than analyzing interest and dividends expense in isolation, we generally evaluate it in the broader context of our Adjusted Net Trading Income.</w:t>
      </w:r>
    </w:p>
    <w:p>
      <w:pPr>
        <w:spacing w:after="0" w:line="177" w:lineRule="exact"/>
        <w:rPr>
          <w:sz w:val="20"/>
          <w:szCs w:val="20"/>
          <w:color w:val="auto"/>
        </w:rPr>
      </w:pPr>
    </w:p>
    <w:p>
      <w:pPr>
        <w:ind w:right="100" w:firstLine="568"/>
        <w:spacing w:after="0" w:line="311" w:lineRule="auto"/>
        <w:rPr>
          <w:sz w:val="20"/>
          <w:szCs w:val="20"/>
          <w:color w:val="auto"/>
        </w:rPr>
      </w:pPr>
      <w:r>
        <w:rPr>
          <w:rFonts w:ascii="Arial" w:cs="Arial" w:eastAsia="Arial" w:hAnsi="Arial"/>
          <w:sz w:val="14"/>
          <w:szCs w:val="14"/>
          <w:b w:val="1"/>
          <w:bCs w:val="1"/>
          <w:i w:val="1"/>
          <w:iCs w:val="1"/>
          <w:color w:val="auto"/>
        </w:rPr>
        <w:t xml:space="preserve">Operations and administrative. </w:t>
      </w:r>
      <w:r>
        <w:rPr>
          <w:rFonts w:ascii="Arial" w:cs="Arial" w:eastAsia="Arial" w:hAnsi="Arial"/>
          <w:sz w:val="14"/>
          <w:szCs w:val="14"/>
          <w:color w:val="auto"/>
        </w:rPr>
        <w:t>Operations and administrative expense decreased $6.4 million, or 6.8%, to $88.1 million for the year ended December 31, 2021,</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compared to $94.6 million for the year ended December 31, 2020. The decrease was primarily attributable to decreases in travel and entertainment due to the on-going effects of the COVID-19 pandemic as well the on-going efforts to consolidate office premises and professional services after the Acquisition of KCG and the ITG Acquisition.</w:t>
      </w:r>
    </w:p>
    <w:p>
      <w:pPr>
        <w:spacing w:after="0" w:line="155" w:lineRule="exact"/>
        <w:rPr>
          <w:sz w:val="20"/>
          <w:szCs w:val="20"/>
          <w:color w:val="auto"/>
        </w:rPr>
      </w:pPr>
    </w:p>
    <w:p>
      <w:pPr>
        <w:ind w:left="560"/>
        <w:spacing w:after="0"/>
        <w:rPr>
          <w:sz w:val="20"/>
          <w:szCs w:val="20"/>
          <w:color w:val="auto"/>
        </w:rPr>
      </w:pPr>
      <w:r>
        <w:rPr>
          <w:rFonts w:ascii="Arial" w:cs="Arial" w:eastAsia="Arial" w:hAnsi="Arial"/>
          <w:sz w:val="14"/>
          <w:szCs w:val="14"/>
          <w:b w:val="1"/>
          <w:bCs w:val="1"/>
          <w:i w:val="1"/>
          <w:iCs w:val="1"/>
          <w:color w:val="auto"/>
        </w:rPr>
        <w:t xml:space="preserve">Depreciation and amortization. </w:t>
      </w:r>
      <w:r>
        <w:rPr>
          <w:rFonts w:ascii="Arial" w:cs="Arial" w:eastAsia="Arial" w:hAnsi="Arial"/>
          <w:sz w:val="14"/>
          <w:szCs w:val="14"/>
          <w:color w:val="auto"/>
        </w:rPr>
        <w:t>Depreciation and amortization increased $1.1 million, or 1.6%, to $67.8 million for the year ended December 31, 2021, compared to</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$66.7 million for the year ended December 31, 2020. This increase was primarily attributable to an increase in capital expenditures on telecommunication, networking, and other</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assets.</w:t>
      </w:r>
    </w:p>
    <w:p>
      <w:pPr>
        <w:spacing w:after="0" w:line="207" w:lineRule="exact"/>
        <w:rPr>
          <w:sz w:val="20"/>
          <w:szCs w:val="20"/>
          <w:color w:val="auto"/>
        </w:rPr>
      </w:pPr>
    </w:p>
    <w:p>
      <w:pPr>
        <w:ind w:right="340" w:firstLine="568"/>
        <w:spacing w:after="0" w:line="257" w:lineRule="auto"/>
        <w:rPr>
          <w:sz w:val="20"/>
          <w:szCs w:val="20"/>
          <w:color w:val="auto"/>
        </w:rPr>
      </w:pPr>
      <w:r>
        <w:rPr>
          <w:rFonts w:ascii="Arial" w:cs="Arial" w:eastAsia="Arial" w:hAnsi="Arial"/>
          <w:sz w:val="16"/>
          <w:szCs w:val="16"/>
          <w:b w:val="1"/>
          <w:bCs w:val="1"/>
          <w:i w:val="1"/>
          <w:iCs w:val="1"/>
          <w:color w:val="auto"/>
        </w:rPr>
        <w:t xml:space="preserve">Amortization of purchased intangibles and acquired capitalized software. </w:t>
      </w:r>
      <w:r>
        <w:rPr>
          <w:rFonts w:ascii="Arial" w:cs="Arial" w:eastAsia="Arial" w:hAnsi="Arial"/>
          <w:sz w:val="16"/>
          <w:szCs w:val="16"/>
          <w:color w:val="auto"/>
        </w:rPr>
        <w:t>Amortization of purchased intangibles and acquired capitalized software decreased $4.6</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or 6.2%, to $69.7 million for the year ended December 31, 2021, compared to $74.3 million for the year ended December 31, 2020. This decrease was primarily attributable to certain intangible assets being fully amortized in 2020.</w:t>
      </w:r>
    </w:p>
    <w:p>
      <w:pPr>
        <w:spacing w:after="0" w:line="190" w:lineRule="exact"/>
        <w:rPr>
          <w:sz w:val="20"/>
          <w:szCs w:val="20"/>
          <w:color w:val="auto"/>
        </w:rPr>
      </w:pPr>
    </w:p>
    <w:p>
      <w:pPr>
        <w:ind w:right="160" w:firstLine="568"/>
        <w:spacing w:after="0" w:line="276" w:lineRule="auto"/>
        <w:rPr>
          <w:sz w:val="20"/>
          <w:szCs w:val="20"/>
          <w:color w:val="auto"/>
        </w:rPr>
      </w:pPr>
      <w:r>
        <w:rPr>
          <w:rFonts w:ascii="Arial" w:cs="Arial" w:eastAsia="Arial" w:hAnsi="Arial"/>
          <w:sz w:val="15"/>
          <w:szCs w:val="15"/>
          <w:b w:val="1"/>
          <w:bCs w:val="1"/>
          <w:i w:val="1"/>
          <w:iCs w:val="1"/>
          <w:color w:val="auto"/>
        </w:rPr>
        <w:t xml:space="preserve">Termination of office leases. </w:t>
      </w:r>
      <w:r>
        <w:rPr>
          <w:rFonts w:ascii="Arial" w:cs="Arial" w:eastAsia="Arial" w:hAnsi="Arial"/>
          <w:sz w:val="15"/>
          <w:szCs w:val="15"/>
          <w:color w:val="auto"/>
        </w:rPr>
        <w:t>Termination of office leases was $28.1 million for the year ended December 31, 2021, compared to $9.6 million for the year ended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December 31, 2020. Expense from termination of office leases resulted from the impairment of operating lease right-of-use assets and leasehold improvements and fixed assets for certain office space that we abandoned as part of our efforts to integrate and consolidate office space, in connection with the Acquisition of KCG and the ITG Acquisition. The 2021 expense included the impairment of the lease and leasehold improvements of our former headquarters at One Liberty Plaza.</w:t>
      </w:r>
    </w:p>
    <w:p>
      <w:pPr>
        <w:spacing w:after="0" w:line="177" w:lineRule="exact"/>
        <w:rPr>
          <w:sz w:val="20"/>
          <w:szCs w:val="20"/>
          <w:color w:val="auto"/>
        </w:rPr>
      </w:pPr>
    </w:p>
    <w:p>
      <w:pPr>
        <w:ind w:right="20" w:firstLine="568"/>
        <w:spacing w:after="0" w:line="271" w:lineRule="auto"/>
        <w:rPr>
          <w:sz w:val="20"/>
          <w:szCs w:val="20"/>
          <w:color w:val="auto"/>
        </w:rPr>
      </w:pPr>
      <w:r>
        <w:rPr>
          <w:rFonts w:ascii="Arial" w:cs="Arial" w:eastAsia="Arial" w:hAnsi="Arial"/>
          <w:sz w:val="15"/>
          <w:szCs w:val="15"/>
          <w:b w:val="1"/>
          <w:bCs w:val="1"/>
          <w:i w:val="1"/>
          <w:iCs w:val="1"/>
          <w:color w:val="auto"/>
        </w:rPr>
        <w:t xml:space="preserve">Debt issue costs related to debt refinancing, prepayment and commitment fees. </w:t>
      </w:r>
      <w:r>
        <w:rPr>
          <w:rFonts w:ascii="Arial" w:cs="Arial" w:eastAsia="Arial" w:hAnsi="Arial"/>
          <w:sz w:val="15"/>
          <w:szCs w:val="15"/>
          <w:color w:val="auto"/>
        </w:rPr>
        <w:t>Expense from debt issue costs related to debt refinancing, prepayment and commitment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fees decreased $22.3 million, or 77.2%, to $6.6 million for the year ended December 31, 2021, compared to $28.9 million for the year ended December 31, 2020. The amount for the year ended December 31, 2020 was primarily driven by the amortization of debt issue costs related to the addition of the Founder Member Loan Facility in March 2020, which expired as of September 20, 2020, costs incurred related to Amendment No. 2 to the Credit Agreement (as defined below), and the acceleration of amortization as a result of the prepayment of $288.5 million of long term borrowings made during the year ended December 31, 2020. See Note 10 "Borrowings" of Part II Item 8 “Financial Statements and Supplementary Data” of this Annual Report on Form 10-K for additional details.</w:t>
      </w:r>
    </w:p>
    <w:p>
      <w:pPr>
        <w:spacing w:after="0" w:line="181" w:lineRule="exact"/>
        <w:rPr>
          <w:sz w:val="20"/>
          <w:szCs w:val="20"/>
          <w:color w:val="auto"/>
        </w:rPr>
      </w:pPr>
    </w:p>
    <w:p>
      <w:pPr>
        <w:ind w:right="300" w:firstLine="568"/>
        <w:spacing w:after="0" w:line="257" w:lineRule="auto"/>
        <w:rPr>
          <w:sz w:val="20"/>
          <w:szCs w:val="20"/>
          <w:color w:val="auto"/>
        </w:rPr>
      </w:pPr>
      <w:r>
        <w:rPr>
          <w:rFonts w:ascii="Arial" w:cs="Arial" w:eastAsia="Arial" w:hAnsi="Arial"/>
          <w:sz w:val="16"/>
          <w:szCs w:val="16"/>
          <w:b w:val="1"/>
          <w:bCs w:val="1"/>
          <w:i w:val="1"/>
          <w:iCs w:val="1"/>
          <w:color w:val="auto"/>
        </w:rPr>
        <w:t xml:space="preserve">Transaction advisory fees and expenses. </w:t>
      </w:r>
      <w:r>
        <w:rPr>
          <w:rFonts w:ascii="Arial" w:cs="Arial" w:eastAsia="Arial" w:hAnsi="Arial"/>
          <w:sz w:val="16"/>
          <w:szCs w:val="16"/>
          <w:color w:val="auto"/>
        </w:rPr>
        <w:t>Transaction advisory fees and expenses decreased $2.1 million, or 71.3%, to $0.8 million for the year ended December 31,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2021, compared to $2.9 million for the year ended December 31, 2020. The expense incurred in 2020 was primarily related to the sale of MatchNOW. See Note 4 "Sale of MATCHNow" of this Annual Report on Form 10-K for additional details.</w:t>
      </w:r>
    </w:p>
    <w:p>
      <w:pPr>
        <w:spacing w:after="0" w:line="190" w:lineRule="exact"/>
        <w:rPr>
          <w:sz w:val="20"/>
          <w:szCs w:val="20"/>
          <w:color w:val="auto"/>
        </w:rPr>
      </w:pPr>
    </w:p>
    <w:p>
      <w:pPr>
        <w:ind w:right="60" w:firstLine="568"/>
        <w:spacing w:after="0" w:line="254" w:lineRule="auto"/>
        <w:rPr>
          <w:sz w:val="20"/>
          <w:szCs w:val="20"/>
          <w:color w:val="auto"/>
        </w:rPr>
      </w:pPr>
      <w:r>
        <w:rPr>
          <w:rFonts w:ascii="Arial" w:cs="Arial" w:eastAsia="Arial" w:hAnsi="Arial"/>
          <w:sz w:val="16"/>
          <w:szCs w:val="16"/>
          <w:b w:val="1"/>
          <w:bCs w:val="1"/>
          <w:i w:val="1"/>
          <w:iCs w:val="1"/>
          <w:color w:val="auto"/>
        </w:rPr>
        <w:t xml:space="preserve">Financing interest expense on long term borrowings. </w:t>
      </w:r>
      <w:r>
        <w:rPr>
          <w:rFonts w:ascii="Arial" w:cs="Arial" w:eastAsia="Arial" w:hAnsi="Arial"/>
          <w:sz w:val="16"/>
          <w:szCs w:val="16"/>
          <w:color w:val="auto"/>
        </w:rPr>
        <w:t>Financing interest expense on long-term borrowings decreased $7.8 million, or 8.9%, to $80.0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year ended December 31, 2021, compared to $87.7 million for the year ended December 31, 2020. This decrease was primarily attributable to a decrease in outstanding principal as a result of prepayments made during the year ended December 31, 2020, as discussed in Note 10 "Borrowings" of Part II Item 8 “Financial Statements and Supplementary Data” of this Annual Report on Form 10-K, in addition to lower interest rates.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Provision for (benefit from) income taxes</w:t>
      </w:r>
    </w:p>
    <w:p>
      <w:pPr>
        <w:spacing w:after="0" w:line="219" w:lineRule="exact"/>
        <w:rPr>
          <w:sz w:val="20"/>
          <w:szCs w:val="20"/>
          <w:color w:val="auto"/>
        </w:rPr>
      </w:pPr>
    </w:p>
    <w:p>
      <w:pPr>
        <w:ind w:right="60" w:firstLine="568"/>
        <w:spacing w:after="0" w:line="311" w:lineRule="auto"/>
        <w:rPr>
          <w:sz w:val="20"/>
          <w:szCs w:val="20"/>
          <w:color w:val="auto"/>
        </w:rPr>
      </w:pPr>
      <w:r>
        <w:rPr>
          <w:rFonts w:ascii="Arial" w:cs="Arial" w:eastAsia="Arial" w:hAnsi="Arial"/>
          <w:sz w:val="14"/>
          <w:szCs w:val="14"/>
          <w:color w:val="auto"/>
        </w:rPr>
        <w:t>We incur corporate tax at the U.S. federal income tax rate on our taxable income, as adjusted for noncontrolling interest in Virtu Financial. Our income tax expense reflects such U.S. federal income tax as well as taxes payable by certain of our non-U.S. subsidiaries. Our provision for income taxes and effective tax rates were $169.7 million, 17.0% for the year ended December 31, 2021, compared to a provision for income taxes of $261.9 million, 18.9% for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802" w:right="339" w:bottom="1440" w:gutter="0" w:footer="0" w:header="0"/>
        </w:sectPr>
      </w:pPr>
    </w:p>
    <w:bookmarkStart w:id="61" w:name="page62"/>
    <w:bookmarkEnd w:id="61"/>
    <w:p>
      <w:pPr>
        <w:spacing w:after="0"/>
        <w:rPr>
          <w:sz w:val="20"/>
          <w:szCs w:val="20"/>
          <w:color w:val="auto"/>
        </w:rPr>
      </w:pPr>
      <w:r>
        <w:rPr>
          <w:rFonts w:ascii="Arial" w:cs="Arial" w:eastAsia="Arial" w:hAnsi="Arial"/>
          <w:sz w:val="16"/>
          <w:szCs w:val="16"/>
          <w:b w:val="1"/>
          <w:bCs w:val="1"/>
          <w:color w:val="auto"/>
        </w:rPr>
        <w:t>Year Ended December 31, 2020 Compared to Year Ended December 31, 2019</w:t>
      </w:r>
    </w:p>
    <w:p>
      <w:pPr>
        <w:spacing w:after="0" w:line="223" w:lineRule="exact"/>
        <w:rPr>
          <w:sz w:val="20"/>
          <w:szCs w:val="20"/>
          <w:color w:val="auto"/>
        </w:rPr>
      </w:pPr>
    </w:p>
    <w:p>
      <w:pPr>
        <w:ind w:right="60" w:firstLine="158"/>
        <w:spacing w:after="0" w:line="257" w:lineRule="auto"/>
        <w:rPr>
          <w:sz w:val="20"/>
          <w:szCs w:val="20"/>
          <w:color w:val="auto"/>
        </w:rPr>
      </w:pPr>
      <w:r>
        <w:rPr>
          <w:rFonts w:ascii="Arial" w:cs="Arial" w:eastAsia="Arial" w:hAnsi="Arial"/>
          <w:sz w:val="16"/>
          <w:szCs w:val="16"/>
          <w:color w:val="auto"/>
        </w:rPr>
        <w:t>For discussion around our results of operations for the year ended December 31, 2019 and for a comparison of our results of operations for the year ended December 31, 2020 and year ended December 31, 2019, see Item 7, Management’s Discussion and Analysis of Financial Condition and Results of Operations, of our Annual Report on Form 10-K for fiscal year ended December 31, 2020, filed with the SEC on February 25, 2021.</w:t>
      </w: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General</w:t>
      </w:r>
    </w:p>
    <w:p>
      <w:pPr>
        <w:spacing w:after="0" w:line="219" w:lineRule="exact"/>
        <w:rPr>
          <w:sz w:val="20"/>
          <w:szCs w:val="20"/>
          <w:color w:val="auto"/>
        </w:rPr>
      </w:pPr>
    </w:p>
    <w:p>
      <w:pPr>
        <w:ind w:right="320" w:firstLine="568"/>
        <w:spacing w:after="0" w:line="254" w:lineRule="auto"/>
        <w:rPr>
          <w:sz w:val="20"/>
          <w:szCs w:val="20"/>
          <w:color w:val="auto"/>
        </w:rPr>
      </w:pPr>
      <w:r>
        <w:rPr>
          <w:rFonts w:ascii="Arial" w:cs="Arial" w:eastAsia="Arial" w:hAnsi="Arial"/>
          <w:sz w:val="16"/>
          <w:szCs w:val="16"/>
          <w:color w:val="auto"/>
        </w:rPr>
        <w:t>As of December 31, 2021, we had $1,071.5 million in Cash and cash equivalents. This balance is maintained primarily to support operating activities for capital expenditures and for short-term access to liquidity, and for other general corporate purposes. As of December 31, 2021, we had borrowings under our prime brokerage credit facilities of approximately $177.1 million, borrowings under our broker dealer facilities of $58.0 million, short-term bank overdrafts of $5.0 million, and long-term debt outstanding in an aggregate principal amount of approximately $1,630.5 million.</w:t>
      </w:r>
    </w:p>
    <w:p>
      <w:pPr>
        <w:spacing w:after="0" w:line="192" w:lineRule="exact"/>
        <w:rPr>
          <w:sz w:val="20"/>
          <w:szCs w:val="20"/>
          <w:color w:val="auto"/>
        </w:rPr>
      </w:pPr>
    </w:p>
    <w:p>
      <w:pPr>
        <w:ind w:right="20" w:firstLine="568"/>
        <w:spacing w:after="0" w:line="270" w:lineRule="auto"/>
        <w:rPr>
          <w:sz w:val="20"/>
          <w:szCs w:val="20"/>
          <w:color w:val="auto"/>
        </w:rPr>
      </w:pPr>
      <w:r>
        <w:rPr>
          <w:rFonts w:ascii="Arial" w:cs="Arial" w:eastAsia="Arial" w:hAnsi="Arial"/>
          <w:sz w:val="15"/>
          <w:szCs w:val="15"/>
          <w:color w:val="auto"/>
        </w:rPr>
        <w:t>The majority of our trading assets consist of exchange-listed marketable securities, which are marked-to-market daily, and collateralized receivables from broker-dealers and clearing organizations arising from proprietary securities transactions. Collateralized receivables consist primarily of securities borrowed, receivables from clearing houses for settlement of securities transactions and, to a lesser extent, securities purchased under agreements to resell. We actively manage our liquidity, and we maintain significant borrowing facilities through the securities lending markets and with banks and prime brokers. We have continually received the benefit of uncommitted margin financing from our prime brokers globally. These margin facilities are secured by securities in accounts held at the prime brokers. For purposes of providing additional liquidity, we maintain a committed credit facility and an uncommitted credit facility for our wholly-owned broker-dealer subsidiary, as discussed in Note 10 "Borrowings" of Part II Item 8 “Financial Statements and Supplementary Data” of this Annual Report on Form 10-K.</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Short-term Liquidity and Capital Resources</w:t>
      </w:r>
    </w:p>
    <w:p>
      <w:pPr>
        <w:spacing w:after="0" w:line="219" w:lineRule="exact"/>
        <w:rPr>
          <w:sz w:val="20"/>
          <w:szCs w:val="20"/>
          <w:color w:val="auto"/>
        </w:rPr>
      </w:pPr>
    </w:p>
    <w:p>
      <w:pPr>
        <w:jc w:val="both"/>
        <w:ind w:right="160" w:firstLine="568"/>
        <w:spacing w:after="0" w:line="276" w:lineRule="auto"/>
        <w:rPr>
          <w:sz w:val="20"/>
          <w:szCs w:val="20"/>
          <w:color w:val="auto"/>
        </w:rPr>
      </w:pPr>
      <w:r>
        <w:rPr>
          <w:rFonts w:ascii="Arial" w:cs="Arial" w:eastAsia="Arial" w:hAnsi="Arial"/>
          <w:sz w:val="15"/>
          <w:szCs w:val="15"/>
          <w:color w:val="auto"/>
        </w:rPr>
        <w:t>Based on our current level of operations, we believe our cash flows from operations, available cash and cash equivalents, and available borrowings under our broker-dealer credit facilities will be adequate to meet our future liquidity needs for the next twelve months. We anticipate that our primary upcoming cash and liquidity needs will be increased margin requirements from increased trading activities in markets where we currently provide liquidity and in new markets into which we plan to expand. We manage and monitor our margin and liquidity needs on a real-time basis and can adjust our requirements both intra-day and inter-day, as required.</w:t>
      </w:r>
    </w:p>
    <w:p>
      <w:pPr>
        <w:spacing w:after="0" w:line="177" w:lineRule="exact"/>
        <w:rPr>
          <w:sz w:val="20"/>
          <w:szCs w:val="20"/>
          <w:color w:val="auto"/>
        </w:rPr>
      </w:pPr>
    </w:p>
    <w:p>
      <w:pPr>
        <w:jc w:val="both"/>
        <w:ind w:right="220" w:firstLine="568"/>
        <w:spacing w:after="0" w:line="254" w:lineRule="auto"/>
        <w:rPr>
          <w:sz w:val="20"/>
          <w:szCs w:val="20"/>
          <w:color w:val="auto"/>
        </w:rPr>
      </w:pPr>
      <w:r>
        <w:rPr>
          <w:rFonts w:ascii="Arial" w:cs="Arial" w:eastAsia="Arial" w:hAnsi="Arial"/>
          <w:sz w:val="16"/>
          <w:szCs w:val="16"/>
          <w:color w:val="auto"/>
        </w:rPr>
        <w:t>We expect our principal sources of future liquidity to come from cash flows provided by operating activities and financing activities. Certain of our cash balances are insured by the Federal Deposit Insurance Corporation, generally up to $250,000 per account but without a cap under certain conditions. From time to time these cash balances may exceed insured limits, but we select financial institutions deemed highly credit worthy to minimize risk. We consider highly liquid investments with original maturities of less than three months, when acquired, to be cash equivalents.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Long-term Liquidity and Capital Resources</w:t>
      </w:r>
    </w:p>
    <w:p>
      <w:pPr>
        <w:spacing w:after="0" w:line="219" w:lineRule="exact"/>
        <w:rPr>
          <w:sz w:val="20"/>
          <w:szCs w:val="20"/>
          <w:color w:val="auto"/>
        </w:rPr>
      </w:pPr>
    </w:p>
    <w:p>
      <w:pPr>
        <w:ind w:firstLine="568"/>
        <w:spacing w:after="0" w:line="254" w:lineRule="auto"/>
        <w:rPr>
          <w:sz w:val="20"/>
          <w:szCs w:val="20"/>
          <w:color w:val="auto"/>
        </w:rPr>
      </w:pPr>
      <w:r>
        <w:rPr>
          <w:rFonts w:ascii="Arial" w:cs="Arial" w:eastAsia="Arial" w:hAnsi="Arial"/>
          <w:sz w:val="16"/>
          <w:szCs w:val="16"/>
          <w:color w:val="auto"/>
        </w:rPr>
        <w:t>Our principal demand for funds beyond the next twelve months will be payments on our long-term debt, operating lease payments, common stock repurchases under our share repurchase program, and dividend payments. Based on our current level of operations, we believe our cash flow from operations, and ability to raise funding, notably the refinancing of our term loan in January 2022, will be sufficient to fund capital demands. Our long-term debt was rated Ba3, and BB- by Moody's Investors Service and Fitch Ratings, respectively, with both firms giving an outlook of Stable.</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798" w:right="359" w:bottom="1440" w:gutter="0" w:footer="0" w:header="0"/>
        </w:sectPr>
      </w:pPr>
    </w:p>
    <w:bookmarkStart w:id="62" w:name="page63"/>
    <w:bookmarkEnd w:id="62"/>
    <w:p>
      <w:pPr>
        <w:spacing w:after="0"/>
        <w:rPr>
          <w:sz w:val="20"/>
          <w:szCs w:val="20"/>
          <w:color w:val="auto"/>
        </w:rPr>
      </w:pPr>
      <w:r>
        <w:rPr>
          <w:rFonts w:ascii="Arial" w:cs="Arial" w:eastAsia="Arial" w:hAnsi="Arial"/>
          <w:sz w:val="16"/>
          <w:szCs w:val="16"/>
          <w:b w:val="1"/>
          <w:bCs w:val="1"/>
          <w:i w:val="1"/>
          <w:iCs w:val="1"/>
          <w:color w:val="auto"/>
        </w:rPr>
        <w:t>Tax Receivable Agreements</w:t>
      </w:r>
    </w:p>
    <w:p>
      <w:pPr>
        <w:spacing w:after="0" w:line="207" w:lineRule="exact"/>
        <w:rPr>
          <w:sz w:val="20"/>
          <w:szCs w:val="20"/>
          <w:color w:val="auto"/>
        </w:rPr>
      </w:pPr>
    </w:p>
    <w:p>
      <w:pPr>
        <w:ind w:right="20" w:firstLine="568"/>
        <w:spacing w:after="0" w:line="235" w:lineRule="auto"/>
        <w:rPr>
          <w:sz w:val="20"/>
          <w:szCs w:val="20"/>
          <w:color w:val="auto"/>
        </w:rPr>
      </w:pPr>
      <w:r>
        <w:rPr>
          <w:rFonts w:ascii="Arial" w:cs="Arial" w:eastAsia="Arial" w:hAnsi="Arial"/>
          <w:sz w:val="15"/>
          <w:szCs w:val="15"/>
          <w:color w:val="auto"/>
        </w:rPr>
        <w:t>Generally, we are required under the tax receivable agreements entered into in connection with our IPO to make payments to certain direct or indirect equity holders of Virtu Financial that are generally equal to 85% of the applicable cash tax savings, if any, that we realize as a result of favorable tax attributes that are available to us as a result of the Reorganization Transactions, for exchanges of membership interests for Class A Common Stock or Class B Common Stock and payments made under the tax receivable agreements. We will retain the remaining 15% of any such cash tax savings. We expect that future payments to certain direct or indirect equity holders of Virtu Financial described in Note 6 "Tax Receivable Agreements" of Part II Item 8 “Financial Statements and Supplementary Data” of this Annual Report on Form 10-K are expected to range from approximately $0.4 million to $22.0 million per year over the next 15 years. Such payments will occur only after we have filed our U.S. federal and state income tax returns and realized the cash tax savings from the favorable tax attributes. We made our first payment of $7.0 million in February 2017, our second payment of $12.4 million in September 2018, our third payment of $13.3 million in March 2020, and our fourth payment of $16.5 million in April 2021. Future payments under the tax receivable agreements in respect of subsequent exchanges would be in addition to these amounts. We currently expect to fund these payments from realized cash tax savings from the favorable tax attributes.</w:t>
      </w:r>
    </w:p>
    <w:p>
      <w:pPr>
        <w:spacing w:after="0" w:line="193" w:lineRule="exact"/>
        <w:rPr>
          <w:sz w:val="20"/>
          <w:szCs w:val="20"/>
          <w:color w:val="auto"/>
        </w:rPr>
      </w:pPr>
    </w:p>
    <w:p>
      <w:pPr>
        <w:ind w:firstLine="568"/>
        <w:spacing w:after="0" w:line="271" w:lineRule="auto"/>
        <w:rPr>
          <w:sz w:val="20"/>
          <w:szCs w:val="20"/>
          <w:color w:val="auto"/>
        </w:rPr>
      </w:pPr>
      <w:r>
        <w:rPr>
          <w:rFonts w:ascii="Arial" w:cs="Arial" w:eastAsia="Arial" w:hAnsi="Arial"/>
          <w:sz w:val="15"/>
          <w:szCs w:val="15"/>
          <w:color w:val="auto"/>
        </w:rPr>
        <w:t>Under the tax receivable agreements, as a result of certain types of transactions and other factors, including a transaction resulting in a change of control, we may also be required to make payments to certain direct or indirect equity holders of Virtu Financial in amounts equal to the present value of future payments we are obligated to make under the tax receivable agreements. We would expect any acceleration of these payments to be funded from the realized favorable tax attributes. However, if the payments under the tax receivable agreements are accelerated, we may be required to raise additional debt or equity to fund such payments. To the extent that we are unable to make payments under the tax receivable agreements for any reason (including because our Amended Credit Agreement restricts the ability of our subsidiaries to make distributions to us) such payments will be deferred and will accrue interest until paid.</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Regulatory Capital Requirements</w:t>
      </w:r>
    </w:p>
    <w:p>
      <w:pPr>
        <w:spacing w:after="0" w:line="219" w:lineRule="exact"/>
        <w:rPr>
          <w:sz w:val="20"/>
          <w:szCs w:val="20"/>
          <w:color w:val="auto"/>
        </w:rPr>
      </w:pPr>
    </w:p>
    <w:p>
      <w:pPr>
        <w:ind w:right="460" w:firstLine="568"/>
        <w:spacing w:after="0" w:line="302" w:lineRule="auto"/>
        <w:rPr>
          <w:sz w:val="20"/>
          <w:szCs w:val="20"/>
          <w:color w:val="auto"/>
        </w:rPr>
      </w:pPr>
      <w:r>
        <w:rPr>
          <w:rFonts w:ascii="Arial" w:cs="Arial" w:eastAsia="Arial" w:hAnsi="Arial"/>
          <w:sz w:val="15"/>
          <w:szCs w:val="15"/>
          <w:color w:val="auto"/>
        </w:rPr>
        <w:t>Our principal U.S. subsidiary, Virtu Americas LLC ("VAL") is subject to separate regulation and capital requirements in the U.S. and other jurisdictions. VAL is a registered U.S. broker-dealer, and its primary regulators include the SEC and the Financial Industry Regulatory Authority ("FINRA").</w:t>
      </w:r>
    </w:p>
    <w:p>
      <w:pPr>
        <w:spacing w:after="0" w:line="158" w:lineRule="exact"/>
        <w:rPr>
          <w:sz w:val="20"/>
          <w:szCs w:val="20"/>
          <w:color w:val="auto"/>
        </w:rPr>
      </w:pPr>
    </w:p>
    <w:p>
      <w:pPr>
        <w:ind w:right="140" w:firstLine="568"/>
        <w:spacing w:after="0" w:line="294" w:lineRule="auto"/>
        <w:rPr>
          <w:sz w:val="20"/>
          <w:szCs w:val="20"/>
          <w:color w:val="auto"/>
        </w:rPr>
      </w:pPr>
      <w:r>
        <w:rPr>
          <w:rFonts w:ascii="Arial" w:cs="Arial" w:eastAsia="Arial" w:hAnsi="Arial"/>
          <w:sz w:val="14"/>
          <w:szCs w:val="14"/>
          <w:color w:val="auto"/>
        </w:rPr>
        <w:t>The SEC and FINRA impose rules that require notification when regulatory capital falls below certain pre-defined criteria. These rules also dictate the ratio of debt-to-equity in the regulatory capital composition of a broker-dealer and constrain the ability of a broker-dealer to expand its business under certain circumstances. If a firm fails to maintain the required regulatory capital, it may be subject to suspension or revocation of registration by the applicable regulatory agency, and suspension or expulsion by these regulators could ultimately lead to the firm’s liquidation. Additionally, certain applicable rules impose requirements that may have the effect of prohibiting a broker-dealer from distributing or withdrawing capital and requiring prior notice to and/or approval from the SEC and FINRA for certain capital withdrawals. VAL is also subject to rules set forth by NYSE and is required to maintain a certain level of capital in connection with the operation of its designated market maker business.</w:t>
      </w:r>
    </w:p>
    <w:p>
      <w:pPr>
        <w:spacing w:after="0" w:line="166" w:lineRule="exact"/>
        <w:rPr>
          <w:sz w:val="20"/>
          <w:szCs w:val="20"/>
          <w:color w:val="auto"/>
        </w:rPr>
      </w:pPr>
    </w:p>
    <w:p>
      <w:pPr>
        <w:ind w:firstLine="568"/>
        <w:spacing w:after="0" w:line="289" w:lineRule="auto"/>
        <w:rPr>
          <w:sz w:val="20"/>
          <w:szCs w:val="20"/>
          <w:color w:val="auto"/>
        </w:rPr>
      </w:pPr>
      <w:r>
        <w:rPr>
          <w:rFonts w:ascii="Arial" w:cs="Arial" w:eastAsia="Arial" w:hAnsi="Arial"/>
          <w:sz w:val="14"/>
          <w:szCs w:val="14"/>
          <w:color w:val="auto"/>
        </w:rPr>
        <w:t>Our Canadian subsidiaries, Virtu ITG Canada Corp. and Virtu Financial Canada ULC, are subject to regulatory capital requirements and periodic requirements to report their regulatory capital and submit other regulatory reports set forth by the Investment Industry Regulatory Organization of Canada. Our Irish subsidiaries, Virtu Financial Ireland Limited ("VFIL") and Virtu ITG Europe Limited ("VIEL") are regulated by the Central Bank of Ireland as Investment Firms and in accordance with European Union law are required to maintain a minimum amount of regulatory capital based upon their positions, financial conditions, and other factors. In addition to periodic requirements to report their regulatory capital and submit other regulatory reports, VFIL and VIEL are required to obtain consent prior to receiving capital contributions or making capital distributions from their regulatory capital. Failure to comply with their regulatory capital requirements could result in regulatory sanction or revocation of their regulatory license. Virtu ITG UK Limited is regulated by the Financial Conduct Authority in the United Kingdom and is subject to similar prudential capital requirements. Virtu ITG Australia Limited, Virtu ITG Hong Kong Limited, and Virtu ITG Singapore Pte Limited are also subject to local regulatory capital requirements and are regulated by the Australian Securities and Investments Commission, the Securities and Futures Commission of Hong Kong, and the Monetary Authority of Singapore, respectively.</w:t>
      </w:r>
    </w:p>
    <w:p>
      <w:pPr>
        <w:spacing w:after="0" w:line="173" w:lineRule="exact"/>
        <w:rPr>
          <w:sz w:val="20"/>
          <w:szCs w:val="20"/>
          <w:color w:val="auto"/>
        </w:rPr>
      </w:pPr>
    </w:p>
    <w:p>
      <w:pPr>
        <w:ind w:right="480" w:firstLine="568"/>
        <w:spacing w:after="0" w:line="268" w:lineRule="auto"/>
        <w:rPr>
          <w:sz w:val="20"/>
          <w:szCs w:val="20"/>
          <w:color w:val="auto"/>
        </w:rPr>
      </w:pPr>
      <w:r>
        <w:rPr>
          <w:rFonts w:ascii="Arial" w:cs="Arial" w:eastAsia="Arial" w:hAnsi="Arial"/>
          <w:sz w:val="16"/>
          <w:szCs w:val="16"/>
          <w:color w:val="auto"/>
        </w:rPr>
        <w:t>See Note 22 "Regulatory Requirement" of Part II Item 8 “Financial Statements and Supplementary Data” of this Annual Report on Form 10-K for a discussion of regulatory capital requirements of our regulated subsidiaries.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802" w:right="339" w:bottom="1440" w:gutter="0" w:footer="0" w:header="0"/>
        </w:sectPr>
      </w:pPr>
    </w:p>
    <w:bookmarkStart w:id="63" w:name="page64"/>
    <w:bookmarkEnd w:id="63"/>
    <w:p>
      <w:pPr>
        <w:spacing w:after="0"/>
        <w:rPr>
          <w:sz w:val="20"/>
          <w:szCs w:val="20"/>
          <w:color w:val="auto"/>
        </w:rPr>
      </w:pPr>
      <w:r>
        <w:rPr>
          <w:rFonts w:ascii="Arial" w:cs="Arial" w:eastAsia="Arial" w:hAnsi="Arial"/>
          <w:sz w:val="16"/>
          <w:szCs w:val="16"/>
          <w:b w:val="1"/>
          <w:bCs w:val="1"/>
          <w:i w:val="1"/>
          <w:iCs w:val="1"/>
          <w:color w:val="auto"/>
        </w:rPr>
        <w:t>Broker Dealer Credit Facilities, Short-Term Bank Loans, and Prime Brokerage Credit Facilities</w:t>
      </w:r>
    </w:p>
    <w:p>
      <w:pPr>
        <w:spacing w:after="0" w:line="219" w:lineRule="exact"/>
        <w:rPr>
          <w:sz w:val="20"/>
          <w:szCs w:val="20"/>
          <w:color w:val="auto"/>
        </w:rPr>
      </w:pPr>
    </w:p>
    <w:p>
      <w:pPr>
        <w:jc w:val="both"/>
        <w:ind w:right="40" w:firstLine="568"/>
        <w:spacing w:after="0" w:line="297" w:lineRule="auto"/>
        <w:rPr>
          <w:sz w:val="20"/>
          <w:szCs w:val="20"/>
          <w:color w:val="auto"/>
        </w:rPr>
      </w:pPr>
      <w:r>
        <w:rPr>
          <w:rFonts w:ascii="Arial" w:cs="Arial" w:eastAsia="Arial" w:hAnsi="Arial"/>
          <w:sz w:val="14"/>
          <w:szCs w:val="14"/>
          <w:color w:val="auto"/>
        </w:rPr>
        <w:t>We maintain various broker-dealer facilities and short-term credit facilities as part of our daily trading operations. See Note 10 "Borrowings" of Part II Item 8 “Financial Statements and Supplementary Data” of this Annual Report on Form 10-K for details on our various credit facilities. As of December 31, 2021, the outstanding principal balance on our broker-dealer facilities was $58.0 million and the outstanding aggregate short-term credit facilities with various prime brokers and other financial institutions from which the Company receives execution or clearing services was approximately $177.1 million, which was netted within Receivables from broker-dealers and clearing organizations on the Consolidated Statements of Financial Condition of Part II Item 8 “Financial Statements and Supplementary Data” of this Annual Report on Form 10-K.</w:t>
      </w:r>
    </w:p>
    <w:p>
      <w:pPr>
        <w:spacing w:after="0" w:line="164" w:lineRule="exact"/>
        <w:rPr>
          <w:sz w:val="20"/>
          <w:szCs w:val="20"/>
          <w:color w:val="auto"/>
        </w:rPr>
      </w:pPr>
    </w:p>
    <w:p>
      <w:pPr>
        <w:jc w:val="both"/>
        <w:ind w:right="360" w:firstLine="568"/>
        <w:spacing w:after="0" w:line="283" w:lineRule="auto"/>
        <w:rPr>
          <w:sz w:val="20"/>
          <w:szCs w:val="20"/>
          <w:color w:val="auto"/>
        </w:rPr>
      </w:pPr>
      <w:r>
        <w:rPr>
          <w:rFonts w:ascii="Arial" w:cs="Arial" w:eastAsia="Arial" w:hAnsi="Arial"/>
          <w:sz w:val="15"/>
          <w:szCs w:val="15"/>
          <w:color w:val="auto"/>
        </w:rPr>
        <w:t>On March 10, 2020, a broker-dealer subsidiary of the Company entered into a short-term loan arrangement with Jefferies Financial Group, Inc., as lender, for a $20 million demand loan (the "Demand Loan") repayable no later than ninety (90) days after the date of borrowing. The Demand Loan bore interest at a rate of 10% per annum, increased by 2.0% with respect to any principal amounts not paid when due and payable. The Demand Loan was repaid in full as of April 17, 2020.</w:t>
      </w:r>
    </w:p>
    <w:p>
      <w:pPr>
        <w:spacing w:after="0" w:line="171" w:lineRule="exact"/>
        <w:rPr>
          <w:sz w:val="20"/>
          <w:szCs w:val="20"/>
          <w:color w:val="auto"/>
        </w:rPr>
      </w:pPr>
    </w:p>
    <w:p>
      <w:pPr>
        <w:ind w:right="20" w:firstLine="568"/>
        <w:spacing w:after="0" w:line="271" w:lineRule="auto"/>
        <w:rPr>
          <w:sz w:val="20"/>
          <w:szCs w:val="20"/>
          <w:color w:val="auto"/>
        </w:rPr>
      </w:pPr>
      <w:r>
        <w:rPr>
          <w:rFonts w:ascii="Arial" w:cs="Arial" w:eastAsia="Arial" w:hAnsi="Arial"/>
          <w:sz w:val="15"/>
          <w:szCs w:val="15"/>
          <w:color w:val="auto"/>
        </w:rPr>
        <w:t>On March 20, 2020, a broker-dealer subsidiary of the Company entered into a loan agreement (the “Founder Member Loan Facility”) with TJMT Holdings LLC (the “Founder Member”), as lender and administrative agent, providing for unsecured term loans from time to time (the “Founder Member Loans”) in an aggregate original principal amount not to exceed $300 million. The Founder Member Loans were available to be borrowed in one or more borrowings on or after March 20, 2020 and prior to September 20, 2020, though no borrowings were made during such period, which is now expired. The Founder Member is an affiliate of Mr. Vincent Viola, the Company’s founder and Chairman Emeritus. Upon the execution of and in consideration for the Lender’s commitments under the Founder Member Loan Facility, the Company delivered to the Founder Member a warrant to purchase shares of the Company’s Class A Common Stock, as described below.</w:t>
      </w:r>
    </w:p>
    <w:p>
      <w:pPr>
        <w:spacing w:after="0" w:line="181" w:lineRule="exact"/>
        <w:rPr>
          <w:sz w:val="20"/>
          <w:szCs w:val="20"/>
          <w:color w:val="auto"/>
        </w:rPr>
      </w:pPr>
    </w:p>
    <w:p>
      <w:pPr>
        <w:ind w:firstLine="568"/>
        <w:spacing w:after="0" w:line="269" w:lineRule="auto"/>
        <w:rPr>
          <w:sz w:val="20"/>
          <w:szCs w:val="20"/>
          <w:color w:val="auto"/>
        </w:rPr>
      </w:pPr>
      <w:r>
        <w:rPr>
          <w:rFonts w:ascii="Arial" w:cs="Arial" w:eastAsia="Arial" w:hAnsi="Arial"/>
          <w:sz w:val="15"/>
          <w:szCs w:val="15"/>
          <w:color w:val="auto"/>
        </w:rPr>
        <w:t>On March 20, 2020, in connection with and in consideration of the Founder Member’s commitments under the Founder Member Loan Facility, the Company delivered to the Founder Member a warrant (the “Warrant”) to purchase shares of the Company’s Class A Common Stock. Pursuant to the Warrant, the Founder Member was entitled to purchase up to 3,000,000 shares of Class A Common Stock on or after May 22, 2020 up to and including January 15, 2022. If at any time during the term of the Founder Member Loan Facility, the Founder Member Loans equal to or greater than $100 million had remained outstanding for a certain period of time specified in the Warrant, the number of shares would have increased to 10,000,000. The exercise price per share of the Class A Common Stock issuable pursuant to the Warrant was $22.98. The Warrant was exercised on December 17, 2021 for the full 3,000,000 shares of the Company's Class A Common Stock. The Warrant and Class A Common Stock issued pursuant to the Warrant were offered, issued and sold, in reliance on the exemption from the registration requirements of the Securities Act, set forth under Section 4(a)(2) of the Securities Act relating to sales by an issuer not involving any public offering.</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Credit Agreement</w:t>
      </w:r>
    </w:p>
    <w:p>
      <w:pPr>
        <w:spacing w:after="0" w:line="219" w:lineRule="exact"/>
        <w:rPr>
          <w:sz w:val="20"/>
          <w:szCs w:val="20"/>
          <w:color w:val="auto"/>
        </w:rPr>
      </w:pPr>
    </w:p>
    <w:p>
      <w:pPr>
        <w:ind w:right="100" w:firstLine="568"/>
        <w:spacing w:after="0" w:line="268" w:lineRule="auto"/>
        <w:rPr>
          <w:sz w:val="20"/>
          <w:szCs w:val="20"/>
          <w:color w:val="auto"/>
        </w:rPr>
      </w:pPr>
      <w:r>
        <w:rPr>
          <w:rFonts w:ascii="Arial" w:cs="Arial" w:eastAsia="Arial" w:hAnsi="Arial"/>
          <w:sz w:val="16"/>
          <w:szCs w:val="16"/>
          <w:color w:val="auto"/>
        </w:rPr>
        <w:t>In connection with the ITG Acquisition, Virtu Financial, VFH and the Acquisition Borrower entered into the Credit Agreement, with the lenders party thereto, Jefferies Finance LLC, as administrative agent and Jefferies Finance LLC and RBC Capital Markets, as joint lead arrangers and joint bookrunners.</w:t>
      </w:r>
    </w:p>
    <w:p>
      <w:pPr>
        <w:spacing w:after="0" w:line="181" w:lineRule="exact"/>
        <w:rPr>
          <w:sz w:val="20"/>
          <w:szCs w:val="20"/>
          <w:color w:val="auto"/>
        </w:rPr>
      </w:pPr>
    </w:p>
    <w:p>
      <w:pPr>
        <w:ind w:right="100" w:firstLine="568"/>
        <w:spacing w:after="0" w:line="297" w:lineRule="auto"/>
        <w:rPr>
          <w:sz w:val="20"/>
          <w:szCs w:val="20"/>
          <w:color w:val="auto"/>
        </w:rPr>
      </w:pPr>
      <w:r>
        <w:rPr>
          <w:rFonts w:ascii="Arial" w:cs="Arial" w:eastAsia="Arial" w:hAnsi="Arial"/>
          <w:sz w:val="14"/>
          <w:szCs w:val="14"/>
          <w:color w:val="auto"/>
        </w:rPr>
        <w:t>The Acquisition Credit Agreement provided (i) the First Lien Term Loan Facility (as defined below) in an aggregate principal amount of $1,500 million, drawn in its entirety on the ITG Closing Date, of which approximately $404.5 million was borrowed by VFH to repay all amounts outstanding under a previous term loan facility and the remaining approximately $1,095 million was borrowed by the Acquisition Borrower to finance the consideration and fees and expenses paid in connection with the ITG Acquisition, and (ii) a $50.0 million senior secured first lien revolving facility to VFH (the “First Lien Revolving Facility”), with a $5.0 million letter of credit sub-facility and a $5.0 million swing-line sub-facility. After the ITG Closing Date, VFH assumed the obligations of the Acquisition Borrower in respect of the acquisition term loans.</w:t>
      </w:r>
    </w:p>
    <w:p>
      <w:pPr>
        <w:spacing w:after="0" w:line="164" w:lineRule="exact"/>
        <w:rPr>
          <w:sz w:val="20"/>
          <w:szCs w:val="20"/>
          <w:color w:val="auto"/>
        </w:rPr>
      </w:pPr>
    </w:p>
    <w:p>
      <w:pPr>
        <w:ind w:right="160" w:firstLine="568"/>
        <w:spacing w:after="0" w:line="341" w:lineRule="auto"/>
        <w:rPr>
          <w:sz w:val="20"/>
          <w:szCs w:val="20"/>
          <w:color w:val="auto"/>
        </w:rPr>
      </w:pPr>
      <w:r>
        <w:rPr>
          <w:rFonts w:ascii="Arial" w:cs="Arial" w:eastAsia="Arial" w:hAnsi="Arial"/>
          <w:sz w:val="14"/>
          <w:szCs w:val="14"/>
          <w:color w:val="auto"/>
        </w:rPr>
        <w:t>On October 9, 2019, VFH entered into an amendment (“Amendment No. 1”), which amended the Acquisition Credit Agreement dated as of March 1, 2019, to, among other things, provide for $525.0 million in aggregate principal amount of incremental term loans (the “Incremental Term Loans”), and amend the related collateral agreement.</w:t>
      </w:r>
    </w:p>
    <w:p>
      <w:pPr>
        <w:spacing w:after="0" w:line="134" w:lineRule="exact"/>
        <w:rPr>
          <w:sz w:val="20"/>
          <w:szCs w:val="20"/>
          <w:color w:val="auto"/>
        </w:rPr>
      </w:pPr>
    </w:p>
    <w:p>
      <w:pPr>
        <w:ind w:right="20" w:firstLine="568"/>
        <w:spacing w:after="0" w:line="276" w:lineRule="auto"/>
        <w:rPr>
          <w:sz w:val="20"/>
          <w:szCs w:val="20"/>
          <w:color w:val="auto"/>
        </w:rPr>
      </w:pPr>
      <w:r>
        <w:rPr>
          <w:rFonts w:ascii="Arial" w:cs="Arial" w:eastAsia="Arial" w:hAnsi="Arial"/>
          <w:sz w:val="15"/>
          <w:szCs w:val="15"/>
          <w:color w:val="auto"/>
        </w:rPr>
        <w:t>On March 2, 2020, VFH entered into a second amendment (“Amendment No. 2”), which further amended the Credit Agreement (as amended by Amendment No. 1 and Amendment No. 2, the “Amended Credit Agreement”) to, among other things, reduce the interest rate spread over adjusted LIBOR or the alternate base rate by 0.50% per annum and eliminated any step-down in the spread based on VFH's first lien leverage ratio. The term loan borrowings and revolver borrowings under the Amended Credit Agreement bear interest at a per annum rate equal to, at the Company's election, either (i) the greatest of (a)</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802" w:right="339" w:bottom="1440" w:gutter="0" w:footer="0" w:header="0"/>
        </w:sectPr>
      </w:pPr>
    </w:p>
    <w:bookmarkStart w:id="64" w:name="page65"/>
    <w:bookmarkEnd w:id="64"/>
    <w:p>
      <w:pPr>
        <w:ind w:right="140"/>
        <w:spacing w:after="0" w:line="302" w:lineRule="auto"/>
        <w:rPr>
          <w:sz w:val="20"/>
          <w:szCs w:val="20"/>
          <w:color w:val="auto"/>
        </w:rPr>
      </w:pPr>
      <w:r>
        <w:rPr>
          <w:rFonts w:ascii="Arial" w:cs="Arial" w:eastAsia="Arial" w:hAnsi="Arial"/>
          <w:sz w:val="14"/>
          <w:szCs w:val="14"/>
          <w:color w:val="auto"/>
        </w:rPr>
        <w:t>the prime rate in effect, (b) the greater of (1) the federal funds effective rate and (2) the overnight bank funding rate, in each case plus 0.50%, (c) an adjusted LIBOR rate for a Eurodollar borrowing with an interest period of one month plus 1.00% and (d) 1.00%, plus, in each case, 2.00%, or (ii) the greater of (x) an adjusted LIBOR rate for the interest period in effect and (y) 0%, plus, in each case, 3.00%. In addition, a commitment fee accrues at a rate of 0.50% per annum on the average daily unused amount of the First Lien Revolving Facility, with step-downs to 0.375% and 0.25% per annum based on VFH’s first lien leverage ratio, and is payable quarterly in arrears.</w:t>
      </w:r>
    </w:p>
    <w:p>
      <w:pPr>
        <w:spacing w:after="0" w:line="160" w:lineRule="exact"/>
        <w:rPr>
          <w:sz w:val="20"/>
          <w:szCs w:val="20"/>
          <w:color w:val="auto"/>
        </w:rPr>
      </w:pPr>
    </w:p>
    <w:p>
      <w:pPr>
        <w:ind w:right="440" w:firstLine="568"/>
        <w:spacing w:after="0" w:line="268" w:lineRule="auto"/>
        <w:rPr>
          <w:sz w:val="20"/>
          <w:szCs w:val="20"/>
          <w:color w:val="auto"/>
        </w:rPr>
      </w:pPr>
      <w:r>
        <w:rPr>
          <w:rFonts w:ascii="Arial" w:cs="Arial" w:eastAsia="Arial" w:hAnsi="Arial"/>
          <w:sz w:val="16"/>
          <w:szCs w:val="16"/>
          <w:color w:val="auto"/>
        </w:rPr>
        <w:t>Under the Amended Credit Agreement, the term loans will mature on March 1, 2026. The term loans amortize in annual installments equal to 1.0% of the original aggregate principal amount of the term loans. The revolving commitments will terminate on March 1, 2022.</w:t>
      </w:r>
    </w:p>
    <w:p>
      <w:pPr>
        <w:spacing w:after="0" w:line="181" w:lineRule="exact"/>
        <w:rPr>
          <w:sz w:val="20"/>
          <w:szCs w:val="20"/>
          <w:color w:val="auto"/>
        </w:rPr>
      </w:pPr>
    </w:p>
    <w:p>
      <w:pPr>
        <w:jc w:val="both"/>
        <w:ind w:right="120" w:firstLine="568"/>
        <w:spacing w:after="0" w:line="302" w:lineRule="auto"/>
        <w:rPr>
          <w:sz w:val="20"/>
          <w:szCs w:val="20"/>
          <w:color w:val="auto"/>
        </w:rPr>
      </w:pPr>
      <w:r>
        <w:rPr>
          <w:rFonts w:ascii="Arial" w:cs="Arial" w:eastAsia="Arial" w:hAnsi="Arial"/>
          <w:sz w:val="14"/>
          <w:szCs w:val="14"/>
          <w:color w:val="auto"/>
        </w:rPr>
        <w:t>The First Lien Revolving Facility under the Amended Credit Agreement is subject to a springing net first lien leverage ratio which may spring into effect as of the last day of a fiscal quarter if usage of the aggregate revolving commitments exceeds a specified level as of such date. VFH is also subject to contingent principal prepayments based on excess cash flow and certain other triggering events. Borrowings under the Credit Agreement are guaranteed by Virtu Financial and VFH’s material non-regulated domestic restricted subsidiaries and secured by substantially all of the assets of VFH and the guarantors, in each case, subject to certain exceptions.</w:t>
      </w:r>
    </w:p>
    <w:p>
      <w:pPr>
        <w:spacing w:after="0" w:line="160" w:lineRule="exact"/>
        <w:rPr>
          <w:sz w:val="20"/>
          <w:szCs w:val="20"/>
          <w:color w:val="auto"/>
        </w:rPr>
      </w:pPr>
    </w:p>
    <w:p>
      <w:pPr>
        <w:ind w:right="120" w:firstLine="568"/>
        <w:spacing w:after="0" w:line="311" w:lineRule="auto"/>
        <w:rPr>
          <w:sz w:val="20"/>
          <w:szCs w:val="20"/>
          <w:color w:val="auto"/>
        </w:rPr>
      </w:pPr>
      <w:r>
        <w:rPr>
          <w:rFonts w:ascii="Arial" w:cs="Arial" w:eastAsia="Arial" w:hAnsi="Arial"/>
          <w:sz w:val="14"/>
          <w:szCs w:val="14"/>
          <w:color w:val="auto"/>
        </w:rPr>
        <w:t>The Amended Credit Agreement contains certain customary covenants and events of default, including relating to a change of control. If an event of default occurs and is continuing, the lenders under the Amended Credit Agreement will be entitled to take various actions, including the acceleration of amounts outstanding under the Amended Credit Agreement and all actions permitted to be taken by a secured creditor in respect of the collateral securing the obligations under the Amended Credit Agreement.</w:t>
      </w:r>
    </w:p>
    <w:p>
      <w:pPr>
        <w:spacing w:after="0" w:line="144" w:lineRule="exact"/>
        <w:rPr>
          <w:sz w:val="20"/>
          <w:szCs w:val="20"/>
          <w:color w:val="auto"/>
        </w:rPr>
      </w:pPr>
    </w:p>
    <w:p>
      <w:pPr>
        <w:ind w:firstLine="568"/>
        <w:spacing w:after="0" w:line="237" w:lineRule="auto"/>
        <w:rPr>
          <w:sz w:val="20"/>
          <w:szCs w:val="20"/>
          <w:color w:val="auto"/>
        </w:rPr>
      </w:pPr>
      <w:r>
        <w:rPr>
          <w:rFonts w:ascii="Arial" w:cs="Arial" w:eastAsia="Arial" w:hAnsi="Arial"/>
          <w:sz w:val="15"/>
          <w:szCs w:val="15"/>
          <w:color w:val="auto"/>
        </w:rPr>
        <w:t>In October 2019, we entered into a five-year $525.0 million floating-to-fixed interest rate swap agreement. In January 2020, we entered into a five-year $1,000.0 million floating-to-fixed interest rate swap agreement. These two interest rate swaps met the criteria to be considered and were designated as qualifying cash flow hedges under ASC 815 in the first quarter of 2020, and they effectively fix interest payment obligations on $525.0 million and $1,000.0 million of principal under the First Lien Term Loan Facility at rates of 4.3% and 4.4% through September 2024 and January 2025, respectively, based on the interest rates set forth in the Amended Credit Agreement. In April 2021, each of the swap agreements described above was novated to another counterparty and amended in connection with such novation. The amendments included certain changes to collateral posting obligations and also had the effect of increasing the effective fixed interest payment obligations to rates of 4.5%, with respect to the earlier maturing swap arrangement, and 4.6% with respect to the later maturing swap arrangement.</w:t>
      </w:r>
    </w:p>
    <w:p>
      <w:pPr>
        <w:spacing w:after="0" w:line="181" w:lineRule="exact"/>
        <w:rPr>
          <w:sz w:val="20"/>
          <w:szCs w:val="20"/>
          <w:color w:val="auto"/>
        </w:rPr>
      </w:pPr>
    </w:p>
    <w:p>
      <w:pPr>
        <w:ind w:right="120" w:firstLine="568"/>
        <w:spacing w:after="0" w:line="231" w:lineRule="auto"/>
        <w:rPr>
          <w:sz w:val="20"/>
          <w:szCs w:val="20"/>
          <w:color w:val="auto"/>
        </w:rPr>
      </w:pPr>
      <w:r>
        <w:rPr>
          <w:rFonts w:ascii="Arial" w:cs="Arial" w:eastAsia="Arial" w:hAnsi="Arial"/>
          <w:sz w:val="16"/>
          <w:szCs w:val="16"/>
          <w:color w:val="auto"/>
        </w:rPr>
        <w:t>In January 2022, we entered into a new senior secured first lien term loan for $1,800.0 million of principal. The proceeds from this new loan were primarily used to repay the First Lien Term Loan Facility. Refer to Note 26 "Subsequent Events" of Part II Item 8 “Financial Statements and Supplementary Data” of this Annual Report on Form 10-K.</w:t>
      </w:r>
    </w:p>
    <w:p>
      <w:pPr>
        <w:spacing w:after="0" w:line="19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were in compliance with all applicable covenants under the Amended Credit Agreement as of December 31, 2021.</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Flows</w:t>
      </w:r>
    </w:p>
    <w:p>
      <w:pPr>
        <w:spacing w:after="0" w:line="219" w:lineRule="exact"/>
        <w:rPr>
          <w:sz w:val="20"/>
          <w:szCs w:val="20"/>
          <w:color w:val="auto"/>
        </w:rPr>
      </w:pPr>
    </w:p>
    <w:p>
      <w:pPr>
        <w:ind w:firstLine="568"/>
        <w:spacing w:after="0" w:line="268" w:lineRule="auto"/>
        <w:rPr>
          <w:sz w:val="20"/>
          <w:szCs w:val="20"/>
          <w:color w:val="auto"/>
        </w:rPr>
      </w:pPr>
      <w:r>
        <w:rPr>
          <w:rFonts w:ascii="Arial" w:cs="Arial" w:eastAsia="Arial" w:hAnsi="Arial"/>
          <w:sz w:val="16"/>
          <w:szCs w:val="16"/>
          <w:color w:val="auto"/>
        </w:rPr>
        <w:t>Our main sources of liquidity are cash flow from the operations of our subsidiaries, our broker-dealer credit facilities (as described above), margin financing provided by our prime brokers and cash on hand.</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table below summarizes our primary sources and uses of cash for the years ended December 31, 2021, 2020 and 2019.</w:t>
      </w:r>
    </w:p>
    <w:p>
      <w:pPr>
        <w:spacing w:after="0" w:line="247" w:lineRule="exact"/>
        <w:rPr>
          <w:sz w:val="20"/>
          <w:szCs w:val="20"/>
          <w:color w:val="auto"/>
        </w:rPr>
      </w:pPr>
    </w:p>
    <w:tbl>
      <w:tblPr>
        <w:tblLayout w:type="fixed"/>
        <w:tblInd w:w="520" w:type="dxa"/>
        <w:tblCellMar>
          <w:top w:w="0" w:type="dxa"/>
          <w:left w:w="0" w:type="dxa"/>
          <w:bottom w:w="0" w:type="dxa"/>
          <w:right w:w="0" w:type="dxa"/>
        </w:tblCellMar>
      </w:tblPr>
      <w:tr>
        <w:trPr>
          <w:trHeight w:val="166"/>
        </w:trPr>
        <w:tc>
          <w:tcPr>
            <w:tcW w:w="5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b w:val="1"/>
                <w:bCs w:val="1"/>
                <w:color w:val="auto"/>
                <w:w w:val="97"/>
              </w:rPr>
              <w:t>Years Ended December 31,</w:t>
            </w: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r>
      <w:tr>
        <w:trPr>
          <w:trHeight w:val="165"/>
        </w:trPr>
        <w:tc>
          <w:tcPr>
            <w:tcW w:w="5620" w:type="dxa"/>
            <w:vAlign w:val="bottom"/>
            <w:gridSpan w:val="2"/>
          </w:tcPr>
          <w:p>
            <w:pPr>
              <w:ind w:left="20"/>
              <w:spacing w:after="0"/>
              <w:rPr>
                <w:sz w:val="20"/>
                <w:szCs w:val="20"/>
                <w:color w:val="auto"/>
              </w:rPr>
            </w:pPr>
            <w:r>
              <w:rPr>
                <w:rFonts w:ascii="Arial" w:cs="Arial" w:eastAsia="Arial" w:hAnsi="Arial"/>
                <w:sz w:val="13"/>
                <w:szCs w:val="13"/>
                <w:b w:val="1"/>
                <w:bCs w:val="1"/>
                <w:color w:val="auto"/>
              </w:rPr>
              <w:t>Net cash provided by (used in):</w:t>
            </w:r>
          </w:p>
        </w:tc>
        <w:tc>
          <w:tcPr>
            <w:tcW w:w="340" w:type="dxa"/>
            <w:vAlign w:val="bottom"/>
          </w:tcPr>
          <w:p>
            <w:pPr>
              <w:spacing w:after="0"/>
              <w:rPr>
                <w:sz w:val="14"/>
                <w:szCs w:val="14"/>
                <w:color w:val="auto"/>
              </w:rPr>
            </w:pPr>
          </w:p>
        </w:tc>
        <w:tc>
          <w:tcPr>
            <w:tcW w:w="1160" w:type="dxa"/>
            <w:vAlign w:val="bottom"/>
          </w:tcPr>
          <w:p>
            <w:pPr>
              <w:jc w:val="right"/>
              <w:ind w:right="577"/>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ind w:right="577"/>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ind w:right="517"/>
              <w:spacing w:after="0"/>
              <w:rPr>
                <w:sz w:val="20"/>
                <w:szCs w:val="20"/>
                <w:color w:val="auto"/>
              </w:rPr>
            </w:pPr>
            <w:r>
              <w:rPr>
                <w:rFonts w:ascii="Arial" w:cs="Arial" w:eastAsia="Arial" w:hAnsi="Arial"/>
                <w:sz w:val="13"/>
                <w:szCs w:val="13"/>
                <w:b w:val="1"/>
                <w:bCs w:val="1"/>
                <w:color w:val="auto"/>
              </w:rPr>
              <w:t>2019</w:t>
            </w:r>
          </w:p>
        </w:tc>
      </w:tr>
      <w:tr>
        <w:trPr>
          <w:trHeight w:val="158"/>
        </w:trPr>
        <w:tc>
          <w:tcPr>
            <w:tcW w:w="552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3"/>
                <w:szCs w:val="13"/>
                <w:color w:val="auto"/>
              </w:rPr>
              <w:t>Operating activities</w:t>
            </w:r>
          </w:p>
        </w:tc>
        <w:tc>
          <w:tcPr>
            <w:tcW w:w="10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11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1,171,626</w:t>
            </w:r>
          </w:p>
        </w:tc>
        <w:tc>
          <w:tcPr>
            <w:tcW w:w="10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1,060,884</w:t>
            </w: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jc w:val="right"/>
              <w:ind w:right="177"/>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168,771</w:t>
            </w:r>
          </w:p>
        </w:tc>
      </w:tr>
      <w:tr>
        <w:trPr>
          <w:trHeight w:val="163"/>
        </w:trPr>
        <w:tc>
          <w:tcPr>
            <w:tcW w:w="5620" w:type="dxa"/>
            <w:vAlign w:val="bottom"/>
            <w:gridSpan w:val="2"/>
          </w:tcPr>
          <w:p>
            <w:pPr>
              <w:ind w:left="120"/>
              <w:spacing w:after="0"/>
              <w:rPr>
                <w:sz w:val="20"/>
                <w:szCs w:val="20"/>
                <w:color w:val="auto"/>
              </w:rPr>
            </w:pPr>
            <w:r>
              <w:rPr>
                <w:rFonts w:ascii="Arial" w:cs="Arial" w:eastAsia="Arial" w:hAnsi="Arial"/>
                <w:sz w:val="13"/>
                <w:szCs w:val="13"/>
                <w:color w:val="auto"/>
              </w:rPr>
              <w:t>Investing activities</w:t>
            </w: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(87,349)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(2,559)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(899,643)</w:t>
            </w:r>
          </w:p>
        </w:tc>
      </w:tr>
      <w:tr>
        <w:trPr>
          <w:trHeight w:val="168"/>
        </w:trPr>
        <w:tc>
          <w:tcPr>
            <w:tcW w:w="56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Financing activities</w:t>
            </w: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(957,859)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(839,918)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769,580</w:t>
            </w:r>
          </w:p>
        </w:tc>
      </w:tr>
      <w:tr>
        <w:trPr>
          <w:trHeight w:val="163"/>
        </w:trPr>
        <w:tc>
          <w:tcPr>
            <w:tcW w:w="5620" w:type="dxa"/>
            <w:vAlign w:val="bottom"/>
            <w:tcBorders>
              <w:bottom w:val="single" w:sz="8" w:color="CCEEFF"/>
            </w:tcBorders>
            <w:gridSpan w:val="2"/>
          </w:tcPr>
          <w:p>
            <w:pPr>
              <w:ind w:left="120"/>
              <w:spacing w:after="0"/>
              <w:rPr>
                <w:sz w:val="20"/>
                <w:szCs w:val="20"/>
                <w:color w:val="auto"/>
              </w:rPr>
            </w:pPr>
            <w:r>
              <w:rPr>
                <w:rFonts w:ascii="Arial" w:cs="Arial" w:eastAsia="Arial" w:hAnsi="Arial"/>
                <w:sz w:val="13"/>
                <w:szCs w:val="13"/>
                <w:color w:val="auto"/>
              </w:rPr>
              <w:t>Effect of exchange rate changes on cash and cash equivalents</w:t>
            </w: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(12,470)</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15,318</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(1,475)</w:t>
            </w:r>
          </w:p>
        </w:tc>
      </w:tr>
      <w:tr>
        <w:trPr>
          <w:trHeight w:val="185"/>
        </w:trPr>
        <w:tc>
          <w:tcPr>
            <w:tcW w:w="56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3"/>
                <w:szCs w:val="13"/>
                <w:color w:val="auto"/>
              </w:rPr>
              <w:t>Net increase in cash and cash equivalents</w:t>
            </w:r>
          </w:p>
        </w:tc>
        <w:tc>
          <w:tcPr>
            <w:tcW w:w="34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113,948</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233,725</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37,233</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802" w:right="339" w:bottom="1440" w:gutter="0" w:footer="0" w:header="0"/>
        </w:sectPr>
      </w:pPr>
    </w:p>
    <w:bookmarkStart w:id="65" w:name="page66"/>
    <w:bookmarkEnd w:id="65"/>
    <w:p>
      <w:pPr>
        <w:spacing w:after="0"/>
        <w:rPr>
          <w:sz w:val="20"/>
          <w:szCs w:val="20"/>
          <w:color w:val="auto"/>
        </w:rPr>
      </w:pPr>
      <w:r>
        <w:rPr>
          <w:rFonts w:ascii="Arial" w:cs="Arial" w:eastAsia="Arial" w:hAnsi="Arial"/>
          <w:sz w:val="16"/>
          <w:szCs w:val="16"/>
          <w:i w:val="1"/>
          <w:iCs w:val="1"/>
          <w:color w:val="auto"/>
        </w:rPr>
        <w:t>Operating Activities</w:t>
      </w:r>
    </w:p>
    <w:p>
      <w:pPr>
        <w:spacing w:after="0" w:line="207" w:lineRule="exact"/>
        <w:rPr>
          <w:sz w:val="20"/>
          <w:szCs w:val="20"/>
          <w:color w:val="auto"/>
        </w:rPr>
      </w:pPr>
    </w:p>
    <w:p>
      <w:pPr>
        <w:ind w:firstLine="568"/>
        <w:spacing w:after="0" w:line="243" w:lineRule="auto"/>
        <w:rPr>
          <w:sz w:val="20"/>
          <w:szCs w:val="20"/>
          <w:color w:val="auto"/>
        </w:rPr>
      </w:pPr>
      <w:r>
        <w:rPr>
          <w:rFonts w:ascii="Arial" w:cs="Arial" w:eastAsia="Arial" w:hAnsi="Arial"/>
          <w:sz w:val="15"/>
          <w:szCs w:val="15"/>
          <w:color w:val="auto"/>
        </w:rPr>
        <w:t>Net cash provided by operating activities was $1,171.6 million for the year ended December 31, 2021, compared to net cash provided by operating activities of $1,060.9 million for the year ended December 31, 2020. The increase in net cash provided by operating activities was primarily attributable to an increase in Securities loaned, a decrease in Receivables from broker-dealers and clearing organizations, and an increase in trading liabilities, at fair value, offset by an increase in trading assets, at fair value, and a decrease in Payables to broker-dealers and clearing organizations for the year ended December 31, 2021 compared to the prior period.</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Investing Activities</w:t>
      </w:r>
    </w:p>
    <w:p>
      <w:pPr>
        <w:spacing w:after="0" w:line="219" w:lineRule="exact"/>
        <w:rPr>
          <w:sz w:val="20"/>
          <w:szCs w:val="20"/>
          <w:color w:val="auto"/>
        </w:rPr>
      </w:pPr>
    </w:p>
    <w:p>
      <w:pPr>
        <w:ind w:right="80" w:firstLine="568"/>
        <w:spacing w:after="0" w:line="254" w:lineRule="auto"/>
        <w:rPr>
          <w:sz w:val="20"/>
          <w:szCs w:val="20"/>
          <w:color w:val="auto"/>
        </w:rPr>
      </w:pPr>
      <w:r>
        <w:rPr>
          <w:rFonts w:ascii="Arial" w:cs="Arial" w:eastAsia="Arial" w:hAnsi="Arial"/>
          <w:sz w:val="16"/>
          <w:szCs w:val="16"/>
          <w:color w:val="auto"/>
        </w:rPr>
        <w:t>Net cash used in investing activities was $87.3 million for the year ended December 31, 2021, compared to net cash used in investing activities of $2.6 million for the year ended December 31, 2020. The increase in cash used in investing activities for the year ended December 31, 2021 was primarily attributable to an increase in contributions to our strategic investments in the current year, shown in Other investing activities on our consolidated statement of cash flows, offset by the sale of MATCHNow in the prior year.</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Financing Activities</w:t>
      </w:r>
    </w:p>
    <w:p>
      <w:pPr>
        <w:spacing w:after="0" w:line="219" w:lineRule="exact"/>
        <w:rPr>
          <w:sz w:val="20"/>
          <w:szCs w:val="20"/>
          <w:color w:val="auto"/>
        </w:rPr>
      </w:pPr>
    </w:p>
    <w:p>
      <w:pPr>
        <w:ind w:right="220" w:firstLine="568"/>
        <w:spacing w:after="0" w:line="252" w:lineRule="auto"/>
        <w:rPr>
          <w:sz w:val="20"/>
          <w:szCs w:val="20"/>
          <w:color w:val="auto"/>
        </w:rPr>
      </w:pPr>
      <w:r>
        <w:rPr>
          <w:rFonts w:ascii="Arial" w:cs="Arial" w:eastAsia="Arial" w:hAnsi="Arial"/>
          <w:sz w:val="16"/>
          <w:szCs w:val="16"/>
          <w:color w:val="auto"/>
        </w:rPr>
        <w:t>Net cash used in financing activities was $957.9 million for the year ended December 31, 2021, while net cash used in financing activities was $839.9 million for the year ended December 31, 2020. The cash used in financing activities for the year ended December 31, 2021 was primarily attributable to $548.0 million in dividends to stockholders and distributions made to noncontrolling interests and $427.5 million in purchases of treasury stock, partially offset by the proceeds of $68.9 million of Warrants exercised. The cash used in financing activities of $839.9 million during the same period of 2020 primarily reflects net dividends to stockholders and distributions to noncontrolling interests and repayment of long-term borrowings.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 Repurchase Program</w:t>
      </w:r>
    </w:p>
    <w:p>
      <w:pPr>
        <w:spacing w:after="0" w:line="21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On February 8, 2018, the Company’s Board of Directors authorized a share repurchase program of up to $50.0 million</w:t>
      </w:r>
    </w:p>
    <w:p>
      <w:pPr>
        <w:spacing w:after="0" w:line="17" w:lineRule="exact"/>
        <w:rPr>
          <w:sz w:val="20"/>
          <w:szCs w:val="20"/>
          <w:color w:val="auto"/>
        </w:rPr>
      </w:pPr>
    </w:p>
    <w:p>
      <w:pPr>
        <w:ind w:right="200"/>
        <w:spacing w:after="0" w:line="287" w:lineRule="auto"/>
        <w:rPr>
          <w:sz w:val="20"/>
          <w:szCs w:val="20"/>
          <w:color w:val="auto"/>
        </w:rPr>
      </w:pPr>
      <w:r>
        <w:rPr>
          <w:rFonts w:ascii="Arial" w:cs="Arial" w:eastAsia="Arial" w:hAnsi="Arial"/>
          <w:sz w:val="15"/>
          <w:szCs w:val="15"/>
          <w:color w:val="auto"/>
        </w:rPr>
        <w:t>in Class A Common Stock and Virtu Financial Units, which was expanded to $100.0 million on July 27, 2018. The Company repurchased approximately 2.6 million shares of Class A Common Stock and Virtu Financial Units for approximately $65.9 million under this program, which expired on September 30, 2019.</w:t>
      </w:r>
    </w:p>
    <w:p>
      <w:pPr>
        <w:spacing w:after="0" w:line="168" w:lineRule="exact"/>
        <w:rPr>
          <w:sz w:val="20"/>
          <w:szCs w:val="20"/>
          <w:color w:val="auto"/>
        </w:rPr>
      </w:pPr>
    </w:p>
    <w:p>
      <w:pPr>
        <w:ind w:right="420" w:firstLine="568"/>
        <w:spacing w:after="0" w:line="268" w:lineRule="auto"/>
        <w:rPr>
          <w:sz w:val="20"/>
          <w:szCs w:val="20"/>
          <w:color w:val="auto"/>
        </w:rPr>
      </w:pPr>
      <w:r>
        <w:rPr>
          <w:rFonts w:ascii="Arial" w:cs="Arial" w:eastAsia="Arial" w:hAnsi="Arial"/>
          <w:sz w:val="16"/>
          <w:szCs w:val="16"/>
          <w:color w:val="auto"/>
        </w:rPr>
        <w:t>On November 6, 2020, the Company's Board of Directors authorized a new share repurchase program of up to $100.0 million in Class A common stock and Virtu Financial Units by December 31, 2021.</w:t>
      </w:r>
    </w:p>
    <w:p>
      <w:pPr>
        <w:spacing w:after="0" w:line="181" w:lineRule="exact"/>
        <w:rPr>
          <w:sz w:val="20"/>
          <w:szCs w:val="20"/>
          <w:color w:val="auto"/>
        </w:rPr>
      </w:pPr>
    </w:p>
    <w:p>
      <w:pPr>
        <w:ind w:right="80" w:firstLine="568"/>
        <w:spacing w:after="0" w:line="268" w:lineRule="auto"/>
        <w:rPr>
          <w:sz w:val="20"/>
          <w:szCs w:val="20"/>
          <w:color w:val="auto"/>
        </w:rPr>
      </w:pPr>
      <w:r>
        <w:rPr>
          <w:rFonts w:ascii="Arial" w:cs="Arial" w:eastAsia="Arial" w:hAnsi="Arial"/>
          <w:sz w:val="16"/>
          <w:szCs w:val="16"/>
          <w:color w:val="auto"/>
        </w:rPr>
        <w:t>On February 11, 2021, the Company's Board of Directors authorized the expansion of the Company's share repurchase program, increasing the total authorized amount by $70.0 million to $170.0 million in Class A Common Stock and Virtu Financial Units up to December 31, 2021.</w:t>
      </w:r>
    </w:p>
    <w:p>
      <w:pPr>
        <w:spacing w:after="0" w:line="181" w:lineRule="exact"/>
        <w:rPr>
          <w:sz w:val="20"/>
          <w:szCs w:val="20"/>
          <w:color w:val="auto"/>
        </w:rPr>
      </w:pPr>
    </w:p>
    <w:p>
      <w:pPr>
        <w:ind w:right="240" w:firstLine="568"/>
        <w:spacing w:after="0" w:line="302" w:lineRule="auto"/>
        <w:rPr>
          <w:sz w:val="20"/>
          <w:szCs w:val="20"/>
          <w:color w:val="auto"/>
        </w:rPr>
      </w:pPr>
      <w:r>
        <w:rPr>
          <w:rFonts w:ascii="Arial" w:cs="Arial" w:eastAsia="Arial" w:hAnsi="Arial"/>
          <w:sz w:val="15"/>
          <w:szCs w:val="15"/>
          <w:color w:val="auto"/>
        </w:rPr>
        <w:t>On May 4, 2021, the Company's Board of Directors authorized the expansion of the Company's share repurchase program, increasing the total authorized amount by $300 million to $470 million in Class A Common Stock and Virtu Financial Units and extending the duration of the program through May 4, 2022.</w:t>
      </w:r>
    </w:p>
    <w:p>
      <w:pPr>
        <w:spacing w:after="0" w:line="158" w:lineRule="exact"/>
        <w:rPr>
          <w:sz w:val="20"/>
          <w:szCs w:val="20"/>
          <w:color w:val="auto"/>
        </w:rPr>
      </w:pPr>
    </w:p>
    <w:p>
      <w:pPr>
        <w:ind w:right="80" w:firstLine="568"/>
        <w:spacing w:after="0" w:line="341" w:lineRule="auto"/>
        <w:rPr>
          <w:sz w:val="20"/>
          <w:szCs w:val="20"/>
          <w:color w:val="auto"/>
        </w:rPr>
      </w:pPr>
      <w:r>
        <w:rPr>
          <w:rFonts w:ascii="Arial" w:cs="Arial" w:eastAsia="Arial" w:hAnsi="Arial"/>
          <w:sz w:val="14"/>
          <w:szCs w:val="14"/>
          <w:color w:val="auto"/>
        </w:rPr>
        <w:t>On November 3, 2021, the Company's Board of Directors authorized the expansion of the Company's current share repurchase program, increasing the total authorized amount by $750 million to $1,220 million and extended the duration through November 3, 2023. Since the inception of the program through November 3, 2021.</w:t>
      </w:r>
    </w:p>
    <w:p>
      <w:pPr>
        <w:spacing w:after="0" w:line="134" w:lineRule="exact"/>
        <w:rPr>
          <w:sz w:val="20"/>
          <w:szCs w:val="20"/>
          <w:color w:val="auto"/>
        </w:rPr>
      </w:pPr>
    </w:p>
    <w:p>
      <w:pPr>
        <w:ind w:right="40" w:firstLine="568"/>
        <w:spacing w:after="0" w:line="297" w:lineRule="auto"/>
        <w:rPr>
          <w:sz w:val="20"/>
          <w:szCs w:val="20"/>
          <w:color w:val="auto"/>
        </w:rPr>
      </w:pPr>
      <w:r>
        <w:rPr>
          <w:rFonts w:ascii="Arial" w:cs="Arial" w:eastAsia="Arial" w:hAnsi="Arial"/>
          <w:sz w:val="14"/>
          <w:szCs w:val="14"/>
          <w:color w:val="auto"/>
        </w:rPr>
        <w:t>The share repurchase program authorizes the Company to repurchase shares from time to time in open market transactions, privately negotiated transactions or by other means. Repurchases are also permitted to be made under Rule 10b5-1 plans. The timing and amount of repurchase transactions are determined by the Company's management based on its evaluation of market conditions, share price, cash sources, legal requirements and other factors. From the inception of the program through December 31, 2021, the Company repurchased approximately 16.1 million shares of Class A Common Stock and Virtu Financial Units for approximately $439.1 million. As of December 31, 2021, the Company has approximately of $780.9 million remaining capacity for future purchases of shares of Class A Common Stock and Virtu Financial Units under the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20" w:top="802" w:right="379" w:bottom="1440" w:gutter="0" w:footer="0" w:header="0"/>
        </w:sectPr>
      </w:pPr>
    </w:p>
    <w:bookmarkStart w:id="66" w:name="page67"/>
    <w:bookmarkEnd w:id="66"/>
    <w:p>
      <w:pPr>
        <w:spacing w:after="0"/>
        <w:rPr>
          <w:sz w:val="20"/>
          <w:szCs w:val="20"/>
          <w:color w:val="auto"/>
        </w:rPr>
      </w:pPr>
      <w:r>
        <w:rPr>
          <w:rFonts w:ascii="Arial" w:cs="Arial" w:eastAsia="Arial" w:hAnsi="Arial"/>
          <w:sz w:val="16"/>
          <w:szCs w:val="16"/>
          <w:b w:val="1"/>
          <w:bCs w:val="1"/>
          <w:color w:val="auto"/>
        </w:rPr>
        <w:t>Contractual Obligations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Our expected material cash requirements include the following contractual obligations: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Debt</w:t>
      </w:r>
    </w:p>
    <w:p>
      <w:pPr>
        <w:spacing w:after="0" w:line="195" w:lineRule="exact"/>
        <w:rPr>
          <w:sz w:val="20"/>
          <w:szCs w:val="20"/>
          <w:color w:val="auto"/>
        </w:rPr>
      </w:pPr>
    </w:p>
    <w:p>
      <w:pPr>
        <w:jc w:val="both"/>
        <w:ind w:right="40" w:firstLine="568"/>
        <w:spacing w:after="0" w:line="287" w:lineRule="auto"/>
        <w:rPr>
          <w:sz w:val="20"/>
          <w:szCs w:val="20"/>
          <w:color w:val="auto"/>
        </w:rPr>
      </w:pPr>
      <w:r>
        <w:rPr>
          <w:rFonts w:ascii="Arial" w:cs="Arial" w:eastAsia="Arial" w:hAnsi="Arial"/>
          <w:sz w:val="14"/>
          <w:szCs w:val="14"/>
          <w:color w:val="auto"/>
        </w:rPr>
        <w:t>As of December 31, 2021, we had $1,599.8 million of outstanding principal on our First Lien Term Loan Facility. Subsequent to year end, we completed the issuance of a $1.8 billion senior secured first lien term loan due in 2029 ("New Term Loan"), and proceeds were used to repay the outstanding balance on the First Lien Term Loan Facility. See Note 26 "Subsequent Events" in Part II Item 8 “Financial Statements and Supplementary Data” of this Annual Report on Form 10-K for more details on this transaction.</w:t>
      </w:r>
    </w:p>
    <w:p>
      <w:pPr>
        <w:spacing w:after="0" w:line="2" w:lineRule="exact"/>
        <w:rPr>
          <w:sz w:val="20"/>
          <w:szCs w:val="20"/>
          <w:color w:val="auto"/>
        </w:rPr>
      </w:pPr>
    </w:p>
    <w:p>
      <w:pPr>
        <w:ind w:right="380"/>
        <w:spacing w:after="0" w:line="254" w:lineRule="auto"/>
        <w:rPr>
          <w:sz w:val="20"/>
          <w:szCs w:val="20"/>
          <w:color w:val="auto"/>
        </w:rPr>
      </w:pPr>
      <w:r>
        <w:rPr>
          <w:rFonts w:ascii="Arial" w:cs="Arial" w:eastAsia="Arial" w:hAnsi="Arial"/>
          <w:sz w:val="16"/>
          <w:szCs w:val="16"/>
          <w:color w:val="auto"/>
        </w:rPr>
        <w:t>Additionally, $30.7 million of long-term debt related to the SBI bonds is due in 2023. See Note 10 "Borrowings" in Part II Item 8 “Financial Statements and Supplementary Data” of this Annual Report on Form 10-K for more details.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Leases</w:t>
      </w:r>
    </w:p>
    <w:p>
      <w:pPr>
        <w:spacing w:after="0" w:line="195" w:lineRule="exact"/>
        <w:rPr>
          <w:sz w:val="20"/>
          <w:szCs w:val="20"/>
          <w:color w:val="auto"/>
        </w:rPr>
      </w:pPr>
    </w:p>
    <w:p>
      <w:pPr>
        <w:ind w:firstLine="568"/>
        <w:spacing w:after="0" w:line="257" w:lineRule="auto"/>
        <w:rPr>
          <w:sz w:val="20"/>
          <w:szCs w:val="20"/>
          <w:color w:val="auto"/>
        </w:rPr>
      </w:pPr>
      <w:r>
        <w:rPr>
          <w:rFonts w:ascii="Arial" w:cs="Arial" w:eastAsia="Arial" w:hAnsi="Arial"/>
          <w:sz w:val="16"/>
          <w:szCs w:val="16"/>
          <w:color w:val="auto"/>
        </w:rPr>
        <w:t>We have lease arrangements, primarily for office space and technology and equipment. As of December 31, 2021, we had $66.6 million of operating lease payments and $4.6 million of finance lease payments due within twelve months, and $268.1 million of operating lease payments and $2.2 million of finance leases payments due after twelve months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Tax Receivable Agreement</w:t>
      </w:r>
    </w:p>
    <w:p>
      <w:pPr>
        <w:spacing w:after="0" w:line="195" w:lineRule="exact"/>
        <w:rPr>
          <w:sz w:val="20"/>
          <w:szCs w:val="20"/>
          <w:color w:val="auto"/>
        </w:rPr>
      </w:pPr>
    </w:p>
    <w:p>
      <w:pPr>
        <w:ind w:right="20" w:firstLine="568"/>
        <w:spacing w:after="0" w:line="254" w:lineRule="auto"/>
        <w:rPr>
          <w:sz w:val="20"/>
          <w:szCs w:val="20"/>
          <w:color w:val="auto"/>
        </w:rPr>
      </w:pPr>
      <w:r>
        <w:rPr>
          <w:rFonts w:ascii="Arial" w:cs="Arial" w:eastAsia="Arial" w:hAnsi="Arial"/>
          <w:sz w:val="16"/>
          <w:szCs w:val="16"/>
          <w:color w:val="auto"/>
        </w:rPr>
        <w:t>The contractual obligation table above excludes contractual amounts owed under the tax receivable agreement as the ultimate amount and timing of the amounts due are not presently known. As of December 31, 2021, a total of $259.3 million has been recorded for amounts due pursuant to tax receivable agreements in the consolidated financial statements representing management’s best estimate of the amounts currently expected to be owed under the tax receivable agreement, as savings are realized as a result of favorable tax attributes.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223" w:lineRule="exact"/>
        <w:rPr>
          <w:sz w:val="20"/>
          <w:szCs w:val="20"/>
          <w:color w:val="auto"/>
        </w:rPr>
      </w:pPr>
    </w:p>
    <w:p>
      <w:pPr>
        <w:ind w:right="180" w:firstLine="568"/>
        <w:spacing w:after="0" w:line="252"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as well as the reported amounts of revenue and expenses during the applicable reporting period. Critical accounting policies are those that are the most important portrayal of our financial condition, results of operations and cash flows, and that require our most difficult, subjective and complex judgments as a result of the need to make estimates about the effect of matters that are inherently uncertain.</w:t>
      </w:r>
    </w:p>
    <w:p>
      <w:pPr>
        <w:spacing w:after="0" w:line="194" w:lineRule="exact"/>
        <w:rPr>
          <w:sz w:val="20"/>
          <w:szCs w:val="20"/>
          <w:color w:val="auto"/>
        </w:rPr>
      </w:pPr>
    </w:p>
    <w:p>
      <w:pPr>
        <w:ind w:firstLine="568"/>
        <w:spacing w:after="0" w:line="302" w:lineRule="auto"/>
        <w:rPr>
          <w:sz w:val="20"/>
          <w:szCs w:val="20"/>
          <w:color w:val="auto"/>
        </w:rPr>
      </w:pPr>
      <w:r>
        <w:rPr>
          <w:rFonts w:ascii="Arial" w:cs="Arial" w:eastAsia="Arial" w:hAnsi="Arial"/>
          <w:sz w:val="14"/>
          <w:szCs w:val="14"/>
          <w:color w:val="auto"/>
        </w:rPr>
        <w:t>While our significant accounting policies are described in more detail in the notes to our consolidated financial statements, our most critical accounting policies are discussed below. In applying such policies, we must use some amounts that are based upon our informed judgments and best estimates. Estimates, by their nature, are based upon judgments and available information. The estimates that we make are based upon historical factors, current circumstances and the experience and judgment of management. We evaluate our assumptions and estimates on an ongoing basis. Our actual results may differ from these estimates under different assumptions or conditions.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Valuation of Financial Instruments</w:t>
      </w:r>
    </w:p>
    <w:p>
      <w:pPr>
        <w:spacing w:after="0" w:line="219" w:lineRule="exact"/>
        <w:rPr>
          <w:sz w:val="20"/>
          <w:szCs w:val="20"/>
          <w:color w:val="auto"/>
        </w:rPr>
      </w:pPr>
    </w:p>
    <w:p>
      <w:pPr>
        <w:ind w:firstLine="568"/>
        <w:spacing w:after="0" w:line="273" w:lineRule="auto"/>
        <w:rPr>
          <w:sz w:val="20"/>
          <w:szCs w:val="20"/>
          <w:color w:val="auto"/>
        </w:rPr>
      </w:pPr>
      <w:r>
        <w:rPr>
          <w:rFonts w:ascii="Arial" w:cs="Arial" w:eastAsia="Arial" w:hAnsi="Arial"/>
          <w:sz w:val="15"/>
          <w:szCs w:val="15"/>
          <w:color w:val="auto"/>
        </w:rPr>
        <w:t>Due to the nature of our operations, substantially all of our financial instrument assets, comprised of financial instruments owned, securities purchased under agreements to resell, and receivables from brokers, dealers and clearing organizations are carried at fair value based on published market prices and are marked to market daily, or are assets which are short-term in nature and are reflected at amounts approximating fair value. Similarly, all of our financial instrument liabilities that arise from financial instruments sold but not yet purchased, securities sold under agreements to repurchase, securities loaned, and payables to brokers, dealers and clearing organizations are short-term in nature and are reported at quoted market prices or at amounts approximating fair value.</w:t>
      </w:r>
    </w:p>
    <w:p>
      <w:pPr>
        <w:spacing w:after="0" w:line="179" w:lineRule="exact"/>
        <w:rPr>
          <w:sz w:val="20"/>
          <w:szCs w:val="20"/>
          <w:color w:val="auto"/>
        </w:rPr>
      </w:pPr>
    </w:p>
    <w:p>
      <w:pPr>
        <w:ind w:right="220" w:firstLine="568"/>
        <w:spacing w:after="0" w:line="257" w:lineRule="auto"/>
        <w:rPr>
          <w:sz w:val="20"/>
          <w:szCs w:val="20"/>
          <w:color w:val="auto"/>
        </w:rPr>
      </w:pPr>
      <w:r>
        <w:rPr>
          <w:rFonts w:ascii="Arial" w:cs="Arial" w:eastAsia="Arial" w:hAnsi="Arial"/>
          <w:sz w:val="16"/>
          <w:szCs w:val="16"/>
          <w:color w:val="auto"/>
        </w:rPr>
        <w:t>Fair value is defined as the price that would be received to sell an asset or would be paid to transfer a liability (i.e., the exit price) in an orderly transaction between market participants at the measurement date. Financial instruments measured and reported at fair value are classified and disclosed in one of the following categories based on inputs: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798" w:right="359" w:bottom="1440" w:gutter="0" w:footer="0" w:header="0"/>
        </w:sectPr>
      </w:pPr>
    </w:p>
    <w:bookmarkStart w:id="67" w:name="page68"/>
    <w:bookmarkEnd w:id="67"/>
    <w:p>
      <w:pPr>
        <w:ind w:left="560"/>
        <w:spacing w:after="0"/>
        <w:rPr>
          <w:sz w:val="20"/>
          <w:szCs w:val="20"/>
          <w:color w:val="auto"/>
        </w:rPr>
      </w:pPr>
      <w:r>
        <w:rPr>
          <w:rFonts w:ascii="Arial" w:cs="Arial" w:eastAsia="Arial" w:hAnsi="Arial"/>
          <w:sz w:val="16"/>
          <w:szCs w:val="16"/>
          <w:color w:val="auto"/>
        </w:rPr>
        <w:t>Level 1 — Unadjusted quoted prices in active markets that are accessible at the measurement date for identical, unrestricted assets or liabilities;</w:t>
      </w:r>
    </w:p>
    <w:p>
      <w:pPr>
        <w:spacing w:after="0" w:line="219" w:lineRule="exact"/>
        <w:rPr>
          <w:sz w:val="20"/>
          <w:szCs w:val="20"/>
          <w:color w:val="auto"/>
        </w:rPr>
      </w:pPr>
    </w:p>
    <w:p>
      <w:pPr>
        <w:ind w:left="560"/>
        <w:spacing w:after="0"/>
        <w:rPr>
          <w:sz w:val="20"/>
          <w:szCs w:val="20"/>
          <w:color w:val="auto"/>
        </w:rPr>
      </w:pPr>
      <w:r>
        <w:rPr>
          <w:rFonts w:ascii="Arial" w:cs="Arial" w:eastAsia="Arial" w:hAnsi="Arial"/>
          <w:sz w:val="15"/>
          <w:szCs w:val="15"/>
          <w:color w:val="auto"/>
        </w:rPr>
        <w:t>Level 2 — Quoted prices in markets that are not active and financial instruments for which all significant inputs are observable, either directly or indirectly; or</w:t>
      </w:r>
    </w:p>
    <w:p>
      <w:pPr>
        <w:spacing w:after="0" w:line="23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Level 3 — Prices or valuations that require inputs that are both significant to the fair value measurement and unobservable</w:t>
      </w:r>
    </w:p>
    <w:p>
      <w:pPr>
        <w:spacing w:after="0" w:line="207" w:lineRule="exact"/>
        <w:rPr>
          <w:sz w:val="20"/>
          <w:szCs w:val="20"/>
          <w:color w:val="auto"/>
        </w:rPr>
      </w:pPr>
    </w:p>
    <w:p>
      <w:pPr>
        <w:ind w:right="160" w:firstLine="568"/>
        <w:spacing w:after="0" w:line="238" w:lineRule="auto"/>
        <w:rPr>
          <w:sz w:val="20"/>
          <w:szCs w:val="20"/>
          <w:color w:val="auto"/>
        </w:rPr>
      </w:pPr>
      <w:r>
        <w:rPr>
          <w:rFonts w:ascii="Arial" w:cs="Arial" w:eastAsia="Arial" w:hAnsi="Arial"/>
          <w:sz w:val="15"/>
          <w:szCs w:val="15"/>
          <w:color w:val="auto"/>
        </w:rPr>
        <w:t>The fair values for substantially all of our financial instruments owned and financial instruments sold but not yet purchased are based on observable prices and inputs and are classified in levels 1 and 2 of the fair value hierarchy. Instruments categorized within level 3 of the fair value hierarchy are those which require one or more significant inputs that are not observable. Estimating the fair value of level 3 financial instruments requires judgments to be made. Due to the relative immateriality of our financial instruments classified as level 3, we do not believe that a significant change to the inputs underlying the fair value of our level 3 financial instruments would have a material impact on our consolidated financial statements See Note 11 "Financial Assets and Liabilities" of Part II Item 8 “Financial Statements and Supplementary Data” of this Annual Report on Form 10-K for further information about fair value measurements.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Trading Income, Net</w:t>
      </w:r>
    </w:p>
    <w:p>
      <w:pPr>
        <w:spacing w:after="0" w:line="219" w:lineRule="exact"/>
        <w:rPr>
          <w:sz w:val="20"/>
          <w:szCs w:val="20"/>
          <w:color w:val="auto"/>
        </w:rPr>
      </w:pPr>
    </w:p>
    <w:p>
      <w:pPr>
        <w:jc w:val="both"/>
        <w:ind w:firstLine="568"/>
        <w:spacing w:after="0" w:line="257" w:lineRule="auto"/>
        <w:rPr>
          <w:sz w:val="20"/>
          <w:szCs w:val="20"/>
          <w:color w:val="auto"/>
        </w:rPr>
      </w:pPr>
      <w:r>
        <w:rPr>
          <w:rFonts w:ascii="Arial" w:cs="Arial" w:eastAsia="Arial" w:hAnsi="Arial"/>
          <w:sz w:val="16"/>
          <w:szCs w:val="16"/>
          <w:color w:val="auto"/>
        </w:rPr>
        <w:t>Trading income, net, consists of trading gains and losses that are recorded on a trade date basis and reported on a net basis. Trading income, net, is comprised of changes in fair value of financial instruments owned and financial instruments sold, not yet purchased assets and liabilities (i.e., unrealized gains and losses) and realized gains and losses on equities, fixed income securities, currencies and commodities.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and Dividends Income/Interest and Dividends Expense</w:t>
      </w:r>
    </w:p>
    <w:p>
      <w:pPr>
        <w:spacing w:after="0" w:line="219" w:lineRule="exact"/>
        <w:rPr>
          <w:sz w:val="20"/>
          <w:szCs w:val="20"/>
          <w:color w:val="auto"/>
        </w:rPr>
      </w:pPr>
    </w:p>
    <w:p>
      <w:pPr>
        <w:ind w:right="40" w:firstLine="568"/>
        <w:spacing w:after="0" w:line="257" w:lineRule="auto"/>
        <w:rPr>
          <w:sz w:val="20"/>
          <w:szCs w:val="20"/>
          <w:color w:val="auto"/>
        </w:rPr>
      </w:pPr>
      <w:r>
        <w:rPr>
          <w:rFonts w:ascii="Arial" w:cs="Arial" w:eastAsia="Arial" w:hAnsi="Arial"/>
          <w:sz w:val="16"/>
          <w:szCs w:val="16"/>
          <w:color w:val="auto"/>
        </w:rPr>
        <w:t>Interest income and interest expense are accrued in accordance with contractual rates. Interest income consists of income earned on collateralized financing arrangements and on cash held by brokers. Interest expense includes interest expense from collateralized transactions, margin and related short-term lending facilities. Dividends are recorded on the ex-dividend date, and interest is recognized on an accrual basis.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Commissions, net and Technology Services</w:t>
      </w:r>
    </w:p>
    <w:p>
      <w:pPr>
        <w:spacing w:after="0" w:line="219" w:lineRule="exact"/>
        <w:rPr>
          <w:sz w:val="20"/>
          <w:szCs w:val="20"/>
          <w:color w:val="auto"/>
        </w:rPr>
      </w:pPr>
    </w:p>
    <w:p>
      <w:pPr>
        <w:ind w:right="60" w:firstLine="568"/>
        <w:spacing w:after="0" w:line="276" w:lineRule="auto"/>
        <w:rPr>
          <w:sz w:val="20"/>
          <w:szCs w:val="20"/>
          <w:color w:val="auto"/>
        </w:rPr>
      </w:pPr>
      <w:r>
        <w:rPr>
          <w:rFonts w:ascii="Arial" w:cs="Arial" w:eastAsia="Arial" w:hAnsi="Arial"/>
          <w:sz w:val="15"/>
          <w:szCs w:val="15"/>
          <w:color w:val="auto"/>
        </w:rPr>
        <w:t>Commissions, net, which primarily comprise commissions and commission equivalents earned on institutional client orders, are recorded on a trade date basis, which is the point at which the performance obligation to the customer is satisfied. Under a commission management program, we allow institutional clients to allocate a portion of their gross commissions to pay for research and other services provided by third parties. As we act as an agent in these transactions, we record such expenses on a net basis within Commissions, net and technology services in the Consolidated Statements of Comprehensive Income.</w:t>
      </w:r>
    </w:p>
    <w:p>
      <w:pPr>
        <w:spacing w:after="0" w:line="177" w:lineRule="exact"/>
        <w:rPr>
          <w:sz w:val="20"/>
          <w:szCs w:val="20"/>
          <w:color w:val="auto"/>
        </w:rPr>
      </w:pPr>
    </w:p>
    <w:p>
      <w:pPr>
        <w:ind w:right="180" w:firstLine="568"/>
        <w:spacing w:after="0" w:line="268" w:lineRule="auto"/>
        <w:rPr>
          <w:sz w:val="20"/>
          <w:szCs w:val="20"/>
          <w:color w:val="auto"/>
        </w:rPr>
      </w:pPr>
      <w:r>
        <w:rPr>
          <w:rFonts w:ascii="Arial" w:cs="Arial" w:eastAsia="Arial" w:hAnsi="Arial"/>
          <w:sz w:val="16"/>
          <w:szCs w:val="16"/>
          <w:color w:val="auto"/>
        </w:rPr>
        <w:t>Workflow technology revenues consist of order and trade execution management and order routing services we provide through our front-end workflow solutions and network capabilities.</w:t>
      </w:r>
    </w:p>
    <w:p>
      <w:pPr>
        <w:spacing w:after="0" w:line="181" w:lineRule="exact"/>
        <w:rPr>
          <w:sz w:val="20"/>
          <w:szCs w:val="20"/>
          <w:color w:val="auto"/>
        </w:rPr>
      </w:pPr>
    </w:p>
    <w:p>
      <w:pPr>
        <w:ind w:right="280" w:firstLine="568"/>
        <w:spacing w:after="0" w:line="254" w:lineRule="auto"/>
        <w:rPr>
          <w:sz w:val="20"/>
          <w:szCs w:val="20"/>
          <w:color w:val="auto"/>
        </w:rPr>
      </w:pPr>
      <w:r>
        <w:rPr>
          <w:rFonts w:ascii="Arial" w:cs="Arial" w:eastAsia="Arial" w:hAnsi="Arial"/>
          <w:sz w:val="16"/>
          <w:szCs w:val="16"/>
          <w:color w:val="auto"/>
        </w:rPr>
        <w:t>We provide trade order routing from our execution management system (“EMS”) to our execution services offerings, with each trade order routed through the EMS representing a separate performance obligation that is satisfied at a point in time. A portion of the commissions earned on the trade is then allocated to Workflow Technology based on the stand-alone selling price paid by third-party brokers for order routing. The remaining commission is allocated to commissions, net using a residual allocation approach. Commissions earned are fixed and revenue is recognized on the trade date.</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4"/>
          <w:szCs w:val="14"/>
          <w:color w:val="auto"/>
        </w:rPr>
        <w:t>We participate in commission share arrangements, where trade orders are routed to third-party brokers from our EMS and our order management system (“OMS”).</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Commission share revenues from third-party brokers are generally fixed and revenue is recognized at a point in time on the trade date.</w:t>
      </w:r>
    </w:p>
    <w:p>
      <w:pPr>
        <w:spacing w:after="0" w:line="207" w:lineRule="exact"/>
        <w:rPr>
          <w:sz w:val="20"/>
          <w:szCs w:val="20"/>
          <w:color w:val="auto"/>
        </w:rPr>
      </w:pPr>
    </w:p>
    <w:p>
      <w:pPr>
        <w:jc w:val="both"/>
        <w:ind w:right="140" w:firstLine="568"/>
        <w:spacing w:after="0" w:line="257" w:lineRule="auto"/>
        <w:rPr>
          <w:sz w:val="20"/>
          <w:szCs w:val="20"/>
          <w:color w:val="auto"/>
        </w:rPr>
      </w:pPr>
      <w:r>
        <w:rPr>
          <w:rFonts w:ascii="Arial" w:cs="Arial" w:eastAsia="Arial" w:hAnsi="Arial"/>
          <w:sz w:val="16"/>
          <w:szCs w:val="16"/>
          <w:color w:val="auto"/>
        </w:rPr>
        <w:t>We also provide OMS and related software products and connectivity services to customers and recognize license fee revenues and monthly connectivity fees. License fee revenues, generated for the use of our OMS and other software products, are fixed and recognized at the point in time at which the customer is able to use and benefit from the license. Connectivity</w:t>
      </w: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802" w:right="359" w:bottom="1440" w:gutter="0" w:footer="0" w:header="0"/>
        </w:sectPr>
      </w:pPr>
    </w:p>
    <w:bookmarkStart w:id="68" w:name="page69"/>
    <w:bookmarkEnd w:id="68"/>
    <w:p>
      <w:pPr>
        <w:spacing w:after="0"/>
        <w:rPr>
          <w:sz w:val="20"/>
          <w:szCs w:val="20"/>
          <w:color w:val="auto"/>
        </w:rPr>
      </w:pPr>
      <w:r>
        <w:rPr>
          <w:rFonts w:ascii="Arial" w:cs="Arial" w:eastAsia="Arial" w:hAnsi="Arial"/>
          <w:sz w:val="15"/>
          <w:szCs w:val="15"/>
          <w:color w:val="auto"/>
        </w:rPr>
        <w:t>revenue is variable in nature, based on the number of live connections, and is recognized over time on a monthly basis using a time-based measure of progress.</w:t>
      </w:r>
    </w:p>
    <w:p>
      <w:pPr>
        <w:spacing w:after="0" w:line="230" w:lineRule="exact"/>
        <w:rPr>
          <w:sz w:val="20"/>
          <w:szCs w:val="20"/>
          <w:color w:val="auto"/>
        </w:rPr>
      </w:pPr>
    </w:p>
    <w:p>
      <w:pPr>
        <w:ind w:right="60" w:firstLine="568"/>
        <w:spacing w:after="0" w:line="297" w:lineRule="auto"/>
        <w:rPr>
          <w:sz w:val="20"/>
          <w:szCs w:val="20"/>
          <w:color w:val="auto"/>
        </w:rPr>
      </w:pPr>
      <w:r>
        <w:rPr>
          <w:rFonts w:ascii="Arial" w:cs="Arial" w:eastAsia="Arial" w:hAnsi="Arial"/>
          <w:sz w:val="14"/>
          <w:szCs w:val="14"/>
          <w:color w:val="auto"/>
        </w:rPr>
        <w:t>Analytics revenues are earned from providing customers with analytics products and services, including trading and portfolio analytics tools. We provide analytics products and services to customers and recognize subscription fees, which are fixed for the contract term, based on when the products and services are delivered. Analytics services can be delivered either over time (when customers are provided with distinct ongoing access to analytics data) or at a point in time (when reports are only delivered to the customer on a periodic basis). Over time performance obligations are recognized using a time-based measure of progress on a monthly basis, since the analytics products and services are continually provided to the client. Point in time performance obligations are recognized when the analytics reports are delivered to the client.</w:t>
      </w:r>
    </w:p>
    <w:p>
      <w:pPr>
        <w:spacing w:after="0" w:line="164" w:lineRule="exact"/>
        <w:rPr>
          <w:sz w:val="20"/>
          <w:szCs w:val="20"/>
          <w:color w:val="auto"/>
        </w:rPr>
      </w:pPr>
    </w:p>
    <w:p>
      <w:pPr>
        <w:ind w:right="40" w:firstLine="568"/>
        <w:spacing w:after="0" w:line="302" w:lineRule="auto"/>
        <w:rPr>
          <w:sz w:val="20"/>
          <w:szCs w:val="20"/>
          <w:color w:val="auto"/>
        </w:rPr>
      </w:pPr>
      <w:r>
        <w:rPr>
          <w:rFonts w:ascii="Arial" w:cs="Arial" w:eastAsia="Arial" w:hAnsi="Arial"/>
          <w:sz w:val="15"/>
          <w:szCs w:val="15"/>
          <w:color w:val="auto"/>
        </w:rPr>
        <w:t>Analytics products and services can also be paid for through variable bundled arrangements with trade execution services. Customers agree to pay for analytics products and services with commissions generated from trade execution services, and commissions are allocated to the analytics performance obligation(s) using:</w:t>
      </w:r>
    </w:p>
    <w:p>
      <w:pPr>
        <w:spacing w:after="0" w:line="134" w:lineRule="exact"/>
        <w:rPr>
          <w:sz w:val="20"/>
          <w:szCs w:val="20"/>
          <w:color w:val="auto"/>
        </w:rPr>
      </w:pPr>
    </w:p>
    <w:p>
      <w:pPr>
        <w:ind w:left="1140" w:right="720" w:hanging="577"/>
        <w:spacing w:after="0" w:line="254" w:lineRule="auto"/>
        <w:tabs>
          <w:tab w:leader="none" w:pos="1135"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commission value for each customer for the products and services it receives, which is priced using the value for similar stand-alone subscription arrangements; and</w:t>
      </w:r>
    </w:p>
    <w:p>
      <w:pPr>
        <w:ind w:left="1120" w:hanging="557"/>
        <w:spacing w:after="0"/>
        <w:tabs>
          <w:tab w:leader="none" w:pos="1120" w:val="left"/>
        </w:tabs>
        <w:numPr>
          <w:ilvl w:val="0"/>
          <w:numId w:val="29"/>
        </w:numPr>
        <w:rPr>
          <w:rFonts w:ascii="Arial" w:cs="Arial" w:eastAsia="Arial" w:hAnsi="Arial"/>
          <w:sz w:val="15"/>
          <w:szCs w:val="15"/>
          <w:color w:val="auto"/>
        </w:rPr>
      </w:pPr>
      <w:r>
        <w:rPr>
          <w:rFonts w:ascii="Arial" w:cs="Arial" w:eastAsia="Arial" w:hAnsi="Arial"/>
          <w:sz w:val="15"/>
          <w:szCs w:val="15"/>
          <w:color w:val="auto"/>
        </w:rPr>
        <w:t>a calculated ratio of the commission value for the products and services relative to the total amount of commissions generated from the customer.</w:t>
      </w:r>
    </w:p>
    <w:p>
      <w:pPr>
        <w:spacing w:after="0" w:line="219" w:lineRule="exact"/>
        <w:rPr>
          <w:sz w:val="20"/>
          <w:szCs w:val="20"/>
          <w:color w:val="auto"/>
        </w:rPr>
      </w:pPr>
    </w:p>
    <w:p>
      <w:pPr>
        <w:ind w:right="300" w:firstLine="568"/>
        <w:spacing w:after="0" w:line="257" w:lineRule="auto"/>
        <w:rPr>
          <w:sz w:val="20"/>
          <w:szCs w:val="20"/>
          <w:color w:val="auto"/>
        </w:rPr>
      </w:pPr>
      <w:r>
        <w:rPr>
          <w:rFonts w:ascii="Arial" w:cs="Arial" w:eastAsia="Arial" w:hAnsi="Arial"/>
          <w:sz w:val="16"/>
          <w:szCs w:val="16"/>
          <w:color w:val="auto"/>
        </w:rPr>
        <w:t>For these bundled commission arrangements, the allocated commissions to each analytics performance obligation are then recognized as revenue when the analytics product is delivered, either over time or at a point in time. These allocated commissions may be deferred if the allocated amount exceeds the amount recognizable based on delivery.</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Share-Based Compensation</w:t>
      </w:r>
    </w:p>
    <w:p>
      <w:pPr>
        <w:spacing w:after="0" w:line="219" w:lineRule="exact"/>
        <w:rPr>
          <w:sz w:val="20"/>
          <w:szCs w:val="20"/>
          <w:color w:val="auto"/>
        </w:rPr>
      </w:pPr>
    </w:p>
    <w:p>
      <w:pPr>
        <w:ind w:right="440" w:firstLine="568"/>
        <w:spacing w:after="0" w:line="257" w:lineRule="auto"/>
        <w:rPr>
          <w:sz w:val="20"/>
          <w:szCs w:val="20"/>
          <w:color w:val="auto"/>
        </w:rPr>
      </w:pPr>
      <w:r>
        <w:rPr>
          <w:rFonts w:ascii="Arial" w:cs="Arial" w:eastAsia="Arial" w:hAnsi="Arial"/>
          <w:sz w:val="16"/>
          <w:szCs w:val="16"/>
          <w:color w:val="auto"/>
        </w:rPr>
        <w:t>We account for share-based compensation transactions with employees under the provisions of the Financial Accounting Standards Board's Accounting Standards Codification (“ASC”) 718, Compensation: Stock Compensation. Share-based compensation transactions with employees are measured based on the fair value of equity instruments issued.</w:t>
      </w:r>
    </w:p>
    <w:p>
      <w:pPr>
        <w:spacing w:after="0" w:line="190" w:lineRule="exact"/>
        <w:rPr>
          <w:sz w:val="20"/>
          <w:szCs w:val="20"/>
          <w:color w:val="auto"/>
        </w:rPr>
      </w:pPr>
    </w:p>
    <w:p>
      <w:pPr>
        <w:ind w:firstLine="568"/>
        <w:spacing w:after="0" w:line="289" w:lineRule="auto"/>
        <w:rPr>
          <w:sz w:val="20"/>
          <w:szCs w:val="20"/>
          <w:color w:val="auto"/>
        </w:rPr>
      </w:pPr>
      <w:r>
        <w:rPr>
          <w:rFonts w:ascii="Arial" w:cs="Arial" w:eastAsia="Arial" w:hAnsi="Arial"/>
          <w:sz w:val="14"/>
          <w:szCs w:val="14"/>
          <w:color w:val="auto"/>
        </w:rPr>
        <w:t>Share-based awards issued for compensation in connection with or subsequent to the Reorganization Transactions and the IPO pursuant to our Amended and Restated 2015 Management Incentive Plan, and assumed pursuant to the Amended and Restated ITG 2007 Equity Plan, were in the form of stock options, Class A Common Stock, restricted stock awards ("RSAs") and restricted stock units ("RSUs"). The fair value of the stock option grants is determined through the application of the Black-Scholes-Merton model. The fair value of the Class A Common Stock and RSUs is determined based on the volume weighted average price for the three days preceding the grant. With respect to the RSUs, we account for forfeitures as they occur. The fair value of RSAs is determined based on the closing price as of the date of grant. The fair value of share-based awards granted to employees is expensed based on the vesting conditions and is recognized on a straight-line basis over the vesting period, or, in the case of RSAs subject to performance conditions, from the date that achievement becomes probable through the remainder of the vesting period. The assessment of the performance condition becomes certain within the year of grant. At year end there is no future assessment that would affect grants with a performance condition. We record as treasury stock shares repurchased from employees for the purpose of settling tax liabilities incurred upon the issuance of common stock, the vesting of RSUs or the exercise of stock options.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Taxes</w:t>
      </w:r>
    </w:p>
    <w:p>
      <w:pPr>
        <w:spacing w:after="0" w:line="219" w:lineRule="exact"/>
        <w:rPr>
          <w:sz w:val="20"/>
          <w:szCs w:val="20"/>
          <w:color w:val="auto"/>
        </w:rPr>
      </w:pPr>
    </w:p>
    <w:p>
      <w:pPr>
        <w:ind w:right="160" w:firstLine="568"/>
        <w:spacing w:after="0" w:line="268" w:lineRule="auto"/>
        <w:rPr>
          <w:sz w:val="20"/>
          <w:szCs w:val="20"/>
          <w:color w:val="auto"/>
        </w:rPr>
      </w:pPr>
      <w:r>
        <w:rPr>
          <w:rFonts w:ascii="Arial" w:cs="Arial" w:eastAsia="Arial" w:hAnsi="Arial"/>
          <w:sz w:val="16"/>
          <w:szCs w:val="16"/>
          <w:color w:val="auto"/>
        </w:rPr>
        <w:t>We conduct our business globally through a number of separate legal entities. Consequently, our effective tax rate is dependent upon the geographic distribution of our earnings or losses and the tax laws and regulations of each legal jurisdiction in which we operate.</w:t>
      </w:r>
    </w:p>
    <w:p>
      <w:pPr>
        <w:spacing w:after="0" w:line="181" w:lineRule="exact"/>
        <w:rPr>
          <w:sz w:val="20"/>
          <w:szCs w:val="20"/>
          <w:color w:val="auto"/>
        </w:rPr>
      </w:pPr>
    </w:p>
    <w:p>
      <w:pPr>
        <w:jc w:val="both"/>
        <w:ind w:right="100" w:firstLine="568"/>
        <w:spacing w:after="0" w:line="257" w:lineRule="auto"/>
        <w:rPr>
          <w:sz w:val="20"/>
          <w:szCs w:val="20"/>
          <w:color w:val="auto"/>
        </w:rPr>
      </w:pPr>
      <w:r>
        <w:rPr>
          <w:rFonts w:ascii="Arial" w:cs="Arial" w:eastAsia="Arial" w:hAnsi="Arial"/>
          <w:sz w:val="16"/>
          <w:szCs w:val="16"/>
          <w:color w:val="auto"/>
        </w:rPr>
        <w:t>Certain of our wholly owned subsidiaries are subject to income taxes in foreign jurisdictions. The provision for income tax is comprised of current tax and deferred tax. Current tax represents the tax on current year tax returns, using tax rates enacted at the balance sheet date. A deferred tax asset is recognized only to the extent that it is probable that future taxable income will be available against which the asset can be utilized.</w:t>
      </w:r>
    </w:p>
    <w:p>
      <w:pPr>
        <w:spacing w:after="0" w:line="190" w:lineRule="exact"/>
        <w:rPr>
          <w:sz w:val="20"/>
          <w:szCs w:val="20"/>
          <w:color w:val="auto"/>
        </w:rPr>
      </w:pPr>
    </w:p>
    <w:p>
      <w:pPr>
        <w:ind w:firstLine="568"/>
        <w:spacing w:after="0" w:line="266" w:lineRule="auto"/>
        <w:rPr>
          <w:sz w:val="20"/>
          <w:szCs w:val="20"/>
          <w:color w:val="auto"/>
        </w:rPr>
      </w:pPr>
      <w:r>
        <w:rPr>
          <w:rFonts w:ascii="Arial" w:cs="Arial" w:eastAsia="Arial" w:hAnsi="Arial"/>
          <w:sz w:val="15"/>
          <w:szCs w:val="15"/>
          <w:color w:val="auto"/>
        </w:rPr>
        <w:t>We are currently subject to audit in various jurisdictions, and these jurisdictions may assess additional income tax liabilities against us. Developments in an audit, litigation, or the relevant laws, regulations, administrative practices, principles, and interpretations could have a material effect on our operating results or cash flows in the period or periods for which that development occurs, as well as for prior and subsequent periods. We recognize the tax benefit from an uncertain tax position in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802" w:right="339" w:bottom="1440" w:gutter="0" w:footer="0" w:header="0"/>
        </w:sectPr>
      </w:pPr>
    </w:p>
    <w:bookmarkStart w:id="69" w:name="page70"/>
    <w:bookmarkEnd w:id="69"/>
    <w:p>
      <w:pPr>
        <w:ind w:right="140"/>
        <w:spacing w:after="0" w:line="274" w:lineRule="auto"/>
        <w:rPr>
          <w:sz w:val="20"/>
          <w:szCs w:val="20"/>
          <w:color w:val="auto"/>
        </w:rPr>
      </w:pPr>
      <w:r>
        <w:rPr>
          <w:rFonts w:ascii="Arial" w:cs="Arial" w:eastAsia="Arial" w:hAnsi="Arial"/>
          <w:sz w:val="14"/>
          <w:szCs w:val="14"/>
          <w:color w:val="auto"/>
        </w:rPr>
        <w:t>accordance with ASC 740, Income Taxes, only if it is more likely than not that the tax position will be sustained on examination by the applicable taxing authority, including resolution of the appeals or litigation processes, based on the technical merits of the position. The tax benefits recognized in the consolidated financial statements from such a position are measured based on the largest benefit for each such position that has a greater than fifty percent likelihood of being realized upon ultimate resolution. Many factors are considered when evaluating and estimating the tax positions and tax benefits. Such estimates involve interpretations of regulations, rulings, case law, etc. and are inherently complex. Our estimates may require periodic adjustments and may not accurately anticipate actual outcomes as resolution of income tax treatments in individual jurisdictions typically would not be known for several years after completion of any fiscal year. We believe the judgments and estimates discussed above are reasonable. However, if actual results are not consistent with our estimates or assumptions, we may be exposed to losses or gains that could be material.</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Tax Receivable Agreements</w:t>
      </w:r>
    </w:p>
    <w:p>
      <w:pPr>
        <w:spacing w:after="0" w:line="219" w:lineRule="exact"/>
        <w:rPr>
          <w:sz w:val="20"/>
          <w:szCs w:val="20"/>
          <w:color w:val="auto"/>
        </w:rPr>
      </w:pPr>
    </w:p>
    <w:p>
      <w:pPr>
        <w:ind w:firstLine="568"/>
        <w:spacing w:after="0" w:line="267" w:lineRule="auto"/>
        <w:rPr>
          <w:sz w:val="20"/>
          <w:szCs w:val="20"/>
          <w:color w:val="auto"/>
        </w:rPr>
      </w:pPr>
      <w:r>
        <w:rPr>
          <w:rFonts w:ascii="Arial" w:cs="Arial" w:eastAsia="Arial" w:hAnsi="Arial"/>
          <w:sz w:val="15"/>
          <w:szCs w:val="15"/>
          <w:color w:val="auto"/>
        </w:rPr>
        <w:t>We are required under the tax receivable agreements entered into in connection with our IPO to make payments to certain direct or indirect equity holders of Virtu Financial that are generally equal to 85% of the applicable cash tax savings, if any, that we realize as a result of favorable tax attributes that are available to us as a result of the Reorganization Transactions, for exchanges of membership interests for Class A Common Stock or Class B Common Stock and payments made under the tax receivable agreements. An exchange of membership interests by the Virtu Members for Class A Common Stock or Class B Common Stock (an “Exchange”) during the year will give rise to favorable tax attributes that may generate cash tax savings specific to the Exchange, to be realized over a specific period of time (generally 15 years). At each Exchange, we estimate the cumulative tax receivable agreement obligations to be reported on the consolidated financial statements. The tax attributes are computed as the difference between our basis in the partnership interest (“outside basis”) as compared to our share of the adjusted tax basis of partnership property (“inside basis”), at the time of each Exchange. The computation of inside basis requires judgments in estimating the components included in the inside basis as of the date of the Exchange (such as, cash received on hypothetical sale of assets, allocation of gain/loss at the time of the Exchange taking into account complex partnership tax rules). In addition, we estimate the period of time that may generate cash tax savings of such tax attributes and the realizability of the tax attributes.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Goodwill and Intangible Assets</w:t>
      </w:r>
    </w:p>
    <w:p>
      <w:pPr>
        <w:spacing w:after="0" w:line="219" w:lineRule="exact"/>
        <w:rPr>
          <w:sz w:val="20"/>
          <w:szCs w:val="20"/>
          <w:color w:val="auto"/>
        </w:rPr>
      </w:pPr>
    </w:p>
    <w:p>
      <w:pPr>
        <w:ind w:right="40" w:firstLine="568"/>
        <w:spacing w:after="0" w:line="283" w:lineRule="auto"/>
        <w:rPr>
          <w:sz w:val="20"/>
          <w:szCs w:val="20"/>
          <w:color w:val="auto"/>
        </w:rPr>
      </w:pPr>
      <w:r>
        <w:rPr>
          <w:rFonts w:ascii="Arial" w:cs="Arial" w:eastAsia="Arial" w:hAnsi="Arial"/>
          <w:sz w:val="15"/>
          <w:szCs w:val="15"/>
          <w:color w:val="auto"/>
        </w:rPr>
        <w:t>Goodwill represents the excess of the purchase price over the underlying net tangible and intangible assets of our acquisitions. Goodwill is not amortized but is assessed for impairment on an annual basis and between annual assessments whenever events or changes in circumstances indicate that the carrying amount may not be recoverable. Goodwill is assessed at the reporting unit level, which is defined as an operating segment or one level below the operating segment.</w:t>
      </w:r>
    </w:p>
    <w:p>
      <w:pPr>
        <w:spacing w:after="0" w:line="171" w:lineRule="exact"/>
        <w:rPr>
          <w:sz w:val="20"/>
          <w:szCs w:val="20"/>
          <w:color w:val="auto"/>
        </w:rPr>
      </w:pPr>
    </w:p>
    <w:p>
      <w:pPr>
        <w:ind w:right="20" w:firstLine="568"/>
        <w:spacing w:after="0" w:line="257" w:lineRule="auto"/>
        <w:rPr>
          <w:sz w:val="20"/>
          <w:szCs w:val="20"/>
          <w:color w:val="auto"/>
        </w:rPr>
      </w:pPr>
      <w:r>
        <w:rPr>
          <w:rFonts w:ascii="Arial" w:cs="Arial" w:eastAsia="Arial" w:hAnsi="Arial"/>
          <w:sz w:val="16"/>
          <w:szCs w:val="16"/>
          <w:color w:val="auto"/>
        </w:rPr>
        <w:t>When assessing impairment, an entity may perform an initial qualitative assessment, under which it assesses qualitative factors to determine whether it is more likely than not that the fair value of a reporting unit is less than its carrying amount, including goodwill. In evaluating whether it is more likely than not that the fair value of a reporting unit is less than its carrying amount, an entity shall assess relevant events and circumstances, including the following:</w:t>
      </w:r>
    </w:p>
    <w:p>
      <w:pPr>
        <w:spacing w:after="0" w:line="72" w:lineRule="exact"/>
        <w:rPr>
          <w:sz w:val="20"/>
          <w:szCs w:val="20"/>
          <w:color w:val="auto"/>
        </w:rPr>
      </w:pPr>
    </w:p>
    <w:p>
      <w:pPr>
        <w:ind w:left="1120" w:hanging="273"/>
        <w:spacing w:after="0"/>
        <w:tabs>
          <w:tab w:leader="none" w:pos="11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general economic conditions;</w:t>
      </w:r>
    </w:p>
    <w:p>
      <w:pPr>
        <w:spacing w:after="0" w:line="16" w:lineRule="exact"/>
        <w:rPr>
          <w:rFonts w:ascii="Arial" w:cs="Arial" w:eastAsia="Arial" w:hAnsi="Arial"/>
          <w:sz w:val="16"/>
          <w:szCs w:val="16"/>
          <w:color w:val="auto"/>
        </w:rPr>
      </w:pPr>
    </w:p>
    <w:p>
      <w:pPr>
        <w:ind w:left="1120" w:hanging="273"/>
        <w:spacing w:after="0"/>
        <w:tabs>
          <w:tab w:leader="none" w:pos="11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limitations on accessing capital;</w:t>
      </w:r>
    </w:p>
    <w:p>
      <w:pPr>
        <w:spacing w:after="0" w:line="5" w:lineRule="exact"/>
        <w:rPr>
          <w:rFonts w:ascii="Arial" w:cs="Arial" w:eastAsia="Arial" w:hAnsi="Arial"/>
          <w:sz w:val="16"/>
          <w:szCs w:val="16"/>
          <w:color w:val="auto"/>
        </w:rPr>
      </w:pPr>
    </w:p>
    <w:p>
      <w:pPr>
        <w:ind w:left="1120" w:hanging="273"/>
        <w:spacing w:after="0"/>
        <w:tabs>
          <w:tab w:leader="none" w:pos="11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fluctuations in foreign exchange rates or other developments in equity and credit markets;</w:t>
      </w:r>
    </w:p>
    <w:p>
      <w:pPr>
        <w:spacing w:after="0" w:line="5" w:lineRule="exact"/>
        <w:rPr>
          <w:rFonts w:ascii="Arial" w:cs="Arial" w:eastAsia="Arial" w:hAnsi="Arial"/>
          <w:sz w:val="16"/>
          <w:szCs w:val="16"/>
          <w:color w:val="auto"/>
        </w:rPr>
      </w:pPr>
    </w:p>
    <w:p>
      <w:pPr>
        <w:ind w:left="560" w:right="160" w:firstLine="287"/>
        <w:spacing w:after="0" w:line="247" w:lineRule="auto"/>
        <w:tabs>
          <w:tab w:leader="none" w:pos="1124"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industry and market considerations such as a deterioration in the environment in which an entity operates, an increased competitive environment, a decline in market-dependent multiples or metrics (considered in both absolute terms and relative to peers), a change in the market for an entity’s products or services, or a regulatory or political development;</w:t>
      </w:r>
    </w:p>
    <w:p>
      <w:pPr>
        <w:ind w:left="1120" w:hanging="273"/>
        <w:spacing w:after="0"/>
        <w:tabs>
          <w:tab w:leader="none" w:pos="11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cost factors such as increases in raw materials, labor, or other costs that have a negative effect on earnings and cash flows;</w:t>
      </w:r>
    </w:p>
    <w:p>
      <w:pPr>
        <w:spacing w:after="0" w:line="5" w:lineRule="exact"/>
        <w:rPr>
          <w:rFonts w:ascii="Arial" w:cs="Arial" w:eastAsia="Arial" w:hAnsi="Arial"/>
          <w:sz w:val="16"/>
          <w:szCs w:val="16"/>
          <w:color w:val="auto"/>
        </w:rPr>
      </w:pPr>
    </w:p>
    <w:p>
      <w:pPr>
        <w:ind w:left="560" w:firstLine="287"/>
        <w:spacing w:after="0" w:line="247" w:lineRule="auto"/>
        <w:tabs>
          <w:tab w:leader="none" w:pos="1124" w:val="left"/>
        </w:tabs>
        <w:numPr>
          <w:ilvl w:val="0"/>
          <w:numId w:val="30"/>
        </w:numPr>
        <w:rPr>
          <w:rFonts w:ascii="Arial" w:cs="Arial" w:eastAsia="Arial" w:hAnsi="Arial"/>
          <w:sz w:val="16"/>
          <w:szCs w:val="16"/>
          <w:color w:val="auto"/>
        </w:rPr>
      </w:pPr>
      <w:r>
        <w:rPr>
          <w:rFonts w:ascii="Arial" w:cs="Arial" w:eastAsia="Arial" w:hAnsi="Arial"/>
          <w:sz w:val="16"/>
          <w:szCs w:val="16"/>
          <w:color w:val="auto"/>
        </w:rPr>
        <w:t>overall financial performance such as negative or declining cash flows or a decline in actual or planned revenue or earnings compared with actual and projected results of relevant prior periods;</w:t>
      </w:r>
    </w:p>
    <w:p>
      <w:pPr>
        <w:ind w:left="1120" w:hanging="273"/>
        <w:spacing w:after="0"/>
        <w:tabs>
          <w:tab w:leader="none" w:pos="1120" w:val="left"/>
        </w:tabs>
        <w:numPr>
          <w:ilvl w:val="0"/>
          <w:numId w:val="30"/>
        </w:numPr>
        <w:rPr>
          <w:rFonts w:ascii="Arial" w:cs="Arial" w:eastAsia="Arial" w:hAnsi="Arial"/>
          <w:sz w:val="15"/>
          <w:szCs w:val="15"/>
          <w:color w:val="auto"/>
        </w:rPr>
      </w:pPr>
      <w:r>
        <w:rPr>
          <w:rFonts w:ascii="Arial" w:cs="Arial" w:eastAsia="Arial" w:hAnsi="Arial"/>
          <w:sz w:val="15"/>
          <w:szCs w:val="15"/>
          <w:color w:val="auto"/>
        </w:rPr>
        <w:t>other relevant entity-specific events such as changes in management, key personnel, strategy, or customers, contemplation of bankruptcy, or litigation.</w:t>
      </w:r>
    </w:p>
    <w:p>
      <w:pPr>
        <w:spacing w:after="0" w:line="219" w:lineRule="exact"/>
        <w:rPr>
          <w:sz w:val="20"/>
          <w:szCs w:val="20"/>
          <w:color w:val="auto"/>
        </w:rPr>
      </w:pPr>
    </w:p>
    <w:p>
      <w:pPr>
        <w:ind w:right="80" w:firstLine="568"/>
        <w:spacing w:after="0" w:line="268" w:lineRule="auto"/>
        <w:rPr>
          <w:sz w:val="20"/>
          <w:szCs w:val="20"/>
          <w:color w:val="auto"/>
        </w:rPr>
      </w:pPr>
      <w:r>
        <w:rPr>
          <w:rFonts w:ascii="Arial" w:cs="Arial" w:eastAsia="Arial" w:hAnsi="Arial"/>
          <w:sz w:val="16"/>
          <w:szCs w:val="16"/>
          <w:color w:val="auto"/>
        </w:rPr>
        <w:t>If, after assessing the totality of such events or circumstances, an entity determines that it is not more likely than not that the fair value of a reporting unit is less than its carrying amount, then no further goodwill impairment testing is necessary.</w:t>
      </w:r>
    </w:p>
    <w:p>
      <w:pPr>
        <w:spacing w:after="0" w:line="169" w:lineRule="exact"/>
        <w:rPr>
          <w:sz w:val="20"/>
          <w:szCs w:val="20"/>
          <w:color w:val="auto"/>
        </w:rPr>
      </w:pPr>
    </w:p>
    <w:p>
      <w:pPr>
        <w:jc w:val="both"/>
        <w:ind w:right="140" w:firstLine="568"/>
        <w:spacing w:after="0" w:line="231" w:lineRule="auto"/>
        <w:rPr>
          <w:sz w:val="20"/>
          <w:szCs w:val="20"/>
          <w:color w:val="auto"/>
        </w:rPr>
      </w:pPr>
      <w:r>
        <w:rPr>
          <w:rFonts w:ascii="Arial" w:cs="Arial" w:eastAsia="Arial" w:hAnsi="Arial"/>
          <w:sz w:val="16"/>
          <w:szCs w:val="16"/>
          <w:color w:val="auto"/>
        </w:rPr>
        <w:t>If further testing is necessary, the fair value of the reporting unit is compared to its carrying value; if the fair value of the reporting unit is less than its carrying value, a goodwill impairment loss is recorded, equal to the excess of the reporting unit’s carrying amount over its fair value (not to exceed the total goodwill allocated to that reporting unit). our estimate of</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802" w:right="359" w:bottom="1440" w:gutter="0" w:footer="0" w:header="0"/>
        </w:sectPr>
      </w:pPr>
    </w:p>
    <w:bookmarkStart w:id="70" w:name="page71"/>
    <w:bookmarkEnd w:id="70"/>
    <w:p>
      <w:pPr>
        <w:spacing w:after="0"/>
        <w:rPr>
          <w:sz w:val="20"/>
          <w:szCs w:val="20"/>
          <w:color w:val="auto"/>
        </w:rPr>
      </w:pPr>
      <w:r>
        <w:rPr>
          <w:rFonts w:ascii="Arial" w:cs="Arial" w:eastAsia="Arial" w:hAnsi="Arial"/>
          <w:sz w:val="16"/>
          <w:szCs w:val="16"/>
          <w:color w:val="auto"/>
        </w:rPr>
        <w:t>goodwill impairment, if indicated based on results of the qualitative assessment, is highly dependent on our estimate of a reporting unit’s fair value.</w:t>
      </w:r>
    </w:p>
    <w:p>
      <w:pPr>
        <w:spacing w:after="0" w:line="207" w:lineRule="exact"/>
        <w:rPr>
          <w:sz w:val="20"/>
          <w:szCs w:val="20"/>
          <w:color w:val="auto"/>
        </w:rPr>
      </w:pPr>
    </w:p>
    <w:p>
      <w:pPr>
        <w:ind w:firstLine="568"/>
        <w:spacing w:after="0" w:line="302" w:lineRule="auto"/>
        <w:rPr>
          <w:sz w:val="20"/>
          <w:szCs w:val="20"/>
          <w:color w:val="auto"/>
        </w:rPr>
      </w:pPr>
      <w:r>
        <w:rPr>
          <w:rFonts w:ascii="Arial" w:cs="Arial" w:eastAsia="Arial" w:hAnsi="Arial"/>
          <w:sz w:val="15"/>
          <w:szCs w:val="15"/>
          <w:color w:val="auto"/>
        </w:rPr>
        <w:t>We assess goodwill for impairment on an annual basis as of July 1st and on an interim basis when certain events or circumstances exist. In the impairment assessment as of July 1, 2021, we performed a qualitative assessment as described above for each reporting unit. No impairment of goodwill was identified.</w:t>
      </w:r>
    </w:p>
    <w:p>
      <w:pPr>
        <w:spacing w:after="0" w:line="146" w:lineRule="exact"/>
        <w:rPr>
          <w:sz w:val="20"/>
          <w:szCs w:val="20"/>
          <w:color w:val="auto"/>
        </w:rPr>
      </w:pPr>
    </w:p>
    <w:p>
      <w:pPr>
        <w:ind w:right="20" w:firstLine="568"/>
        <w:spacing w:after="0" w:line="223" w:lineRule="auto"/>
        <w:rPr>
          <w:sz w:val="20"/>
          <w:szCs w:val="20"/>
          <w:color w:val="auto"/>
        </w:rPr>
      </w:pPr>
      <w:r>
        <w:rPr>
          <w:rFonts w:ascii="Arial" w:cs="Arial" w:eastAsia="Arial" w:hAnsi="Arial"/>
          <w:sz w:val="16"/>
          <w:szCs w:val="16"/>
          <w:color w:val="auto"/>
        </w:rPr>
        <w:t>Valuation of intangible assets involves the use of significant estimates and assumptions with respect to the timing and amounts of revenue growth rates, customer attrition rates, future tax rates, royalty rates, contributory asset charges, discount rate and the resulting cash flows. We amortize finite-lived intangible assets over their estimated useful lives. Our largest finite-lived intangible asset is customer relationships, which is being amortized over an estimated useful life of ten years. Had we used a shorter estimated useful life of seven years, the Company would have recorded an additional $16.5 million of amortization expense for the years ended 2021 and 2020, and an additional $7.0 million of expense for the year ended 2019. We test finite-lived intangible assets for impairment when impairment indicators are present, and if impaired, they are written down to fair value.</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223" w:lineRule="exact"/>
        <w:rPr>
          <w:sz w:val="20"/>
          <w:szCs w:val="20"/>
          <w:color w:val="auto"/>
        </w:rPr>
      </w:pPr>
    </w:p>
    <w:p>
      <w:pPr>
        <w:ind w:right="320" w:firstLine="568"/>
        <w:spacing w:after="0" w:line="302" w:lineRule="auto"/>
        <w:rPr>
          <w:sz w:val="20"/>
          <w:szCs w:val="20"/>
          <w:color w:val="auto"/>
        </w:rPr>
      </w:pPr>
      <w:r>
        <w:rPr>
          <w:rFonts w:ascii="Arial" w:cs="Arial" w:eastAsia="Arial" w:hAnsi="Arial"/>
          <w:sz w:val="15"/>
          <w:szCs w:val="15"/>
          <w:color w:val="auto"/>
        </w:rPr>
        <w:t>For a discussion of recently issued accounting developments and their impact or potential impact on our consolidated financial statements, see Note 2 "Summary of Significant Accounting Policies" of Part II Item 8 “Financial Statements and Supplementary Data”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790" w:right="359" w:bottom="1440" w:gutter="0" w:footer="0" w:header="0"/>
        </w:sectPr>
      </w:pPr>
    </w:p>
    <w:bookmarkStart w:id="71" w:name="page72"/>
    <w:bookmarkEnd w:id="71"/>
    <w:p>
      <w:pPr>
        <w:spacing w:after="0"/>
        <w:rPr>
          <w:sz w:val="20"/>
          <w:szCs w:val="20"/>
          <w:color w:val="auto"/>
        </w:rPr>
      </w:pPr>
      <w:r>
        <w:rPr>
          <w:rFonts w:ascii="Arial" w:cs="Arial" w:eastAsia="Arial" w:hAnsi="Arial"/>
          <w:sz w:val="16"/>
          <w:szCs w:val="16"/>
          <w:b w:val="1"/>
          <w:bCs w:val="1"/>
          <w:color w:val="auto"/>
        </w:rPr>
        <w:t>ITEM 7A. QUANTITATIVE AND QUALITATIVE DISCLOSURES ABOUT MARKET RISK</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 Risk</w:t>
      </w:r>
    </w:p>
    <w:p>
      <w:pPr>
        <w:spacing w:after="0" w:line="223" w:lineRule="exact"/>
        <w:rPr>
          <w:sz w:val="20"/>
          <w:szCs w:val="20"/>
          <w:color w:val="auto"/>
        </w:rPr>
      </w:pPr>
    </w:p>
    <w:p>
      <w:pPr>
        <w:ind w:right="80" w:firstLine="568"/>
        <w:spacing w:after="0" w:line="268" w:lineRule="auto"/>
        <w:rPr>
          <w:sz w:val="20"/>
          <w:szCs w:val="20"/>
          <w:color w:val="auto"/>
        </w:rPr>
      </w:pPr>
      <w:r>
        <w:rPr>
          <w:rFonts w:ascii="Arial" w:cs="Arial" w:eastAsia="Arial" w:hAnsi="Arial"/>
          <w:sz w:val="16"/>
          <w:szCs w:val="16"/>
          <w:color w:val="auto"/>
        </w:rPr>
        <w:t>We are exposed to various market risks in the ordinary course of business. The risks primarily relate to changes in the value of financial instruments due to factors such as market prices, interest rates, and currency rates.</w:t>
      </w:r>
    </w:p>
    <w:p>
      <w:pPr>
        <w:spacing w:after="0" w:line="181" w:lineRule="exact"/>
        <w:rPr>
          <w:sz w:val="20"/>
          <w:szCs w:val="20"/>
          <w:color w:val="auto"/>
        </w:rPr>
      </w:pPr>
    </w:p>
    <w:p>
      <w:pPr>
        <w:ind w:right="80" w:firstLine="568"/>
        <w:spacing w:after="0" w:line="270" w:lineRule="auto"/>
        <w:rPr>
          <w:sz w:val="20"/>
          <w:szCs w:val="20"/>
          <w:color w:val="auto"/>
        </w:rPr>
      </w:pPr>
      <w:r>
        <w:rPr>
          <w:rFonts w:ascii="Arial" w:cs="Arial" w:eastAsia="Arial" w:hAnsi="Arial"/>
          <w:sz w:val="15"/>
          <w:szCs w:val="15"/>
          <w:color w:val="auto"/>
        </w:rPr>
        <w:t>Our on-exchange market making activities are not dependent on the direction of any particular market and are designed to minimize capital at risk at any given time by limiting the notional size of our positions. Our on-exchange market making strategies involve continuously quoting two-sided markets in various financial instruments with the intention of profiting by capturing the spread between the bid and offer price. If another market participant executes against the strategy’s bid or offer by crossing the spread, the strategy will attempt to lock in a return by either exiting the position or hedging in one or more different correlated instruments that represent economically equivalent value to the primary instrument. Such primary or hedging instruments include but are not limited to securities and derivatives such as: common shares, exchange traded products, American Depositary Receipts (“ADRs”), options, bonds, futures, spot currencies and commodities. Substantially all of the financial instruments we trade are liquid and can be liquidated within a short time frame at low cost.</w:t>
      </w:r>
    </w:p>
    <w:p>
      <w:pPr>
        <w:spacing w:after="0" w:line="181" w:lineRule="exact"/>
        <w:rPr>
          <w:sz w:val="20"/>
          <w:szCs w:val="20"/>
          <w:color w:val="auto"/>
        </w:rPr>
      </w:pPr>
    </w:p>
    <w:p>
      <w:pPr>
        <w:ind w:right="240" w:firstLine="568"/>
        <w:spacing w:after="0" w:line="257" w:lineRule="auto"/>
        <w:rPr>
          <w:sz w:val="20"/>
          <w:szCs w:val="20"/>
          <w:color w:val="auto"/>
        </w:rPr>
      </w:pPr>
      <w:r>
        <w:rPr>
          <w:rFonts w:ascii="Arial" w:cs="Arial" w:eastAsia="Arial" w:hAnsi="Arial"/>
          <w:sz w:val="16"/>
          <w:szCs w:val="16"/>
          <w:color w:val="auto"/>
        </w:rPr>
        <w:t>Our customer market making activities involve the taking of position risks. The risks at any point in time are limited by the notional size of positions as well as other factors. The overall portfolio risks are quantified using internal risk models and monitored by the Company's Chief Risk Officer, the independent risk group and senior management.</w:t>
      </w:r>
    </w:p>
    <w:p>
      <w:pPr>
        <w:spacing w:after="0" w:line="190" w:lineRule="exact"/>
        <w:rPr>
          <w:sz w:val="20"/>
          <w:szCs w:val="20"/>
          <w:color w:val="auto"/>
        </w:rPr>
      </w:pPr>
    </w:p>
    <w:p>
      <w:pPr>
        <w:ind w:right="80" w:firstLine="568"/>
        <w:spacing w:after="0" w:line="257" w:lineRule="auto"/>
        <w:rPr>
          <w:sz w:val="20"/>
          <w:szCs w:val="20"/>
          <w:color w:val="auto"/>
        </w:rPr>
      </w:pPr>
      <w:r>
        <w:rPr>
          <w:rFonts w:ascii="Arial" w:cs="Arial" w:eastAsia="Arial" w:hAnsi="Arial"/>
          <w:sz w:val="16"/>
          <w:szCs w:val="16"/>
          <w:color w:val="auto"/>
        </w:rPr>
        <w:t>We use various proprietary risk management tools in managing our market risk on a continuous basis (including intraday). In order to minimize the likelihood of unintended activities by our market making strategies, if our risk management system detects a trading strategy generating revenues outside of our preset limits, it will freeze, or “lockdown”, that strategy and alert risk management personnel and management.</w:t>
      </w:r>
    </w:p>
    <w:p>
      <w:pPr>
        <w:spacing w:after="0" w:line="190" w:lineRule="exact"/>
        <w:rPr>
          <w:sz w:val="20"/>
          <w:szCs w:val="20"/>
          <w:color w:val="auto"/>
        </w:rPr>
      </w:pPr>
    </w:p>
    <w:p>
      <w:pPr>
        <w:ind w:right="40" w:firstLine="568"/>
        <w:spacing w:after="0" w:line="271" w:lineRule="auto"/>
        <w:rPr>
          <w:sz w:val="20"/>
          <w:szCs w:val="20"/>
          <w:color w:val="auto"/>
        </w:rPr>
      </w:pPr>
      <w:r>
        <w:rPr>
          <w:rFonts w:ascii="Arial" w:cs="Arial" w:eastAsia="Arial" w:hAnsi="Arial"/>
          <w:sz w:val="15"/>
          <w:szCs w:val="15"/>
          <w:color w:val="auto"/>
        </w:rPr>
        <w:t>For working capital purposes, we invest in money market funds and maintain interest and non-interest bearing balances at banks and in our trading accounts with clearing brokers, which are classified as Cash and cash equivalents and Receivables from broker-dealers and clearing organizations, respectively, on the Consolidated Statements of Financial Condition. These financial instruments do not have maturity dates; the balances are short-term, which helps to mitigate our market risks. We also invest our working capital in short-term U.S. government securities, which are included in Financial instruments owned on the Consolidated Statements of Financial Condition. Our cash and cash equivalents held in foreign currencies are subject to the exposure of foreign currency fluctuations. These balances are monitored daily and are hedged or reduced when appropriate and therefore not material to our overall cash position.</w:t>
      </w:r>
    </w:p>
    <w:p>
      <w:pPr>
        <w:spacing w:after="0" w:line="181" w:lineRule="exact"/>
        <w:rPr>
          <w:sz w:val="20"/>
          <w:szCs w:val="20"/>
          <w:color w:val="auto"/>
        </w:rPr>
      </w:pPr>
    </w:p>
    <w:p>
      <w:pPr>
        <w:ind w:right="80" w:firstLine="568"/>
        <w:spacing w:after="0" w:line="276" w:lineRule="auto"/>
        <w:rPr>
          <w:sz w:val="20"/>
          <w:szCs w:val="20"/>
          <w:color w:val="auto"/>
        </w:rPr>
      </w:pPr>
      <w:r>
        <w:rPr>
          <w:rFonts w:ascii="Arial" w:cs="Arial" w:eastAsia="Arial" w:hAnsi="Arial"/>
          <w:sz w:val="15"/>
          <w:szCs w:val="15"/>
          <w:color w:val="auto"/>
        </w:rPr>
        <w:t>In the normal course of business, we maintain inventories of exchange-listed and other equity securities, and to a lesser extent, fixed income securities and listed equity options. The fair value of these financial instruments at December 31, 2021 and December 31, 2020 was $4.3 billion and $3.1 billion, respectively, in long positions and $3.5 billion and $2.9 billion, respectively, in short positions. We also enter into futures contracts, which are recorded on our Consolidated Statements of Financial Condition within Receivable from brokers, dealers and clearing organizations or Payable to brokers, dealers and clearing organizations as applicable.</w:t>
      </w:r>
    </w:p>
    <w:p>
      <w:pPr>
        <w:spacing w:after="0" w:line="177" w:lineRule="exact"/>
        <w:rPr>
          <w:sz w:val="20"/>
          <w:szCs w:val="20"/>
          <w:color w:val="auto"/>
        </w:rPr>
      </w:pPr>
    </w:p>
    <w:p>
      <w:pPr>
        <w:ind w:right="160" w:firstLine="568"/>
        <w:spacing w:after="0" w:line="311" w:lineRule="auto"/>
        <w:rPr>
          <w:sz w:val="20"/>
          <w:szCs w:val="20"/>
          <w:color w:val="auto"/>
        </w:rPr>
      </w:pPr>
      <w:r>
        <w:rPr>
          <w:rFonts w:ascii="Arial" w:cs="Arial" w:eastAsia="Arial" w:hAnsi="Arial"/>
          <w:sz w:val="14"/>
          <w:szCs w:val="14"/>
          <w:color w:val="auto"/>
        </w:rPr>
        <w:t>We calculate daily the potential losses that might arise from a series of different stress events. These include both single factor and multi factor shocks to asset prices based off both historical events and hypothetical scenarios. The stress calculations include a full recalculation of any option positions, non-linear positions and leverage. Senior management and the independent risk group carefully monitor the highest stress scenarios to help mitigate the risk of exposure to extreme events.</w:t>
      </w:r>
    </w:p>
    <w:p>
      <w:pPr>
        <w:spacing w:after="0" w:line="155" w:lineRule="exact"/>
        <w:rPr>
          <w:sz w:val="20"/>
          <w:szCs w:val="20"/>
          <w:color w:val="auto"/>
        </w:rPr>
      </w:pPr>
    </w:p>
    <w:p>
      <w:pPr>
        <w:ind w:firstLine="568"/>
        <w:spacing w:after="0" w:line="276" w:lineRule="auto"/>
        <w:rPr>
          <w:sz w:val="20"/>
          <w:szCs w:val="20"/>
          <w:color w:val="auto"/>
        </w:rPr>
      </w:pPr>
      <w:r>
        <w:rPr>
          <w:rFonts w:ascii="Arial" w:cs="Arial" w:eastAsia="Arial" w:hAnsi="Arial"/>
          <w:sz w:val="15"/>
          <w:szCs w:val="15"/>
          <w:color w:val="auto"/>
        </w:rPr>
        <w:t>The purchase and sale of futures contracts requires margin deposits with a Futures Commission Merchant (“FCM”). The Commodity Exchange Act requires an FCM to segregate all customer transactions and assets from the FCM’s proprietary activities. A customer’s cash and other equity deposited with an FCM are considered commingled with all other customer funds subject to the FCM’s segregation requirements. In the event of an FCM’s insolvency, recovery may be limited to the Company’s pro rata share of segregated customer funds available. It is possible that the recovery amount could be less than the total cash and other equity deposited.</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987" w:right="359" w:bottom="1440" w:gutter="0" w:footer="0" w:header="0"/>
        </w:sectPr>
      </w:pPr>
    </w:p>
    <w:bookmarkStart w:id="72" w:name="page73"/>
    <w:bookmarkEnd w:id="72"/>
    <w:p>
      <w:pPr>
        <w:spacing w:after="0"/>
        <w:rPr>
          <w:sz w:val="20"/>
          <w:szCs w:val="20"/>
          <w:color w:val="auto"/>
        </w:rPr>
      </w:pPr>
      <w:r>
        <w:rPr>
          <w:rFonts w:ascii="Arial" w:cs="Arial" w:eastAsia="Arial" w:hAnsi="Arial"/>
          <w:sz w:val="16"/>
          <w:szCs w:val="16"/>
          <w:b w:val="1"/>
          <w:bCs w:val="1"/>
          <w:color w:val="auto"/>
        </w:rPr>
        <w:t>Interest Rate Risk, Derivative Instruments</w:t>
      </w:r>
    </w:p>
    <w:p>
      <w:pPr>
        <w:spacing w:after="0" w:line="223" w:lineRule="exact"/>
        <w:rPr>
          <w:sz w:val="20"/>
          <w:szCs w:val="20"/>
          <w:color w:val="auto"/>
        </w:rPr>
      </w:pPr>
    </w:p>
    <w:p>
      <w:pPr>
        <w:ind w:firstLine="568"/>
        <w:spacing w:after="0" w:line="252" w:lineRule="auto"/>
        <w:rPr>
          <w:sz w:val="20"/>
          <w:szCs w:val="20"/>
          <w:color w:val="auto"/>
        </w:rPr>
      </w:pPr>
      <w:r>
        <w:rPr>
          <w:rFonts w:ascii="Arial" w:cs="Arial" w:eastAsia="Arial" w:hAnsi="Arial"/>
          <w:sz w:val="16"/>
          <w:szCs w:val="16"/>
          <w:color w:val="auto"/>
        </w:rPr>
        <w:t>In the normal course of business, we utilize derivative financial instruments in connection with our proprietary trading activities. We carry our trading derivative instruments at fair value with gains and losses included in Trading income, net, in the accompanying Consolidated Statements of Comprehensive Income. Fair value of derivatives that are freely tradable and listed on a national exchange is determined at their last sale price as of the last business day of the period. Since gains and losses are included in earnings, we have elected not to separately disclose gains and losses on derivative instruments, but instead to disclose gains and losses within trading revenue for both derivative and non-derivative instruments.</w:t>
      </w:r>
    </w:p>
    <w:p>
      <w:pPr>
        <w:spacing w:after="0" w:line="194" w:lineRule="exact"/>
        <w:rPr>
          <w:sz w:val="20"/>
          <w:szCs w:val="20"/>
          <w:color w:val="auto"/>
        </w:rPr>
      </w:pPr>
    </w:p>
    <w:p>
      <w:pPr>
        <w:ind w:right="40" w:firstLine="568"/>
        <w:spacing w:after="0" w:line="268" w:lineRule="auto"/>
        <w:rPr>
          <w:sz w:val="20"/>
          <w:szCs w:val="20"/>
          <w:color w:val="auto"/>
        </w:rPr>
      </w:pPr>
      <w:r>
        <w:rPr>
          <w:rFonts w:ascii="Arial" w:cs="Arial" w:eastAsia="Arial" w:hAnsi="Arial"/>
          <w:sz w:val="15"/>
          <w:szCs w:val="15"/>
          <w:color w:val="auto"/>
        </w:rPr>
        <w:t>We also use derivative instruments for risk management purposes, including cash flow hedges used to manage interest rate risk on long-term borrowings and net investment hedges used to manage foreign exchange risk. We have entered into floating-to-fixed interest rate swap agreements in order to manage interest rate risk associated with our long-term debt obligations. Additionally, we may seek to reduce the impact of fluctuations in foreign exchange rates on our net investment in certain non-U.S. operations through the use of foreign currency forward contracts. For interest rate swap agreements and foreign currency forward contracts designated as hedges, we assess our risk management objectives and strategy, including identification of the hedging instrument, the hedged item and the risk exposure and how effectiveness is to be assessed prospectively and retrospectively. The effectiveness of the hedge is assessed based on the overall changes in the fair value of the interest rate swaps or forward contracts. For instruments that meet the criteria to be considered hedging instruments under ASC 815, any gains or losses, to the extent effective, are included in Accumulated other comprehensive income on the Consolidated Statements of Financial Condition and Other comprehensive income on the Consolidated Statements of Comprehensive Income. The ineffective portion, if any, is recorded in Other, net on the Consolidated Statements of Comprehensive Income.</w:t>
      </w:r>
    </w:p>
    <w:p>
      <w:pPr>
        <w:spacing w:after="0" w:line="184" w:lineRule="exact"/>
        <w:rPr>
          <w:sz w:val="20"/>
          <w:szCs w:val="20"/>
          <w:color w:val="auto"/>
        </w:rPr>
      </w:pPr>
    </w:p>
    <w:p>
      <w:pPr>
        <w:ind w:right="120" w:firstLine="568"/>
        <w:spacing w:after="0" w:line="252" w:lineRule="auto"/>
        <w:rPr>
          <w:sz w:val="20"/>
          <w:szCs w:val="20"/>
          <w:color w:val="auto"/>
        </w:rPr>
      </w:pPr>
      <w:r>
        <w:rPr>
          <w:rFonts w:ascii="Arial" w:cs="Arial" w:eastAsia="Arial" w:hAnsi="Arial"/>
          <w:sz w:val="16"/>
          <w:szCs w:val="16"/>
          <w:i w:val="1"/>
          <w:iCs w:val="1"/>
          <w:color w:val="auto"/>
        </w:rPr>
        <w:t>Futures Contracts</w:t>
      </w:r>
      <w:r>
        <w:rPr>
          <w:rFonts w:ascii="Arial" w:cs="Arial" w:eastAsia="Arial" w:hAnsi="Arial"/>
          <w:sz w:val="16"/>
          <w:szCs w:val="16"/>
          <w:color w:val="auto"/>
        </w:rPr>
        <w:t>. As part of our proprietary market making trading strategies, we use futures contracts to gain exposure to changes in values of various indices,</w:t>
      </w:r>
      <w:r>
        <w:rPr>
          <w:rFonts w:ascii="Arial" w:cs="Arial" w:eastAsia="Arial" w:hAnsi="Arial"/>
          <w:sz w:val="16"/>
          <w:szCs w:val="16"/>
          <w:i w:val="1"/>
          <w:iCs w:val="1"/>
          <w:color w:val="auto"/>
        </w:rPr>
        <w:t xml:space="preserve"> </w:t>
      </w:r>
      <w:r>
        <w:rPr>
          <w:rFonts w:ascii="Arial" w:cs="Arial" w:eastAsia="Arial" w:hAnsi="Arial"/>
          <w:sz w:val="16"/>
          <w:szCs w:val="16"/>
          <w:color w:val="auto"/>
        </w:rPr>
        <w:t>commodities, interest rates or foreign currencies. A futures contract represents a commitment for the future purchase or sale of an asset at a specified price on a specified date. Upon entering into a futures contract, we are required to pledge to the broker an amount of cash, U.S. government securities or other assets equal to a certain percentage of the contract amount. Subsequent payments, known as variation margin, are made or received by us each day, depending on the daily fluctuations in the fair values of the underlying securities. We recognize a gain or loss equal to the daily variation margin.</w:t>
      </w:r>
    </w:p>
    <w:p>
      <w:pPr>
        <w:spacing w:after="0" w:line="194" w:lineRule="exact"/>
        <w:rPr>
          <w:sz w:val="20"/>
          <w:szCs w:val="20"/>
          <w:color w:val="auto"/>
        </w:rPr>
      </w:pPr>
    </w:p>
    <w:p>
      <w:pPr>
        <w:ind w:right="780" w:firstLine="568"/>
        <w:spacing w:after="0" w:line="268" w:lineRule="auto"/>
        <w:rPr>
          <w:sz w:val="20"/>
          <w:szCs w:val="20"/>
          <w:color w:val="auto"/>
        </w:rPr>
      </w:pPr>
      <w:r>
        <w:rPr>
          <w:rFonts w:ascii="Arial" w:cs="Arial" w:eastAsia="Arial" w:hAnsi="Arial"/>
          <w:sz w:val="16"/>
          <w:szCs w:val="16"/>
          <w:i w:val="1"/>
          <w:iCs w:val="1"/>
          <w:color w:val="auto"/>
        </w:rPr>
        <w:t>Due from Broker-Dealers and Clearing Organizations</w:t>
      </w:r>
      <w:r>
        <w:rPr>
          <w:rFonts w:ascii="Arial" w:cs="Arial" w:eastAsia="Arial" w:hAnsi="Arial"/>
          <w:sz w:val="16"/>
          <w:szCs w:val="16"/>
          <w:color w:val="auto"/>
        </w:rPr>
        <w:t>. Management periodically evaluates our counterparty credit exposures to various brokers and clearing</w:t>
      </w:r>
      <w:r>
        <w:rPr>
          <w:rFonts w:ascii="Arial" w:cs="Arial" w:eastAsia="Arial" w:hAnsi="Arial"/>
          <w:sz w:val="16"/>
          <w:szCs w:val="16"/>
          <w:i w:val="1"/>
          <w:iCs w:val="1"/>
          <w:color w:val="auto"/>
        </w:rPr>
        <w:t xml:space="preserve"> </w:t>
      </w:r>
      <w:r>
        <w:rPr>
          <w:rFonts w:ascii="Arial" w:cs="Arial" w:eastAsia="Arial" w:hAnsi="Arial"/>
          <w:sz w:val="16"/>
          <w:szCs w:val="16"/>
          <w:color w:val="auto"/>
        </w:rPr>
        <w:t>organizations with a view to limiting potential losses resulting from counterparty insolvency.</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Currency Risk</w:t>
      </w:r>
    </w:p>
    <w:p>
      <w:pPr>
        <w:spacing w:after="0" w:line="223" w:lineRule="exact"/>
        <w:rPr>
          <w:sz w:val="20"/>
          <w:szCs w:val="20"/>
          <w:color w:val="auto"/>
        </w:rPr>
      </w:pPr>
    </w:p>
    <w:p>
      <w:pPr>
        <w:ind w:right="80" w:firstLine="568"/>
        <w:spacing w:after="0" w:line="302" w:lineRule="auto"/>
        <w:rPr>
          <w:sz w:val="20"/>
          <w:szCs w:val="20"/>
          <w:color w:val="auto"/>
        </w:rPr>
      </w:pPr>
      <w:r>
        <w:rPr>
          <w:rFonts w:ascii="Arial" w:cs="Arial" w:eastAsia="Arial" w:hAnsi="Arial"/>
          <w:sz w:val="14"/>
          <w:szCs w:val="14"/>
          <w:color w:val="auto"/>
        </w:rPr>
        <w:t>As a result of our international market making and execution services activities and accumulated earnings in our foreign subsidiaries, our income and net worth are subject to fluctuation in foreign exchange rates. While we generate revenues in several currencies, the majority of our operating expenses are denominated in U.S. dollars. Therefore, depreciation in these other currencies against the U.S. dollar would negatively impact revenue upon translation to the U.S. dollar. The impact of any translation of our foreign denominated earnings to the U.S. dollar is mitigated, however, through the impact of daily hedging practices that are employed by the company.</w:t>
      </w:r>
    </w:p>
    <w:p>
      <w:pPr>
        <w:spacing w:after="0" w:line="160" w:lineRule="exact"/>
        <w:rPr>
          <w:sz w:val="20"/>
          <w:szCs w:val="20"/>
          <w:color w:val="auto"/>
        </w:rPr>
      </w:pPr>
    </w:p>
    <w:p>
      <w:pPr>
        <w:ind w:right="100" w:firstLine="568"/>
        <w:spacing w:after="0" w:line="257" w:lineRule="auto"/>
        <w:rPr>
          <w:sz w:val="20"/>
          <w:szCs w:val="20"/>
          <w:color w:val="auto"/>
        </w:rPr>
      </w:pPr>
      <w:r>
        <w:rPr>
          <w:rFonts w:ascii="Arial" w:cs="Arial" w:eastAsia="Arial" w:hAnsi="Arial"/>
          <w:sz w:val="16"/>
          <w:szCs w:val="16"/>
          <w:color w:val="auto"/>
        </w:rPr>
        <w:t>Approximately 19.6% and 20.7% of our total revenues for the years ended December 31, 2021 and 2020, respectively, were denominated in non-U.S. dollar currencies. We estimate that a hypothetical 10% adverse change in the value of the U.S. dollar relative to our foreign denominated earnings would have resulted in decreases in total revenues of $55.1 million and $67.0 million for the years ended December 31, 2021 and 2020, respectively.</w:t>
      </w:r>
    </w:p>
    <w:p>
      <w:pPr>
        <w:spacing w:after="0" w:line="190" w:lineRule="exact"/>
        <w:rPr>
          <w:sz w:val="20"/>
          <w:szCs w:val="20"/>
          <w:color w:val="auto"/>
        </w:rPr>
      </w:pPr>
    </w:p>
    <w:p>
      <w:pPr>
        <w:ind w:firstLine="568"/>
        <w:spacing w:after="0" w:line="276" w:lineRule="auto"/>
        <w:rPr>
          <w:sz w:val="20"/>
          <w:szCs w:val="20"/>
          <w:color w:val="auto"/>
        </w:rPr>
      </w:pPr>
      <w:r>
        <w:rPr>
          <w:rFonts w:ascii="Arial" w:cs="Arial" w:eastAsia="Arial" w:hAnsi="Arial"/>
          <w:sz w:val="15"/>
          <w:szCs w:val="15"/>
          <w:color w:val="auto"/>
        </w:rPr>
        <w:t>Assets and liabilities of subsidiaries with non-U.S. dollar functional currencies are translated into U.S. dollars at period-end exchange rates. Income, expense and cash flow items are translated at average exchange rates prevailing during the period. The resulting currency translation adjustments are recorded as foreign exchange translation adjustment in our Consolidated Statements of Comprehensive Income and Consolidated Statements of Changes in Equity. Our primary currency translation exposures historically relate to net investments in subsidiaries having functional currencies denominated in the Euro, Pound Sterling, and Canadian dollar.</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798" w:right="339" w:bottom="1440" w:gutter="0" w:footer="0" w:header="0"/>
        </w:sectPr>
      </w:pPr>
    </w:p>
    <w:bookmarkStart w:id="73" w:name="page74"/>
    <w:bookmarkEnd w:id="73"/>
    <w:p>
      <w:pPr>
        <w:spacing w:after="0"/>
        <w:rPr>
          <w:sz w:val="20"/>
          <w:szCs w:val="20"/>
          <w:color w:val="auto"/>
        </w:rPr>
      </w:pPr>
      <w:r>
        <w:rPr>
          <w:rFonts w:ascii="Arial" w:cs="Arial" w:eastAsia="Arial" w:hAnsi="Arial"/>
          <w:sz w:val="16"/>
          <w:szCs w:val="16"/>
          <w:b w:val="1"/>
          <w:bCs w:val="1"/>
          <w:color w:val="auto"/>
        </w:rPr>
        <w:t>Financial Instruments with Off Balance Sheet Risk</w:t>
      </w:r>
    </w:p>
    <w:p>
      <w:pPr>
        <w:spacing w:after="0" w:line="223" w:lineRule="exact"/>
        <w:rPr>
          <w:sz w:val="20"/>
          <w:szCs w:val="20"/>
          <w:color w:val="auto"/>
        </w:rPr>
      </w:pPr>
    </w:p>
    <w:p>
      <w:pPr>
        <w:ind w:right="40" w:firstLine="568"/>
        <w:spacing w:after="0" w:line="311" w:lineRule="auto"/>
        <w:rPr>
          <w:sz w:val="20"/>
          <w:szCs w:val="20"/>
          <w:color w:val="auto"/>
        </w:rPr>
      </w:pPr>
      <w:r>
        <w:rPr>
          <w:rFonts w:ascii="Arial" w:cs="Arial" w:eastAsia="Arial" w:hAnsi="Arial"/>
          <w:sz w:val="14"/>
          <w:szCs w:val="14"/>
          <w:color w:val="auto"/>
        </w:rPr>
        <w:t>We enter into various transactions involving derivatives and other off-balance sheet financial instruments. These financial instruments include futures, forward contracts, swaps, and exchange-traded options. These derivative financial instruments are used to conduct trading activities and manage market risks and are, therefore, subject to varying degrees of market and credit risk. Derivative transactions are entered into for trading purposes or to economically hedge other positions or transactions.</w:t>
      </w:r>
    </w:p>
    <w:p>
      <w:pPr>
        <w:spacing w:after="0" w:line="155" w:lineRule="exact"/>
        <w:rPr>
          <w:sz w:val="20"/>
          <w:szCs w:val="20"/>
          <w:color w:val="auto"/>
        </w:rPr>
      </w:pPr>
    </w:p>
    <w:p>
      <w:pPr>
        <w:ind w:right="100" w:firstLine="568"/>
        <w:spacing w:after="0" w:line="294" w:lineRule="auto"/>
        <w:rPr>
          <w:sz w:val="20"/>
          <w:szCs w:val="20"/>
          <w:color w:val="auto"/>
        </w:rPr>
      </w:pPr>
      <w:r>
        <w:rPr>
          <w:rFonts w:ascii="Arial" w:cs="Arial" w:eastAsia="Arial" w:hAnsi="Arial"/>
          <w:sz w:val="14"/>
          <w:szCs w:val="14"/>
          <w:color w:val="auto"/>
        </w:rPr>
        <w:t>Futures and forward contracts provide for delayed delivery of the underlying instrument. In situations where we write listed options, we receive a premium in exchange for giving the buyer the right to buy or sell the security at a future date at a contracted price. The contractual or notional amounts related to these financial instruments reflect the volume and activity and do not necessarily reflect the amounts at risk. Futures contracts are executed on an exchange, and cash settlement is made on a daily basis for market movements, typically with a central clearing house as the counterparty. Accordingly, futures contracts generally do not have credit risk. The credit risk for forward contracts, options, and swaps is limited to the unrealized market valuation gains recorded in the Consolidated Statements of Financial Condition. Market risk is substantially dependent upon the value of the underlying financial instruments and is affected by market forces, such as volatility and changes in interest and foreign exchange rates.</w:t>
      </w: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8. FINANCIAL STATEMENTS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Index to Consolidated Financial Statements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1220" w:type="dxa"/>
            <w:vAlign w:val="bottom"/>
            <w:gridSpan w:val="4"/>
          </w:tcPr>
          <w:p>
            <w:pPr>
              <w:jc w:val="center"/>
              <w:ind w:right="40"/>
              <w:spacing w:after="0"/>
              <w:rPr>
                <w:sz w:val="20"/>
                <w:szCs w:val="20"/>
                <w:color w:val="auto"/>
              </w:rPr>
            </w:pPr>
            <w:r>
              <w:rPr>
                <w:rFonts w:ascii="Arial" w:cs="Arial" w:eastAsia="Arial" w:hAnsi="Arial"/>
                <w:sz w:val="13"/>
                <w:szCs w:val="13"/>
                <w:b w:val="1"/>
                <w:bCs w:val="1"/>
                <w:color w:val="auto"/>
                <w:w w:val="92"/>
              </w:rPr>
              <w:t>PAGE</w:t>
            </w:r>
          </w:p>
        </w:tc>
      </w:tr>
      <w:tr>
        <w:trPr>
          <w:trHeight w:val="165"/>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20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8"/>
              </w:rPr>
              <w:t>NUMBER</w:t>
            </w:r>
          </w:p>
        </w:tc>
        <w:tc>
          <w:tcPr>
            <w:tcW w:w="20" w:type="dxa"/>
            <w:vAlign w:val="bottom"/>
          </w:tcPr>
          <w:p>
            <w:pPr>
              <w:spacing w:after="0"/>
              <w:rPr>
                <w:sz w:val="14"/>
                <w:szCs w:val="14"/>
                <w:color w:val="auto"/>
              </w:rPr>
            </w:pPr>
          </w:p>
        </w:tc>
      </w:tr>
      <w:tr>
        <w:trPr>
          <w:trHeight w:val="348"/>
        </w:trPr>
        <w:tc>
          <w:tcPr>
            <w:tcW w:w="20" w:type="dxa"/>
            <w:vAlign w:val="bottom"/>
          </w:tcPr>
          <w:p>
            <w:pPr>
              <w:spacing w:after="0"/>
              <w:rPr>
                <w:sz w:val="24"/>
                <w:szCs w:val="24"/>
                <w:color w:val="auto"/>
              </w:rPr>
            </w:pPr>
          </w:p>
        </w:tc>
        <w:tc>
          <w:tcPr>
            <w:tcW w:w="5200" w:type="dxa"/>
            <w:vAlign w:val="bottom"/>
            <w:gridSpan w:val="7"/>
          </w:tcPr>
          <w:p>
            <w:pPr>
              <w:spacing w:after="0"/>
              <w:rPr>
                <w:rFonts w:ascii="Arial" w:cs="Arial" w:eastAsia="Arial" w:hAnsi="Arial"/>
                <w:sz w:val="16"/>
                <w:szCs w:val="16"/>
                <w:color w:val="0000FF"/>
                <w:w w:val="97"/>
              </w:rPr>
            </w:pPr>
            <w:hyperlink w:anchor="page74">
              <w:r>
                <w:rPr>
                  <w:rFonts w:ascii="Arial" w:cs="Arial" w:eastAsia="Arial" w:hAnsi="Arial"/>
                  <w:sz w:val="16"/>
                  <w:szCs w:val="16"/>
                  <w:color w:val="0000FF"/>
                  <w:w w:val="97"/>
                </w:rPr>
                <w:t xml:space="preserve">Report of Independent Registered Public Accounting Firm </w:t>
              </w:r>
            </w:hyperlink>
            <w:r>
              <w:rPr>
                <w:rFonts w:ascii="Arial" w:cs="Arial" w:eastAsia="Arial" w:hAnsi="Arial"/>
                <w:sz w:val="16"/>
                <w:szCs w:val="16"/>
                <w:color w:val="000000"/>
                <w:w w:val="97"/>
              </w:rPr>
              <w:t>(PCAOB</w:t>
            </w:r>
            <w:r>
              <w:rPr>
                <w:rFonts w:ascii="Arial" w:cs="Arial" w:eastAsia="Arial" w:hAnsi="Arial"/>
                <w:sz w:val="16"/>
                <w:szCs w:val="16"/>
                <w:color w:val="0000FF"/>
                <w:w w:val="97"/>
              </w:rPr>
              <w:t xml:space="preserve"> </w:t>
            </w:r>
            <w:r>
              <w:rPr>
                <w:rFonts w:ascii="Arial" w:cs="Arial" w:eastAsia="Arial" w:hAnsi="Arial"/>
                <w:sz w:val="16"/>
                <w:szCs w:val="16"/>
                <w:color w:val="000000"/>
                <w:w w:val="97"/>
              </w:rPr>
              <w:t>ID 238)</w:t>
            </w:r>
          </w:p>
        </w:tc>
        <w:tc>
          <w:tcPr>
            <w:tcW w:w="6000" w:type="dxa"/>
            <w:vAlign w:val="bottom"/>
            <w:gridSpan w:val="3"/>
          </w:tcPr>
          <w:p>
            <w:pPr>
              <w:jc w:val="right"/>
              <w:spacing w:after="0"/>
              <w:rPr>
                <w:rFonts w:ascii="Arial" w:cs="Arial" w:eastAsia="Arial" w:hAnsi="Arial"/>
                <w:sz w:val="16"/>
                <w:szCs w:val="16"/>
                <w:color w:val="0000FF"/>
              </w:rPr>
            </w:pPr>
            <w:hyperlink w:anchor="page74">
              <w:r>
                <w:rPr>
                  <w:rFonts w:ascii="Arial" w:cs="Arial" w:eastAsia="Arial" w:hAnsi="Arial"/>
                  <w:sz w:val="16"/>
                  <w:szCs w:val="16"/>
                  <w:color w:val="0000FF"/>
                </w:rPr>
                <w:t>75</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83"/>
        </w:trPr>
        <w:tc>
          <w:tcPr>
            <w:tcW w:w="20" w:type="dxa"/>
            <w:vAlign w:val="bottom"/>
          </w:tcPr>
          <w:p>
            <w:pPr>
              <w:spacing w:after="0"/>
              <w:rPr>
                <w:sz w:val="24"/>
                <w:szCs w:val="24"/>
                <w:color w:val="auto"/>
              </w:rPr>
            </w:pPr>
          </w:p>
        </w:tc>
        <w:tc>
          <w:tcPr>
            <w:tcW w:w="3700" w:type="dxa"/>
            <w:vAlign w:val="bottom"/>
            <w:tcBorders>
              <w:top w:val="single" w:sz="8" w:color="0000FF"/>
            </w:tcBorders>
            <w:gridSpan w:val="5"/>
          </w:tcPr>
          <w:p>
            <w:pPr>
              <w:spacing w:after="0"/>
              <w:rPr>
                <w:rFonts w:ascii="Arial" w:cs="Arial" w:eastAsia="Arial" w:hAnsi="Arial"/>
                <w:sz w:val="16"/>
                <w:szCs w:val="16"/>
                <w:color w:val="0000FF"/>
              </w:rPr>
            </w:pPr>
            <w:hyperlink w:anchor="page76">
              <w:r>
                <w:rPr>
                  <w:rFonts w:ascii="Arial" w:cs="Arial" w:eastAsia="Arial" w:hAnsi="Arial"/>
                  <w:sz w:val="16"/>
                  <w:szCs w:val="16"/>
                  <w:color w:val="0000FF"/>
                </w:rPr>
                <w:t>Consolidated Statements of Financial Condition</w:t>
              </w:r>
            </w:hyperlink>
          </w:p>
        </w:tc>
        <w:tc>
          <w:tcPr>
            <w:tcW w:w="1500" w:type="dxa"/>
            <w:vAlign w:val="bottom"/>
            <w:gridSpan w:val="2"/>
          </w:tcPr>
          <w:p>
            <w:pPr>
              <w:spacing w:after="0"/>
              <w:rPr>
                <w:sz w:val="24"/>
                <w:szCs w:val="24"/>
                <w:color w:val="auto"/>
              </w:rPr>
            </w:pPr>
          </w:p>
        </w:tc>
        <w:tc>
          <w:tcPr>
            <w:tcW w:w="5840" w:type="dxa"/>
            <w:vAlign w:val="bottom"/>
            <w:gridSpan w:val="2"/>
          </w:tcPr>
          <w:p>
            <w:pPr>
              <w:spacing w:after="0"/>
              <w:rPr>
                <w:sz w:val="24"/>
                <w:szCs w:val="24"/>
                <w:color w:val="auto"/>
              </w:rPr>
            </w:pPr>
          </w:p>
        </w:tc>
        <w:tc>
          <w:tcPr>
            <w:tcW w:w="160" w:type="dxa"/>
            <w:vAlign w:val="bottom"/>
            <w:tcBorders>
              <w:top w:val="single" w:sz="8" w:color="0000FF"/>
            </w:tcBorders>
          </w:tcPr>
          <w:p>
            <w:pPr>
              <w:jc w:val="right"/>
              <w:spacing w:after="0"/>
              <w:rPr>
                <w:rFonts w:ascii="Arial" w:cs="Arial" w:eastAsia="Arial" w:hAnsi="Arial"/>
                <w:sz w:val="16"/>
                <w:szCs w:val="16"/>
                <w:color w:val="0000FF"/>
                <w:w w:val="78"/>
              </w:rPr>
            </w:pPr>
            <w:hyperlink w:anchor="page76">
              <w:r>
                <w:rPr>
                  <w:rFonts w:ascii="Arial" w:cs="Arial" w:eastAsia="Arial" w:hAnsi="Arial"/>
                  <w:sz w:val="16"/>
                  <w:szCs w:val="16"/>
                  <w:color w:val="0000FF"/>
                  <w:w w:val="78"/>
                </w:rPr>
                <w:t>77</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84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3"/>
        </w:trPr>
        <w:tc>
          <w:tcPr>
            <w:tcW w:w="20" w:type="dxa"/>
            <w:vAlign w:val="bottom"/>
          </w:tcPr>
          <w:p>
            <w:pPr>
              <w:spacing w:after="0"/>
              <w:rPr>
                <w:sz w:val="24"/>
                <w:szCs w:val="24"/>
                <w:color w:val="auto"/>
              </w:rPr>
            </w:pPr>
          </w:p>
        </w:tc>
        <w:tc>
          <w:tcPr>
            <w:tcW w:w="5200" w:type="dxa"/>
            <w:vAlign w:val="bottom"/>
            <w:gridSpan w:val="7"/>
          </w:tcPr>
          <w:p>
            <w:pPr>
              <w:spacing w:after="0"/>
              <w:rPr>
                <w:rFonts w:ascii="Arial" w:cs="Arial" w:eastAsia="Arial" w:hAnsi="Arial"/>
                <w:sz w:val="16"/>
                <w:szCs w:val="16"/>
                <w:color w:val="0000FF"/>
              </w:rPr>
            </w:pPr>
            <w:hyperlink w:anchor="page78">
              <w:r>
                <w:rPr>
                  <w:rFonts w:ascii="Arial" w:cs="Arial" w:eastAsia="Arial" w:hAnsi="Arial"/>
                  <w:sz w:val="16"/>
                  <w:szCs w:val="16"/>
                  <w:color w:val="0000FF"/>
                </w:rPr>
                <w:t>Consolidated Statements of Comprehensive Income (Loss)</w:t>
              </w:r>
            </w:hyperlink>
          </w:p>
        </w:tc>
        <w:tc>
          <w:tcPr>
            <w:tcW w:w="6000" w:type="dxa"/>
            <w:vAlign w:val="bottom"/>
            <w:gridSpan w:val="3"/>
          </w:tcPr>
          <w:p>
            <w:pPr>
              <w:jc w:val="right"/>
              <w:spacing w:after="0"/>
              <w:rPr>
                <w:rFonts w:ascii="Arial" w:cs="Arial" w:eastAsia="Arial" w:hAnsi="Arial"/>
                <w:sz w:val="16"/>
                <w:szCs w:val="16"/>
                <w:color w:val="0000FF"/>
              </w:rPr>
            </w:pPr>
            <w:hyperlink w:anchor="page78">
              <w:r>
                <w:rPr>
                  <w:rFonts w:ascii="Arial" w:cs="Arial" w:eastAsia="Arial" w:hAnsi="Arial"/>
                  <w:sz w:val="16"/>
                  <w:szCs w:val="16"/>
                  <w:color w:val="0000FF"/>
                </w:rPr>
                <w:t>79</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83"/>
        </w:trPr>
        <w:tc>
          <w:tcPr>
            <w:tcW w:w="20" w:type="dxa"/>
            <w:vAlign w:val="bottom"/>
          </w:tcPr>
          <w:p>
            <w:pPr>
              <w:spacing w:after="0"/>
              <w:rPr>
                <w:sz w:val="24"/>
                <w:szCs w:val="24"/>
                <w:color w:val="auto"/>
              </w:rPr>
            </w:pPr>
          </w:p>
        </w:tc>
        <w:tc>
          <w:tcPr>
            <w:tcW w:w="3720" w:type="dxa"/>
            <w:vAlign w:val="bottom"/>
            <w:tcBorders>
              <w:top w:val="single" w:sz="8" w:color="0000FF"/>
            </w:tcBorders>
            <w:gridSpan w:val="6"/>
          </w:tcPr>
          <w:p>
            <w:pPr>
              <w:spacing w:after="0"/>
              <w:rPr>
                <w:rFonts w:ascii="Arial" w:cs="Arial" w:eastAsia="Arial" w:hAnsi="Arial"/>
                <w:sz w:val="16"/>
                <w:szCs w:val="16"/>
                <w:color w:val="0000FF"/>
              </w:rPr>
            </w:pPr>
            <w:hyperlink w:anchor="page79">
              <w:r>
                <w:rPr>
                  <w:rFonts w:ascii="Arial" w:cs="Arial" w:eastAsia="Arial" w:hAnsi="Arial"/>
                  <w:sz w:val="16"/>
                  <w:szCs w:val="16"/>
                  <w:color w:val="0000FF"/>
                </w:rPr>
                <w:t>Consolidated Statements of Changes in Equity</w:t>
              </w:r>
            </w:hyperlink>
          </w:p>
        </w:tc>
        <w:tc>
          <w:tcPr>
            <w:tcW w:w="1480" w:type="dxa"/>
            <w:vAlign w:val="bottom"/>
          </w:tcPr>
          <w:p>
            <w:pPr>
              <w:spacing w:after="0"/>
              <w:rPr>
                <w:sz w:val="24"/>
                <w:szCs w:val="24"/>
                <w:color w:val="auto"/>
              </w:rPr>
            </w:pPr>
          </w:p>
        </w:tc>
        <w:tc>
          <w:tcPr>
            <w:tcW w:w="5840" w:type="dxa"/>
            <w:vAlign w:val="bottom"/>
            <w:gridSpan w:val="2"/>
          </w:tcPr>
          <w:p>
            <w:pPr>
              <w:spacing w:after="0"/>
              <w:rPr>
                <w:sz w:val="24"/>
                <w:szCs w:val="24"/>
                <w:color w:val="auto"/>
              </w:rPr>
            </w:pPr>
          </w:p>
        </w:tc>
        <w:tc>
          <w:tcPr>
            <w:tcW w:w="160" w:type="dxa"/>
            <w:vAlign w:val="bottom"/>
            <w:tcBorders>
              <w:top w:val="single" w:sz="8" w:color="0000FF"/>
            </w:tcBorders>
          </w:tcPr>
          <w:p>
            <w:pPr>
              <w:jc w:val="right"/>
              <w:spacing w:after="0"/>
              <w:rPr>
                <w:rFonts w:ascii="Arial" w:cs="Arial" w:eastAsia="Arial" w:hAnsi="Arial"/>
                <w:sz w:val="16"/>
                <w:szCs w:val="16"/>
                <w:color w:val="0000FF"/>
                <w:w w:val="78"/>
              </w:rPr>
            </w:pPr>
            <w:hyperlink w:anchor="page79">
              <w:r>
                <w:rPr>
                  <w:rFonts w:ascii="Arial" w:cs="Arial" w:eastAsia="Arial" w:hAnsi="Arial"/>
                  <w:sz w:val="16"/>
                  <w:szCs w:val="16"/>
                  <w:color w:val="0000FF"/>
                  <w:w w:val="78"/>
                </w:rPr>
                <w:t>80</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83"/>
        </w:trPr>
        <w:tc>
          <w:tcPr>
            <w:tcW w:w="20" w:type="dxa"/>
            <w:vAlign w:val="bottom"/>
          </w:tcPr>
          <w:p>
            <w:pPr>
              <w:spacing w:after="0"/>
              <w:rPr>
                <w:sz w:val="24"/>
                <w:szCs w:val="24"/>
                <w:color w:val="auto"/>
              </w:rPr>
            </w:pPr>
          </w:p>
        </w:tc>
        <w:tc>
          <w:tcPr>
            <w:tcW w:w="2940" w:type="dxa"/>
            <w:vAlign w:val="bottom"/>
            <w:tcBorders>
              <w:top w:val="single" w:sz="8" w:color="0000FF"/>
            </w:tcBorders>
            <w:gridSpan w:val="3"/>
          </w:tcPr>
          <w:p>
            <w:pPr>
              <w:spacing w:after="0"/>
              <w:rPr>
                <w:rFonts w:ascii="Arial" w:cs="Arial" w:eastAsia="Arial" w:hAnsi="Arial"/>
                <w:sz w:val="16"/>
                <w:szCs w:val="16"/>
                <w:color w:val="0000FF"/>
              </w:rPr>
            </w:pPr>
            <w:hyperlink w:anchor="page81">
              <w:r>
                <w:rPr>
                  <w:rFonts w:ascii="Arial" w:cs="Arial" w:eastAsia="Arial" w:hAnsi="Arial"/>
                  <w:sz w:val="16"/>
                  <w:szCs w:val="16"/>
                  <w:color w:val="0000FF"/>
                </w:rPr>
                <w:t>Consolidated Statements of Cash Flows</w:t>
              </w:r>
            </w:hyperlink>
          </w:p>
        </w:tc>
        <w:tc>
          <w:tcPr>
            <w:tcW w:w="2260" w:type="dxa"/>
            <w:vAlign w:val="bottom"/>
            <w:gridSpan w:val="4"/>
          </w:tcPr>
          <w:p>
            <w:pPr>
              <w:spacing w:after="0"/>
              <w:rPr>
                <w:sz w:val="24"/>
                <w:szCs w:val="24"/>
                <w:color w:val="auto"/>
              </w:rPr>
            </w:pPr>
          </w:p>
        </w:tc>
        <w:tc>
          <w:tcPr>
            <w:tcW w:w="5840" w:type="dxa"/>
            <w:vAlign w:val="bottom"/>
            <w:gridSpan w:val="2"/>
          </w:tcPr>
          <w:p>
            <w:pPr>
              <w:spacing w:after="0"/>
              <w:rPr>
                <w:sz w:val="24"/>
                <w:szCs w:val="24"/>
                <w:color w:val="auto"/>
              </w:rPr>
            </w:pPr>
          </w:p>
        </w:tc>
        <w:tc>
          <w:tcPr>
            <w:tcW w:w="160" w:type="dxa"/>
            <w:vAlign w:val="bottom"/>
            <w:tcBorders>
              <w:top w:val="single" w:sz="8" w:color="0000FF"/>
            </w:tcBorders>
          </w:tcPr>
          <w:p>
            <w:pPr>
              <w:jc w:val="right"/>
              <w:spacing w:after="0"/>
              <w:rPr>
                <w:rFonts w:ascii="Arial" w:cs="Arial" w:eastAsia="Arial" w:hAnsi="Arial"/>
                <w:sz w:val="16"/>
                <w:szCs w:val="16"/>
                <w:color w:val="0000FF"/>
                <w:w w:val="78"/>
              </w:rPr>
            </w:pPr>
            <w:hyperlink w:anchor="page81">
              <w:r>
                <w:rPr>
                  <w:rFonts w:ascii="Arial" w:cs="Arial" w:eastAsia="Arial" w:hAnsi="Arial"/>
                  <w:sz w:val="16"/>
                  <w:szCs w:val="16"/>
                  <w:color w:val="0000FF"/>
                  <w:w w:val="78"/>
                </w:rPr>
                <w:t>82</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40" w:type="dxa"/>
            <w:vAlign w:val="bottom"/>
            <w:gridSpan w:val="5"/>
          </w:tcPr>
          <w:p>
            <w:pPr>
              <w:spacing w:after="0" w:line="20" w:lineRule="exact"/>
              <w:rPr>
                <w:sz w:val="1"/>
                <w:szCs w:val="1"/>
                <w:color w:val="auto"/>
              </w:rPr>
            </w:pPr>
          </w:p>
        </w:tc>
        <w:tc>
          <w:tcPr>
            <w:tcW w:w="584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3"/>
        </w:trPr>
        <w:tc>
          <w:tcPr>
            <w:tcW w:w="20" w:type="dxa"/>
            <w:vAlign w:val="bottom"/>
          </w:tcPr>
          <w:p>
            <w:pPr>
              <w:spacing w:after="0"/>
              <w:rPr>
                <w:sz w:val="24"/>
                <w:szCs w:val="24"/>
                <w:color w:val="auto"/>
              </w:rPr>
            </w:pPr>
          </w:p>
        </w:tc>
        <w:tc>
          <w:tcPr>
            <w:tcW w:w="5200" w:type="dxa"/>
            <w:vAlign w:val="bottom"/>
            <w:gridSpan w:val="7"/>
          </w:tcPr>
          <w:p>
            <w:pPr>
              <w:spacing w:after="0"/>
              <w:rPr>
                <w:rFonts w:ascii="Arial" w:cs="Arial" w:eastAsia="Arial" w:hAnsi="Arial"/>
                <w:sz w:val="16"/>
                <w:szCs w:val="16"/>
                <w:color w:val="0000FF"/>
              </w:rPr>
            </w:pPr>
            <w:hyperlink w:anchor="page83">
              <w:r>
                <w:rPr>
                  <w:rFonts w:ascii="Arial" w:cs="Arial" w:eastAsia="Arial" w:hAnsi="Arial"/>
                  <w:sz w:val="16"/>
                  <w:szCs w:val="16"/>
                  <w:color w:val="0000FF"/>
                </w:rPr>
                <w:t>Notes to Consolidated Financial Statements</w:t>
              </w:r>
            </w:hyperlink>
          </w:p>
        </w:tc>
        <w:tc>
          <w:tcPr>
            <w:tcW w:w="6000" w:type="dxa"/>
            <w:vAlign w:val="bottom"/>
            <w:gridSpan w:val="3"/>
          </w:tcPr>
          <w:p>
            <w:pPr>
              <w:jc w:val="right"/>
              <w:spacing w:after="0"/>
              <w:rPr>
                <w:rFonts w:ascii="Arial" w:cs="Arial" w:eastAsia="Arial" w:hAnsi="Arial"/>
                <w:sz w:val="16"/>
                <w:szCs w:val="16"/>
                <w:color w:val="0000FF"/>
              </w:rPr>
            </w:pPr>
            <w:hyperlink w:anchor="page83">
              <w:r>
                <w:rPr>
                  <w:rFonts w:ascii="Arial" w:cs="Arial" w:eastAsia="Arial" w:hAnsi="Arial"/>
                  <w:sz w:val="16"/>
                  <w:szCs w:val="16"/>
                  <w:color w:val="0000FF"/>
                </w:rPr>
                <w:t>84</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84"/>
        </w:trPr>
        <w:tc>
          <w:tcPr>
            <w:tcW w:w="20" w:type="dxa"/>
            <w:vAlign w:val="bottom"/>
          </w:tcPr>
          <w:p>
            <w:pPr>
              <w:spacing w:after="0"/>
              <w:rPr>
                <w:sz w:val="24"/>
                <w:szCs w:val="24"/>
                <w:color w:val="auto"/>
              </w:rPr>
            </w:pPr>
          </w:p>
        </w:tc>
        <w:tc>
          <w:tcPr>
            <w:tcW w:w="25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820" w:type="dxa"/>
            <w:vAlign w:val="bottom"/>
          </w:tcPr>
          <w:p>
            <w:pPr>
              <w:jc w:val="right"/>
              <w:ind w:right="4261"/>
              <w:spacing w:after="0"/>
              <w:rPr>
                <w:sz w:val="20"/>
                <w:szCs w:val="20"/>
                <w:color w:val="auto"/>
              </w:rPr>
            </w:pPr>
            <w:r>
              <w:rPr>
                <w:rFonts w:ascii="Arial" w:cs="Arial" w:eastAsia="Arial" w:hAnsi="Arial"/>
                <w:sz w:val="16"/>
                <w:szCs w:val="16"/>
                <w:color w:val="auto"/>
              </w:rPr>
              <w:t>74</w:t>
            </w:r>
          </w:p>
        </w:tc>
        <w:tc>
          <w:tcPr>
            <w:tcW w:w="1020" w:type="dxa"/>
            <w:vAlign w:val="bottom"/>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0"/>
        </w:trPr>
        <w:tc>
          <w:tcPr>
            <w:tcW w:w="20" w:type="dxa"/>
            <w:vAlign w:val="bottom"/>
            <w:tcBorders>
              <w:bottom w:val="single" w:sz="8" w:color="9A9A9A"/>
            </w:tcBorders>
          </w:tcPr>
          <w:p>
            <w:pPr>
              <w:spacing w:after="0"/>
              <w:rPr>
                <w:sz w:val="8"/>
                <w:szCs w:val="8"/>
                <w:color w:val="auto"/>
              </w:rPr>
            </w:pPr>
          </w:p>
        </w:tc>
        <w:tc>
          <w:tcPr>
            <w:tcW w:w="25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48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7125335</wp:posOffset>
            </wp:positionH>
            <wp:positionV relativeFrom="paragraph">
              <wp:posOffset>-27305</wp:posOffset>
            </wp:positionV>
            <wp:extent cx="33020" cy="406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798" w:right="319" w:bottom="1440" w:gutter="0" w:footer="0" w:header="0"/>
        </w:sectPr>
      </w:pPr>
    </w:p>
    <w:bookmarkStart w:id="74" w:name="page75"/>
    <w:bookmarkEnd w:id="74"/>
    <w:p>
      <w:pPr>
        <w:ind w:left="2920"/>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To the Board of Directors and Stockholders of Virtu Financial, Inc.</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Opinions on the Financial Statements and Internal Control over Financial Reporting</w:t>
      </w:r>
    </w:p>
    <w:p>
      <w:pPr>
        <w:spacing w:after="0" w:line="219" w:lineRule="exact"/>
        <w:rPr>
          <w:sz w:val="20"/>
          <w:szCs w:val="20"/>
          <w:color w:val="auto"/>
        </w:rPr>
      </w:pPr>
    </w:p>
    <w:p>
      <w:pPr>
        <w:ind w:right="140"/>
        <w:spacing w:after="0" w:line="252" w:lineRule="auto"/>
        <w:rPr>
          <w:sz w:val="20"/>
          <w:szCs w:val="20"/>
          <w:color w:val="auto"/>
        </w:rPr>
      </w:pPr>
      <w:r>
        <w:rPr>
          <w:rFonts w:ascii="Arial" w:cs="Arial" w:eastAsia="Arial" w:hAnsi="Arial"/>
          <w:sz w:val="16"/>
          <w:szCs w:val="16"/>
          <w:color w:val="auto"/>
        </w:rPr>
        <w:t>We have audited the accompanying consolidated statements of financial condition of Virtu Financial, Inc. and its subsidiaries (the “Company”) as of December 31, 2021 and 2020, and the related consolidated statements of comprehensive income (loss), of changes in equity and of cash flows for each of the three years in the period ended December 31, 2021, including the related notes (collectively referred to as the “consolidated financial statements”). We also have audited the Company's internal control over financial reporting as of December 31, 2021, based on criteria established in Internal Control - Integrated Framework (2013) issued by the Committee of Sponsoring Organizations of the Treadway Commission (COSO).</w:t>
      </w:r>
    </w:p>
    <w:p>
      <w:pPr>
        <w:spacing w:after="0" w:line="194" w:lineRule="exact"/>
        <w:rPr>
          <w:sz w:val="20"/>
          <w:szCs w:val="20"/>
          <w:color w:val="auto"/>
        </w:rPr>
      </w:pPr>
    </w:p>
    <w:p>
      <w:pPr>
        <w:spacing w:after="0" w:line="276" w:lineRule="auto"/>
        <w:rPr>
          <w:sz w:val="20"/>
          <w:szCs w:val="20"/>
          <w:color w:val="auto"/>
        </w:rPr>
      </w:pPr>
      <w:r>
        <w:rPr>
          <w:rFonts w:ascii="Arial" w:cs="Arial" w:eastAsia="Arial" w:hAnsi="Arial"/>
          <w:sz w:val="15"/>
          <w:szCs w:val="15"/>
          <w:color w:val="auto"/>
        </w:rPr>
        <w:t>In our opinion, the consolidated financial statements referred to above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 Also in our opinion, the Company maintained, in all material respects, effective internal control over financial reporting as of December 31, 2021, based on criteria established in Internal Control - Integrated Framework (2013) issued by the COSO.</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for Opinions</w:t>
      </w:r>
    </w:p>
    <w:p>
      <w:pPr>
        <w:spacing w:after="0" w:line="207" w:lineRule="exact"/>
        <w:rPr>
          <w:sz w:val="20"/>
          <w:szCs w:val="20"/>
          <w:color w:val="auto"/>
        </w:rPr>
      </w:pPr>
    </w:p>
    <w:p>
      <w:pPr>
        <w:ind w:right="160"/>
        <w:spacing w:after="0" w:line="261" w:lineRule="auto"/>
        <w:rPr>
          <w:sz w:val="20"/>
          <w:szCs w:val="20"/>
          <w:color w:val="auto"/>
        </w:rPr>
      </w:pPr>
      <w:r>
        <w:rPr>
          <w:rFonts w:ascii="Arial" w:cs="Arial" w:eastAsia="Arial" w:hAnsi="Arial"/>
          <w:sz w:val="14"/>
          <w:szCs w:val="14"/>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6" w:lineRule="exact"/>
        <w:rPr>
          <w:sz w:val="20"/>
          <w:szCs w:val="20"/>
          <w:color w:val="auto"/>
        </w:rPr>
      </w:pPr>
    </w:p>
    <w:p>
      <w:pPr>
        <w:ind w:right="100"/>
        <w:spacing w:after="0" w:line="231"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79" w:lineRule="exact"/>
        <w:rPr>
          <w:sz w:val="20"/>
          <w:szCs w:val="20"/>
          <w:color w:val="auto"/>
        </w:rPr>
      </w:pPr>
    </w:p>
    <w:p>
      <w:pPr>
        <w:ind w:right="20"/>
        <w:spacing w:after="0" w:line="222"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Definition and Limitations of Internal Control over Financial Reporting</w:t>
      </w:r>
    </w:p>
    <w:p>
      <w:pPr>
        <w:spacing w:after="0" w:line="207" w:lineRule="exact"/>
        <w:rPr>
          <w:sz w:val="20"/>
          <w:szCs w:val="20"/>
          <w:color w:val="auto"/>
        </w:rPr>
      </w:pPr>
    </w:p>
    <w:p>
      <w:pPr>
        <w:ind w:right="80"/>
        <w:spacing w:after="0" w:line="222"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82" w:lineRule="exact"/>
        <w:rPr>
          <w:sz w:val="20"/>
          <w:szCs w:val="20"/>
          <w:color w:val="auto"/>
        </w:rPr>
      </w:pPr>
    </w:p>
    <w:p>
      <w:pPr>
        <w:ind w:right="40"/>
        <w:spacing w:after="0" w:line="231"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798" w:right="319" w:bottom="1440" w:gutter="0" w:footer="0" w:header="0"/>
        </w:sectPr>
      </w:pPr>
    </w:p>
    <w:bookmarkStart w:id="75" w:name="page76"/>
    <w:bookmarkEnd w:id="75"/>
    <w:p>
      <w:pPr>
        <w:spacing w:after="0"/>
        <w:rPr>
          <w:sz w:val="20"/>
          <w:szCs w:val="20"/>
          <w:color w:val="auto"/>
        </w:rPr>
      </w:pPr>
      <w:r>
        <w:rPr>
          <w:rFonts w:ascii="Arial" w:cs="Arial" w:eastAsia="Arial" w:hAnsi="Arial"/>
          <w:sz w:val="16"/>
          <w:szCs w:val="16"/>
          <w:b w:val="1"/>
          <w:bCs w:val="1"/>
          <w:i w:val="1"/>
          <w:iCs w:val="1"/>
          <w:color w:val="auto"/>
        </w:rPr>
        <w:t>Critical Audit Matters</w:t>
      </w:r>
    </w:p>
    <w:p>
      <w:pPr>
        <w:spacing w:after="0" w:line="207" w:lineRule="exact"/>
        <w:rPr>
          <w:sz w:val="20"/>
          <w:szCs w:val="20"/>
          <w:color w:val="auto"/>
        </w:rPr>
      </w:pPr>
    </w:p>
    <w:p>
      <w:pPr>
        <w:ind w:right="20"/>
        <w:spacing w:after="0" w:line="225" w:lineRule="auto"/>
        <w:rPr>
          <w:sz w:val="20"/>
          <w:szCs w:val="20"/>
          <w:color w:val="auto"/>
        </w:rPr>
      </w:pPr>
      <w:r>
        <w:rPr>
          <w:rFonts w:ascii="Arial" w:cs="Arial" w:eastAsia="Arial" w:hAnsi="Arial"/>
          <w:sz w:val="16"/>
          <w:szCs w:val="16"/>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Trading Income, net (“Trading Income”)</w:t>
      </w:r>
    </w:p>
    <w:p>
      <w:pPr>
        <w:spacing w:after="0" w:line="195" w:lineRule="exact"/>
        <w:rPr>
          <w:sz w:val="20"/>
          <w:szCs w:val="20"/>
          <w:color w:val="auto"/>
        </w:rPr>
      </w:pPr>
    </w:p>
    <w:p>
      <w:pPr>
        <w:ind w:right="120"/>
        <w:spacing w:after="0" w:line="227" w:lineRule="auto"/>
        <w:rPr>
          <w:sz w:val="20"/>
          <w:szCs w:val="20"/>
          <w:color w:val="auto"/>
        </w:rPr>
      </w:pPr>
      <w:r>
        <w:rPr>
          <w:rFonts w:ascii="Arial" w:cs="Arial" w:eastAsia="Arial" w:hAnsi="Arial"/>
          <w:sz w:val="16"/>
          <w:szCs w:val="16"/>
          <w:color w:val="auto"/>
        </w:rPr>
        <w:t>As described in Note 2 to the consolidated financial statements, $2.105 billion of the Company’s Trading Income for the year ended December 31, 2021 is composed of changes in the fair value of trading assets and liabilities (i.e., unrealized gains and losses) and realized gains and losses on trading assets and liabilities. Trading gains and losses on financial instruments owned and financial instruments sold, not yet purchased, are recorded on the trade date and reported on a net basis in the Consolidated Statements of Comprehensive Income (loss).</w:t>
      </w:r>
    </w:p>
    <w:p>
      <w:pPr>
        <w:spacing w:after="0" w:line="180" w:lineRule="exact"/>
        <w:rPr>
          <w:sz w:val="20"/>
          <w:szCs w:val="20"/>
          <w:color w:val="auto"/>
        </w:rPr>
      </w:pPr>
    </w:p>
    <w:p>
      <w:pPr>
        <w:ind w:right="240"/>
        <w:spacing w:after="0" w:line="238" w:lineRule="auto"/>
        <w:rPr>
          <w:sz w:val="20"/>
          <w:szCs w:val="20"/>
          <w:color w:val="auto"/>
        </w:rPr>
      </w:pPr>
      <w:r>
        <w:rPr>
          <w:rFonts w:ascii="Arial" w:cs="Arial" w:eastAsia="Arial" w:hAnsi="Arial"/>
          <w:sz w:val="16"/>
          <w:szCs w:val="16"/>
          <w:color w:val="auto"/>
        </w:rPr>
        <w:t>The principal considerations for our determination that performing procedures relating to Trading Income is a critical audit matter are the significant audit effort in performing procedures and evaluating audit evidence related to the transactions which comprise the trading income.</w:t>
      </w:r>
    </w:p>
    <w:p>
      <w:pPr>
        <w:spacing w:after="0" w:line="180" w:lineRule="exact"/>
        <w:rPr>
          <w:sz w:val="20"/>
          <w:szCs w:val="20"/>
          <w:color w:val="auto"/>
        </w:rPr>
      </w:pPr>
    </w:p>
    <w:p>
      <w:pPr>
        <w:spacing w:after="0" w:line="236" w:lineRule="auto"/>
        <w:rPr>
          <w:sz w:val="20"/>
          <w:szCs w:val="20"/>
          <w:color w:val="auto"/>
        </w:rPr>
      </w:pPr>
      <w:r>
        <w:rPr>
          <w:rFonts w:ascii="Arial" w:cs="Arial" w:eastAsia="Arial" w:hAnsi="Arial"/>
          <w:sz w:val="15"/>
          <w:szCs w:val="15"/>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calculation of Trading Income, including controls over the completeness, accuracy, existence, and valuation of trading assets and trading liabilities. These procedures also included, among others, testing of the inputs used by management in their trading income calculations and independently recalculating trading income. The procedures performed over testing of the inputs include (i) confirming a sample of trading assets, trading liabilities and cash (collectively the “equity value”) within each trading portfolio at the balance sheet date with external third parties; (ii) developing independent prices for a sample of trading assets and liabilities at the balance sheet date and comparing management’s prices to the independently developed prices; (iii) testing a sample of purchases and sales throughout the year by agreeing the quantity and price to third-party documentation, and (iv) testing the equity value of a sample of trading portfolios throughout the year by comparing the amounts to third party clearing statements.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/s/ PricewaterhouseCoopers LLP</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February 18, 2022</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2018.</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802" w:right="319" w:bottom="1440" w:gutter="0" w:footer="0" w:header="0"/>
        </w:sectPr>
      </w:pPr>
    </w:p>
    <w:bookmarkStart w:id="76" w:name="page77"/>
    <w:bookmarkEnd w:id="7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Virtu Financial, Inc. and Subsidiaries</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Consolidated Statements of Financial Condition</w:t>
      </w:r>
    </w:p>
    <w:p>
      <w:pPr>
        <w:spacing w:after="0" w:line="260"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8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share data)</w:t>
            </w:r>
          </w:p>
        </w:tc>
        <w:tc>
          <w:tcPr>
            <w:tcW w:w="14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060" w:type="dxa"/>
            <w:vAlign w:val="bottom"/>
          </w:tcPr>
          <w:p>
            <w:pPr>
              <w:jc w:val="right"/>
              <w:ind w:right="109"/>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87"/>
        </w:trPr>
        <w:tc>
          <w:tcPr>
            <w:tcW w:w="85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429"/>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38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1"/>
        </w:trPr>
        <w:tc>
          <w:tcPr>
            <w:tcW w:w="848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Assets</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85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1,071,463</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889,559</w:t>
            </w:r>
          </w:p>
        </w:tc>
        <w:tc>
          <w:tcPr>
            <w:tcW w:w="0" w:type="dxa"/>
            <w:vAlign w:val="bottom"/>
          </w:tcPr>
          <w:p>
            <w:pPr>
              <w:spacing w:after="0"/>
              <w:rPr>
                <w:sz w:val="1"/>
                <w:szCs w:val="1"/>
                <w:color w:val="auto"/>
              </w:rPr>
            </w:pPr>
          </w:p>
        </w:tc>
      </w:tr>
      <w:tr>
        <w:trPr>
          <w:trHeight w:val="187"/>
        </w:trPr>
        <w:tc>
          <w:tcPr>
            <w:tcW w:w="8560" w:type="dxa"/>
            <w:vAlign w:val="bottom"/>
            <w:gridSpan w:val="2"/>
          </w:tcPr>
          <w:p>
            <w:pPr>
              <w:ind w:left="120"/>
              <w:spacing w:after="0"/>
              <w:rPr>
                <w:sz w:val="20"/>
                <w:szCs w:val="20"/>
                <w:color w:val="auto"/>
              </w:rPr>
            </w:pPr>
            <w:r>
              <w:rPr>
                <w:rFonts w:ascii="Arial" w:cs="Arial" w:eastAsia="Arial" w:hAnsi="Arial"/>
                <w:sz w:val="14"/>
                <w:szCs w:val="14"/>
                <w:color w:val="auto"/>
              </w:rPr>
              <w:t>Cash restricted or segregated under regulations and other</w:t>
            </w:r>
          </w:p>
        </w:tc>
        <w:tc>
          <w:tcPr>
            <w:tcW w:w="140" w:type="dxa"/>
            <w:vAlign w:val="bottom"/>
          </w:tcPr>
          <w:p>
            <w:pPr>
              <w:spacing w:after="0"/>
              <w:rPr>
                <w:sz w:val="16"/>
                <w:szCs w:val="16"/>
                <w:color w:val="auto"/>
              </w:rPr>
            </w:pPr>
          </w:p>
        </w:tc>
        <w:tc>
          <w:tcPr>
            <w:tcW w:w="1120" w:type="dxa"/>
            <w:vAlign w:val="bottom"/>
          </w:tcPr>
          <w:p>
            <w:pPr>
              <w:jc w:val="right"/>
              <w:ind w:right="9"/>
              <w:spacing w:after="0"/>
              <w:rPr>
                <w:sz w:val="20"/>
                <w:szCs w:val="20"/>
                <w:color w:val="auto"/>
              </w:rPr>
            </w:pPr>
            <w:r>
              <w:rPr>
                <w:rFonts w:ascii="Arial" w:cs="Arial" w:eastAsia="Arial" w:hAnsi="Arial"/>
                <w:sz w:val="14"/>
                <w:szCs w:val="14"/>
                <w:color w:val="auto"/>
              </w:rPr>
              <w:t>49,490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117,446</w:t>
            </w:r>
          </w:p>
        </w:tc>
        <w:tc>
          <w:tcPr>
            <w:tcW w:w="0" w:type="dxa"/>
            <w:vAlign w:val="bottom"/>
          </w:tcPr>
          <w:p>
            <w:pPr>
              <w:spacing w:after="0"/>
              <w:rPr>
                <w:sz w:val="1"/>
                <w:szCs w:val="1"/>
                <w:color w:val="auto"/>
              </w:rPr>
            </w:pPr>
          </w:p>
        </w:tc>
      </w:tr>
      <w:tr>
        <w:trPr>
          <w:trHeight w:val="192"/>
        </w:trPr>
        <w:tc>
          <w:tcPr>
            <w:tcW w:w="85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Securities borrowed</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1,349,322</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1,425,016</w:t>
            </w:r>
          </w:p>
        </w:tc>
        <w:tc>
          <w:tcPr>
            <w:tcW w:w="0" w:type="dxa"/>
            <w:vAlign w:val="bottom"/>
          </w:tcPr>
          <w:p>
            <w:pPr>
              <w:spacing w:after="0"/>
              <w:rPr>
                <w:sz w:val="1"/>
                <w:szCs w:val="1"/>
                <w:color w:val="auto"/>
              </w:rPr>
            </w:pPr>
          </w:p>
        </w:tc>
      </w:tr>
      <w:tr>
        <w:trPr>
          <w:trHeight w:val="187"/>
        </w:trPr>
        <w:tc>
          <w:tcPr>
            <w:tcW w:w="8560" w:type="dxa"/>
            <w:vAlign w:val="bottom"/>
            <w:gridSpan w:val="2"/>
          </w:tcPr>
          <w:p>
            <w:pPr>
              <w:ind w:left="120"/>
              <w:spacing w:after="0"/>
              <w:rPr>
                <w:sz w:val="20"/>
                <w:szCs w:val="20"/>
                <w:color w:val="auto"/>
              </w:rPr>
            </w:pPr>
            <w:r>
              <w:rPr>
                <w:rFonts w:ascii="Arial" w:cs="Arial" w:eastAsia="Arial" w:hAnsi="Arial"/>
                <w:sz w:val="14"/>
                <w:szCs w:val="14"/>
                <w:color w:val="auto"/>
              </w:rPr>
              <w:t>Securities purchased under agreements to resell</w:t>
            </w:r>
          </w:p>
        </w:tc>
        <w:tc>
          <w:tcPr>
            <w:tcW w:w="140" w:type="dxa"/>
            <w:vAlign w:val="bottom"/>
          </w:tcPr>
          <w:p>
            <w:pPr>
              <w:spacing w:after="0"/>
              <w:rPr>
                <w:sz w:val="16"/>
                <w:szCs w:val="16"/>
                <w:color w:val="auto"/>
              </w:rPr>
            </w:pPr>
          </w:p>
        </w:tc>
        <w:tc>
          <w:tcPr>
            <w:tcW w:w="1120" w:type="dxa"/>
            <w:vAlign w:val="bottom"/>
          </w:tcPr>
          <w:p>
            <w:pPr>
              <w:jc w:val="right"/>
              <w:ind w:right="9"/>
              <w:spacing w:after="0"/>
              <w:rPr>
                <w:sz w:val="20"/>
                <w:szCs w:val="20"/>
                <w:color w:val="auto"/>
              </w:rPr>
            </w:pPr>
            <w:r>
              <w:rPr>
                <w:rFonts w:ascii="Arial" w:cs="Arial" w:eastAsia="Arial" w:hAnsi="Arial"/>
                <w:sz w:val="14"/>
                <w:szCs w:val="14"/>
                <w:color w:val="auto"/>
              </w:rPr>
              <w:t>119,453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22,866</w:t>
            </w:r>
          </w:p>
        </w:tc>
        <w:tc>
          <w:tcPr>
            <w:tcW w:w="0" w:type="dxa"/>
            <w:vAlign w:val="bottom"/>
          </w:tcPr>
          <w:p>
            <w:pPr>
              <w:spacing w:after="0"/>
              <w:rPr>
                <w:sz w:val="1"/>
                <w:szCs w:val="1"/>
                <w:color w:val="auto"/>
              </w:rPr>
            </w:pPr>
          </w:p>
        </w:tc>
      </w:tr>
      <w:tr>
        <w:trPr>
          <w:trHeight w:val="192"/>
        </w:trPr>
        <w:tc>
          <w:tcPr>
            <w:tcW w:w="85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Receivables from broker-dealers and clearing organizations</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1,026,807</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1,684,006</w:t>
            </w:r>
          </w:p>
        </w:tc>
        <w:tc>
          <w:tcPr>
            <w:tcW w:w="0" w:type="dxa"/>
            <w:vAlign w:val="bottom"/>
          </w:tcPr>
          <w:p>
            <w:pPr>
              <w:spacing w:after="0"/>
              <w:rPr>
                <w:sz w:val="1"/>
                <w:szCs w:val="1"/>
                <w:color w:val="auto"/>
              </w:rPr>
            </w:pPr>
          </w:p>
        </w:tc>
      </w:tr>
      <w:tr>
        <w:trPr>
          <w:trHeight w:val="187"/>
        </w:trPr>
        <w:tc>
          <w:tcPr>
            <w:tcW w:w="8560" w:type="dxa"/>
            <w:vAlign w:val="bottom"/>
            <w:gridSpan w:val="2"/>
          </w:tcPr>
          <w:p>
            <w:pPr>
              <w:ind w:left="120"/>
              <w:spacing w:after="0"/>
              <w:rPr>
                <w:sz w:val="20"/>
                <w:szCs w:val="20"/>
                <w:color w:val="auto"/>
              </w:rPr>
            </w:pPr>
            <w:r>
              <w:rPr>
                <w:rFonts w:ascii="Arial" w:cs="Arial" w:eastAsia="Arial" w:hAnsi="Arial"/>
                <w:sz w:val="14"/>
                <w:szCs w:val="14"/>
                <w:color w:val="auto"/>
              </w:rPr>
              <w:t>Trading assets, at fair value:</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5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Financial instruments owned</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3,238,995</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2,369,192</w:t>
            </w:r>
          </w:p>
        </w:tc>
        <w:tc>
          <w:tcPr>
            <w:tcW w:w="0" w:type="dxa"/>
            <w:vAlign w:val="bottom"/>
          </w:tcPr>
          <w:p>
            <w:pPr>
              <w:spacing w:after="0"/>
              <w:rPr>
                <w:sz w:val="1"/>
                <w:szCs w:val="1"/>
                <w:color w:val="auto"/>
              </w:rPr>
            </w:pPr>
          </w:p>
        </w:tc>
      </w:tr>
      <w:tr>
        <w:trPr>
          <w:trHeight w:val="187"/>
        </w:trPr>
        <w:tc>
          <w:tcPr>
            <w:tcW w:w="8560" w:type="dxa"/>
            <w:vAlign w:val="bottom"/>
            <w:gridSpan w:val="2"/>
          </w:tcPr>
          <w:p>
            <w:pPr>
              <w:ind w:left="180"/>
              <w:spacing w:after="0"/>
              <w:rPr>
                <w:sz w:val="20"/>
                <w:szCs w:val="20"/>
                <w:color w:val="auto"/>
              </w:rPr>
            </w:pPr>
            <w:r>
              <w:rPr>
                <w:rFonts w:ascii="Arial" w:cs="Arial" w:eastAsia="Arial" w:hAnsi="Arial"/>
                <w:sz w:val="14"/>
                <w:szCs w:val="14"/>
                <w:color w:val="auto"/>
              </w:rPr>
              <w:t>Financial instruments owned and pledged</w:t>
            </w:r>
          </w:p>
        </w:tc>
        <w:tc>
          <w:tcPr>
            <w:tcW w:w="140" w:type="dxa"/>
            <w:vAlign w:val="bottom"/>
          </w:tcPr>
          <w:p>
            <w:pPr>
              <w:spacing w:after="0"/>
              <w:rPr>
                <w:sz w:val="16"/>
                <w:szCs w:val="16"/>
                <w:color w:val="auto"/>
              </w:rPr>
            </w:pPr>
          </w:p>
        </w:tc>
        <w:tc>
          <w:tcPr>
            <w:tcW w:w="1120" w:type="dxa"/>
            <w:vAlign w:val="bottom"/>
          </w:tcPr>
          <w:p>
            <w:pPr>
              <w:jc w:val="right"/>
              <w:ind w:right="9"/>
              <w:spacing w:after="0"/>
              <w:rPr>
                <w:sz w:val="20"/>
                <w:szCs w:val="20"/>
                <w:color w:val="auto"/>
              </w:rPr>
            </w:pPr>
            <w:r>
              <w:rPr>
                <w:rFonts w:ascii="Arial" w:cs="Arial" w:eastAsia="Arial" w:hAnsi="Arial"/>
                <w:sz w:val="14"/>
                <w:szCs w:val="14"/>
                <w:color w:val="auto"/>
              </w:rPr>
              <w:t>1,017,960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746,539</w:t>
            </w:r>
          </w:p>
        </w:tc>
        <w:tc>
          <w:tcPr>
            <w:tcW w:w="0" w:type="dxa"/>
            <w:vAlign w:val="bottom"/>
          </w:tcPr>
          <w:p>
            <w:pPr>
              <w:spacing w:after="0"/>
              <w:rPr>
                <w:sz w:val="1"/>
                <w:szCs w:val="1"/>
                <w:color w:val="auto"/>
              </w:rPr>
            </w:pPr>
          </w:p>
        </w:tc>
      </w:tr>
      <w:tr>
        <w:trPr>
          <w:trHeight w:val="192"/>
        </w:trPr>
        <w:tc>
          <w:tcPr>
            <w:tcW w:w="85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Receivables from customers</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146,476</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214,478</w:t>
            </w:r>
          </w:p>
        </w:tc>
        <w:tc>
          <w:tcPr>
            <w:tcW w:w="0" w:type="dxa"/>
            <w:vAlign w:val="bottom"/>
          </w:tcPr>
          <w:p>
            <w:pPr>
              <w:spacing w:after="0"/>
              <w:rPr>
                <w:sz w:val="1"/>
                <w:szCs w:val="1"/>
                <w:color w:val="auto"/>
              </w:rPr>
            </w:pPr>
          </w:p>
        </w:tc>
      </w:tr>
      <w:tr>
        <w:trPr>
          <w:trHeight w:val="146"/>
        </w:trPr>
        <w:tc>
          <w:tcPr>
            <w:tcW w:w="8560" w:type="dxa"/>
            <w:vAlign w:val="bottom"/>
            <w:gridSpan w:val="2"/>
          </w:tcPr>
          <w:p>
            <w:pPr>
              <w:ind w:left="120"/>
              <w:spacing w:after="0" w:line="145" w:lineRule="exact"/>
              <w:rPr>
                <w:sz w:val="20"/>
                <w:szCs w:val="20"/>
                <w:color w:val="auto"/>
              </w:rPr>
            </w:pPr>
            <w:r>
              <w:rPr>
                <w:rFonts w:ascii="Arial" w:cs="Arial" w:eastAsia="Arial" w:hAnsi="Arial"/>
                <w:sz w:val="14"/>
                <w:szCs w:val="14"/>
                <w:color w:val="auto"/>
                <w:w w:val="92"/>
              </w:rPr>
              <w:t>Property, equipment and capitalized software (net of accumulated depreciation of $472,155 and $455,961 as of December 31, 2021 and December</w:t>
            </w:r>
          </w:p>
        </w:tc>
        <w:tc>
          <w:tcPr>
            <w:tcW w:w="140" w:type="dxa"/>
            <w:vAlign w:val="bottom"/>
          </w:tcPr>
          <w:p>
            <w:pPr>
              <w:spacing w:after="0"/>
              <w:rPr>
                <w:sz w:val="12"/>
                <w:szCs w:val="12"/>
                <w:color w:val="auto"/>
              </w:rPr>
            </w:pPr>
          </w:p>
        </w:tc>
        <w:tc>
          <w:tcPr>
            <w:tcW w:w="1120" w:type="dxa"/>
            <w:vAlign w:val="bottom"/>
            <w:vMerge w:val="restart"/>
          </w:tcPr>
          <w:p>
            <w:pPr>
              <w:jc w:val="right"/>
              <w:ind w:right="9"/>
              <w:spacing w:after="0"/>
              <w:rPr>
                <w:sz w:val="20"/>
                <w:szCs w:val="20"/>
                <w:color w:val="auto"/>
              </w:rPr>
            </w:pPr>
            <w:r>
              <w:rPr>
                <w:rFonts w:ascii="Arial" w:cs="Arial" w:eastAsia="Arial" w:hAnsi="Arial"/>
                <w:sz w:val="14"/>
                <w:szCs w:val="14"/>
                <w:color w:val="auto"/>
              </w:rPr>
              <w:t>89,595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113,590</w:t>
            </w:r>
          </w:p>
        </w:tc>
        <w:tc>
          <w:tcPr>
            <w:tcW w:w="0" w:type="dxa"/>
            <w:vAlign w:val="bottom"/>
          </w:tcPr>
          <w:p>
            <w:pPr>
              <w:spacing w:after="0"/>
              <w:rPr>
                <w:sz w:val="1"/>
                <w:szCs w:val="1"/>
                <w:color w:val="auto"/>
              </w:rPr>
            </w:pPr>
          </w:p>
        </w:tc>
      </w:tr>
      <w:tr>
        <w:trPr>
          <w:trHeight w:val="183"/>
        </w:trPr>
        <w:tc>
          <w:tcPr>
            <w:tcW w:w="8560" w:type="dxa"/>
            <w:vAlign w:val="bottom"/>
            <w:gridSpan w:val="2"/>
          </w:tcPr>
          <w:p>
            <w:pPr>
              <w:ind w:left="120"/>
              <w:spacing w:after="0"/>
              <w:rPr>
                <w:sz w:val="20"/>
                <w:szCs w:val="20"/>
                <w:color w:val="auto"/>
              </w:rPr>
            </w:pPr>
            <w:r>
              <w:rPr>
                <w:rFonts w:ascii="Arial" w:cs="Arial" w:eastAsia="Arial" w:hAnsi="Arial"/>
                <w:sz w:val="14"/>
                <w:szCs w:val="14"/>
                <w:color w:val="auto"/>
              </w:rPr>
              <w:t>31, 2020, respectively)</w:t>
            </w:r>
          </w:p>
        </w:tc>
        <w:tc>
          <w:tcPr>
            <w:tcW w:w="14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85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Operating lease right-of-use assets</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225,328</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268,864</w:t>
            </w:r>
          </w:p>
        </w:tc>
        <w:tc>
          <w:tcPr>
            <w:tcW w:w="0" w:type="dxa"/>
            <w:vAlign w:val="bottom"/>
          </w:tcPr>
          <w:p>
            <w:pPr>
              <w:spacing w:after="0"/>
              <w:rPr>
                <w:sz w:val="1"/>
                <w:szCs w:val="1"/>
                <w:color w:val="auto"/>
              </w:rPr>
            </w:pPr>
          </w:p>
        </w:tc>
      </w:tr>
      <w:tr>
        <w:trPr>
          <w:trHeight w:val="187"/>
        </w:trPr>
        <w:tc>
          <w:tcPr>
            <w:tcW w:w="8560" w:type="dxa"/>
            <w:vAlign w:val="bottom"/>
            <w:gridSpan w:val="2"/>
          </w:tcPr>
          <w:p>
            <w:pPr>
              <w:ind w:left="120"/>
              <w:spacing w:after="0"/>
              <w:rPr>
                <w:sz w:val="20"/>
                <w:szCs w:val="20"/>
                <w:color w:val="auto"/>
              </w:rPr>
            </w:pPr>
            <w:r>
              <w:rPr>
                <w:rFonts w:ascii="Arial" w:cs="Arial" w:eastAsia="Arial" w:hAnsi="Arial"/>
                <w:sz w:val="14"/>
                <w:szCs w:val="14"/>
                <w:color w:val="auto"/>
              </w:rPr>
              <w:t>Goodwill</w:t>
            </w:r>
          </w:p>
        </w:tc>
        <w:tc>
          <w:tcPr>
            <w:tcW w:w="140" w:type="dxa"/>
            <w:vAlign w:val="bottom"/>
          </w:tcPr>
          <w:p>
            <w:pPr>
              <w:spacing w:after="0"/>
              <w:rPr>
                <w:sz w:val="16"/>
                <w:szCs w:val="16"/>
                <w:color w:val="auto"/>
              </w:rPr>
            </w:pPr>
          </w:p>
        </w:tc>
        <w:tc>
          <w:tcPr>
            <w:tcW w:w="1120" w:type="dxa"/>
            <w:vAlign w:val="bottom"/>
          </w:tcPr>
          <w:p>
            <w:pPr>
              <w:jc w:val="right"/>
              <w:ind w:right="9"/>
              <w:spacing w:after="0"/>
              <w:rPr>
                <w:sz w:val="20"/>
                <w:szCs w:val="20"/>
                <w:color w:val="auto"/>
              </w:rPr>
            </w:pPr>
            <w:r>
              <w:rPr>
                <w:rFonts w:ascii="Arial" w:cs="Arial" w:eastAsia="Arial" w:hAnsi="Arial"/>
                <w:sz w:val="14"/>
                <w:szCs w:val="14"/>
                <w:color w:val="auto"/>
              </w:rPr>
              <w:t>1,148,926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1,148,926</w:t>
            </w:r>
          </w:p>
        </w:tc>
        <w:tc>
          <w:tcPr>
            <w:tcW w:w="0" w:type="dxa"/>
            <w:vAlign w:val="bottom"/>
          </w:tcPr>
          <w:p>
            <w:pPr>
              <w:spacing w:after="0"/>
              <w:rPr>
                <w:sz w:val="1"/>
                <w:szCs w:val="1"/>
                <w:color w:val="auto"/>
              </w:rPr>
            </w:pPr>
          </w:p>
        </w:tc>
      </w:tr>
      <w:tr>
        <w:trPr>
          <w:trHeight w:val="192"/>
        </w:trPr>
        <w:tc>
          <w:tcPr>
            <w:tcW w:w="85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99"/>
              </w:rPr>
              <w:t>Intangibles (net of accumulated amortization of $253,161 and $183,494 as of December 31, 2021 and December 31, 2020, respectively)</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386,332</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454,499</w:t>
            </w:r>
          </w:p>
        </w:tc>
        <w:tc>
          <w:tcPr>
            <w:tcW w:w="0" w:type="dxa"/>
            <w:vAlign w:val="bottom"/>
          </w:tcPr>
          <w:p>
            <w:pPr>
              <w:spacing w:after="0"/>
              <w:rPr>
                <w:sz w:val="1"/>
                <w:szCs w:val="1"/>
                <w:color w:val="auto"/>
              </w:rPr>
            </w:pPr>
          </w:p>
        </w:tc>
      </w:tr>
      <w:tr>
        <w:trPr>
          <w:trHeight w:val="187"/>
        </w:trPr>
        <w:tc>
          <w:tcPr>
            <w:tcW w:w="8560" w:type="dxa"/>
            <w:vAlign w:val="bottom"/>
            <w:gridSpan w:val="2"/>
          </w:tcPr>
          <w:p>
            <w:pPr>
              <w:ind w:left="120"/>
              <w:spacing w:after="0"/>
              <w:rPr>
                <w:sz w:val="20"/>
                <w:szCs w:val="20"/>
                <w:color w:val="auto"/>
              </w:rPr>
            </w:pPr>
            <w:r>
              <w:rPr>
                <w:rFonts w:ascii="Arial" w:cs="Arial" w:eastAsia="Arial" w:hAnsi="Arial"/>
                <w:sz w:val="14"/>
                <w:szCs w:val="14"/>
                <w:color w:val="auto"/>
              </w:rPr>
              <w:t>Deferred tax assets</w:t>
            </w:r>
          </w:p>
        </w:tc>
        <w:tc>
          <w:tcPr>
            <w:tcW w:w="140" w:type="dxa"/>
            <w:vAlign w:val="bottom"/>
          </w:tcPr>
          <w:p>
            <w:pPr>
              <w:spacing w:after="0"/>
              <w:rPr>
                <w:sz w:val="16"/>
                <w:szCs w:val="16"/>
                <w:color w:val="auto"/>
              </w:rPr>
            </w:pPr>
          </w:p>
        </w:tc>
        <w:tc>
          <w:tcPr>
            <w:tcW w:w="1120" w:type="dxa"/>
            <w:vAlign w:val="bottom"/>
          </w:tcPr>
          <w:p>
            <w:pPr>
              <w:jc w:val="right"/>
              <w:ind w:right="9"/>
              <w:spacing w:after="0"/>
              <w:rPr>
                <w:sz w:val="20"/>
                <w:szCs w:val="20"/>
                <w:color w:val="auto"/>
              </w:rPr>
            </w:pPr>
            <w:r>
              <w:rPr>
                <w:rFonts w:ascii="Arial" w:cs="Arial" w:eastAsia="Arial" w:hAnsi="Arial"/>
                <w:sz w:val="14"/>
                <w:szCs w:val="14"/>
                <w:color w:val="auto"/>
              </w:rPr>
              <w:t>158,518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193,070</w:t>
            </w:r>
          </w:p>
        </w:tc>
        <w:tc>
          <w:tcPr>
            <w:tcW w:w="0" w:type="dxa"/>
            <w:vAlign w:val="bottom"/>
          </w:tcPr>
          <w:p>
            <w:pPr>
              <w:spacing w:after="0"/>
              <w:rPr>
                <w:sz w:val="1"/>
                <w:szCs w:val="1"/>
                <w:color w:val="auto"/>
              </w:rPr>
            </w:pPr>
          </w:p>
        </w:tc>
      </w:tr>
      <w:tr>
        <w:trPr>
          <w:trHeight w:val="189"/>
        </w:trPr>
        <w:tc>
          <w:tcPr>
            <w:tcW w:w="85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Other assets ($84,378 and $68,316, at fair value, as of December 31, 2021 and December 31, 2020, respectively)</w:t>
            </w:r>
          </w:p>
        </w:tc>
        <w:tc>
          <w:tcPr>
            <w:tcW w:w="1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291,306</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317,747</w:t>
            </w:r>
          </w:p>
        </w:tc>
        <w:tc>
          <w:tcPr>
            <w:tcW w:w="0" w:type="dxa"/>
            <w:vAlign w:val="bottom"/>
          </w:tcPr>
          <w:p>
            <w:pPr>
              <w:spacing w:after="0"/>
              <w:rPr>
                <w:sz w:val="1"/>
                <w:szCs w:val="1"/>
                <w:color w:val="auto"/>
              </w:rPr>
            </w:pPr>
          </w:p>
        </w:tc>
      </w:tr>
      <w:tr>
        <w:trPr>
          <w:trHeight w:val="184"/>
        </w:trPr>
        <w:tc>
          <w:tcPr>
            <w:tcW w:w="8560" w:type="dxa"/>
            <w:vAlign w:val="bottom"/>
            <w:gridSpan w:val="2"/>
          </w:tcPr>
          <w:p>
            <w:pPr>
              <w:ind w:left="180"/>
              <w:spacing w:after="0"/>
              <w:rPr>
                <w:sz w:val="20"/>
                <w:szCs w:val="20"/>
                <w:color w:val="auto"/>
              </w:rPr>
            </w:pPr>
            <w:r>
              <w:rPr>
                <w:rFonts w:ascii="Arial" w:cs="Arial" w:eastAsia="Arial" w:hAnsi="Arial"/>
                <w:sz w:val="14"/>
                <w:szCs w:val="14"/>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10,319,971</w:t>
            </w:r>
          </w:p>
        </w:tc>
        <w:tc>
          <w:tcPr>
            <w:tcW w:w="8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9,965,798</w:t>
            </w:r>
          </w:p>
        </w:tc>
        <w:tc>
          <w:tcPr>
            <w:tcW w:w="0" w:type="dxa"/>
            <w:vAlign w:val="bottom"/>
          </w:tcPr>
          <w:p>
            <w:pPr>
              <w:spacing w:after="0"/>
              <w:rPr>
                <w:sz w:val="1"/>
                <w:szCs w:val="1"/>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8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8560" w:type="dxa"/>
            <w:vAlign w:val="bottom"/>
            <w:gridSpan w:val="2"/>
          </w:tcPr>
          <w:p>
            <w:pPr>
              <w:spacing w:after="0"/>
              <w:rPr>
                <w:sz w:val="20"/>
                <w:szCs w:val="20"/>
                <w:color w:val="auto"/>
              </w:rPr>
            </w:pPr>
            <w:r>
              <w:rPr>
                <w:rFonts w:ascii="Arial" w:cs="Arial" w:eastAsia="Arial" w:hAnsi="Arial"/>
                <w:sz w:val="14"/>
                <w:szCs w:val="14"/>
                <w:b w:val="1"/>
                <w:bCs w:val="1"/>
                <w:color w:val="auto"/>
              </w:rPr>
              <w:t>Liabilities and equity</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Liabilities</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560" w:type="dxa"/>
            <w:vAlign w:val="bottom"/>
            <w:gridSpan w:val="2"/>
          </w:tcPr>
          <w:p>
            <w:pPr>
              <w:ind w:left="120"/>
              <w:spacing w:after="0"/>
              <w:rPr>
                <w:sz w:val="20"/>
                <w:szCs w:val="20"/>
                <w:color w:val="auto"/>
              </w:rPr>
            </w:pPr>
            <w:r>
              <w:rPr>
                <w:rFonts w:ascii="Arial" w:cs="Arial" w:eastAsia="Arial" w:hAnsi="Arial"/>
                <w:sz w:val="14"/>
                <w:szCs w:val="14"/>
                <w:color w:val="auto"/>
              </w:rPr>
              <w:t>Short-term borrowings</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9"/>
              <w:spacing w:after="0"/>
              <w:rPr>
                <w:sz w:val="20"/>
                <w:szCs w:val="20"/>
                <w:color w:val="auto"/>
              </w:rPr>
            </w:pPr>
            <w:r>
              <w:rPr>
                <w:rFonts w:ascii="Arial" w:cs="Arial" w:eastAsia="Arial" w:hAnsi="Arial"/>
                <w:sz w:val="14"/>
                <w:szCs w:val="14"/>
                <w:color w:val="auto"/>
              </w:rPr>
              <w:t>61,510</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64,686</w:t>
            </w:r>
          </w:p>
        </w:tc>
        <w:tc>
          <w:tcPr>
            <w:tcW w:w="0" w:type="dxa"/>
            <w:vAlign w:val="bottom"/>
          </w:tcPr>
          <w:p>
            <w:pPr>
              <w:spacing w:after="0"/>
              <w:rPr>
                <w:sz w:val="1"/>
                <w:szCs w:val="1"/>
                <w:color w:val="auto"/>
              </w:rPr>
            </w:pPr>
          </w:p>
        </w:tc>
      </w:tr>
      <w:tr>
        <w:trPr>
          <w:trHeight w:val="192"/>
        </w:trPr>
        <w:tc>
          <w:tcPr>
            <w:tcW w:w="85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Securities loaned</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1,142,048</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948,256</w:t>
            </w:r>
          </w:p>
        </w:tc>
        <w:tc>
          <w:tcPr>
            <w:tcW w:w="0" w:type="dxa"/>
            <w:vAlign w:val="bottom"/>
          </w:tcPr>
          <w:p>
            <w:pPr>
              <w:spacing w:after="0"/>
              <w:rPr>
                <w:sz w:val="1"/>
                <w:szCs w:val="1"/>
                <w:color w:val="auto"/>
              </w:rPr>
            </w:pPr>
          </w:p>
        </w:tc>
      </w:tr>
      <w:tr>
        <w:trPr>
          <w:trHeight w:val="187"/>
        </w:trPr>
        <w:tc>
          <w:tcPr>
            <w:tcW w:w="8560" w:type="dxa"/>
            <w:vAlign w:val="bottom"/>
            <w:gridSpan w:val="2"/>
          </w:tcPr>
          <w:p>
            <w:pPr>
              <w:ind w:left="120"/>
              <w:spacing w:after="0"/>
              <w:rPr>
                <w:sz w:val="20"/>
                <w:szCs w:val="20"/>
                <w:color w:val="auto"/>
              </w:rPr>
            </w:pPr>
            <w:r>
              <w:rPr>
                <w:rFonts w:ascii="Arial" w:cs="Arial" w:eastAsia="Arial" w:hAnsi="Arial"/>
                <w:sz w:val="14"/>
                <w:szCs w:val="14"/>
                <w:color w:val="auto"/>
              </w:rPr>
              <w:t>Securities sold under agreements to repurchase</w:t>
            </w:r>
          </w:p>
        </w:tc>
        <w:tc>
          <w:tcPr>
            <w:tcW w:w="140" w:type="dxa"/>
            <w:vAlign w:val="bottom"/>
          </w:tcPr>
          <w:p>
            <w:pPr>
              <w:spacing w:after="0"/>
              <w:rPr>
                <w:sz w:val="16"/>
                <w:szCs w:val="16"/>
                <w:color w:val="auto"/>
              </w:rPr>
            </w:pPr>
          </w:p>
        </w:tc>
        <w:tc>
          <w:tcPr>
            <w:tcW w:w="1120" w:type="dxa"/>
            <w:vAlign w:val="bottom"/>
          </w:tcPr>
          <w:p>
            <w:pPr>
              <w:jc w:val="right"/>
              <w:ind w:right="9"/>
              <w:spacing w:after="0"/>
              <w:rPr>
                <w:sz w:val="20"/>
                <w:szCs w:val="20"/>
                <w:color w:val="auto"/>
              </w:rPr>
            </w:pPr>
            <w:r>
              <w:rPr>
                <w:rFonts w:ascii="Arial" w:cs="Arial" w:eastAsia="Arial" w:hAnsi="Arial"/>
                <w:sz w:val="14"/>
                <w:szCs w:val="14"/>
                <w:color w:val="auto"/>
              </w:rPr>
              <w:t>514,325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461,235</w:t>
            </w:r>
          </w:p>
        </w:tc>
        <w:tc>
          <w:tcPr>
            <w:tcW w:w="0" w:type="dxa"/>
            <w:vAlign w:val="bottom"/>
          </w:tcPr>
          <w:p>
            <w:pPr>
              <w:spacing w:after="0"/>
              <w:rPr>
                <w:sz w:val="1"/>
                <w:szCs w:val="1"/>
                <w:color w:val="auto"/>
              </w:rPr>
            </w:pPr>
          </w:p>
        </w:tc>
      </w:tr>
      <w:tr>
        <w:trPr>
          <w:trHeight w:val="192"/>
        </w:trPr>
        <w:tc>
          <w:tcPr>
            <w:tcW w:w="85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Payables to broker-dealers and clearing organizations</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571,526</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876,446</w:t>
            </w:r>
          </w:p>
        </w:tc>
        <w:tc>
          <w:tcPr>
            <w:tcW w:w="0" w:type="dxa"/>
            <w:vAlign w:val="bottom"/>
          </w:tcPr>
          <w:p>
            <w:pPr>
              <w:spacing w:after="0"/>
              <w:rPr>
                <w:sz w:val="1"/>
                <w:szCs w:val="1"/>
                <w:color w:val="auto"/>
              </w:rPr>
            </w:pPr>
          </w:p>
        </w:tc>
      </w:tr>
      <w:tr>
        <w:trPr>
          <w:trHeight w:val="187"/>
        </w:trPr>
        <w:tc>
          <w:tcPr>
            <w:tcW w:w="8560" w:type="dxa"/>
            <w:vAlign w:val="bottom"/>
            <w:gridSpan w:val="2"/>
          </w:tcPr>
          <w:p>
            <w:pPr>
              <w:ind w:left="120"/>
              <w:spacing w:after="0"/>
              <w:rPr>
                <w:sz w:val="20"/>
                <w:szCs w:val="20"/>
                <w:color w:val="auto"/>
              </w:rPr>
            </w:pPr>
            <w:r>
              <w:rPr>
                <w:rFonts w:ascii="Arial" w:cs="Arial" w:eastAsia="Arial" w:hAnsi="Arial"/>
                <w:sz w:val="14"/>
                <w:szCs w:val="14"/>
                <w:color w:val="auto"/>
              </w:rPr>
              <w:t>Payables to customers</w:t>
            </w:r>
          </w:p>
        </w:tc>
        <w:tc>
          <w:tcPr>
            <w:tcW w:w="140" w:type="dxa"/>
            <w:vAlign w:val="bottom"/>
          </w:tcPr>
          <w:p>
            <w:pPr>
              <w:spacing w:after="0"/>
              <w:rPr>
                <w:sz w:val="16"/>
                <w:szCs w:val="16"/>
                <w:color w:val="auto"/>
              </w:rPr>
            </w:pPr>
          </w:p>
        </w:tc>
        <w:tc>
          <w:tcPr>
            <w:tcW w:w="1120" w:type="dxa"/>
            <w:vAlign w:val="bottom"/>
          </w:tcPr>
          <w:p>
            <w:pPr>
              <w:jc w:val="right"/>
              <w:ind w:right="9"/>
              <w:spacing w:after="0"/>
              <w:rPr>
                <w:sz w:val="20"/>
                <w:szCs w:val="20"/>
                <w:color w:val="auto"/>
              </w:rPr>
            </w:pPr>
            <w:r>
              <w:rPr>
                <w:rFonts w:ascii="Arial" w:cs="Arial" w:eastAsia="Arial" w:hAnsi="Arial"/>
                <w:sz w:val="14"/>
                <w:szCs w:val="14"/>
                <w:color w:val="auto"/>
              </w:rPr>
              <w:t>54,999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118,826</w:t>
            </w:r>
          </w:p>
        </w:tc>
        <w:tc>
          <w:tcPr>
            <w:tcW w:w="0" w:type="dxa"/>
            <w:vAlign w:val="bottom"/>
          </w:tcPr>
          <w:p>
            <w:pPr>
              <w:spacing w:after="0"/>
              <w:rPr>
                <w:sz w:val="1"/>
                <w:szCs w:val="1"/>
                <w:color w:val="auto"/>
              </w:rPr>
            </w:pPr>
          </w:p>
        </w:tc>
      </w:tr>
      <w:tr>
        <w:trPr>
          <w:trHeight w:val="192"/>
        </w:trPr>
        <w:tc>
          <w:tcPr>
            <w:tcW w:w="85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Trading liabilities, at fair value:</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560" w:type="dxa"/>
            <w:vAlign w:val="bottom"/>
            <w:gridSpan w:val="2"/>
          </w:tcPr>
          <w:p>
            <w:pPr>
              <w:ind w:left="180"/>
              <w:spacing w:after="0"/>
              <w:rPr>
                <w:sz w:val="20"/>
                <w:szCs w:val="20"/>
                <w:color w:val="auto"/>
              </w:rPr>
            </w:pPr>
            <w:r>
              <w:rPr>
                <w:rFonts w:ascii="Arial" w:cs="Arial" w:eastAsia="Arial" w:hAnsi="Arial"/>
                <w:sz w:val="14"/>
                <w:szCs w:val="14"/>
                <w:color w:val="auto"/>
              </w:rPr>
              <w:t>Financial instruments sold, not yet purchased</w:t>
            </w:r>
          </w:p>
        </w:tc>
        <w:tc>
          <w:tcPr>
            <w:tcW w:w="140" w:type="dxa"/>
            <w:vAlign w:val="bottom"/>
          </w:tcPr>
          <w:p>
            <w:pPr>
              <w:spacing w:after="0"/>
              <w:rPr>
                <w:sz w:val="16"/>
                <w:szCs w:val="16"/>
                <w:color w:val="auto"/>
              </w:rPr>
            </w:pPr>
          </w:p>
        </w:tc>
        <w:tc>
          <w:tcPr>
            <w:tcW w:w="1120" w:type="dxa"/>
            <w:vAlign w:val="bottom"/>
          </w:tcPr>
          <w:p>
            <w:pPr>
              <w:jc w:val="right"/>
              <w:ind w:right="9"/>
              <w:spacing w:after="0"/>
              <w:rPr>
                <w:sz w:val="20"/>
                <w:szCs w:val="20"/>
                <w:color w:val="auto"/>
              </w:rPr>
            </w:pPr>
            <w:r>
              <w:rPr>
                <w:rFonts w:ascii="Arial" w:cs="Arial" w:eastAsia="Arial" w:hAnsi="Arial"/>
                <w:sz w:val="14"/>
                <w:szCs w:val="14"/>
                <w:color w:val="auto"/>
              </w:rPr>
              <w:t>3,510,779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2,923,708</w:t>
            </w:r>
          </w:p>
        </w:tc>
        <w:tc>
          <w:tcPr>
            <w:tcW w:w="0" w:type="dxa"/>
            <w:vAlign w:val="bottom"/>
          </w:tcPr>
          <w:p>
            <w:pPr>
              <w:spacing w:after="0"/>
              <w:rPr>
                <w:sz w:val="1"/>
                <w:szCs w:val="1"/>
                <w:color w:val="auto"/>
              </w:rPr>
            </w:pPr>
          </w:p>
        </w:tc>
      </w:tr>
      <w:tr>
        <w:trPr>
          <w:trHeight w:val="192"/>
        </w:trPr>
        <w:tc>
          <w:tcPr>
            <w:tcW w:w="85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Tax receivable agreement obligations</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259,282</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271,165</w:t>
            </w:r>
          </w:p>
        </w:tc>
        <w:tc>
          <w:tcPr>
            <w:tcW w:w="0" w:type="dxa"/>
            <w:vAlign w:val="bottom"/>
          </w:tcPr>
          <w:p>
            <w:pPr>
              <w:spacing w:after="0"/>
              <w:rPr>
                <w:sz w:val="1"/>
                <w:szCs w:val="1"/>
                <w:color w:val="auto"/>
              </w:rPr>
            </w:pPr>
          </w:p>
        </w:tc>
      </w:tr>
      <w:tr>
        <w:trPr>
          <w:trHeight w:val="187"/>
        </w:trPr>
        <w:tc>
          <w:tcPr>
            <w:tcW w:w="8560" w:type="dxa"/>
            <w:vAlign w:val="bottom"/>
            <w:gridSpan w:val="2"/>
          </w:tcPr>
          <w:p>
            <w:pPr>
              <w:ind w:left="120"/>
              <w:spacing w:after="0"/>
              <w:rPr>
                <w:sz w:val="20"/>
                <w:szCs w:val="20"/>
                <w:color w:val="auto"/>
              </w:rPr>
            </w:pPr>
            <w:r>
              <w:rPr>
                <w:rFonts w:ascii="Arial" w:cs="Arial" w:eastAsia="Arial" w:hAnsi="Arial"/>
                <w:sz w:val="14"/>
                <w:szCs w:val="14"/>
                <w:color w:val="auto"/>
              </w:rPr>
              <w:t>Deferred tax liabilities</w:t>
            </w:r>
          </w:p>
        </w:tc>
        <w:tc>
          <w:tcPr>
            <w:tcW w:w="140" w:type="dxa"/>
            <w:vAlign w:val="bottom"/>
          </w:tcPr>
          <w:p>
            <w:pPr>
              <w:spacing w:after="0"/>
              <w:rPr>
                <w:sz w:val="16"/>
                <w:szCs w:val="16"/>
                <w:color w:val="auto"/>
              </w:rPr>
            </w:pPr>
          </w:p>
        </w:tc>
        <w:tc>
          <w:tcPr>
            <w:tcW w:w="1120" w:type="dxa"/>
            <w:vAlign w:val="bottom"/>
          </w:tcPr>
          <w:p>
            <w:pPr>
              <w:jc w:val="right"/>
              <w:ind w:right="9"/>
              <w:spacing w:after="0"/>
              <w:rPr>
                <w:sz w:val="20"/>
                <w:szCs w:val="20"/>
                <w:color w:val="auto"/>
              </w:rPr>
            </w:pPr>
            <w:r>
              <w:rPr>
                <w:rFonts w:ascii="Arial" w:cs="Arial" w:eastAsia="Arial" w:hAnsi="Arial"/>
                <w:sz w:val="14"/>
                <w:szCs w:val="14"/>
                <w:color w:val="auto"/>
              </w:rPr>
              <w:t>65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85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Accounts payable, accrued expenses and other liabilities</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457,942</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491,818</w:t>
            </w:r>
          </w:p>
        </w:tc>
        <w:tc>
          <w:tcPr>
            <w:tcW w:w="0" w:type="dxa"/>
            <w:vAlign w:val="bottom"/>
          </w:tcPr>
          <w:p>
            <w:pPr>
              <w:spacing w:after="0"/>
              <w:rPr>
                <w:sz w:val="1"/>
                <w:szCs w:val="1"/>
                <w:color w:val="auto"/>
              </w:rPr>
            </w:pPr>
          </w:p>
        </w:tc>
      </w:tr>
      <w:tr>
        <w:trPr>
          <w:trHeight w:val="187"/>
        </w:trPr>
        <w:tc>
          <w:tcPr>
            <w:tcW w:w="8560" w:type="dxa"/>
            <w:vAlign w:val="bottom"/>
            <w:gridSpan w:val="2"/>
          </w:tcPr>
          <w:p>
            <w:pPr>
              <w:ind w:left="120"/>
              <w:spacing w:after="0"/>
              <w:rPr>
                <w:sz w:val="20"/>
                <w:szCs w:val="20"/>
                <w:color w:val="auto"/>
              </w:rPr>
            </w:pPr>
            <w:r>
              <w:rPr>
                <w:rFonts w:ascii="Arial" w:cs="Arial" w:eastAsia="Arial" w:hAnsi="Arial"/>
                <w:sz w:val="14"/>
                <w:szCs w:val="14"/>
                <w:color w:val="auto"/>
              </w:rPr>
              <w:t>Operating lease liabilities</w:t>
            </w:r>
          </w:p>
        </w:tc>
        <w:tc>
          <w:tcPr>
            <w:tcW w:w="140" w:type="dxa"/>
            <w:vAlign w:val="bottom"/>
          </w:tcPr>
          <w:p>
            <w:pPr>
              <w:spacing w:after="0"/>
              <w:rPr>
                <w:sz w:val="16"/>
                <w:szCs w:val="16"/>
                <w:color w:val="auto"/>
              </w:rPr>
            </w:pPr>
          </w:p>
        </w:tc>
        <w:tc>
          <w:tcPr>
            <w:tcW w:w="1120" w:type="dxa"/>
            <w:vAlign w:val="bottom"/>
          </w:tcPr>
          <w:p>
            <w:pPr>
              <w:jc w:val="right"/>
              <w:ind w:right="9"/>
              <w:spacing w:after="0"/>
              <w:rPr>
                <w:sz w:val="20"/>
                <w:szCs w:val="20"/>
                <w:color w:val="auto"/>
              </w:rPr>
            </w:pPr>
            <w:r>
              <w:rPr>
                <w:rFonts w:ascii="Arial" w:cs="Arial" w:eastAsia="Arial" w:hAnsi="Arial"/>
                <w:sz w:val="14"/>
                <w:szCs w:val="14"/>
                <w:color w:val="auto"/>
              </w:rPr>
              <w:t>278,745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315,340</w:t>
            </w:r>
          </w:p>
        </w:tc>
        <w:tc>
          <w:tcPr>
            <w:tcW w:w="0" w:type="dxa"/>
            <w:vAlign w:val="bottom"/>
          </w:tcPr>
          <w:p>
            <w:pPr>
              <w:spacing w:after="0"/>
              <w:rPr>
                <w:sz w:val="1"/>
                <w:szCs w:val="1"/>
                <w:color w:val="auto"/>
              </w:rPr>
            </w:pPr>
          </w:p>
        </w:tc>
      </w:tr>
      <w:tr>
        <w:trPr>
          <w:trHeight w:val="192"/>
        </w:trPr>
        <w:tc>
          <w:tcPr>
            <w:tcW w:w="85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Long-term borrowings</w:t>
            </w:r>
          </w:p>
        </w:tc>
        <w:tc>
          <w:tcPr>
            <w:tcW w:w="1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1,605,132</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1,639,280</w:t>
            </w:r>
          </w:p>
        </w:tc>
        <w:tc>
          <w:tcPr>
            <w:tcW w:w="0" w:type="dxa"/>
            <w:vAlign w:val="bottom"/>
          </w:tcPr>
          <w:p>
            <w:pPr>
              <w:spacing w:after="0"/>
              <w:rPr>
                <w:sz w:val="1"/>
                <w:szCs w:val="1"/>
                <w:color w:val="auto"/>
              </w:rPr>
            </w:pPr>
          </w:p>
        </w:tc>
      </w:tr>
      <w:tr>
        <w:trPr>
          <w:trHeight w:val="179"/>
        </w:trPr>
        <w:tc>
          <w:tcPr>
            <w:tcW w:w="8560" w:type="dxa"/>
            <w:vAlign w:val="bottom"/>
            <w:gridSpan w:val="2"/>
          </w:tcPr>
          <w:p>
            <w:pPr>
              <w:ind w:left="180"/>
              <w:spacing w:after="0"/>
              <w:rPr>
                <w:sz w:val="20"/>
                <w:szCs w:val="20"/>
                <w:color w:val="auto"/>
              </w:rPr>
            </w:pPr>
            <w:r>
              <w:rPr>
                <w:rFonts w:ascii="Arial" w:cs="Arial" w:eastAsia="Arial" w:hAnsi="Arial"/>
                <w:sz w:val="14"/>
                <w:szCs w:val="14"/>
                <w:color w:val="auto"/>
              </w:rPr>
              <w:t>Total liabilities</w:t>
            </w:r>
          </w:p>
        </w:tc>
        <w:tc>
          <w:tcPr>
            <w:tcW w:w="140" w:type="dxa"/>
            <w:vAlign w:val="bottom"/>
          </w:tcPr>
          <w:p>
            <w:pPr>
              <w:spacing w:after="0"/>
              <w:rPr>
                <w:sz w:val="15"/>
                <w:szCs w:val="15"/>
                <w:color w:val="auto"/>
              </w:rPr>
            </w:pPr>
          </w:p>
        </w:tc>
        <w:tc>
          <w:tcPr>
            <w:tcW w:w="1120" w:type="dxa"/>
            <w:vAlign w:val="bottom"/>
          </w:tcPr>
          <w:p>
            <w:pPr>
              <w:jc w:val="right"/>
              <w:ind w:right="9"/>
              <w:spacing w:after="0"/>
              <w:rPr>
                <w:sz w:val="20"/>
                <w:szCs w:val="20"/>
                <w:color w:val="auto"/>
              </w:rPr>
            </w:pPr>
            <w:r>
              <w:rPr>
                <w:rFonts w:ascii="Arial" w:cs="Arial" w:eastAsia="Arial" w:hAnsi="Arial"/>
                <w:sz w:val="14"/>
                <w:szCs w:val="14"/>
                <w:color w:val="auto"/>
              </w:rPr>
              <w:t>8,456,353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8,110,760</w:t>
            </w:r>
          </w:p>
        </w:tc>
        <w:tc>
          <w:tcPr>
            <w:tcW w:w="0" w:type="dxa"/>
            <w:vAlign w:val="bottom"/>
          </w:tcPr>
          <w:p>
            <w:pPr>
              <w:spacing w:after="0"/>
              <w:rPr>
                <w:sz w:val="1"/>
                <w:szCs w:val="1"/>
                <w:color w:val="auto"/>
              </w:rPr>
            </w:pPr>
          </w:p>
        </w:tc>
      </w:tr>
      <w:tr>
        <w:trPr>
          <w:trHeight w:val="145"/>
        </w:trPr>
        <w:tc>
          <w:tcPr>
            <w:tcW w:w="8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8560" w:type="dxa"/>
            <w:vAlign w:val="bottom"/>
            <w:gridSpan w:val="2"/>
          </w:tcPr>
          <w:p>
            <w:pPr>
              <w:spacing w:after="0"/>
              <w:rPr>
                <w:sz w:val="20"/>
                <w:szCs w:val="20"/>
                <w:color w:val="auto"/>
              </w:rPr>
            </w:pPr>
            <w:r>
              <w:rPr>
                <w:rFonts w:ascii="Arial" w:cs="Arial" w:eastAsia="Arial" w:hAnsi="Arial"/>
                <w:sz w:val="14"/>
                <w:szCs w:val="14"/>
                <w:color w:val="auto"/>
              </w:rPr>
              <w:t>Commitments and Contingencies (Note 16)</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560" w:type="dxa"/>
            <w:vAlign w:val="bottom"/>
            <w:gridSpan w:val="2"/>
          </w:tcPr>
          <w:p>
            <w:pPr>
              <w:spacing w:after="0"/>
              <w:rPr>
                <w:sz w:val="20"/>
                <w:szCs w:val="20"/>
                <w:color w:val="auto"/>
              </w:rPr>
            </w:pPr>
            <w:r>
              <w:rPr>
                <w:rFonts w:ascii="Arial" w:cs="Arial" w:eastAsia="Arial" w:hAnsi="Arial"/>
                <w:sz w:val="14"/>
                <w:szCs w:val="14"/>
                <w:color w:val="auto"/>
              </w:rPr>
              <w:t>Virtu Financial Inc. Stockholders' equity</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8560" w:type="dxa"/>
            <w:vAlign w:val="bottom"/>
            <w:gridSpan w:val="2"/>
            <w:shd w:val="clear" w:color="auto" w:fill="CCEEFF"/>
          </w:tcPr>
          <w:p>
            <w:pPr>
              <w:ind w:left="120"/>
              <w:spacing w:after="0" w:line="148" w:lineRule="exact"/>
              <w:rPr>
                <w:sz w:val="20"/>
                <w:szCs w:val="20"/>
                <w:color w:val="auto"/>
              </w:rPr>
            </w:pPr>
            <w:r>
              <w:rPr>
                <w:rFonts w:ascii="Arial" w:cs="Arial" w:eastAsia="Arial" w:hAnsi="Arial"/>
                <w:sz w:val="14"/>
                <w:szCs w:val="14"/>
                <w:color w:val="auto"/>
                <w:w w:val="95"/>
              </w:rPr>
              <w:t>Class A common stock (par value $0.00001), Authorized — 1,000,000,000 and 1,000,000,000 shares, Issued — 131,497,645 and 125,627,277</w:t>
            </w:r>
          </w:p>
        </w:tc>
        <w:tc>
          <w:tcPr>
            <w:tcW w:w="14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6"/>
        </w:trPr>
        <w:tc>
          <w:tcPr>
            <w:tcW w:w="85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shares, Outstanding — 113,170,782 and 122,012,180 shares at December 31, 2021 and December 31, 2020, respectively</w:t>
            </w:r>
          </w:p>
        </w:tc>
        <w:tc>
          <w:tcPr>
            <w:tcW w:w="14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8560" w:type="dxa"/>
            <w:vAlign w:val="bottom"/>
            <w:gridSpan w:val="2"/>
          </w:tcPr>
          <w:p>
            <w:pPr>
              <w:ind w:left="120"/>
              <w:spacing w:after="0" w:line="145" w:lineRule="exact"/>
              <w:rPr>
                <w:sz w:val="20"/>
                <w:szCs w:val="20"/>
                <w:color w:val="auto"/>
              </w:rPr>
            </w:pPr>
            <w:r>
              <w:rPr>
                <w:rFonts w:ascii="Arial" w:cs="Arial" w:eastAsia="Arial" w:hAnsi="Arial"/>
                <w:sz w:val="14"/>
                <w:szCs w:val="14"/>
                <w:color w:val="auto"/>
                <w:w w:val="94"/>
              </w:rPr>
              <w:t>Class B common stock (par value $0.00001), Authorized — 175,000,000 and 175,000,000 shares, Issued and Outstanding — 0 and 0 shares at</w:t>
            </w:r>
          </w:p>
        </w:tc>
        <w:tc>
          <w:tcPr>
            <w:tcW w:w="140" w:type="dxa"/>
            <w:vAlign w:val="bottom"/>
          </w:tcPr>
          <w:p>
            <w:pPr>
              <w:spacing w:after="0"/>
              <w:rPr>
                <w:sz w:val="12"/>
                <w:szCs w:val="12"/>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8560" w:type="dxa"/>
            <w:vAlign w:val="bottom"/>
            <w:gridSpan w:val="2"/>
          </w:tcPr>
          <w:p>
            <w:pPr>
              <w:ind w:left="120"/>
              <w:spacing w:after="0"/>
              <w:rPr>
                <w:sz w:val="20"/>
                <w:szCs w:val="20"/>
                <w:color w:val="auto"/>
              </w:rPr>
            </w:pPr>
            <w:r>
              <w:rPr>
                <w:rFonts w:ascii="Arial" w:cs="Arial" w:eastAsia="Arial" w:hAnsi="Arial"/>
                <w:sz w:val="14"/>
                <w:szCs w:val="14"/>
                <w:color w:val="auto"/>
              </w:rPr>
              <w:t>December 31, 2021 and December 31, 2020, respectively</w:t>
            </w:r>
          </w:p>
        </w:tc>
        <w:tc>
          <w:tcPr>
            <w:tcW w:w="14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8560" w:type="dxa"/>
            <w:vAlign w:val="bottom"/>
            <w:gridSpan w:val="2"/>
            <w:shd w:val="clear" w:color="auto" w:fill="CCEEFF"/>
          </w:tcPr>
          <w:p>
            <w:pPr>
              <w:ind w:left="120"/>
              <w:spacing w:after="0" w:line="148" w:lineRule="exact"/>
              <w:rPr>
                <w:sz w:val="20"/>
                <w:szCs w:val="20"/>
                <w:color w:val="auto"/>
              </w:rPr>
            </w:pPr>
            <w:r>
              <w:rPr>
                <w:rFonts w:ascii="Arial" w:cs="Arial" w:eastAsia="Arial" w:hAnsi="Arial"/>
                <w:sz w:val="14"/>
                <w:szCs w:val="14"/>
                <w:color w:val="auto"/>
                <w:w w:val="98"/>
              </w:rPr>
              <w:t>Class C common stock (par value $0.00001), Authorized — 90,000,000 and 90,000,000 shares, Issued and Outstanding — 9,359,065 and</w:t>
            </w:r>
          </w:p>
        </w:tc>
        <w:tc>
          <w:tcPr>
            <w:tcW w:w="140" w:type="dxa"/>
            <w:vAlign w:val="bottom"/>
            <w:shd w:val="clear" w:color="auto" w:fill="CCEEFF"/>
          </w:tcPr>
          <w:p>
            <w:pPr>
              <w:spacing w:after="0"/>
              <w:rPr>
                <w:sz w:val="12"/>
                <w:szCs w:val="12"/>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85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10,226,939 shares at December 31, 2021 and December 31, 2020, respectively</w:t>
            </w:r>
          </w:p>
        </w:tc>
        <w:tc>
          <w:tcPr>
            <w:tcW w:w="140" w:type="dxa"/>
            <w:vAlign w:val="bottom"/>
            <w:shd w:val="clear" w:color="auto" w:fill="CCEEFF"/>
          </w:tcPr>
          <w:p>
            <w:pPr>
              <w:spacing w:after="0"/>
              <w:rPr>
                <w:sz w:val="16"/>
                <w:szCs w:val="16"/>
                <w:color w:val="auto"/>
              </w:rPr>
            </w:pPr>
          </w:p>
        </w:tc>
        <w:tc>
          <w:tcPr>
            <w:tcW w:w="12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8560" w:type="dxa"/>
            <w:vAlign w:val="bottom"/>
            <w:gridSpan w:val="2"/>
          </w:tcPr>
          <w:p>
            <w:pPr>
              <w:ind w:left="120"/>
              <w:spacing w:after="0" w:line="145" w:lineRule="exact"/>
              <w:rPr>
                <w:sz w:val="20"/>
                <w:szCs w:val="20"/>
                <w:color w:val="auto"/>
              </w:rPr>
            </w:pPr>
            <w:r>
              <w:rPr>
                <w:rFonts w:ascii="Arial" w:cs="Arial" w:eastAsia="Arial" w:hAnsi="Arial"/>
                <w:sz w:val="14"/>
                <w:szCs w:val="14"/>
                <w:color w:val="auto"/>
                <w:w w:val="95"/>
              </w:rPr>
              <w:t>Class D common stock (par value $0.00001), Authorized — 175,000,000 and 175,000,000 shares, Issued and Outstanding — 60,091,740 and</w:t>
            </w:r>
          </w:p>
        </w:tc>
        <w:tc>
          <w:tcPr>
            <w:tcW w:w="140" w:type="dxa"/>
            <w:vAlign w:val="bottom"/>
          </w:tcPr>
          <w:p>
            <w:pPr>
              <w:spacing w:after="0"/>
              <w:rPr>
                <w:sz w:val="12"/>
                <w:szCs w:val="12"/>
                <w:color w:val="auto"/>
              </w:rPr>
            </w:pPr>
          </w:p>
        </w:tc>
        <w:tc>
          <w:tcPr>
            <w:tcW w:w="1120" w:type="dxa"/>
            <w:vAlign w:val="bottom"/>
            <w:vMerge w:val="restart"/>
          </w:tcPr>
          <w:p>
            <w:pPr>
              <w:jc w:val="right"/>
              <w:ind w:right="9"/>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3"/>
        </w:trPr>
        <w:tc>
          <w:tcPr>
            <w:tcW w:w="8560" w:type="dxa"/>
            <w:vAlign w:val="bottom"/>
            <w:gridSpan w:val="2"/>
          </w:tcPr>
          <w:p>
            <w:pPr>
              <w:ind w:left="120"/>
              <w:spacing w:after="0"/>
              <w:rPr>
                <w:sz w:val="20"/>
                <w:szCs w:val="20"/>
                <w:color w:val="auto"/>
              </w:rPr>
            </w:pPr>
            <w:r>
              <w:rPr>
                <w:rFonts w:ascii="Arial" w:cs="Arial" w:eastAsia="Arial" w:hAnsi="Arial"/>
                <w:sz w:val="14"/>
                <w:szCs w:val="14"/>
                <w:color w:val="auto"/>
              </w:rPr>
              <w:t>60,091,740 shares at December 31, 2021 and December 31, 2020, respectively</w:t>
            </w:r>
          </w:p>
        </w:tc>
        <w:tc>
          <w:tcPr>
            <w:tcW w:w="14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85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Treasury stock, at cost, 18,326,863 and 3,615,097 shares at December 31, 2021 and December 31, 2020, respectively</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(494,075)</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(88,923)</w:t>
            </w:r>
          </w:p>
        </w:tc>
        <w:tc>
          <w:tcPr>
            <w:tcW w:w="0" w:type="dxa"/>
            <w:vAlign w:val="bottom"/>
          </w:tcPr>
          <w:p>
            <w:pPr>
              <w:spacing w:after="0"/>
              <w:rPr>
                <w:sz w:val="1"/>
                <w:szCs w:val="1"/>
                <w:color w:val="auto"/>
              </w:rPr>
            </w:pPr>
          </w:p>
        </w:tc>
      </w:tr>
      <w:tr>
        <w:trPr>
          <w:trHeight w:val="187"/>
        </w:trPr>
        <w:tc>
          <w:tcPr>
            <w:tcW w:w="8560" w:type="dxa"/>
            <w:vAlign w:val="bottom"/>
            <w:gridSpan w:val="2"/>
          </w:tcPr>
          <w:p>
            <w:pPr>
              <w:ind w:left="120"/>
              <w:spacing w:after="0"/>
              <w:rPr>
                <w:sz w:val="20"/>
                <w:szCs w:val="20"/>
                <w:color w:val="auto"/>
              </w:rPr>
            </w:pPr>
            <w:r>
              <w:rPr>
                <w:rFonts w:ascii="Arial" w:cs="Arial" w:eastAsia="Arial" w:hAnsi="Arial"/>
                <w:sz w:val="14"/>
                <w:szCs w:val="14"/>
                <w:color w:val="auto"/>
              </w:rPr>
              <w:t>Additional paid-in capital</w:t>
            </w:r>
          </w:p>
        </w:tc>
        <w:tc>
          <w:tcPr>
            <w:tcW w:w="140" w:type="dxa"/>
            <w:vAlign w:val="bottom"/>
          </w:tcPr>
          <w:p>
            <w:pPr>
              <w:spacing w:after="0"/>
              <w:rPr>
                <w:sz w:val="16"/>
                <w:szCs w:val="16"/>
                <w:color w:val="auto"/>
              </w:rPr>
            </w:pPr>
          </w:p>
        </w:tc>
        <w:tc>
          <w:tcPr>
            <w:tcW w:w="1120" w:type="dxa"/>
            <w:vAlign w:val="bottom"/>
          </w:tcPr>
          <w:p>
            <w:pPr>
              <w:jc w:val="right"/>
              <w:ind w:right="9"/>
              <w:spacing w:after="0"/>
              <w:rPr>
                <w:sz w:val="20"/>
                <w:szCs w:val="20"/>
                <w:color w:val="auto"/>
              </w:rPr>
            </w:pPr>
            <w:r>
              <w:rPr>
                <w:rFonts w:ascii="Arial" w:cs="Arial" w:eastAsia="Arial" w:hAnsi="Arial"/>
                <w:sz w:val="14"/>
                <w:szCs w:val="14"/>
                <w:color w:val="auto"/>
              </w:rPr>
              <w:t>1,223,119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1,160,567</w:t>
            </w:r>
          </w:p>
        </w:tc>
        <w:tc>
          <w:tcPr>
            <w:tcW w:w="0" w:type="dxa"/>
            <w:vAlign w:val="bottom"/>
          </w:tcPr>
          <w:p>
            <w:pPr>
              <w:spacing w:after="0"/>
              <w:rPr>
                <w:sz w:val="1"/>
                <w:szCs w:val="1"/>
                <w:color w:val="auto"/>
              </w:rPr>
            </w:pPr>
          </w:p>
        </w:tc>
      </w:tr>
      <w:tr>
        <w:trPr>
          <w:trHeight w:val="192"/>
        </w:trPr>
        <w:tc>
          <w:tcPr>
            <w:tcW w:w="85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Retained earnings (accumulated deficit)</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830,538</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422,381</w:t>
            </w:r>
          </w:p>
        </w:tc>
        <w:tc>
          <w:tcPr>
            <w:tcW w:w="0" w:type="dxa"/>
            <w:vAlign w:val="bottom"/>
          </w:tcPr>
          <w:p>
            <w:pPr>
              <w:spacing w:after="0"/>
              <w:rPr>
                <w:sz w:val="1"/>
                <w:szCs w:val="1"/>
                <w:color w:val="auto"/>
              </w:rPr>
            </w:pPr>
          </w:p>
        </w:tc>
      </w:tr>
      <w:tr>
        <w:trPr>
          <w:trHeight w:val="187"/>
        </w:trPr>
        <w:tc>
          <w:tcPr>
            <w:tcW w:w="8560" w:type="dxa"/>
            <w:vAlign w:val="bottom"/>
            <w:gridSpan w:val="2"/>
          </w:tcPr>
          <w:p>
            <w:pPr>
              <w:ind w:left="120"/>
              <w:spacing w:after="0"/>
              <w:rPr>
                <w:sz w:val="20"/>
                <w:szCs w:val="20"/>
                <w:color w:val="auto"/>
              </w:rPr>
            </w:pPr>
            <w:r>
              <w:rPr>
                <w:rFonts w:ascii="Arial" w:cs="Arial" w:eastAsia="Arial" w:hAnsi="Arial"/>
                <w:sz w:val="14"/>
                <w:szCs w:val="14"/>
                <w:color w:val="auto"/>
              </w:rPr>
              <w:t>Accumulated other comprehensive income (loss)</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(10,196)</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(25,487)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77" w:name="page78"/>
    <w:bookmarkEnd w:id="7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Virtu Financial, Inc. and Subsidiaries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Financial Condition</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0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 data)</w:t>
            </w:r>
          </w:p>
        </w:tc>
        <w:tc>
          <w:tcPr>
            <w:tcW w:w="5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80" w:type="dxa"/>
            <w:vAlign w:val="bottom"/>
          </w:tcPr>
          <w:p>
            <w:pPr>
              <w:spacing w:after="0"/>
              <w:rPr>
                <w:sz w:val="16"/>
                <w:szCs w:val="16"/>
                <w:color w:val="auto"/>
              </w:rPr>
            </w:pPr>
          </w:p>
        </w:tc>
        <w:tc>
          <w:tcPr>
            <w:tcW w:w="3020" w:type="dxa"/>
            <w:vAlign w:val="bottom"/>
            <w:tcBorders>
              <w:bottom w:val="single" w:sz="8" w:color="auto"/>
            </w:tcBorders>
            <w:vMerge w:val="continue"/>
          </w:tcPr>
          <w:p>
            <w:pPr>
              <w:spacing w:after="0"/>
              <w:rPr>
                <w:sz w:val="16"/>
                <w:szCs w:val="16"/>
                <w:color w:val="auto"/>
              </w:rPr>
            </w:pPr>
          </w:p>
        </w:tc>
        <w:tc>
          <w:tcPr>
            <w:tcW w:w="54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80" w:type="dxa"/>
            <w:vAlign w:val="bottom"/>
          </w:tcPr>
          <w:p>
            <w:pPr>
              <w:spacing w:after="0"/>
              <w:rPr>
                <w:sz w:val="15"/>
                <w:szCs w:val="15"/>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4"/>
                <w:szCs w:val="14"/>
                <w:color w:val="auto"/>
              </w:rPr>
              <w:t>Total Virtu Financial Inc. stockholders' equity</w:t>
            </w:r>
          </w:p>
        </w:tc>
        <w:tc>
          <w:tcPr>
            <w:tcW w:w="5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1,549,388</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1,468,540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30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Noncontrolling interest</w:t>
            </w:r>
          </w:p>
        </w:tc>
        <w:tc>
          <w:tcPr>
            <w:tcW w:w="5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314,230</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386,498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3020" w:type="dxa"/>
            <w:vAlign w:val="bottom"/>
          </w:tcPr>
          <w:p>
            <w:pPr>
              <w:spacing w:after="0"/>
              <w:rPr>
                <w:sz w:val="20"/>
                <w:szCs w:val="20"/>
                <w:color w:val="auto"/>
              </w:rPr>
            </w:pPr>
            <w:r>
              <w:rPr>
                <w:rFonts w:ascii="Arial" w:cs="Arial" w:eastAsia="Arial" w:hAnsi="Arial"/>
                <w:sz w:val="14"/>
                <w:szCs w:val="14"/>
                <w:color w:val="auto"/>
              </w:rPr>
              <w:t>Total equity</w:t>
            </w:r>
          </w:p>
        </w:tc>
        <w:tc>
          <w:tcPr>
            <w:tcW w:w="5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9"/>
              <w:spacing w:after="0"/>
              <w:rPr>
                <w:sz w:val="20"/>
                <w:szCs w:val="20"/>
                <w:color w:val="auto"/>
              </w:rPr>
            </w:pPr>
            <w:r>
              <w:rPr>
                <w:rFonts w:ascii="Arial" w:cs="Arial" w:eastAsia="Arial" w:hAnsi="Arial"/>
                <w:sz w:val="14"/>
                <w:szCs w:val="14"/>
                <w:color w:val="auto"/>
              </w:rPr>
              <w:t>1,863,618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1,855,038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3020" w:type="dxa"/>
            <w:vAlign w:val="bottom"/>
            <w:shd w:val="clear" w:color="auto" w:fill="CCEEFF"/>
          </w:tcPr>
          <w:p>
            <w:pPr>
              <w:spacing w:after="0"/>
              <w:rPr>
                <w:sz w:val="16"/>
                <w:szCs w:val="16"/>
                <w:color w:val="auto"/>
              </w:rPr>
            </w:pPr>
          </w:p>
        </w:tc>
        <w:tc>
          <w:tcPr>
            <w:tcW w:w="5540" w:type="dxa"/>
            <w:vAlign w:val="bottom"/>
            <w:gridSpan w:val="2"/>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3020" w:type="dxa"/>
            <w:vAlign w:val="bottom"/>
          </w:tcPr>
          <w:p>
            <w:pPr>
              <w:spacing w:after="0"/>
              <w:rPr>
                <w:sz w:val="20"/>
                <w:szCs w:val="20"/>
                <w:color w:val="auto"/>
              </w:rPr>
            </w:pPr>
            <w:r>
              <w:rPr>
                <w:rFonts w:ascii="Arial" w:cs="Arial" w:eastAsia="Arial" w:hAnsi="Arial"/>
                <w:sz w:val="14"/>
                <w:szCs w:val="14"/>
                <w:color w:val="auto"/>
              </w:rPr>
              <w:t>Total liabilities and equity</w:t>
            </w:r>
          </w:p>
        </w:tc>
        <w:tc>
          <w:tcPr>
            <w:tcW w:w="568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9"/>
              <w:spacing w:after="0"/>
              <w:rPr>
                <w:sz w:val="20"/>
                <w:szCs w:val="20"/>
                <w:color w:val="auto"/>
              </w:rPr>
            </w:pPr>
            <w:r>
              <w:rPr>
                <w:rFonts w:ascii="Arial" w:cs="Arial" w:eastAsia="Arial" w:hAnsi="Arial"/>
                <w:sz w:val="14"/>
                <w:szCs w:val="14"/>
                <w:color w:val="auto"/>
              </w:rPr>
              <w:t>10,319,971</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9,965,798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554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8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5680" w:type="dxa"/>
            <w:vAlign w:val="bottom"/>
            <w:gridSpan w:val="3"/>
          </w:tcPr>
          <w:p>
            <w:pPr>
              <w:jc w:val="center"/>
              <w:ind w:right="620"/>
              <w:spacing w:after="0"/>
              <w:rPr>
                <w:sz w:val="20"/>
                <w:szCs w:val="20"/>
                <w:color w:val="auto"/>
              </w:rPr>
            </w:pPr>
            <w:r>
              <w:rPr>
                <w:rFonts w:ascii="Arial" w:cs="Arial" w:eastAsia="Arial" w:hAnsi="Arial"/>
                <w:sz w:val="16"/>
                <w:szCs w:val="16"/>
                <w:color w:val="auto"/>
                <w:w w:val="88"/>
              </w:rPr>
              <w:t>See accompanying Notes to the Consolidated Financial Statements.</w:t>
            </w: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75"/>
        </w:trPr>
        <w:tc>
          <w:tcPr>
            <w:tcW w:w="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5460" w:type="dxa"/>
            <w:vAlign w:val="bottom"/>
          </w:tcPr>
          <w:p>
            <w:pPr>
              <w:jc w:val="right"/>
              <w:ind w:right="2784"/>
              <w:spacing w:after="0"/>
              <w:rPr>
                <w:sz w:val="20"/>
                <w:szCs w:val="20"/>
                <w:color w:val="auto"/>
              </w:rPr>
            </w:pPr>
            <w:r>
              <w:rPr>
                <w:rFonts w:ascii="Arial" w:cs="Arial" w:eastAsia="Arial" w:hAnsi="Arial"/>
                <w:sz w:val="16"/>
                <w:szCs w:val="16"/>
                <w:color w:val="auto"/>
              </w:rPr>
              <w:t>78</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80" w:type="dxa"/>
            <w:vAlign w:val="bottom"/>
            <w:tcBorders>
              <w:bottom w:val="single" w:sz="8" w:color="9A9A9A"/>
            </w:tcBorders>
          </w:tcPr>
          <w:p>
            <w:pPr>
              <w:spacing w:after="0"/>
              <w:rPr>
                <w:sz w:val="8"/>
                <w:szCs w:val="8"/>
                <w:color w:val="auto"/>
              </w:rPr>
            </w:pPr>
          </w:p>
        </w:tc>
        <w:tc>
          <w:tcPr>
            <w:tcW w:w="3020" w:type="dxa"/>
            <w:vAlign w:val="bottom"/>
            <w:tcBorders>
              <w:bottom w:val="single" w:sz="8" w:color="9A9A9A"/>
            </w:tcBorders>
          </w:tcPr>
          <w:p>
            <w:pPr>
              <w:spacing w:after="0"/>
              <w:rPr>
                <w:sz w:val="8"/>
                <w:szCs w:val="8"/>
                <w:color w:val="auto"/>
              </w:rPr>
            </w:pPr>
          </w:p>
        </w:tc>
        <w:tc>
          <w:tcPr>
            <w:tcW w:w="54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7125335</wp:posOffset>
            </wp:positionH>
            <wp:positionV relativeFrom="paragraph">
              <wp:posOffset>-27305</wp:posOffset>
            </wp:positionV>
            <wp:extent cx="33020" cy="406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78" w:name="page79"/>
    <w:bookmarkEnd w:id="7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ind w:right="-819"/>
        <w:spacing w:after="0"/>
        <w:rPr>
          <w:sz w:val="20"/>
          <w:szCs w:val="20"/>
          <w:color w:val="auto"/>
        </w:rPr>
      </w:pPr>
      <w:r>
        <w:rPr>
          <w:rFonts w:ascii="Arial" w:cs="Arial" w:eastAsia="Arial" w:hAnsi="Arial"/>
          <w:sz w:val="16"/>
          <w:szCs w:val="16"/>
          <w:b w:val="1"/>
          <w:bCs w:val="1"/>
          <w:color w:val="auto"/>
        </w:rPr>
        <w:t>Virtu Financial, Inc. and Subsidiaries</w:t>
      </w:r>
    </w:p>
    <w:p>
      <w:pPr>
        <w:spacing w:after="0" w:line="5" w:lineRule="exact"/>
        <w:rPr>
          <w:sz w:val="20"/>
          <w:szCs w:val="20"/>
          <w:color w:val="auto"/>
        </w:rPr>
      </w:pPr>
    </w:p>
    <w:p>
      <w:pPr>
        <w:jc w:val="center"/>
        <w:ind w:right="-819"/>
        <w:spacing w:after="0"/>
        <w:rPr>
          <w:sz w:val="20"/>
          <w:szCs w:val="20"/>
          <w:color w:val="auto"/>
        </w:rPr>
      </w:pPr>
      <w:r>
        <w:rPr>
          <w:rFonts w:ascii="Arial" w:cs="Arial" w:eastAsia="Arial" w:hAnsi="Arial"/>
          <w:sz w:val="16"/>
          <w:szCs w:val="16"/>
          <w:b w:val="1"/>
          <w:bCs w:val="1"/>
          <w:color w:val="auto"/>
        </w:rPr>
        <w:t>Consolidated Statements of Comprehensive Income (Loss)</w:t>
      </w:r>
    </w:p>
    <w:p>
      <w:pPr>
        <w:spacing w:after="0" w:line="295" w:lineRule="exact"/>
        <w:rPr>
          <w:sz w:val="20"/>
          <w:szCs w:val="20"/>
          <w:color w:val="auto"/>
        </w:rPr>
      </w:pPr>
    </w:p>
    <w:tbl>
      <w:tblPr>
        <w:tblLayout w:type="fixed"/>
        <w:tblInd w:w="840" w:type="dxa"/>
        <w:tblCellMar>
          <w:top w:w="0" w:type="dxa"/>
          <w:left w:w="0" w:type="dxa"/>
          <w:bottom w:w="0" w:type="dxa"/>
          <w:right w:w="0" w:type="dxa"/>
        </w:tblCellMar>
      </w:tblPr>
      <w:tr>
        <w:trPr>
          <w:trHeight w:val="166"/>
        </w:trPr>
        <w:tc>
          <w:tcPr>
            <w:tcW w:w="6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6"/>
          </w:tcPr>
          <w:p>
            <w:pPr>
              <w:jc w:val="right"/>
              <w:ind w:right="29"/>
              <w:spacing w:after="0"/>
              <w:rPr>
                <w:sz w:val="20"/>
                <w:szCs w:val="20"/>
                <w:color w:val="auto"/>
              </w:rPr>
            </w:pPr>
            <w:r>
              <w:rPr>
                <w:rFonts w:ascii="Arial" w:cs="Arial" w:eastAsia="Arial" w:hAnsi="Arial"/>
                <w:sz w:val="13"/>
                <w:szCs w:val="13"/>
                <w:b w:val="1"/>
                <w:bCs w:val="1"/>
                <w:color w:val="auto"/>
              </w:rPr>
              <w:t>Years Ended December 31,</w:t>
            </w:r>
          </w:p>
        </w:tc>
        <w:tc>
          <w:tcPr>
            <w:tcW w:w="900" w:type="dxa"/>
            <w:vAlign w:val="bottom"/>
            <w:tcBorders>
              <w:bottom w:val="single" w:sz="8" w:color="auto"/>
            </w:tcBorders>
          </w:tcPr>
          <w:p>
            <w:pPr>
              <w:spacing w:after="0"/>
              <w:rPr>
                <w:sz w:val="14"/>
                <w:szCs w:val="14"/>
                <w:color w:val="auto"/>
              </w:rPr>
            </w:pPr>
          </w:p>
        </w:tc>
      </w:tr>
      <w:tr>
        <w:trPr>
          <w:trHeight w:val="187"/>
        </w:trPr>
        <w:tc>
          <w:tcPr>
            <w:tcW w:w="61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 except share and per share data)</w:t>
            </w:r>
          </w:p>
        </w:tc>
        <w:tc>
          <w:tcPr>
            <w:tcW w:w="200" w:type="dxa"/>
            <w:vAlign w:val="bottom"/>
          </w:tcPr>
          <w:p>
            <w:pPr>
              <w:spacing w:after="0"/>
              <w:rPr>
                <w:sz w:val="16"/>
                <w:szCs w:val="16"/>
                <w:color w:val="auto"/>
              </w:rPr>
            </w:pPr>
          </w:p>
        </w:tc>
        <w:tc>
          <w:tcPr>
            <w:tcW w:w="880" w:type="dxa"/>
            <w:vAlign w:val="bottom"/>
          </w:tcPr>
          <w:p>
            <w:pPr>
              <w:jc w:val="right"/>
              <w:ind w:right="32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ind w:right="32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349"/>
              <w:spacing w:after="0"/>
              <w:rPr>
                <w:sz w:val="20"/>
                <w:szCs w:val="20"/>
                <w:color w:val="auto"/>
              </w:rPr>
            </w:pPr>
            <w:r>
              <w:rPr>
                <w:rFonts w:ascii="Arial" w:cs="Arial" w:eastAsia="Arial" w:hAnsi="Arial"/>
                <w:sz w:val="14"/>
                <w:szCs w:val="14"/>
                <w:b w:val="1"/>
                <w:bCs w:val="1"/>
                <w:color w:val="auto"/>
              </w:rPr>
              <w:t>2019</w:t>
            </w:r>
          </w:p>
        </w:tc>
      </w:tr>
      <w:tr>
        <w:trPr>
          <w:trHeight w:val="184"/>
        </w:trPr>
        <w:tc>
          <w:tcPr>
            <w:tcW w:w="6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r>
      <w:tr>
        <w:trPr>
          <w:trHeight w:val="187"/>
        </w:trPr>
        <w:tc>
          <w:tcPr>
            <w:tcW w:w="6140" w:type="dxa"/>
            <w:vAlign w:val="bottom"/>
            <w:gridSpan w:val="2"/>
          </w:tcPr>
          <w:p>
            <w:pPr>
              <w:ind w:left="200"/>
              <w:spacing w:after="0"/>
              <w:rPr>
                <w:sz w:val="20"/>
                <w:szCs w:val="20"/>
                <w:color w:val="auto"/>
              </w:rPr>
            </w:pPr>
            <w:r>
              <w:rPr>
                <w:rFonts w:ascii="Arial" w:cs="Arial" w:eastAsia="Arial" w:hAnsi="Arial"/>
                <w:sz w:val="14"/>
                <w:szCs w:val="14"/>
                <w:color w:val="auto"/>
              </w:rPr>
              <w:t>Trading income, net</w:t>
            </w: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2,105,194</w:t>
            </w:r>
          </w:p>
        </w:tc>
        <w:tc>
          <w:tcPr>
            <w:tcW w:w="10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2,493,248</w:t>
            </w:r>
          </w:p>
        </w:tc>
        <w:tc>
          <w:tcPr>
            <w:tcW w:w="10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912,316</w:t>
            </w:r>
          </w:p>
        </w:tc>
      </w:tr>
      <w:tr>
        <w:trPr>
          <w:trHeight w:val="192"/>
        </w:trPr>
        <w:tc>
          <w:tcPr>
            <w:tcW w:w="61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Interest and dividends income</w:t>
            </w: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75,384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62,119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108,778</w:t>
            </w:r>
          </w:p>
        </w:tc>
      </w:tr>
      <w:tr>
        <w:trPr>
          <w:trHeight w:val="187"/>
        </w:trPr>
        <w:tc>
          <w:tcPr>
            <w:tcW w:w="6140" w:type="dxa"/>
            <w:vAlign w:val="bottom"/>
            <w:gridSpan w:val="2"/>
          </w:tcPr>
          <w:p>
            <w:pPr>
              <w:ind w:left="200"/>
              <w:spacing w:after="0"/>
              <w:rPr>
                <w:sz w:val="20"/>
                <w:szCs w:val="20"/>
                <w:color w:val="auto"/>
              </w:rPr>
            </w:pPr>
            <w:r>
              <w:rPr>
                <w:rFonts w:ascii="Arial" w:cs="Arial" w:eastAsia="Arial" w:hAnsi="Arial"/>
                <w:sz w:val="14"/>
                <w:szCs w:val="14"/>
                <w:color w:val="auto"/>
              </w:rPr>
              <w:t>Commissions, net and technology services</w:t>
            </w: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614,489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600,510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498,544</w:t>
            </w:r>
          </w:p>
        </w:tc>
      </w:tr>
      <w:tr>
        <w:trPr>
          <w:trHeight w:val="192"/>
        </w:trPr>
        <w:tc>
          <w:tcPr>
            <w:tcW w:w="61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Other, net</w:t>
            </w:r>
          </w:p>
        </w:tc>
        <w:tc>
          <w:tcPr>
            <w:tcW w:w="2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16,418</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83,454</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(2,146)</w:t>
            </w:r>
          </w:p>
        </w:tc>
      </w:tr>
      <w:tr>
        <w:trPr>
          <w:trHeight w:val="179"/>
        </w:trPr>
        <w:tc>
          <w:tcPr>
            <w:tcW w:w="6140" w:type="dxa"/>
            <w:vAlign w:val="bottom"/>
            <w:gridSpan w:val="2"/>
          </w:tcPr>
          <w:p>
            <w:pPr>
              <w:ind w:left="300"/>
              <w:spacing w:after="0"/>
              <w:rPr>
                <w:sz w:val="20"/>
                <w:szCs w:val="20"/>
                <w:color w:val="auto"/>
              </w:rPr>
            </w:pPr>
            <w:r>
              <w:rPr>
                <w:rFonts w:ascii="Arial" w:cs="Arial" w:eastAsia="Arial" w:hAnsi="Arial"/>
                <w:sz w:val="14"/>
                <w:szCs w:val="14"/>
                <w:color w:val="auto"/>
              </w:rPr>
              <w:t>Total revenue</w:t>
            </w: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2,811,485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3,239,331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1,517,492</w:t>
            </w:r>
          </w:p>
        </w:tc>
      </w:tr>
      <w:tr>
        <w:trPr>
          <w:trHeight w:val="192"/>
        </w:trPr>
        <w:tc>
          <w:tcPr>
            <w:tcW w:w="6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187"/>
        </w:trPr>
        <w:tc>
          <w:tcPr>
            <w:tcW w:w="6140" w:type="dxa"/>
            <w:vAlign w:val="bottom"/>
            <w:gridSpan w:val="2"/>
          </w:tcPr>
          <w:p>
            <w:pPr>
              <w:ind w:left="20"/>
              <w:spacing w:after="0"/>
              <w:rPr>
                <w:sz w:val="20"/>
                <w:szCs w:val="20"/>
                <w:color w:val="auto"/>
              </w:rPr>
            </w:pPr>
            <w:r>
              <w:rPr>
                <w:rFonts w:ascii="Arial" w:cs="Arial" w:eastAsia="Arial" w:hAnsi="Arial"/>
                <w:sz w:val="14"/>
                <w:szCs w:val="14"/>
                <w:b w:val="1"/>
                <w:bCs w:val="1"/>
                <w:color w:val="auto"/>
              </w:rPr>
              <w:t>Operating Expenses:</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2"/>
        </w:trPr>
        <w:tc>
          <w:tcPr>
            <w:tcW w:w="61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Brokerage, exchange, clearance fees and payments for order flow, net</w:t>
            </w: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745,434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758,843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386,888</w:t>
            </w:r>
          </w:p>
        </w:tc>
      </w:tr>
      <w:tr>
        <w:trPr>
          <w:trHeight w:val="187"/>
        </w:trPr>
        <w:tc>
          <w:tcPr>
            <w:tcW w:w="6140" w:type="dxa"/>
            <w:vAlign w:val="bottom"/>
            <w:gridSpan w:val="2"/>
          </w:tcPr>
          <w:p>
            <w:pPr>
              <w:ind w:left="200"/>
              <w:spacing w:after="0"/>
              <w:rPr>
                <w:sz w:val="20"/>
                <w:szCs w:val="20"/>
                <w:color w:val="auto"/>
              </w:rPr>
            </w:pPr>
            <w:r>
              <w:rPr>
                <w:rFonts w:ascii="Arial" w:cs="Arial" w:eastAsia="Arial" w:hAnsi="Arial"/>
                <w:sz w:val="14"/>
                <w:szCs w:val="14"/>
                <w:color w:val="auto"/>
              </w:rPr>
              <w:t>Communication and data processing</w:t>
            </w: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211,988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213,750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209,393</w:t>
            </w:r>
          </w:p>
        </w:tc>
      </w:tr>
      <w:tr>
        <w:trPr>
          <w:trHeight w:val="192"/>
        </w:trPr>
        <w:tc>
          <w:tcPr>
            <w:tcW w:w="61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Employee compensation and payroll taxes</w:t>
            </w: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376,282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393,536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383,713</w:t>
            </w:r>
          </w:p>
        </w:tc>
      </w:tr>
      <w:tr>
        <w:trPr>
          <w:trHeight w:val="187"/>
        </w:trPr>
        <w:tc>
          <w:tcPr>
            <w:tcW w:w="6140" w:type="dxa"/>
            <w:vAlign w:val="bottom"/>
            <w:gridSpan w:val="2"/>
          </w:tcPr>
          <w:p>
            <w:pPr>
              <w:ind w:left="200"/>
              <w:spacing w:after="0"/>
              <w:rPr>
                <w:sz w:val="20"/>
                <w:szCs w:val="20"/>
                <w:color w:val="auto"/>
              </w:rPr>
            </w:pPr>
            <w:r>
              <w:rPr>
                <w:rFonts w:ascii="Arial" w:cs="Arial" w:eastAsia="Arial" w:hAnsi="Arial"/>
                <w:sz w:val="14"/>
                <w:szCs w:val="14"/>
                <w:color w:val="auto"/>
              </w:rPr>
              <w:t>Interest and dividends expense</w:t>
            </w: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139,704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125,649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158,039</w:t>
            </w:r>
          </w:p>
        </w:tc>
      </w:tr>
      <w:tr>
        <w:trPr>
          <w:trHeight w:val="192"/>
        </w:trPr>
        <w:tc>
          <w:tcPr>
            <w:tcW w:w="61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Operations and administrative</w:t>
            </w: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88,149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94,558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103,642</w:t>
            </w:r>
          </w:p>
        </w:tc>
      </w:tr>
      <w:tr>
        <w:trPr>
          <w:trHeight w:val="187"/>
        </w:trPr>
        <w:tc>
          <w:tcPr>
            <w:tcW w:w="6140" w:type="dxa"/>
            <w:vAlign w:val="bottom"/>
            <w:gridSpan w:val="2"/>
          </w:tcPr>
          <w:p>
            <w:pPr>
              <w:ind w:left="200"/>
              <w:spacing w:after="0"/>
              <w:rPr>
                <w:sz w:val="20"/>
                <w:szCs w:val="20"/>
                <w:color w:val="auto"/>
              </w:rPr>
            </w:pPr>
            <w:r>
              <w:rPr>
                <w:rFonts w:ascii="Arial" w:cs="Arial" w:eastAsia="Arial" w:hAnsi="Arial"/>
                <w:sz w:val="14"/>
                <w:szCs w:val="14"/>
                <w:color w:val="auto"/>
              </w:rPr>
              <w:t>Depreciation and amortization</w:t>
            </w: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67,816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66,741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65,644</w:t>
            </w:r>
          </w:p>
        </w:tc>
      </w:tr>
      <w:tr>
        <w:trPr>
          <w:trHeight w:val="192"/>
        </w:trPr>
        <w:tc>
          <w:tcPr>
            <w:tcW w:w="61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Amortization of purchased intangibles and acquired capitalized software</w:t>
            </w: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69,668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74,254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70,595</w:t>
            </w:r>
          </w:p>
        </w:tc>
      </w:tr>
      <w:tr>
        <w:trPr>
          <w:trHeight w:val="187"/>
        </w:trPr>
        <w:tc>
          <w:tcPr>
            <w:tcW w:w="6140" w:type="dxa"/>
            <w:vAlign w:val="bottom"/>
            <w:gridSpan w:val="2"/>
          </w:tcPr>
          <w:p>
            <w:pPr>
              <w:ind w:left="200"/>
              <w:spacing w:after="0"/>
              <w:rPr>
                <w:sz w:val="20"/>
                <w:szCs w:val="20"/>
                <w:color w:val="auto"/>
              </w:rPr>
            </w:pPr>
            <w:r>
              <w:rPr>
                <w:rFonts w:ascii="Arial" w:cs="Arial" w:eastAsia="Arial" w:hAnsi="Arial"/>
                <w:sz w:val="14"/>
                <w:szCs w:val="14"/>
                <w:color w:val="auto"/>
              </w:rPr>
              <w:t>Termination of office leases</w:t>
            </w: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28,138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9,608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66,452</w:t>
            </w:r>
          </w:p>
        </w:tc>
      </w:tr>
      <w:tr>
        <w:trPr>
          <w:trHeight w:val="192"/>
        </w:trPr>
        <w:tc>
          <w:tcPr>
            <w:tcW w:w="61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Debt issue cost related to debt refinancing, prepayment and commitment fees</w:t>
            </w: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6,590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28,879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41,132</w:t>
            </w:r>
          </w:p>
        </w:tc>
      </w:tr>
      <w:tr>
        <w:trPr>
          <w:trHeight w:val="187"/>
        </w:trPr>
        <w:tc>
          <w:tcPr>
            <w:tcW w:w="6140" w:type="dxa"/>
            <w:vAlign w:val="bottom"/>
            <w:gridSpan w:val="2"/>
          </w:tcPr>
          <w:p>
            <w:pPr>
              <w:ind w:left="200"/>
              <w:spacing w:after="0"/>
              <w:rPr>
                <w:sz w:val="20"/>
                <w:szCs w:val="20"/>
                <w:color w:val="auto"/>
              </w:rPr>
            </w:pPr>
            <w:r>
              <w:rPr>
                <w:rFonts w:ascii="Arial" w:cs="Arial" w:eastAsia="Arial" w:hAnsi="Arial"/>
                <w:sz w:val="14"/>
                <w:szCs w:val="14"/>
                <w:color w:val="auto"/>
              </w:rPr>
              <w:t>Transaction advisory fees and expenses</w:t>
            </w: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843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2,941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26,117</w:t>
            </w:r>
          </w:p>
        </w:tc>
      </w:tr>
      <w:tr>
        <w:trPr>
          <w:trHeight w:val="192"/>
        </w:trPr>
        <w:tc>
          <w:tcPr>
            <w:tcW w:w="61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Financing interest expense on long-term borrowings</w:t>
            </w:r>
          </w:p>
        </w:tc>
        <w:tc>
          <w:tcPr>
            <w:tcW w:w="2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79,969</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87,735</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121,859</w:t>
            </w:r>
          </w:p>
        </w:tc>
      </w:tr>
      <w:tr>
        <w:trPr>
          <w:trHeight w:val="179"/>
        </w:trPr>
        <w:tc>
          <w:tcPr>
            <w:tcW w:w="6140" w:type="dxa"/>
            <w:vAlign w:val="bottom"/>
            <w:tcBorders>
              <w:bottom w:val="single" w:sz="8" w:color="CCEEFF"/>
            </w:tcBorders>
            <w:gridSpan w:val="2"/>
          </w:tcPr>
          <w:p>
            <w:pPr>
              <w:ind w:left="300"/>
              <w:spacing w:after="0"/>
              <w:rPr>
                <w:sz w:val="20"/>
                <w:szCs w:val="20"/>
                <w:color w:val="auto"/>
              </w:rPr>
            </w:pPr>
            <w:r>
              <w:rPr>
                <w:rFonts w:ascii="Arial" w:cs="Arial" w:eastAsia="Arial" w:hAnsi="Arial"/>
                <w:sz w:val="14"/>
                <w:szCs w:val="14"/>
                <w:color w:val="auto"/>
              </w:rPr>
              <w:t>Total operating expenses</w:t>
            </w: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1,814,581</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1,856,494</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1,633,474</w:t>
            </w:r>
          </w:p>
        </w:tc>
      </w:tr>
      <w:tr>
        <w:trPr>
          <w:trHeight w:val="184"/>
        </w:trPr>
        <w:tc>
          <w:tcPr>
            <w:tcW w:w="61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Income (loss) before income taxes and noncontrolling interest</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996,904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1,382,837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(115,982)</w:t>
            </w:r>
          </w:p>
        </w:tc>
      </w:tr>
      <w:tr>
        <w:trPr>
          <w:trHeight w:val="187"/>
        </w:trPr>
        <w:tc>
          <w:tcPr>
            <w:tcW w:w="614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color w:val="auto"/>
              </w:rPr>
              <w:t>Provision for (benefit from) income taxes</w:t>
            </w: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169,670</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261,924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(12,277)</w:t>
            </w:r>
          </w:p>
        </w:tc>
      </w:tr>
      <w:tr>
        <w:trPr>
          <w:trHeight w:val="184"/>
        </w:trPr>
        <w:tc>
          <w:tcPr>
            <w:tcW w:w="61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827,234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1,120,913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(103,705)</w:t>
            </w:r>
          </w:p>
        </w:tc>
      </w:tr>
      <w:tr>
        <w:trPr>
          <w:trHeight w:val="187"/>
        </w:trPr>
        <w:tc>
          <w:tcPr>
            <w:tcW w:w="6140" w:type="dxa"/>
            <w:vAlign w:val="bottom"/>
            <w:gridSpan w:val="2"/>
          </w:tcPr>
          <w:p>
            <w:pPr>
              <w:ind w:left="200"/>
              <w:spacing w:after="0"/>
              <w:rPr>
                <w:sz w:val="20"/>
                <w:szCs w:val="20"/>
                <w:color w:val="auto"/>
              </w:rPr>
            </w:pPr>
            <w:r>
              <w:rPr>
                <w:rFonts w:ascii="Arial" w:cs="Arial" w:eastAsia="Arial" w:hAnsi="Arial"/>
                <w:sz w:val="14"/>
                <w:szCs w:val="14"/>
                <w:color w:val="auto"/>
              </w:rPr>
              <w:t>Noncontrolling interest</w:t>
            </w: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(350,356)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(471,716)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45,110</w:t>
            </w:r>
          </w:p>
        </w:tc>
      </w:tr>
      <w:tr>
        <w:trPr>
          <w:trHeight w:val="192"/>
        </w:trPr>
        <w:tc>
          <w:tcPr>
            <w:tcW w:w="6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r>
      <w:tr>
        <w:trPr>
          <w:trHeight w:val="181"/>
        </w:trPr>
        <w:tc>
          <w:tcPr>
            <w:tcW w:w="6140" w:type="dxa"/>
            <w:vAlign w:val="bottom"/>
            <w:gridSpan w:val="2"/>
          </w:tcPr>
          <w:p>
            <w:pPr>
              <w:ind w:left="20"/>
              <w:spacing w:after="0"/>
              <w:rPr>
                <w:sz w:val="20"/>
                <w:szCs w:val="20"/>
                <w:color w:val="auto"/>
              </w:rPr>
            </w:pPr>
            <w:r>
              <w:rPr>
                <w:rFonts w:ascii="Arial" w:cs="Arial" w:eastAsia="Arial" w:hAnsi="Arial"/>
                <w:sz w:val="14"/>
                <w:szCs w:val="14"/>
                <w:color w:val="auto"/>
              </w:rPr>
              <w:t>Net income (loss) available for common stockholders</w:t>
            </w:r>
          </w:p>
        </w:tc>
        <w:tc>
          <w:tcPr>
            <w:tcW w:w="2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476,878</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649,197</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(58,595)</w:t>
            </w: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53"/>
        </w:trPr>
        <w:tc>
          <w:tcPr>
            <w:tcW w:w="6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187"/>
        </w:trPr>
        <w:tc>
          <w:tcPr>
            <w:tcW w:w="6140" w:type="dxa"/>
            <w:vAlign w:val="bottom"/>
            <w:gridSpan w:val="2"/>
          </w:tcPr>
          <w:p>
            <w:pPr>
              <w:ind w:left="20"/>
              <w:spacing w:after="0"/>
              <w:rPr>
                <w:sz w:val="20"/>
                <w:szCs w:val="20"/>
                <w:color w:val="auto"/>
              </w:rPr>
            </w:pPr>
            <w:r>
              <w:rPr>
                <w:rFonts w:ascii="Arial" w:cs="Arial" w:eastAsia="Arial" w:hAnsi="Arial"/>
                <w:sz w:val="14"/>
                <w:szCs w:val="14"/>
                <w:color w:val="auto"/>
              </w:rPr>
              <w:t>Earnings per share</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2"/>
        </w:trPr>
        <w:tc>
          <w:tcPr>
            <w:tcW w:w="61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Basic</w:t>
            </w: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(0.53)</w:t>
            </w:r>
          </w:p>
        </w:tc>
      </w:tr>
      <w:tr>
        <w:trPr>
          <w:trHeight w:val="187"/>
        </w:trPr>
        <w:tc>
          <w:tcPr>
            <w:tcW w:w="6140" w:type="dxa"/>
            <w:vAlign w:val="bottom"/>
            <w:gridSpan w:val="2"/>
          </w:tcPr>
          <w:p>
            <w:pPr>
              <w:ind w:left="200"/>
              <w:spacing w:after="0"/>
              <w:rPr>
                <w:sz w:val="20"/>
                <w:szCs w:val="20"/>
                <w:color w:val="auto"/>
              </w:rPr>
            </w:pPr>
            <w:r>
              <w:rPr>
                <w:rFonts w:ascii="Arial" w:cs="Arial" w:eastAsia="Arial" w:hAnsi="Arial"/>
                <w:sz w:val="14"/>
                <w:szCs w:val="14"/>
                <w:color w:val="auto"/>
              </w:rPr>
              <w:t>Diluted</w:t>
            </w: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3.91</w:t>
            </w:r>
          </w:p>
        </w:tc>
        <w:tc>
          <w:tcPr>
            <w:tcW w:w="10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5.16</w:t>
            </w:r>
          </w:p>
        </w:tc>
        <w:tc>
          <w:tcPr>
            <w:tcW w:w="10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(0.53)</w:t>
            </w:r>
          </w:p>
        </w:tc>
      </w:tr>
      <w:tr>
        <w:trPr>
          <w:trHeight w:val="192"/>
        </w:trPr>
        <w:tc>
          <w:tcPr>
            <w:tcW w:w="6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187"/>
        </w:trPr>
        <w:tc>
          <w:tcPr>
            <w:tcW w:w="6140" w:type="dxa"/>
            <w:vAlign w:val="bottom"/>
            <w:gridSpan w:val="2"/>
          </w:tcPr>
          <w:p>
            <w:pPr>
              <w:ind w:left="20"/>
              <w:spacing w:after="0"/>
              <w:rPr>
                <w:sz w:val="20"/>
                <w:szCs w:val="20"/>
                <w:color w:val="auto"/>
              </w:rPr>
            </w:pPr>
            <w:r>
              <w:rPr>
                <w:rFonts w:ascii="Arial" w:cs="Arial" w:eastAsia="Arial" w:hAnsi="Arial"/>
                <w:sz w:val="14"/>
                <w:szCs w:val="14"/>
                <w:color w:val="auto"/>
              </w:rPr>
              <w:t>Weighted average common shares outstanding</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2"/>
        </w:trPr>
        <w:tc>
          <w:tcPr>
            <w:tcW w:w="61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Basic</w:t>
            </w: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117,339,539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121,692,443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113,918,103</w:t>
            </w:r>
          </w:p>
        </w:tc>
      </w:tr>
      <w:tr>
        <w:trPr>
          <w:trHeight w:val="187"/>
        </w:trPr>
        <w:tc>
          <w:tcPr>
            <w:tcW w:w="6140" w:type="dxa"/>
            <w:vAlign w:val="bottom"/>
            <w:gridSpan w:val="2"/>
          </w:tcPr>
          <w:p>
            <w:pPr>
              <w:ind w:left="200"/>
              <w:spacing w:after="0"/>
              <w:rPr>
                <w:sz w:val="20"/>
                <w:szCs w:val="20"/>
                <w:color w:val="auto"/>
              </w:rPr>
            </w:pPr>
            <w:r>
              <w:rPr>
                <w:rFonts w:ascii="Arial" w:cs="Arial" w:eastAsia="Arial" w:hAnsi="Arial"/>
                <w:sz w:val="14"/>
                <w:szCs w:val="14"/>
                <w:color w:val="auto"/>
              </w:rPr>
              <w:t>Diluted</w:t>
            </w: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118,423,928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122,332,190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113,918,103</w:t>
            </w:r>
          </w:p>
        </w:tc>
      </w:tr>
      <w:tr>
        <w:trPr>
          <w:trHeight w:val="192"/>
        </w:trPr>
        <w:tc>
          <w:tcPr>
            <w:tcW w:w="6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187"/>
        </w:trPr>
        <w:tc>
          <w:tcPr>
            <w:tcW w:w="6140" w:type="dxa"/>
            <w:vAlign w:val="bottom"/>
            <w:gridSpan w:val="2"/>
          </w:tcPr>
          <w:p>
            <w:pPr>
              <w:ind w:left="20"/>
              <w:spacing w:after="0"/>
              <w:rPr>
                <w:sz w:val="20"/>
                <w:szCs w:val="20"/>
                <w:color w:val="auto"/>
              </w:rPr>
            </w:pPr>
            <w:r>
              <w:rPr>
                <w:rFonts w:ascii="Arial" w:cs="Arial" w:eastAsia="Arial" w:hAnsi="Arial"/>
                <w:sz w:val="14"/>
                <w:szCs w:val="14"/>
                <w:color w:val="auto"/>
              </w:rPr>
              <w:t>Net income</w:t>
            </w: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827,234</w:t>
            </w:r>
          </w:p>
        </w:tc>
        <w:tc>
          <w:tcPr>
            <w:tcW w:w="10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1,120,913</w:t>
            </w:r>
          </w:p>
        </w:tc>
        <w:tc>
          <w:tcPr>
            <w:tcW w:w="10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(103,705)</w:t>
            </w:r>
          </w:p>
        </w:tc>
      </w:tr>
      <w:tr>
        <w:trPr>
          <w:trHeight w:val="192"/>
        </w:trPr>
        <w:tc>
          <w:tcPr>
            <w:tcW w:w="61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187"/>
        </w:trPr>
        <w:tc>
          <w:tcPr>
            <w:tcW w:w="6140" w:type="dxa"/>
            <w:vAlign w:val="bottom"/>
            <w:gridSpan w:val="2"/>
          </w:tcPr>
          <w:p>
            <w:pPr>
              <w:ind w:left="120"/>
              <w:spacing w:after="0"/>
              <w:rPr>
                <w:sz w:val="20"/>
                <w:szCs w:val="20"/>
                <w:color w:val="auto"/>
              </w:rPr>
            </w:pPr>
            <w:r>
              <w:rPr>
                <w:rFonts w:ascii="Arial" w:cs="Arial" w:eastAsia="Arial" w:hAnsi="Arial"/>
                <w:sz w:val="14"/>
                <w:szCs w:val="14"/>
                <w:color w:val="auto"/>
              </w:rPr>
              <w:t>Foreign exchange translation adjustment, net of taxes</w:t>
            </w: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(12,470)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15,318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(1,475)</w:t>
            </w:r>
          </w:p>
        </w:tc>
      </w:tr>
      <w:tr>
        <w:trPr>
          <w:trHeight w:val="192"/>
        </w:trPr>
        <w:tc>
          <w:tcPr>
            <w:tcW w:w="61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Net change in unrealized cash flow hedges gain (loss), net of taxes</w:t>
            </w:r>
          </w:p>
        </w:tc>
        <w:tc>
          <w:tcPr>
            <w:tcW w:w="2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37,794</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(59,019)</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r>
      <w:tr>
        <w:trPr>
          <w:trHeight w:val="179"/>
        </w:trPr>
        <w:tc>
          <w:tcPr>
            <w:tcW w:w="6140" w:type="dxa"/>
            <w:vAlign w:val="bottom"/>
            <w:gridSpan w:val="2"/>
          </w:tcPr>
          <w:p>
            <w:pPr>
              <w:ind w:left="20"/>
              <w:spacing w:after="0"/>
              <w:rPr>
                <w:sz w:val="20"/>
                <w:szCs w:val="20"/>
                <w:color w:val="auto"/>
              </w:rPr>
            </w:pPr>
            <w:r>
              <w:rPr>
                <w:rFonts w:ascii="Arial" w:cs="Arial" w:eastAsia="Arial" w:hAnsi="Arial"/>
                <w:sz w:val="14"/>
                <w:szCs w:val="14"/>
                <w:color w:val="auto"/>
              </w:rPr>
              <w:t>Comprehensive income</w:t>
            </w: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852,558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1,077,212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(105,180)</w:t>
            </w:r>
          </w:p>
        </w:tc>
      </w:tr>
      <w:tr>
        <w:trPr>
          <w:trHeight w:val="189"/>
        </w:trPr>
        <w:tc>
          <w:tcPr>
            <w:tcW w:w="61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Less: Comprehensive income attributable to noncontrolling interest</w:t>
            </w:r>
          </w:p>
        </w:tc>
        <w:tc>
          <w:tcPr>
            <w:tcW w:w="2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(360,389)</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(452,855)</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45,668</w:t>
            </w:r>
          </w:p>
        </w:tc>
      </w:tr>
      <w:tr>
        <w:trPr>
          <w:trHeight w:val="184"/>
        </w:trPr>
        <w:tc>
          <w:tcPr>
            <w:tcW w:w="6140" w:type="dxa"/>
            <w:vAlign w:val="bottom"/>
            <w:gridSpan w:val="2"/>
          </w:tcPr>
          <w:p>
            <w:pPr>
              <w:ind w:left="20"/>
              <w:spacing w:after="0"/>
              <w:rPr>
                <w:sz w:val="20"/>
                <w:szCs w:val="20"/>
                <w:color w:val="auto"/>
              </w:rPr>
            </w:pPr>
            <w:r>
              <w:rPr>
                <w:rFonts w:ascii="Arial" w:cs="Arial" w:eastAsia="Arial" w:hAnsi="Arial"/>
                <w:sz w:val="14"/>
                <w:szCs w:val="14"/>
                <w:color w:val="auto"/>
              </w:rPr>
              <w:t>Comprehensive income attributable to common stockholders</w:t>
            </w:r>
          </w:p>
        </w:tc>
        <w:tc>
          <w:tcPr>
            <w:tcW w:w="2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492,169</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624,357</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(59,512)</w:t>
            </w:r>
          </w:p>
        </w:tc>
      </w:tr>
      <w:tr>
        <w:trPr>
          <w:trHeight w:val="20"/>
        </w:trPr>
        <w:tc>
          <w:tcPr>
            <w:tcW w:w="6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60" w:lineRule="exact"/>
        <w:rPr>
          <w:sz w:val="20"/>
          <w:szCs w:val="20"/>
          <w:color w:val="auto"/>
        </w:rPr>
      </w:pPr>
    </w:p>
    <w:p>
      <w:pPr>
        <w:ind w:left="3500"/>
        <w:spacing w:after="0"/>
        <w:rPr>
          <w:sz w:val="20"/>
          <w:szCs w:val="20"/>
          <w:color w:val="auto"/>
        </w:rPr>
      </w:pPr>
      <w:r>
        <w:rPr>
          <w:rFonts w:ascii="Arial" w:cs="Arial" w:eastAsia="Arial" w:hAnsi="Arial"/>
          <w:sz w:val="16"/>
          <w:szCs w:val="16"/>
          <w:color w:val="auto"/>
        </w:rPr>
        <w:t>See accompanying Notes to the Consolidated Financial Statements.</w:t>
      </w:r>
    </w:p>
    <w:p>
      <w:pPr>
        <w:spacing w:after="0" w:line="200" w:lineRule="exact"/>
        <w:rPr>
          <w:sz w:val="20"/>
          <w:szCs w:val="20"/>
          <w:color w:val="auto"/>
        </w:rPr>
      </w:pPr>
    </w:p>
    <w:p>
      <w:pPr>
        <w:spacing w:after="0" w:line="291"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420"/>
          </w:cols>
          <w:pgMar w:left="320" w:top="127" w:right="1159" w:bottom="1440" w:gutter="0" w:footer="0" w:header="0"/>
        </w:sectPr>
      </w:pPr>
    </w:p>
    <w:bookmarkStart w:id="79" w:name="page80"/>
    <w:bookmarkEnd w:id="79"/>
    <w:p>
      <w:pPr>
        <w:ind w:left="240"/>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ind w:right="-299"/>
        <w:spacing w:after="0"/>
        <w:rPr>
          <w:sz w:val="20"/>
          <w:szCs w:val="20"/>
          <w:color w:val="auto"/>
        </w:rPr>
      </w:pPr>
      <w:r>
        <w:rPr>
          <w:rFonts w:ascii="Arial" w:cs="Arial" w:eastAsia="Arial" w:hAnsi="Arial"/>
          <w:sz w:val="16"/>
          <w:szCs w:val="16"/>
          <w:b w:val="1"/>
          <w:bCs w:val="1"/>
          <w:color w:val="auto"/>
        </w:rPr>
        <w:t>Virtu Financial, Inc. and Subsidiaries</w:t>
      </w:r>
    </w:p>
    <w:p>
      <w:pPr>
        <w:spacing w:after="0" w:line="5" w:lineRule="exact"/>
        <w:rPr>
          <w:sz w:val="20"/>
          <w:szCs w:val="20"/>
          <w:color w:val="auto"/>
        </w:rPr>
      </w:pPr>
    </w:p>
    <w:p>
      <w:pPr>
        <w:jc w:val="center"/>
        <w:ind w:right="-299"/>
        <w:spacing w:after="0"/>
        <w:rPr>
          <w:sz w:val="20"/>
          <w:szCs w:val="20"/>
          <w:color w:val="auto"/>
        </w:rPr>
      </w:pPr>
      <w:r>
        <w:rPr>
          <w:rFonts w:ascii="Arial" w:cs="Arial" w:eastAsia="Arial" w:hAnsi="Arial"/>
          <w:sz w:val="16"/>
          <w:szCs w:val="16"/>
          <w:b w:val="1"/>
          <w:bCs w:val="1"/>
          <w:color w:val="auto"/>
        </w:rPr>
        <w:t>Consolidated Statements of Changes in Equity</w:t>
      </w:r>
    </w:p>
    <w:p>
      <w:pPr>
        <w:spacing w:after="0" w:line="5" w:lineRule="exact"/>
        <w:rPr>
          <w:sz w:val="20"/>
          <w:szCs w:val="20"/>
          <w:color w:val="auto"/>
        </w:rPr>
      </w:pPr>
    </w:p>
    <w:p>
      <w:pPr>
        <w:jc w:val="center"/>
        <w:ind w:right="-299"/>
        <w:spacing w:after="0"/>
        <w:rPr>
          <w:sz w:val="20"/>
          <w:szCs w:val="20"/>
          <w:color w:val="auto"/>
        </w:rPr>
      </w:pPr>
      <w:r>
        <w:rPr>
          <w:rFonts w:ascii="Arial" w:cs="Arial" w:eastAsia="Arial" w:hAnsi="Arial"/>
          <w:sz w:val="16"/>
          <w:szCs w:val="16"/>
          <w:b w:val="1"/>
          <w:bCs w:val="1"/>
          <w:color w:val="auto"/>
        </w:rPr>
        <w:t>Years Ended December 31, 2021, 2020 and 2019</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18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gridSpan w:val="2"/>
          </w:tcPr>
          <w:p>
            <w:pPr>
              <w:jc w:val="center"/>
              <w:ind w:right="140"/>
              <w:spacing w:after="0"/>
              <w:rPr>
                <w:sz w:val="20"/>
                <w:szCs w:val="20"/>
                <w:color w:val="auto"/>
              </w:rPr>
            </w:pPr>
            <w:r>
              <w:rPr>
                <w:rFonts w:ascii="Arial" w:cs="Arial" w:eastAsia="Arial" w:hAnsi="Arial"/>
                <w:sz w:val="9"/>
                <w:szCs w:val="9"/>
                <w:b w:val="1"/>
                <w:bCs w:val="1"/>
                <w:color w:val="auto"/>
                <w:w w:val="99"/>
              </w:rPr>
              <w:t>Additional</w:t>
            </w: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800" w:type="dxa"/>
            <w:vAlign w:val="bottom"/>
          </w:tcPr>
          <w:p>
            <w:pPr>
              <w:spacing w:after="0"/>
              <w:rPr>
                <w:sz w:val="8"/>
                <w:szCs w:val="8"/>
                <w:color w:val="auto"/>
              </w:rPr>
            </w:pPr>
          </w:p>
        </w:tc>
        <w:tc>
          <w:tcPr>
            <w:tcW w:w="60" w:type="dxa"/>
            <w:vAlign w:val="bottom"/>
          </w:tcPr>
          <w:p>
            <w:pPr>
              <w:spacing w:after="0"/>
              <w:rPr>
                <w:sz w:val="8"/>
                <w:szCs w:val="8"/>
                <w:color w:val="auto"/>
              </w:rPr>
            </w:pPr>
          </w:p>
        </w:tc>
        <w:tc>
          <w:tcPr>
            <w:tcW w:w="1320" w:type="dxa"/>
            <w:vAlign w:val="bottom"/>
            <w:gridSpan w:val="5"/>
            <w:vMerge w:val="restart"/>
          </w:tcPr>
          <w:p>
            <w:pPr>
              <w:ind w:left="140"/>
              <w:spacing w:after="0"/>
              <w:rPr>
                <w:sz w:val="20"/>
                <w:szCs w:val="20"/>
                <w:color w:val="auto"/>
              </w:rPr>
            </w:pPr>
            <w:r>
              <w:rPr>
                <w:rFonts w:ascii="Arial" w:cs="Arial" w:eastAsia="Arial" w:hAnsi="Arial"/>
                <w:sz w:val="9"/>
                <w:szCs w:val="9"/>
                <w:b w:val="1"/>
                <w:bCs w:val="1"/>
                <w:color w:val="auto"/>
              </w:rPr>
              <w:t>Class A Common Stock</w:t>
            </w:r>
          </w:p>
        </w:tc>
        <w:tc>
          <w:tcPr>
            <w:tcW w:w="1300" w:type="dxa"/>
            <w:vAlign w:val="bottom"/>
            <w:gridSpan w:val="5"/>
            <w:vMerge w:val="restart"/>
          </w:tcPr>
          <w:p>
            <w:pPr>
              <w:ind w:left="120"/>
              <w:spacing w:after="0"/>
              <w:rPr>
                <w:sz w:val="20"/>
                <w:szCs w:val="20"/>
                <w:color w:val="auto"/>
              </w:rPr>
            </w:pPr>
            <w:r>
              <w:rPr>
                <w:rFonts w:ascii="Arial" w:cs="Arial" w:eastAsia="Arial" w:hAnsi="Arial"/>
                <w:sz w:val="9"/>
                <w:szCs w:val="9"/>
                <w:b w:val="1"/>
                <w:bCs w:val="1"/>
                <w:color w:val="auto"/>
              </w:rPr>
              <w:t>Class C Common Stock</w:t>
            </w:r>
          </w:p>
        </w:tc>
        <w:tc>
          <w:tcPr>
            <w:tcW w:w="1300" w:type="dxa"/>
            <w:vAlign w:val="bottom"/>
            <w:gridSpan w:val="5"/>
            <w:vMerge w:val="restart"/>
          </w:tcPr>
          <w:p>
            <w:pPr>
              <w:ind w:left="120"/>
              <w:spacing w:after="0"/>
              <w:rPr>
                <w:sz w:val="20"/>
                <w:szCs w:val="20"/>
                <w:color w:val="auto"/>
              </w:rPr>
            </w:pPr>
            <w:r>
              <w:rPr>
                <w:rFonts w:ascii="Arial" w:cs="Arial" w:eastAsia="Arial" w:hAnsi="Arial"/>
                <w:sz w:val="9"/>
                <w:szCs w:val="9"/>
                <w:b w:val="1"/>
                <w:bCs w:val="1"/>
                <w:color w:val="auto"/>
              </w:rPr>
              <w:t>Class D Common Stock</w:t>
            </w:r>
          </w:p>
        </w:tc>
        <w:tc>
          <w:tcPr>
            <w:tcW w:w="1220" w:type="dxa"/>
            <w:vAlign w:val="bottom"/>
            <w:gridSpan w:val="5"/>
            <w:vMerge w:val="restart"/>
          </w:tcPr>
          <w:p>
            <w:pPr>
              <w:ind w:left="260"/>
              <w:spacing w:after="0"/>
              <w:rPr>
                <w:sz w:val="20"/>
                <w:szCs w:val="20"/>
                <w:color w:val="auto"/>
              </w:rPr>
            </w:pPr>
            <w:r>
              <w:rPr>
                <w:rFonts w:ascii="Arial" w:cs="Arial" w:eastAsia="Arial" w:hAnsi="Arial"/>
                <w:sz w:val="9"/>
                <w:szCs w:val="9"/>
                <w:b w:val="1"/>
                <w:bCs w:val="1"/>
                <w:color w:val="auto"/>
              </w:rPr>
              <w:t>Treasury Stock</w:t>
            </w:r>
          </w:p>
        </w:tc>
        <w:tc>
          <w:tcPr>
            <w:tcW w:w="80" w:type="dxa"/>
            <w:vAlign w:val="bottom"/>
          </w:tcPr>
          <w:p>
            <w:pPr>
              <w:spacing w:after="0"/>
              <w:rPr>
                <w:sz w:val="8"/>
                <w:szCs w:val="8"/>
                <w:color w:val="auto"/>
              </w:rPr>
            </w:pPr>
          </w:p>
        </w:tc>
        <w:tc>
          <w:tcPr>
            <w:tcW w:w="580" w:type="dxa"/>
            <w:vAlign w:val="bottom"/>
            <w:gridSpan w:val="2"/>
          </w:tcPr>
          <w:p>
            <w:pPr>
              <w:jc w:val="center"/>
              <w:ind w:right="160"/>
              <w:spacing w:after="0" w:line="95" w:lineRule="exact"/>
              <w:rPr>
                <w:sz w:val="20"/>
                <w:szCs w:val="20"/>
                <w:color w:val="auto"/>
              </w:rPr>
            </w:pPr>
            <w:r>
              <w:rPr>
                <w:rFonts w:ascii="Arial" w:cs="Arial" w:eastAsia="Arial" w:hAnsi="Arial"/>
                <w:sz w:val="9"/>
                <w:szCs w:val="9"/>
                <w:b w:val="1"/>
                <w:bCs w:val="1"/>
                <w:color w:val="auto"/>
                <w:w w:val="99"/>
              </w:rPr>
              <w:t>Paid-in</w:t>
            </w:r>
          </w:p>
        </w:tc>
        <w:tc>
          <w:tcPr>
            <w:tcW w:w="100" w:type="dxa"/>
            <w:vAlign w:val="bottom"/>
          </w:tcPr>
          <w:p>
            <w:pPr>
              <w:spacing w:after="0"/>
              <w:rPr>
                <w:sz w:val="8"/>
                <w:szCs w:val="8"/>
                <w:color w:val="auto"/>
              </w:rPr>
            </w:pPr>
          </w:p>
        </w:tc>
        <w:tc>
          <w:tcPr>
            <w:tcW w:w="600" w:type="dxa"/>
            <w:vAlign w:val="bottom"/>
            <w:gridSpan w:val="2"/>
            <w:vMerge w:val="restart"/>
          </w:tcPr>
          <w:p>
            <w:pPr>
              <w:jc w:val="center"/>
              <w:ind w:right="180"/>
              <w:spacing w:after="0"/>
              <w:rPr>
                <w:sz w:val="20"/>
                <w:szCs w:val="20"/>
                <w:color w:val="auto"/>
              </w:rPr>
            </w:pPr>
            <w:r>
              <w:rPr>
                <w:rFonts w:ascii="Arial" w:cs="Arial" w:eastAsia="Arial" w:hAnsi="Arial"/>
                <w:sz w:val="9"/>
                <w:szCs w:val="9"/>
                <w:b w:val="1"/>
                <w:bCs w:val="1"/>
                <w:color w:val="auto"/>
                <w:w w:val="99"/>
              </w:rPr>
              <w:t>Retained</w:t>
            </w:r>
          </w:p>
        </w:tc>
        <w:tc>
          <w:tcPr>
            <w:tcW w:w="60" w:type="dxa"/>
            <w:vAlign w:val="bottom"/>
          </w:tcPr>
          <w:p>
            <w:pPr>
              <w:spacing w:after="0"/>
              <w:rPr>
                <w:sz w:val="8"/>
                <w:szCs w:val="8"/>
                <w:color w:val="auto"/>
              </w:rPr>
            </w:pPr>
          </w:p>
        </w:tc>
        <w:tc>
          <w:tcPr>
            <w:tcW w:w="660" w:type="dxa"/>
            <w:vAlign w:val="bottom"/>
            <w:gridSpan w:val="2"/>
            <w:vMerge w:val="restart"/>
          </w:tcPr>
          <w:p>
            <w:pPr>
              <w:jc w:val="center"/>
              <w:ind w:right="140"/>
              <w:spacing w:after="0"/>
              <w:rPr>
                <w:sz w:val="20"/>
                <w:szCs w:val="20"/>
                <w:color w:val="auto"/>
              </w:rPr>
            </w:pPr>
            <w:r>
              <w:rPr>
                <w:rFonts w:ascii="Arial" w:cs="Arial" w:eastAsia="Arial" w:hAnsi="Arial"/>
                <w:sz w:val="9"/>
                <w:szCs w:val="9"/>
                <w:b w:val="1"/>
                <w:bCs w:val="1"/>
                <w:color w:val="auto"/>
                <w:w w:val="91"/>
              </w:rPr>
              <w:t>Accumulated</w:t>
            </w:r>
          </w:p>
        </w:tc>
        <w:tc>
          <w:tcPr>
            <w:tcW w:w="80" w:type="dxa"/>
            <w:vAlign w:val="bottom"/>
          </w:tcPr>
          <w:p>
            <w:pPr>
              <w:spacing w:after="0"/>
              <w:rPr>
                <w:sz w:val="8"/>
                <w:szCs w:val="8"/>
                <w:color w:val="auto"/>
              </w:rPr>
            </w:pPr>
          </w:p>
        </w:tc>
        <w:tc>
          <w:tcPr>
            <w:tcW w:w="620" w:type="dxa"/>
            <w:vAlign w:val="bottom"/>
            <w:gridSpan w:val="2"/>
            <w:vMerge w:val="restart"/>
          </w:tcPr>
          <w:p>
            <w:pPr>
              <w:spacing w:after="0"/>
              <w:rPr>
                <w:sz w:val="20"/>
                <w:szCs w:val="20"/>
                <w:color w:val="auto"/>
              </w:rPr>
            </w:pPr>
            <w:r>
              <w:rPr>
                <w:rFonts w:ascii="Arial" w:cs="Arial" w:eastAsia="Arial" w:hAnsi="Arial"/>
                <w:sz w:val="9"/>
                <w:szCs w:val="9"/>
                <w:b w:val="1"/>
                <w:bCs w:val="1"/>
                <w:color w:val="auto"/>
              </w:rPr>
              <w:t>Total Virtu</w:t>
            </w: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800" w:type="dxa"/>
            <w:vAlign w:val="bottom"/>
          </w:tcPr>
          <w:p>
            <w:pPr>
              <w:spacing w:after="0"/>
              <w:rPr>
                <w:sz w:val="8"/>
                <w:szCs w:val="8"/>
                <w:color w:val="auto"/>
              </w:rPr>
            </w:pPr>
          </w:p>
        </w:tc>
        <w:tc>
          <w:tcPr>
            <w:tcW w:w="60" w:type="dxa"/>
            <w:vAlign w:val="bottom"/>
          </w:tcPr>
          <w:p>
            <w:pPr>
              <w:spacing w:after="0"/>
              <w:rPr>
                <w:sz w:val="8"/>
                <w:szCs w:val="8"/>
                <w:color w:val="auto"/>
              </w:rPr>
            </w:pPr>
          </w:p>
        </w:tc>
        <w:tc>
          <w:tcPr>
            <w:tcW w:w="1320" w:type="dxa"/>
            <w:vAlign w:val="bottom"/>
            <w:gridSpan w:val="5"/>
            <w:vMerge w:val="continue"/>
          </w:tcPr>
          <w:p>
            <w:pPr>
              <w:spacing w:after="0"/>
              <w:rPr>
                <w:sz w:val="8"/>
                <w:szCs w:val="8"/>
                <w:color w:val="auto"/>
              </w:rPr>
            </w:pPr>
          </w:p>
        </w:tc>
        <w:tc>
          <w:tcPr>
            <w:tcW w:w="1300" w:type="dxa"/>
            <w:vAlign w:val="bottom"/>
            <w:gridSpan w:val="5"/>
            <w:vMerge w:val="continue"/>
          </w:tcPr>
          <w:p>
            <w:pPr>
              <w:spacing w:after="0"/>
              <w:rPr>
                <w:sz w:val="8"/>
                <w:szCs w:val="8"/>
                <w:color w:val="auto"/>
              </w:rPr>
            </w:pPr>
          </w:p>
        </w:tc>
        <w:tc>
          <w:tcPr>
            <w:tcW w:w="1300" w:type="dxa"/>
            <w:vAlign w:val="bottom"/>
            <w:gridSpan w:val="5"/>
            <w:vMerge w:val="continue"/>
          </w:tcPr>
          <w:p>
            <w:pPr>
              <w:spacing w:after="0"/>
              <w:rPr>
                <w:sz w:val="8"/>
                <w:szCs w:val="8"/>
                <w:color w:val="auto"/>
              </w:rPr>
            </w:pPr>
          </w:p>
        </w:tc>
        <w:tc>
          <w:tcPr>
            <w:tcW w:w="122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gridSpan w:val="2"/>
          </w:tcPr>
          <w:p>
            <w:pPr>
              <w:jc w:val="center"/>
              <w:ind w:right="160"/>
              <w:spacing w:after="0" w:line="94" w:lineRule="exact"/>
              <w:rPr>
                <w:sz w:val="20"/>
                <w:szCs w:val="20"/>
                <w:color w:val="auto"/>
              </w:rPr>
            </w:pPr>
            <w:r>
              <w:rPr>
                <w:rFonts w:ascii="Arial" w:cs="Arial" w:eastAsia="Arial" w:hAnsi="Arial"/>
                <w:sz w:val="9"/>
                <w:szCs w:val="9"/>
                <w:b w:val="1"/>
                <w:bCs w:val="1"/>
                <w:color w:val="auto"/>
                <w:w w:val="99"/>
              </w:rPr>
              <w:t>Capital</w:t>
            </w:r>
          </w:p>
        </w:tc>
        <w:tc>
          <w:tcPr>
            <w:tcW w:w="10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1860" w:type="dxa"/>
            <w:vAlign w:val="bottom"/>
            <w:gridSpan w:val="2"/>
            <w:vMerge w:val="restart"/>
          </w:tcPr>
          <w:p>
            <w:pPr>
              <w:ind w:left="20"/>
              <w:spacing w:after="0"/>
              <w:rPr>
                <w:sz w:val="20"/>
                <w:szCs w:val="20"/>
                <w:color w:val="auto"/>
              </w:rPr>
            </w:pPr>
            <w:r>
              <w:rPr>
                <w:rFonts w:ascii="Arial" w:cs="Arial" w:eastAsia="Arial" w:hAnsi="Arial"/>
                <w:sz w:val="9"/>
                <w:szCs w:val="9"/>
                <w:b w:val="1"/>
                <w:bCs w:val="1"/>
                <w:color w:val="auto"/>
              </w:rPr>
              <w:t>(in thousands, except</w:t>
            </w:r>
          </w:p>
        </w:tc>
        <w:tc>
          <w:tcPr>
            <w:tcW w:w="6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gridSpan w:val="2"/>
          </w:tcPr>
          <w:p>
            <w:pPr>
              <w:jc w:val="center"/>
              <w:ind w:right="180"/>
              <w:spacing w:after="0" w:line="64" w:lineRule="exact"/>
              <w:rPr>
                <w:sz w:val="20"/>
                <w:szCs w:val="20"/>
                <w:color w:val="auto"/>
              </w:rPr>
            </w:pPr>
            <w:r>
              <w:rPr>
                <w:rFonts w:ascii="Arial" w:cs="Arial" w:eastAsia="Arial" w:hAnsi="Arial"/>
                <w:sz w:val="7"/>
                <w:szCs w:val="7"/>
                <w:b w:val="1"/>
                <w:bCs w:val="1"/>
                <w:color w:val="auto"/>
              </w:rPr>
              <w:t>Earnings</w:t>
            </w:r>
          </w:p>
        </w:tc>
        <w:tc>
          <w:tcPr>
            <w:tcW w:w="60" w:type="dxa"/>
            <w:vAlign w:val="bottom"/>
          </w:tcPr>
          <w:p>
            <w:pPr>
              <w:spacing w:after="0"/>
              <w:rPr>
                <w:sz w:val="5"/>
                <w:szCs w:val="5"/>
                <w:color w:val="auto"/>
              </w:rPr>
            </w:pPr>
          </w:p>
        </w:tc>
        <w:tc>
          <w:tcPr>
            <w:tcW w:w="660" w:type="dxa"/>
            <w:vAlign w:val="bottom"/>
            <w:gridSpan w:val="2"/>
          </w:tcPr>
          <w:p>
            <w:pPr>
              <w:jc w:val="center"/>
              <w:ind w:right="140"/>
              <w:spacing w:after="0" w:line="64" w:lineRule="exact"/>
              <w:rPr>
                <w:sz w:val="20"/>
                <w:szCs w:val="20"/>
                <w:color w:val="auto"/>
              </w:rPr>
            </w:pPr>
            <w:r>
              <w:rPr>
                <w:rFonts w:ascii="Arial" w:cs="Arial" w:eastAsia="Arial" w:hAnsi="Arial"/>
                <w:sz w:val="7"/>
                <w:szCs w:val="7"/>
                <w:b w:val="1"/>
                <w:bCs w:val="1"/>
                <w:color w:val="auto"/>
              </w:rPr>
              <w:t>Other</w:t>
            </w:r>
          </w:p>
        </w:tc>
        <w:tc>
          <w:tcPr>
            <w:tcW w:w="700" w:type="dxa"/>
            <w:vAlign w:val="bottom"/>
            <w:gridSpan w:val="3"/>
          </w:tcPr>
          <w:p>
            <w:pPr>
              <w:ind w:left="40"/>
              <w:spacing w:after="0" w:line="64" w:lineRule="exact"/>
              <w:rPr>
                <w:sz w:val="20"/>
                <w:szCs w:val="20"/>
                <w:color w:val="auto"/>
              </w:rPr>
            </w:pPr>
            <w:r>
              <w:rPr>
                <w:rFonts w:ascii="Arial" w:cs="Arial" w:eastAsia="Arial" w:hAnsi="Arial"/>
                <w:sz w:val="7"/>
                <w:szCs w:val="7"/>
                <w:b w:val="1"/>
                <w:bCs w:val="1"/>
                <w:color w:val="auto"/>
              </w:rPr>
              <w:t>Financial Inc.</w:t>
            </w:r>
          </w:p>
        </w:tc>
        <w:tc>
          <w:tcPr>
            <w:tcW w:w="720" w:type="dxa"/>
            <w:vAlign w:val="bottom"/>
            <w:gridSpan w:val="3"/>
            <w:vMerge w:val="restart"/>
          </w:tcPr>
          <w:p>
            <w:pPr>
              <w:ind w:left="20"/>
              <w:spacing w:after="0"/>
              <w:rPr>
                <w:sz w:val="20"/>
                <w:szCs w:val="20"/>
                <w:color w:val="auto"/>
              </w:rPr>
            </w:pPr>
            <w:r>
              <w:rPr>
                <w:rFonts w:ascii="Arial" w:cs="Arial" w:eastAsia="Arial" w:hAnsi="Arial"/>
                <w:sz w:val="9"/>
                <w:szCs w:val="9"/>
                <w:b w:val="1"/>
                <w:bCs w:val="1"/>
                <w:color w:val="auto"/>
              </w:rPr>
              <w:t>Noncontrolling</w:t>
            </w: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1860" w:type="dxa"/>
            <w:vAlign w:val="bottom"/>
            <w:gridSpan w:val="2"/>
            <w:vMerge w:val="continue"/>
          </w:tcPr>
          <w:p>
            <w:pPr>
              <w:spacing w:after="0"/>
              <w:rPr>
                <w:sz w:val="8"/>
                <w:szCs w:val="8"/>
                <w:color w:val="auto"/>
              </w:rPr>
            </w:pPr>
          </w:p>
        </w:tc>
        <w:tc>
          <w:tcPr>
            <w:tcW w:w="600" w:type="dxa"/>
            <w:vAlign w:val="bottom"/>
            <w:vMerge w:val="restart"/>
          </w:tcPr>
          <w:p>
            <w:pPr>
              <w:jc w:val="right"/>
              <w:ind w:right="113"/>
              <w:spacing w:after="0"/>
              <w:rPr>
                <w:sz w:val="20"/>
                <w:szCs w:val="20"/>
                <w:color w:val="auto"/>
              </w:rPr>
            </w:pPr>
            <w:r>
              <w:rPr>
                <w:rFonts w:ascii="Arial" w:cs="Arial" w:eastAsia="Arial" w:hAnsi="Arial"/>
                <w:sz w:val="9"/>
                <w:szCs w:val="9"/>
                <w:b w:val="1"/>
                <w:bCs w:val="1"/>
                <w:color w:val="auto"/>
              </w:rPr>
              <w:t>Shares</w:t>
            </w:r>
          </w:p>
        </w:tc>
        <w:tc>
          <w:tcPr>
            <w:tcW w:w="80" w:type="dxa"/>
            <w:vAlign w:val="bottom"/>
            <w:vMerge w:val="restart"/>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vMerge w:val="restart"/>
          </w:tcPr>
          <w:p>
            <w:pPr>
              <w:jc w:val="right"/>
              <w:ind w:right="53"/>
              <w:spacing w:after="0"/>
              <w:rPr>
                <w:sz w:val="20"/>
                <w:szCs w:val="20"/>
                <w:color w:val="auto"/>
              </w:rPr>
            </w:pPr>
            <w:r>
              <w:rPr>
                <w:rFonts w:ascii="Arial" w:cs="Arial" w:eastAsia="Arial" w:hAnsi="Arial"/>
                <w:sz w:val="9"/>
                <w:szCs w:val="9"/>
                <w:b w:val="1"/>
                <w:bCs w:val="1"/>
                <w:color w:val="auto"/>
                <w:w w:val="97"/>
              </w:rPr>
              <w:t>Amounts</w:t>
            </w:r>
          </w:p>
        </w:tc>
        <w:tc>
          <w:tcPr>
            <w:tcW w:w="80" w:type="dxa"/>
            <w:vAlign w:val="bottom"/>
            <w:vMerge w:val="restart"/>
          </w:tcPr>
          <w:p>
            <w:pPr>
              <w:spacing w:after="0"/>
              <w:rPr>
                <w:sz w:val="8"/>
                <w:szCs w:val="8"/>
                <w:color w:val="auto"/>
              </w:rPr>
            </w:pPr>
          </w:p>
        </w:tc>
        <w:tc>
          <w:tcPr>
            <w:tcW w:w="580" w:type="dxa"/>
            <w:vAlign w:val="bottom"/>
            <w:vMerge w:val="restart"/>
          </w:tcPr>
          <w:p>
            <w:pPr>
              <w:jc w:val="right"/>
              <w:ind w:right="113"/>
              <w:spacing w:after="0"/>
              <w:rPr>
                <w:sz w:val="20"/>
                <w:szCs w:val="20"/>
                <w:color w:val="auto"/>
              </w:rPr>
            </w:pPr>
            <w:r>
              <w:rPr>
                <w:rFonts w:ascii="Arial" w:cs="Arial" w:eastAsia="Arial" w:hAnsi="Arial"/>
                <w:sz w:val="9"/>
                <w:szCs w:val="9"/>
                <w:b w:val="1"/>
                <w:bCs w:val="1"/>
                <w:color w:val="auto"/>
              </w:rPr>
              <w:t>Shares</w:t>
            </w:r>
          </w:p>
        </w:tc>
        <w:tc>
          <w:tcPr>
            <w:tcW w:w="60" w:type="dxa"/>
            <w:vAlign w:val="bottom"/>
            <w:vMerge w:val="restart"/>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9"/>
                <w:szCs w:val="9"/>
                <w:b w:val="1"/>
                <w:bCs w:val="1"/>
                <w:color w:val="auto"/>
              </w:rPr>
              <w:t>Amounts</w:t>
            </w:r>
          </w:p>
        </w:tc>
        <w:tc>
          <w:tcPr>
            <w:tcW w:w="80" w:type="dxa"/>
            <w:vAlign w:val="bottom"/>
            <w:vMerge w:val="restart"/>
          </w:tcPr>
          <w:p>
            <w:pPr>
              <w:spacing w:after="0"/>
              <w:rPr>
                <w:sz w:val="8"/>
                <w:szCs w:val="8"/>
                <w:color w:val="auto"/>
              </w:rPr>
            </w:pPr>
          </w:p>
        </w:tc>
        <w:tc>
          <w:tcPr>
            <w:tcW w:w="580" w:type="dxa"/>
            <w:vAlign w:val="bottom"/>
            <w:vMerge w:val="restart"/>
          </w:tcPr>
          <w:p>
            <w:pPr>
              <w:ind w:left="140"/>
              <w:spacing w:after="0"/>
              <w:rPr>
                <w:sz w:val="20"/>
                <w:szCs w:val="20"/>
                <w:color w:val="auto"/>
              </w:rPr>
            </w:pPr>
            <w:r>
              <w:rPr>
                <w:rFonts w:ascii="Arial" w:cs="Arial" w:eastAsia="Arial" w:hAnsi="Arial"/>
                <w:sz w:val="9"/>
                <w:szCs w:val="9"/>
                <w:b w:val="1"/>
                <w:bCs w:val="1"/>
                <w:color w:val="auto"/>
              </w:rPr>
              <w:t>Shares</w:t>
            </w:r>
          </w:p>
        </w:tc>
        <w:tc>
          <w:tcPr>
            <w:tcW w:w="60" w:type="dxa"/>
            <w:vAlign w:val="bottom"/>
            <w:vMerge w:val="restart"/>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vMerge w:val="restart"/>
          </w:tcPr>
          <w:p>
            <w:pPr>
              <w:jc w:val="right"/>
              <w:ind w:right="53"/>
              <w:spacing w:after="0"/>
              <w:rPr>
                <w:sz w:val="20"/>
                <w:szCs w:val="20"/>
                <w:color w:val="auto"/>
              </w:rPr>
            </w:pPr>
            <w:r>
              <w:rPr>
                <w:rFonts w:ascii="Arial" w:cs="Arial" w:eastAsia="Arial" w:hAnsi="Arial"/>
                <w:sz w:val="9"/>
                <w:szCs w:val="9"/>
                <w:b w:val="1"/>
                <w:bCs w:val="1"/>
                <w:color w:val="auto"/>
                <w:w w:val="97"/>
              </w:rPr>
              <w:t>Amounts</w:t>
            </w:r>
          </w:p>
        </w:tc>
        <w:tc>
          <w:tcPr>
            <w:tcW w:w="80" w:type="dxa"/>
            <w:vAlign w:val="bottom"/>
            <w:vMerge w:val="restart"/>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9"/>
                <w:szCs w:val="9"/>
                <w:b w:val="1"/>
                <w:bCs w:val="1"/>
                <w:color w:val="auto"/>
              </w:rPr>
              <w:t>Shares</w:t>
            </w:r>
          </w:p>
        </w:tc>
        <w:tc>
          <w:tcPr>
            <w:tcW w:w="80" w:type="dxa"/>
            <w:vAlign w:val="bottom"/>
            <w:vMerge w:val="restart"/>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vMerge w:val="restart"/>
          </w:tcPr>
          <w:p>
            <w:pPr>
              <w:spacing w:after="0"/>
              <w:rPr>
                <w:sz w:val="20"/>
                <w:szCs w:val="20"/>
                <w:color w:val="auto"/>
              </w:rPr>
            </w:pPr>
            <w:r>
              <w:rPr>
                <w:rFonts w:ascii="Arial" w:cs="Arial" w:eastAsia="Arial" w:hAnsi="Arial"/>
                <w:sz w:val="9"/>
                <w:szCs w:val="9"/>
                <w:b w:val="1"/>
                <w:bCs w:val="1"/>
                <w:color w:val="auto"/>
              </w:rPr>
              <w:t>Amounts</w:t>
            </w:r>
          </w:p>
        </w:tc>
        <w:tc>
          <w:tcPr>
            <w:tcW w:w="60" w:type="dxa"/>
            <w:vAlign w:val="bottom"/>
            <w:vMerge w:val="restart"/>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vMerge w:val="restart"/>
          </w:tcPr>
          <w:p>
            <w:pPr>
              <w:jc w:val="center"/>
              <w:ind w:right="33"/>
              <w:spacing w:after="0"/>
              <w:rPr>
                <w:sz w:val="20"/>
                <w:szCs w:val="20"/>
                <w:color w:val="auto"/>
              </w:rPr>
            </w:pPr>
            <w:r>
              <w:rPr>
                <w:rFonts w:ascii="Arial" w:cs="Arial" w:eastAsia="Arial" w:hAnsi="Arial"/>
                <w:sz w:val="9"/>
                <w:szCs w:val="9"/>
                <w:b w:val="1"/>
                <w:bCs w:val="1"/>
                <w:color w:val="auto"/>
                <w:w w:val="92"/>
              </w:rPr>
              <w:t>Amounts</w:t>
            </w:r>
          </w:p>
        </w:tc>
        <w:tc>
          <w:tcPr>
            <w:tcW w:w="60" w:type="dxa"/>
            <w:vAlign w:val="bottom"/>
            <w:vMerge w:val="restart"/>
          </w:tcPr>
          <w:p>
            <w:pPr>
              <w:spacing w:after="0"/>
              <w:rPr>
                <w:sz w:val="8"/>
                <w:szCs w:val="8"/>
                <w:color w:val="auto"/>
              </w:rPr>
            </w:pPr>
          </w:p>
        </w:tc>
        <w:tc>
          <w:tcPr>
            <w:tcW w:w="700" w:type="dxa"/>
            <w:vAlign w:val="bottom"/>
            <w:gridSpan w:val="3"/>
          </w:tcPr>
          <w:p>
            <w:pPr>
              <w:ind w:left="20"/>
              <w:spacing w:after="0" w:line="95" w:lineRule="exact"/>
              <w:rPr>
                <w:sz w:val="20"/>
                <w:szCs w:val="20"/>
                <w:color w:val="auto"/>
              </w:rPr>
            </w:pPr>
            <w:r>
              <w:rPr>
                <w:rFonts w:ascii="Arial" w:cs="Arial" w:eastAsia="Arial" w:hAnsi="Arial"/>
                <w:sz w:val="9"/>
                <w:szCs w:val="9"/>
                <w:b w:val="1"/>
                <w:bCs w:val="1"/>
                <w:color w:val="auto"/>
              </w:rPr>
              <w:t>(Accumulated</w:t>
            </w:r>
          </w:p>
        </w:tc>
        <w:tc>
          <w:tcPr>
            <w:tcW w:w="720" w:type="dxa"/>
            <w:vAlign w:val="bottom"/>
            <w:gridSpan w:val="3"/>
          </w:tcPr>
          <w:p>
            <w:pPr>
              <w:spacing w:after="0" w:line="95" w:lineRule="exact"/>
              <w:rPr>
                <w:sz w:val="20"/>
                <w:szCs w:val="20"/>
                <w:color w:val="auto"/>
              </w:rPr>
            </w:pPr>
            <w:r>
              <w:rPr>
                <w:rFonts w:ascii="Arial" w:cs="Arial" w:eastAsia="Arial" w:hAnsi="Arial"/>
                <w:sz w:val="9"/>
                <w:szCs w:val="9"/>
                <w:b w:val="1"/>
                <w:bCs w:val="1"/>
                <w:color w:val="auto"/>
              </w:rPr>
              <w:t>Comprehensive</w:t>
            </w:r>
          </w:p>
        </w:tc>
        <w:tc>
          <w:tcPr>
            <w:tcW w:w="700" w:type="dxa"/>
            <w:vAlign w:val="bottom"/>
            <w:gridSpan w:val="3"/>
          </w:tcPr>
          <w:p>
            <w:pPr>
              <w:ind w:left="40"/>
              <w:spacing w:after="0" w:line="95" w:lineRule="exact"/>
              <w:rPr>
                <w:sz w:val="20"/>
                <w:szCs w:val="20"/>
                <w:color w:val="auto"/>
              </w:rPr>
            </w:pPr>
            <w:r>
              <w:rPr>
                <w:rFonts w:ascii="Arial" w:cs="Arial" w:eastAsia="Arial" w:hAnsi="Arial"/>
                <w:sz w:val="9"/>
                <w:szCs w:val="9"/>
                <w:b w:val="1"/>
                <w:bCs w:val="1"/>
                <w:color w:val="auto"/>
              </w:rPr>
              <w:t>Stockholders'</w:t>
            </w:r>
          </w:p>
        </w:tc>
        <w:tc>
          <w:tcPr>
            <w:tcW w:w="720" w:type="dxa"/>
            <w:vAlign w:val="bottom"/>
            <w:gridSpan w:val="3"/>
            <w:vMerge w:val="continue"/>
          </w:tcPr>
          <w:p>
            <w:pPr>
              <w:spacing w:after="0"/>
              <w:rPr>
                <w:sz w:val="8"/>
                <w:szCs w:val="8"/>
                <w:color w:val="auto"/>
              </w:rPr>
            </w:pPr>
          </w:p>
        </w:tc>
        <w:tc>
          <w:tcPr>
            <w:tcW w:w="600" w:type="dxa"/>
            <w:vAlign w:val="bottom"/>
            <w:gridSpan w:val="2"/>
            <w:vMerge w:val="restart"/>
          </w:tcPr>
          <w:p>
            <w:pPr>
              <w:jc w:val="right"/>
              <w:ind w:right="13"/>
              <w:spacing w:after="0"/>
              <w:rPr>
                <w:sz w:val="20"/>
                <w:szCs w:val="20"/>
                <w:color w:val="auto"/>
              </w:rPr>
            </w:pPr>
            <w:r>
              <w:rPr>
                <w:rFonts w:ascii="Arial" w:cs="Arial" w:eastAsia="Arial" w:hAnsi="Arial"/>
                <w:sz w:val="9"/>
                <w:szCs w:val="9"/>
                <w:b w:val="1"/>
                <w:bCs w:val="1"/>
                <w:color w:val="auto"/>
              </w:rPr>
              <w:t>Total Equity</w:t>
            </w:r>
          </w:p>
        </w:tc>
        <w:tc>
          <w:tcPr>
            <w:tcW w:w="0" w:type="dxa"/>
            <w:vAlign w:val="bottom"/>
          </w:tcPr>
          <w:p>
            <w:pPr>
              <w:spacing w:after="0"/>
              <w:rPr>
                <w:sz w:val="1"/>
                <w:szCs w:val="1"/>
                <w:color w:val="auto"/>
              </w:rPr>
            </w:pPr>
          </w:p>
        </w:tc>
      </w:tr>
      <w:tr>
        <w:trPr>
          <w:trHeight w:val="134"/>
        </w:trPr>
        <w:tc>
          <w:tcPr>
            <w:tcW w:w="1860" w:type="dxa"/>
            <w:vAlign w:val="bottom"/>
            <w:tcBorders>
              <w:bottom w:val="single" w:sz="8" w:color="CCEEFF"/>
            </w:tcBorders>
            <w:gridSpan w:val="2"/>
          </w:tcPr>
          <w:p>
            <w:pPr>
              <w:ind w:left="20"/>
              <w:spacing w:after="0"/>
              <w:rPr>
                <w:sz w:val="20"/>
                <w:szCs w:val="20"/>
                <w:color w:val="auto"/>
              </w:rPr>
            </w:pPr>
            <w:r>
              <w:rPr>
                <w:rFonts w:ascii="Arial" w:cs="Arial" w:eastAsia="Arial" w:hAnsi="Arial"/>
                <w:sz w:val="9"/>
                <w:szCs w:val="9"/>
                <w:b w:val="1"/>
                <w:bCs w:val="1"/>
                <w:color w:val="auto"/>
              </w:rPr>
              <w:t>share and interest data)</w:t>
            </w:r>
          </w:p>
        </w:tc>
        <w:tc>
          <w:tcPr>
            <w:tcW w:w="60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580" w:type="dxa"/>
            <w:vAlign w:val="bottom"/>
            <w:tcBorders>
              <w:bottom w:val="single" w:sz="8" w:color="auto"/>
            </w:tcBorders>
            <w:vMerge w:val="continue"/>
          </w:tcPr>
          <w:p>
            <w:pPr>
              <w:spacing w:after="0"/>
              <w:rPr>
                <w:sz w:val="11"/>
                <w:szCs w:val="11"/>
                <w:color w:val="auto"/>
              </w:rPr>
            </w:pPr>
          </w:p>
        </w:tc>
        <w:tc>
          <w:tcPr>
            <w:tcW w:w="60" w:type="dxa"/>
            <w:vAlign w:val="bottom"/>
            <w:tcBorders>
              <w:bottom w:val="single" w:sz="8" w:color="CCEEFF"/>
            </w:tcBorders>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580" w:type="dxa"/>
            <w:vAlign w:val="bottom"/>
            <w:tcBorders>
              <w:bottom w:val="single" w:sz="8" w:color="auto"/>
            </w:tcBorders>
            <w:vMerge w:val="continue"/>
          </w:tcPr>
          <w:p>
            <w:pPr>
              <w:spacing w:after="0"/>
              <w:rPr>
                <w:sz w:val="11"/>
                <w:szCs w:val="11"/>
                <w:color w:val="auto"/>
              </w:rPr>
            </w:pPr>
          </w:p>
        </w:tc>
        <w:tc>
          <w:tcPr>
            <w:tcW w:w="60" w:type="dxa"/>
            <w:vAlign w:val="bottom"/>
            <w:tcBorders>
              <w:bottom w:val="single" w:sz="8" w:color="CCEEFF"/>
            </w:tcBorders>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56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vMerge w:val="continue"/>
          </w:tcPr>
          <w:p>
            <w:pPr>
              <w:spacing w:after="0"/>
              <w:rPr>
                <w:sz w:val="11"/>
                <w:szCs w:val="11"/>
                <w:color w:val="auto"/>
              </w:rPr>
            </w:pPr>
          </w:p>
        </w:tc>
        <w:tc>
          <w:tcPr>
            <w:tcW w:w="60" w:type="dxa"/>
            <w:vAlign w:val="bottom"/>
            <w:tcBorders>
              <w:bottom w:val="single" w:sz="8" w:color="CCEEFF"/>
            </w:tcBorders>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vMerge w:val="continue"/>
          </w:tcPr>
          <w:p>
            <w:pPr>
              <w:spacing w:after="0"/>
              <w:rPr>
                <w:sz w:val="11"/>
                <w:szCs w:val="11"/>
                <w:color w:val="auto"/>
              </w:rPr>
            </w:pPr>
          </w:p>
        </w:tc>
        <w:tc>
          <w:tcPr>
            <w:tcW w:w="60" w:type="dxa"/>
            <w:vAlign w:val="bottom"/>
            <w:tcBorders>
              <w:bottom w:val="single" w:sz="8" w:color="CCEEFF"/>
            </w:tcBorders>
            <w:vMerge w:val="continue"/>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center"/>
              <w:ind w:right="53"/>
              <w:spacing w:after="0"/>
              <w:rPr>
                <w:sz w:val="20"/>
                <w:szCs w:val="20"/>
                <w:color w:val="auto"/>
              </w:rPr>
            </w:pPr>
            <w:r>
              <w:rPr>
                <w:rFonts w:ascii="Arial" w:cs="Arial" w:eastAsia="Arial" w:hAnsi="Arial"/>
                <w:sz w:val="9"/>
                <w:szCs w:val="9"/>
                <w:b w:val="1"/>
                <w:bCs w:val="1"/>
                <w:color w:val="auto"/>
                <w:w w:val="98"/>
              </w:rPr>
              <w:t>Deficit)</w:t>
            </w:r>
          </w:p>
        </w:tc>
        <w:tc>
          <w:tcPr>
            <w:tcW w:w="80" w:type="dxa"/>
            <w:vAlign w:val="bottom"/>
            <w:tcBorders>
              <w:bottom w:val="single" w:sz="8" w:color="CCEEFF"/>
            </w:tcBorders>
          </w:tcPr>
          <w:p>
            <w:pPr>
              <w:spacing w:after="0"/>
              <w:rPr>
                <w:sz w:val="11"/>
                <w:szCs w:val="11"/>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9"/>
                <w:szCs w:val="9"/>
                <w:b w:val="1"/>
                <w:bCs w:val="1"/>
                <w:color w:val="auto"/>
                <w:w w:val="91"/>
              </w:rPr>
              <w:t>Income (Loss)</w:t>
            </w: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33"/>
              <w:spacing w:after="0"/>
              <w:rPr>
                <w:sz w:val="20"/>
                <w:szCs w:val="20"/>
                <w:color w:val="auto"/>
              </w:rPr>
            </w:pPr>
            <w:r>
              <w:rPr>
                <w:rFonts w:ascii="Arial" w:cs="Arial" w:eastAsia="Arial" w:hAnsi="Arial"/>
                <w:sz w:val="9"/>
                <w:szCs w:val="9"/>
                <w:b w:val="1"/>
                <w:bCs w:val="1"/>
                <w:color w:val="auto"/>
              </w:rPr>
              <w:t>Equity</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9"/>
                <w:szCs w:val="9"/>
                <w:b w:val="1"/>
                <w:bCs w:val="1"/>
                <w:color w:val="auto"/>
              </w:rPr>
              <w:t>Interest</w:t>
            </w:r>
          </w:p>
        </w:tc>
        <w:tc>
          <w:tcPr>
            <w:tcW w:w="80" w:type="dxa"/>
            <w:vAlign w:val="bottom"/>
            <w:tcBorders>
              <w:bottom w:val="single" w:sz="8" w:color="CCEEFF"/>
            </w:tcBorders>
          </w:tcPr>
          <w:p>
            <w:pPr>
              <w:spacing w:after="0"/>
              <w:rPr>
                <w:sz w:val="11"/>
                <w:szCs w:val="11"/>
                <w:color w:val="auto"/>
              </w:rPr>
            </w:pPr>
          </w:p>
        </w:tc>
        <w:tc>
          <w:tcPr>
            <w:tcW w:w="600" w:type="dxa"/>
            <w:vAlign w:val="bottom"/>
            <w:tcBorders>
              <w:bottom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86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Balance at December 31, 2018</w:t>
            </w: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rPr>
              <w:t>108,955,048</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0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rPr>
              <w:t>1</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rPr>
              <w:t>13,749,886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gridSpan w:val="2"/>
            <w:shd w:val="clear" w:color="auto" w:fill="CCEEFF"/>
          </w:tcPr>
          <w:p>
            <w:pPr>
              <w:ind w:left="360"/>
              <w:spacing w:after="0"/>
              <w:rPr>
                <w:sz w:val="20"/>
                <w:szCs w:val="20"/>
                <w:color w:val="auto"/>
              </w:rPr>
            </w:pPr>
            <w:r>
              <w:rPr>
                <w:rFonts w:ascii="Arial" w:cs="Arial" w:eastAsia="Arial" w:hAnsi="Arial"/>
                <w:sz w:val="9"/>
                <w:szCs w:val="9"/>
                <w:color w:val="auto"/>
              </w:rPr>
              <w:t>—</w:t>
            </w:r>
          </w:p>
        </w:tc>
        <w:tc>
          <w:tcPr>
            <w:tcW w:w="58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rPr>
              <w:t>69,091,740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1</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(2,178,771)</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(55,005)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rPr>
              <w:t>1,010,468</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96,513</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9"/>
                <w:szCs w:val="9"/>
                <w:color w:val="auto"/>
                <w:w w:val="78"/>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(82)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9"/>
                <w:szCs w:val="9"/>
                <w:color w:val="auto"/>
                <w:w w:val="78"/>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1,051,896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442,803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rPr>
              <w:t>1,494,699</w:t>
            </w:r>
          </w:p>
        </w:tc>
        <w:tc>
          <w:tcPr>
            <w:tcW w:w="0" w:type="dxa"/>
            <w:vAlign w:val="bottom"/>
          </w:tcPr>
          <w:p>
            <w:pPr>
              <w:spacing w:after="0"/>
              <w:rPr>
                <w:sz w:val="1"/>
                <w:szCs w:val="1"/>
                <w:color w:val="auto"/>
              </w:rPr>
            </w:pPr>
          </w:p>
        </w:tc>
      </w:tr>
      <w:tr>
        <w:trPr>
          <w:trHeight w:val="132"/>
        </w:trPr>
        <w:tc>
          <w:tcPr>
            <w:tcW w:w="1860" w:type="dxa"/>
            <w:vAlign w:val="bottom"/>
            <w:gridSpan w:val="2"/>
          </w:tcPr>
          <w:p>
            <w:pPr>
              <w:ind w:left="120"/>
              <w:spacing w:after="0"/>
              <w:rPr>
                <w:sz w:val="20"/>
                <w:szCs w:val="20"/>
                <w:color w:val="auto"/>
              </w:rPr>
            </w:pPr>
            <w:r>
              <w:rPr>
                <w:rFonts w:ascii="Arial" w:cs="Arial" w:eastAsia="Arial" w:hAnsi="Arial"/>
                <w:sz w:val="9"/>
                <w:szCs w:val="9"/>
                <w:color w:val="auto"/>
              </w:rPr>
              <w:t>Share based compensation</w:t>
            </w:r>
          </w:p>
        </w:tc>
        <w:tc>
          <w:tcPr>
            <w:tcW w:w="600" w:type="dxa"/>
            <w:vAlign w:val="bottom"/>
          </w:tcPr>
          <w:p>
            <w:pPr>
              <w:jc w:val="right"/>
              <w:ind w:right="13"/>
              <w:spacing w:after="0"/>
              <w:rPr>
                <w:sz w:val="20"/>
                <w:szCs w:val="20"/>
                <w:color w:val="auto"/>
              </w:rPr>
            </w:pPr>
            <w:r>
              <w:rPr>
                <w:rFonts w:ascii="Arial" w:cs="Arial" w:eastAsia="Arial" w:hAnsi="Arial"/>
                <w:sz w:val="9"/>
                <w:szCs w:val="9"/>
                <w:color w:val="auto"/>
              </w:rPr>
              <w:t>2,226,676</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80" w:type="dxa"/>
            <w:vAlign w:val="bottom"/>
            <w:gridSpan w:val="2"/>
          </w:tcPr>
          <w:p>
            <w:pPr>
              <w:ind w:left="360"/>
              <w:spacing w:after="0"/>
              <w:rPr>
                <w:sz w:val="20"/>
                <w:szCs w:val="20"/>
                <w:color w:val="auto"/>
              </w:rPr>
            </w:pPr>
            <w:r>
              <w:rPr>
                <w:rFonts w:ascii="Arial" w:cs="Arial" w:eastAsia="Arial" w:hAnsi="Arial"/>
                <w:sz w:val="9"/>
                <w:szCs w:val="9"/>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640" w:type="dxa"/>
            <w:vAlign w:val="bottom"/>
            <w:gridSpan w:val="2"/>
          </w:tcPr>
          <w:p>
            <w:pPr>
              <w:ind w:left="42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520" w:type="dxa"/>
            <w:vAlign w:val="bottom"/>
            <w:gridSpan w:val="2"/>
          </w:tcPr>
          <w:p>
            <w:pPr>
              <w:ind w:left="30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20" w:type="dxa"/>
            <w:vAlign w:val="bottom"/>
          </w:tcPr>
          <w:p>
            <w:pPr>
              <w:jc w:val="right"/>
              <w:ind w:right="13"/>
              <w:spacing w:after="0"/>
              <w:rPr>
                <w:sz w:val="20"/>
                <w:szCs w:val="20"/>
                <w:color w:val="auto"/>
              </w:rPr>
            </w:pPr>
            <w:r>
              <w:rPr>
                <w:rFonts w:ascii="Arial" w:cs="Arial" w:eastAsia="Arial" w:hAnsi="Arial"/>
                <w:sz w:val="9"/>
                <w:szCs w:val="9"/>
                <w:color w:val="auto"/>
              </w:rPr>
              <w:t>72,381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72,381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500" w:type="dxa"/>
            <w:vAlign w:val="bottom"/>
          </w:tcPr>
          <w:p>
            <w:pPr>
              <w:jc w:val="right"/>
              <w:ind w:right="13"/>
              <w:spacing w:after="0"/>
              <w:rPr>
                <w:sz w:val="20"/>
                <w:szCs w:val="20"/>
                <w:color w:val="auto"/>
              </w:rPr>
            </w:pPr>
            <w:r>
              <w:rPr>
                <w:rFonts w:ascii="Arial" w:cs="Arial" w:eastAsia="Arial" w:hAnsi="Arial"/>
                <w:sz w:val="9"/>
                <w:szCs w:val="9"/>
                <w:color w:val="auto"/>
              </w:rPr>
              <w:t>72,381</w:t>
            </w:r>
          </w:p>
        </w:tc>
        <w:tc>
          <w:tcPr>
            <w:tcW w:w="0" w:type="dxa"/>
            <w:vAlign w:val="bottom"/>
          </w:tcPr>
          <w:p>
            <w:pPr>
              <w:spacing w:after="0"/>
              <w:rPr>
                <w:sz w:val="1"/>
                <w:szCs w:val="1"/>
                <w:color w:val="auto"/>
              </w:rPr>
            </w:pPr>
          </w:p>
        </w:tc>
      </w:tr>
      <w:tr>
        <w:trPr>
          <w:trHeight w:val="152"/>
        </w:trPr>
        <w:tc>
          <w:tcPr>
            <w:tcW w:w="1860" w:type="dxa"/>
            <w:vAlign w:val="bottom"/>
            <w:gridSpan w:val="2"/>
            <w:shd w:val="clear" w:color="auto" w:fill="CCEEFF"/>
          </w:tcPr>
          <w:p>
            <w:pPr>
              <w:ind w:left="120"/>
              <w:spacing w:after="0"/>
              <w:rPr>
                <w:sz w:val="20"/>
                <w:szCs w:val="20"/>
                <w:color w:val="auto"/>
              </w:rPr>
            </w:pPr>
            <w:r>
              <w:rPr>
                <w:rFonts w:ascii="Arial" w:cs="Arial" w:eastAsia="Arial" w:hAnsi="Arial"/>
                <w:sz w:val="9"/>
                <w:szCs w:val="9"/>
                <w:color w:val="auto"/>
              </w:rPr>
              <w:t>Repurchase of Class C common stock</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(9,541)</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ind w:left="360"/>
              <w:spacing w:after="0"/>
              <w:rPr>
                <w:sz w:val="20"/>
                <w:szCs w:val="20"/>
                <w:color w:val="auto"/>
              </w:rPr>
            </w:pPr>
            <w:r>
              <w:rPr>
                <w:rFonts w:ascii="Arial" w:cs="Arial" w:eastAsia="Arial" w:hAnsi="Arial"/>
                <w:sz w:val="9"/>
                <w:szCs w:val="9"/>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40" w:type="dxa"/>
            <w:vAlign w:val="bottom"/>
            <w:gridSpan w:val="2"/>
            <w:shd w:val="clear" w:color="auto" w:fill="CCEEFF"/>
          </w:tcPr>
          <w:p>
            <w:pPr>
              <w:ind w:left="42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(196)</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(196)</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(196)</w:t>
            </w:r>
          </w:p>
        </w:tc>
        <w:tc>
          <w:tcPr>
            <w:tcW w:w="0" w:type="dxa"/>
            <w:vAlign w:val="bottom"/>
          </w:tcPr>
          <w:p>
            <w:pPr>
              <w:spacing w:after="0"/>
              <w:rPr>
                <w:sz w:val="1"/>
                <w:szCs w:val="1"/>
                <w:color w:val="auto"/>
              </w:rPr>
            </w:pPr>
          </w:p>
        </w:tc>
      </w:tr>
      <w:tr>
        <w:trPr>
          <w:trHeight w:val="132"/>
        </w:trPr>
        <w:tc>
          <w:tcPr>
            <w:tcW w:w="1860" w:type="dxa"/>
            <w:vAlign w:val="bottom"/>
            <w:gridSpan w:val="2"/>
          </w:tcPr>
          <w:p>
            <w:pPr>
              <w:ind w:left="120"/>
              <w:spacing w:after="0"/>
              <w:rPr>
                <w:sz w:val="20"/>
                <w:szCs w:val="20"/>
                <w:color w:val="auto"/>
              </w:rPr>
            </w:pPr>
            <w:r>
              <w:rPr>
                <w:rFonts w:ascii="Arial" w:cs="Arial" w:eastAsia="Arial" w:hAnsi="Arial"/>
                <w:sz w:val="9"/>
                <w:szCs w:val="9"/>
                <w:color w:val="auto"/>
              </w:rPr>
              <w:t>Treasury stock purchases</w:t>
            </w:r>
          </w:p>
        </w:tc>
        <w:tc>
          <w:tcPr>
            <w:tcW w:w="600" w:type="dxa"/>
            <w:vAlign w:val="bottom"/>
          </w:tcPr>
          <w:p>
            <w:pPr>
              <w:jc w:val="right"/>
              <w:spacing w:after="0"/>
              <w:rPr>
                <w:sz w:val="20"/>
                <w:szCs w:val="20"/>
                <w:color w:val="auto"/>
              </w:rPr>
            </w:pPr>
            <w:r>
              <w:rPr>
                <w:rFonts w:ascii="Arial" w:cs="Arial" w:eastAsia="Arial" w:hAnsi="Arial"/>
                <w:sz w:val="9"/>
                <w:szCs w:val="9"/>
                <w:color w:val="auto"/>
              </w:rPr>
              <w:t>(720,323)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80" w:type="dxa"/>
            <w:vAlign w:val="bottom"/>
            <w:gridSpan w:val="2"/>
          </w:tcPr>
          <w:p>
            <w:pPr>
              <w:ind w:left="360"/>
              <w:spacing w:after="0"/>
              <w:rPr>
                <w:sz w:val="20"/>
                <w:szCs w:val="20"/>
                <w:color w:val="auto"/>
              </w:rPr>
            </w:pPr>
            <w:r>
              <w:rPr>
                <w:rFonts w:ascii="Arial" w:cs="Arial" w:eastAsia="Arial" w:hAnsi="Arial"/>
                <w:sz w:val="9"/>
                <w:szCs w:val="9"/>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640" w:type="dxa"/>
            <w:vAlign w:val="bottom"/>
            <w:gridSpan w:val="2"/>
          </w:tcPr>
          <w:p>
            <w:pPr>
              <w:ind w:left="42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520" w:type="dxa"/>
            <w:vAlign w:val="bottom"/>
            <w:gridSpan w:val="2"/>
          </w:tcPr>
          <w:p>
            <w:pPr>
              <w:ind w:left="30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(15,878)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(15,878)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(15,878)</w:t>
            </w:r>
          </w:p>
        </w:tc>
        <w:tc>
          <w:tcPr>
            <w:tcW w:w="0" w:type="dxa"/>
            <w:vAlign w:val="bottom"/>
          </w:tcPr>
          <w:p>
            <w:pPr>
              <w:spacing w:after="0"/>
              <w:rPr>
                <w:sz w:val="1"/>
                <w:szCs w:val="1"/>
                <w:color w:val="auto"/>
              </w:rPr>
            </w:pPr>
          </w:p>
        </w:tc>
      </w:tr>
      <w:tr>
        <w:trPr>
          <w:trHeight w:val="152"/>
        </w:trPr>
        <w:tc>
          <w:tcPr>
            <w:tcW w:w="1860" w:type="dxa"/>
            <w:vAlign w:val="bottom"/>
            <w:gridSpan w:val="2"/>
            <w:shd w:val="clear" w:color="auto" w:fill="CCEEFF"/>
          </w:tcPr>
          <w:p>
            <w:pPr>
              <w:ind w:left="120"/>
              <w:spacing w:after="0"/>
              <w:rPr>
                <w:sz w:val="20"/>
                <w:szCs w:val="20"/>
                <w:color w:val="auto"/>
              </w:rPr>
            </w:pPr>
            <w:r>
              <w:rPr>
                <w:rFonts w:ascii="Arial" w:cs="Arial" w:eastAsia="Arial" w:hAnsi="Arial"/>
                <w:sz w:val="9"/>
                <w:szCs w:val="9"/>
                <w:color w:val="auto"/>
              </w:rPr>
              <w:t>Stock option exercised</w:t>
            </w: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rPr>
              <w:t>121,344</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ind w:left="360"/>
              <w:spacing w:after="0"/>
              <w:rPr>
                <w:sz w:val="20"/>
                <w:szCs w:val="20"/>
                <w:color w:val="auto"/>
              </w:rPr>
            </w:pPr>
            <w:r>
              <w:rPr>
                <w:rFonts w:ascii="Arial" w:cs="Arial" w:eastAsia="Arial" w:hAnsi="Arial"/>
                <w:sz w:val="9"/>
                <w:szCs w:val="9"/>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40" w:type="dxa"/>
            <w:vAlign w:val="bottom"/>
            <w:gridSpan w:val="2"/>
            <w:shd w:val="clear" w:color="auto" w:fill="CCEEFF"/>
          </w:tcPr>
          <w:p>
            <w:pPr>
              <w:ind w:left="42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rPr>
              <w:t>931</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931</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rPr>
              <w:t>931</w:t>
            </w:r>
          </w:p>
        </w:tc>
        <w:tc>
          <w:tcPr>
            <w:tcW w:w="0" w:type="dxa"/>
            <w:vAlign w:val="bottom"/>
          </w:tcPr>
          <w:p>
            <w:pPr>
              <w:spacing w:after="0"/>
              <w:rPr>
                <w:sz w:val="1"/>
                <w:szCs w:val="1"/>
                <w:color w:val="auto"/>
              </w:rPr>
            </w:pPr>
          </w:p>
        </w:tc>
      </w:tr>
      <w:tr>
        <w:trPr>
          <w:trHeight w:val="132"/>
        </w:trPr>
        <w:tc>
          <w:tcPr>
            <w:tcW w:w="1860" w:type="dxa"/>
            <w:vAlign w:val="bottom"/>
            <w:gridSpan w:val="2"/>
          </w:tcPr>
          <w:p>
            <w:pPr>
              <w:ind w:left="120"/>
              <w:spacing w:after="0"/>
              <w:rPr>
                <w:sz w:val="20"/>
                <w:szCs w:val="20"/>
                <w:color w:val="auto"/>
              </w:rPr>
            </w:pPr>
            <w:r>
              <w:rPr>
                <w:rFonts w:ascii="Arial" w:cs="Arial" w:eastAsia="Arial" w:hAnsi="Arial"/>
                <w:sz w:val="9"/>
                <w:szCs w:val="9"/>
                <w:color w:val="auto"/>
              </w:rPr>
              <w:t>Net Income (loss)</w:t>
            </w:r>
          </w:p>
        </w:tc>
        <w:tc>
          <w:tcPr>
            <w:tcW w:w="6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80" w:type="dxa"/>
            <w:vAlign w:val="bottom"/>
            <w:gridSpan w:val="2"/>
          </w:tcPr>
          <w:p>
            <w:pPr>
              <w:ind w:left="360"/>
              <w:spacing w:after="0"/>
              <w:rPr>
                <w:sz w:val="20"/>
                <w:szCs w:val="20"/>
                <w:color w:val="auto"/>
              </w:rPr>
            </w:pPr>
            <w:r>
              <w:rPr>
                <w:rFonts w:ascii="Arial" w:cs="Arial" w:eastAsia="Arial" w:hAnsi="Arial"/>
                <w:sz w:val="9"/>
                <w:szCs w:val="9"/>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640" w:type="dxa"/>
            <w:vAlign w:val="bottom"/>
            <w:gridSpan w:val="2"/>
          </w:tcPr>
          <w:p>
            <w:pPr>
              <w:ind w:left="42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520" w:type="dxa"/>
            <w:vAlign w:val="bottom"/>
            <w:gridSpan w:val="2"/>
          </w:tcPr>
          <w:p>
            <w:pPr>
              <w:ind w:left="30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(58,595)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(58,595)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(45,110)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(103,705)</w:t>
            </w:r>
          </w:p>
        </w:tc>
        <w:tc>
          <w:tcPr>
            <w:tcW w:w="0" w:type="dxa"/>
            <w:vAlign w:val="bottom"/>
          </w:tcPr>
          <w:p>
            <w:pPr>
              <w:spacing w:after="0"/>
              <w:rPr>
                <w:sz w:val="1"/>
                <w:szCs w:val="1"/>
                <w:color w:val="auto"/>
              </w:rPr>
            </w:pPr>
          </w:p>
        </w:tc>
      </w:tr>
      <w:tr>
        <w:trPr>
          <w:trHeight w:val="152"/>
        </w:trPr>
        <w:tc>
          <w:tcPr>
            <w:tcW w:w="1860" w:type="dxa"/>
            <w:vAlign w:val="bottom"/>
            <w:gridSpan w:val="2"/>
            <w:shd w:val="clear" w:color="auto" w:fill="CCEEFF"/>
          </w:tcPr>
          <w:p>
            <w:pPr>
              <w:ind w:left="120"/>
              <w:spacing w:after="0"/>
              <w:rPr>
                <w:sz w:val="20"/>
                <w:szCs w:val="20"/>
                <w:color w:val="auto"/>
              </w:rPr>
            </w:pPr>
            <w:r>
              <w:rPr>
                <w:rFonts w:ascii="Arial" w:cs="Arial" w:eastAsia="Arial" w:hAnsi="Arial"/>
                <w:sz w:val="9"/>
                <w:szCs w:val="9"/>
                <w:color w:val="auto"/>
              </w:rPr>
              <w:t>Foreign exchange translation adjustment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ind w:left="360"/>
              <w:spacing w:after="0"/>
              <w:rPr>
                <w:sz w:val="20"/>
                <w:szCs w:val="20"/>
                <w:color w:val="auto"/>
              </w:rPr>
            </w:pPr>
            <w:r>
              <w:rPr>
                <w:rFonts w:ascii="Arial" w:cs="Arial" w:eastAsia="Arial" w:hAnsi="Arial"/>
                <w:sz w:val="9"/>
                <w:szCs w:val="9"/>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40" w:type="dxa"/>
            <w:vAlign w:val="bottom"/>
            <w:gridSpan w:val="2"/>
            <w:shd w:val="clear" w:color="auto" w:fill="CCEEFF"/>
          </w:tcPr>
          <w:p>
            <w:pPr>
              <w:ind w:left="42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(565)</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(565)</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(910)</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(1,475)</w:t>
            </w:r>
          </w:p>
        </w:tc>
        <w:tc>
          <w:tcPr>
            <w:tcW w:w="0" w:type="dxa"/>
            <w:vAlign w:val="bottom"/>
          </w:tcPr>
          <w:p>
            <w:pPr>
              <w:spacing w:after="0"/>
              <w:rPr>
                <w:sz w:val="1"/>
                <w:szCs w:val="1"/>
                <w:color w:val="auto"/>
              </w:rPr>
            </w:pPr>
          </w:p>
        </w:tc>
      </w:tr>
      <w:tr>
        <w:trPr>
          <w:trHeight w:val="97"/>
        </w:trPr>
        <w:tc>
          <w:tcPr>
            <w:tcW w:w="1860" w:type="dxa"/>
            <w:vAlign w:val="bottom"/>
            <w:gridSpan w:val="2"/>
          </w:tcPr>
          <w:p>
            <w:pPr>
              <w:ind w:left="120"/>
              <w:spacing w:after="0" w:line="98" w:lineRule="exact"/>
              <w:rPr>
                <w:sz w:val="20"/>
                <w:szCs w:val="20"/>
                <w:color w:val="auto"/>
              </w:rPr>
            </w:pPr>
            <w:r>
              <w:rPr>
                <w:rFonts w:ascii="Arial" w:cs="Arial" w:eastAsia="Arial" w:hAnsi="Arial"/>
                <w:sz w:val="9"/>
                <w:szCs w:val="9"/>
                <w:color w:val="auto"/>
              </w:rPr>
              <w:t>Dividends ($0.24 per share of Class A</w:t>
            </w: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860" w:type="dxa"/>
            <w:vAlign w:val="bottom"/>
            <w:gridSpan w:val="2"/>
          </w:tcPr>
          <w:p>
            <w:pPr>
              <w:ind w:left="120"/>
              <w:spacing w:after="0" w:line="95" w:lineRule="exact"/>
              <w:rPr>
                <w:sz w:val="20"/>
                <w:szCs w:val="20"/>
                <w:color w:val="auto"/>
              </w:rPr>
            </w:pPr>
            <w:r>
              <w:rPr>
                <w:rFonts w:ascii="Arial" w:cs="Arial" w:eastAsia="Arial" w:hAnsi="Arial"/>
                <w:sz w:val="9"/>
                <w:szCs w:val="9"/>
                <w:color w:val="auto"/>
              </w:rPr>
              <w:t>common</w:t>
            </w: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860" w:type="dxa"/>
            <w:vAlign w:val="bottom"/>
            <w:gridSpan w:val="2"/>
          </w:tcPr>
          <w:p>
            <w:pPr>
              <w:ind w:left="120"/>
              <w:spacing w:after="0" w:line="95" w:lineRule="exact"/>
              <w:rPr>
                <w:sz w:val="20"/>
                <w:szCs w:val="20"/>
                <w:color w:val="auto"/>
              </w:rPr>
            </w:pPr>
            <w:r>
              <w:rPr>
                <w:rFonts w:ascii="Arial" w:cs="Arial" w:eastAsia="Arial" w:hAnsi="Arial"/>
                <w:sz w:val="9"/>
                <w:szCs w:val="9"/>
                <w:color w:val="auto"/>
              </w:rPr>
              <w:t>stock and participating Restricted Stock</w:t>
            </w: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860" w:type="dxa"/>
            <w:vAlign w:val="bottom"/>
            <w:gridSpan w:val="2"/>
          </w:tcPr>
          <w:p>
            <w:pPr>
              <w:ind w:left="120"/>
              <w:spacing w:after="0" w:line="95" w:lineRule="exact"/>
              <w:rPr>
                <w:sz w:val="20"/>
                <w:szCs w:val="20"/>
                <w:color w:val="auto"/>
              </w:rPr>
            </w:pPr>
            <w:r>
              <w:rPr>
                <w:rFonts w:ascii="Arial" w:cs="Arial" w:eastAsia="Arial" w:hAnsi="Arial"/>
                <w:sz w:val="9"/>
                <w:szCs w:val="9"/>
                <w:color w:val="auto"/>
              </w:rPr>
              <w:t>Unit and</w:t>
            </w: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860" w:type="dxa"/>
            <w:vAlign w:val="bottom"/>
            <w:gridSpan w:val="2"/>
          </w:tcPr>
          <w:p>
            <w:pPr>
              <w:ind w:left="120"/>
              <w:spacing w:after="0" w:line="95" w:lineRule="exact"/>
              <w:rPr>
                <w:sz w:val="20"/>
                <w:szCs w:val="20"/>
                <w:color w:val="auto"/>
              </w:rPr>
            </w:pPr>
            <w:r>
              <w:rPr>
                <w:rFonts w:ascii="Arial" w:cs="Arial" w:eastAsia="Arial" w:hAnsi="Arial"/>
                <w:sz w:val="9"/>
                <w:szCs w:val="9"/>
                <w:color w:val="auto"/>
              </w:rPr>
              <w:t>Restricted Stock Award) and distributions</w:t>
            </w: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860" w:type="dxa"/>
            <w:vAlign w:val="bottom"/>
            <w:gridSpan w:val="2"/>
          </w:tcPr>
          <w:p>
            <w:pPr>
              <w:ind w:left="120"/>
              <w:spacing w:after="0" w:line="95" w:lineRule="exact"/>
              <w:rPr>
                <w:sz w:val="20"/>
                <w:szCs w:val="20"/>
                <w:color w:val="auto"/>
              </w:rPr>
            </w:pPr>
            <w:r>
              <w:rPr>
                <w:rFonts w:ascii="Arial" w:cs="Arial" w:eastAsia="Arial" w:hAnsi="Arial"/>
                <w:sz w:val="9"/>
                <w:szCs w:val="9"/>
                <w:color w:val="auto"/>
              </w:rPr>
              <w:t>from</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80" w:type="dxa"/>
            <w:vAlign w:val="bottom"/>
            <w:gridSpan w:val="2"/>
            <w:vMerge w:val="restart"/>
          </w:tcPr>
          <w:p>
            <w:pPr>
              <w:ind w:left="360"/>
              <w:spacing w:after="0"/>
              <w:rPr>
                <w:sz w:val="20"/>
                <w:szCs w:val="20"/>
                <w:color w:val="auto"/>
              </w:rPr>
            </w:pPr>
            <w:r>
              <w:rPr>
                <w:rFonts w:ascii="Arial" w:cs="Arial" w:eastAsia="Arial" w:hAnsi="Arial"/>
                <w:sz w:val="9"/>
                <w:szCs w:val="9"/>
                <w:color w:val="auto"/>
              </w:rPr>
              <w:t>—</w:t>
            </w: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640" w:type="dxa"/>
            <w:vAlign w:val="bottom"/>
            <w:gridSpan w:val="2"/>
            <w:vMerge w:val="restart"/>
          </w:tcPr>
          <w:p>
            <w:pPr>
              <w:ind w:left="42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20" w:type="dxa"/>
            <w:vAlign w:val="bottom"/>
            <w:gridSpan w:val="2"/>
            <w:vMerge w:val="restart"/>
          </w:tcPr>
          <w:p>
            <w:pPr>
              <w:ind w:left="30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520" w:type="dxa"/>
            <w:vAlign w:val="bottom"/>
            <w:vMerge w:val="restart"/>
          </w:tcPr>
          <w:p>
            <w:pPr>
              <w:jc w:val="right"/>
              <w:spacing w:after="0"/>
              <w:rPr>
                <w:sz w:val="20"/>
                <w:szCs w:val="20"/>
                <w:color w:val="auto"/>
              </w:rPr>
            </w:pPr>
            <w:r>
              <w:rPr>
                <w:rFonts w:ascii="Arial" w:cs="Arial" w:eastAsia="Arial" w:hAnsi="Arial"/>
                <w:sz w:val="9"/>
                <w:szCs w:val="9"/>
                <w:color w:val="auto"/>
              </w:rPr>
              <w:t>(112,414)</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40" w:type="dxa"/>
            <w:vAlign w:val="bottom"/>
            <w:vMerge w:val="restart"/>
          </w:tcPr>
          <w:p>
            <w:pPr>
              <w:jc w:val="right"/>
              <w:spacing w:after="0"/>
              <w:rPr>
                <w:sz w:val="20"/>
                <w:szCs w:val="20"/>
                <w:color w:val="auto"/>
              </w:rPr>
            </w:pPr>
            <w:r>
              <w:rPr>
                <w:rFonts w:ascii="Arial" w:cs="Arial" w:eastAsia="Arial" w:hAnsi="Arial"/>
                <w:sz w:val="9"/>
                <w:szCs w:val="9"/>
                <w:color w:val="auto"/>
              </w:rPr>
              <w:t>(112,414)</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vMerge w:val="restart"/>
          </w:tcPr>
          <w:p>
            <w:pPr>
              <w:jc w:val="right"/>
              <w:spacing w:after="0"/>
              <w:rPr>
                <w:sz w:val="20"/>
                <w:szCs w:val="20"/>
                <w:color w:val="auto"/>
              </w:rPr>
            </w:pPr>
            <w:r>
              <w:rPr>
                <w:rFonts w:ascii="Arial" w:cs="Arial" w:eastAsia="Arial" w:hAnsi="Arial"/>
                <w:sz w:val="9"/>
                <w:szCs w:val="9"/>
                <w:color w:val="auto"/>
              </w:rPr>
              <w:t>(99,221)</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vMerge w:val="restart"/>
          </w:tcPr>
          <w:p>
            <w:pPr>
              <w:jc w:val="right"/>
              <w:spacing w:after="0"/>
              <w:rPr>
                <w:sz w:val="20"/>
                <w:szCs w:val="20"/>
                <w:color w:val="auto"/>
              </w:rPr>
            </w:pPr>
            <w:r>
              <w:rPr>
                <w:rFonts w:ascii="Arial" w:cs="Arial" w:eastAsia="Arial" w:hAnsi="Arial"/>
                <w:sz w:val="9"/>
                <w:szCs w:val="9"/>
                <w:color w:val="auto"/>
              </w:rPr>
              <w:t>(211,635)</w:t>
            </w:r>
          </w:p>
        </w:tc>
        <w:tc>
          <w:tcPr>
            <w:tcW w:w="0" w:type="dxa"/>
            <w:vAlign w:val="bottom"/>
          </w:tcPr>
          <w:p>
            <w:pPr>
              <w:spacing w:after="0"/>
              <w:rPr>
                <w:sz w:val="1"/>
                <w:szCs w:val="1"/>
                <w:color w:val="auto"/>
              </w:rPr>
            </w:pPr>
          </w:p>
        </w:tc>
      </w:tr>
      <w:tr>
        <w:trPr>
          <w:trHeight w:val="130"/>
        </w:trPr>
        <w:tc>
          <w:tcPr>
            <w:tcW w:w="1860" w:type="dxa"/>
            <w:vAlign w:val="bottom"/>
            <w:gridSpan w:val="2"/>
          </w:tcPr>
          <w:p>
            <w:pPr>
              <w:ind w:left="120"/>
              <w:spacing w:after="0"/>
              <w:rPr>
                <w:sz w:val="20"/>
                <w:szCs w:val="20"/>
                <w:color w:val="auto"/>
              </w:rPr>
            </w:pPr>
            <w:r>
              <w:rPr>
                <w:rFonts w:ascii="Arial" w:cs="Arial" w:eastAsia="Arial" w:hAnsi="Arial"/>
                <w:sz w:val="9"/>
                <w:szCs w:val="9"/>
                <w:color w:val="auto"/>
              </w:rPr>
              <w:t>Virtu Financial to non-controlling interest</w:t>
            </w:r>
          </w:p>
        </w:tc>
        <w:tc>
          <w:tcPr>
            <w:tcW w:w="68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1860" w:type="dxa"/>
            <w:vAlign w:val="bottom"/>
            <w:gridSpan w:val="2"/>
            <w:shd w:val="clear" w:color="auto" w:fill="CCEEFF"/>
          </w:tcPr>
          <w:p>
            <w:pPr>
              <w:ind w:left="120"/>
              <w:spacing w:after="0"/>
              <w:rPr>
                <w:sz w:val="20"/>
                <w:szCs w:val="20"/>
                <w:color w:val="auto"/>
              </w:rPr>
            </w:pPr>
            <w:r>
              <w:rPr>
                <w:rFonts w:ascii="Arial" w:cs="Arial" w:eastAsia="Arial" w:hAnsi="Arial"/>
                <w:sz w:val="9"/>
                <w:szCs w:val="9"/>
                <w:color w:val="auto"/>
              </w:rPr>
              <w:t>Issuance of Class A common stock</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ind w:left="360"/>
              <w:spacing w:after="0"/>
              <w:rPr>
                <w:sz w:val="20"/>
                <w:szCs w:val="20"/>
                <w:color w:val="auto"/>
              </w:rPr>
            </w:pPr>
            <w:r>
              <w:rPr>
                <w:rFonts w:ascii="Arial" w:cs="Arial" w:eastAsia="Arial" w:hAnsi="Arial"/>
                <w:sz w:val="9"/>
                <w:szCs w:val="9"/>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40" w:type="dxa"/>
            <w:vAlign w:val="bottom"/>
            <w:gridSpan w:val="2"/>
            <w:shd w:val="clear" w:color="auto" w:fill="CCEEFF"/>
          </w:tcPr>
          <w:p>
            <w:pPr>
              <w:ind w:left="42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7"/>
        </w:trPr>
        <w:tc>
          <w:tcPr>
            <w:tcW w:w="1860" w:type="dxa"/>
            <w:vAlign w:val="bottom"/>
            <w:gridSpan w:val="2"/>
          </w:tcPr>
          <w:p>
            <w:pPr>
              <w:ind w:left="120"/>
              <w:spacing w:after="0" w:line="98" w:lineRule="exact"/>
              <w:rPr>
                <w:sz w:val="20"/>
                <w:szCs w:val="20"/>
                <w:color w:val="auto"/>
              </w:rPr>
            </w:pPr>
            <w:r>
              <w:rPr>
                <w:rFonts w:ascii="Arial" w:cs="Arial" w:eastAsia="Arial" w:hAnsi="Arial"/>
                <w:sz w:val="9"/>
                <w:szCs w:val="9"/>
                <w:color w:val="auto"/>
              </w:rPr>
              <w:t>Issuance of common stock in connection</w:t>
            </w:r>
          </w:p>
        </w:tc>
        <w:tc>
          <w:tcPr>
            <w:tcW w:w="600" w:type="dxa"/>
            <w:vAlign w:val="bottom"/>
            <w:vMerge w:val="restart"/>
          </w:tcPr>
          <w:p>
            <w:pPr>
              <w:jc w:val="right"/>
              <w:ind w:right="13"/>
              <w:spacing w:after="0"/>
              <w:rPr>
                <w:sz w:val="20"/>
                <w:szCs w:val="20"/>
                <w:color w:val="auto"/>
              </w:rPr>
            </w:pPr>
            <w:r>
              <w:rPr>
                <w:rFonts w:ascii="Arial" w:cs="Arial" w:eastAsia="Arial" w:hAnsi="Arial"/>
                <w:sz w:val="9"/>
                <w:szCs w:val="9"/>
                <w:color w:val="auto"/>
              </w:rPr>
              <w:t>853,167</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80" w:type="dxa"/>
            <w:vAlign w:val="bottom"/>
            <w:gridSpan w:val="2"/>
            <w:vMerge w:val="restart"/>
          </w:tcPr>
          <w:p>
            <w:pPr>
              <w:ind w:left="360"/>
              <w:spacing w:after="0"/>
              <w:rPr>
                <w:sz w:val="20"/>
                <w:szCs w:val="20"/>
                <w:color w:val="auto"/>
              </w:rPr>
            </w:pPr>
            <w:r>
              <w:rPr>
                <w:rFonts w:ascii="Arial" w:cs="Arial" w:eastAsia="Arial" w:hAnsi="Arial"/>
                <w:sz w:val="9"/>
                <w:szCs w:val="9"/>
                <w:color w:val="auto"/>
              </w:rPr>
              <w:t>—</w:t>
            </w: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640" w:type="dxa"/>
            <w:vAlign w:val="bottom"/>
            <w:gridSpan w:val="2"/>
            <w:vMerge w:val="restart"/>
          </w:tcPr>
          <w:p>
            <w:pPr>
              <w:ind w:left="42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20" w:type="dxa"/>
            <w:vAlign w:val="bottom"/>
            <w:gridSpan w:val="2"/>
            <w:vMerge w:val="restart"/>
          </w:tcPr>
          <w:p>
            <w:pPr>
              <w:ind w:left="30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2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2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500" w:type="dxa"/>
            <w:vAlign w:val="bottom"/>
            <w:vMerge w:val="restart"/>
          </w:tcPr>
          <w:p>
            <w:pPr>
              <w:jc w:val="right"/>
              <w:ind w:right="13"/>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30"/>
        </w:trPr>
        <w:tc>
          <w:tcPr>
            <w:tcW w:w="1860" w:type="dxa"/>
            <w:vAlign w:val="bottom"/>
            <w:gridSpan w:val="2"/>
          </w:tcPr>
          <w:p>
            <w:pPr>
              <w:ind w:left="120"/>
              <w:spacing w:after="0"/>
              <w:rPr>
                <w:sz w:val="20"/>
                <w:szCs w:val="20"/>
                <w:color w:val="auto"/>
              </w:rPr>
            </w:pPr>
            <w:r>
              <w:rPr>
                <w:rFonts w:ascii="Arial" w:cs="Arial" w:eastAsia="Arial" w:hAnsi="Arial"/>
                <w:sz w:val="9"/>
                <w:szCs w:val="9"/>
                <w:color w:val="auto"/>
              </w:rPr>
              <w:t>with employee exchanges</w:t>
            </w:r>
          </w:p>
        </w:tc>
        <w:tc>
          <w:tcPr>
            <w:tcW w:w="6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860" w:type="dxa"/>
            <w:vAlign w:val="bottom"/>
            <w:gridSpan w:val="2"/>
            <w:shd w:val="clear" w:color="auto" w:fill="CCEEFF"/>
          </w:tcPr>
          <w:p>
            <w:pPr>
              <w:ind w:left="120"/>
              <w:spacing w:after="0"/>
              <w:rPr>
                <w:sz w:val="20"/>
                <w:szCs w:val="20"/>
                <w:color w:val="auto"/>
              </w:rPr>
            </w:pPr>
            <w:r>
              <w:rPr>
                <w:rFonts w:ascii="Arial" w:cs="Arial" w:eastAsia="Arial" w:hAnsi="Arial"/>
                <w:sz w:val="9"/>
                <w:szCs w:val="9"/>
                <w:color w:val="auto"/>
              </w:rPr>
              <w:t>Issuance of Common Stock in connection</w:t>
            </w: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1860" w:type="dxa"/>
            <w:vAlign w:val="bottom"/>
            <w:gridSpan w:val="2"/>
            <w:shd w:val="clear" w:color="auto" w:fill="CCEEFF"/>
          </w:tcPr>
          <w:p>
            <w:pPr>
              <w:ind w:left="120"/>
              <w:spacing w:after="0" w:line="95" w:lineRule="exact"/>
              <w:rPr>
                <w:sz w:val="20"/>
                <w:szCs w:val="20"/>
                <w:color w:val="auto"/>
              </w:rPr>
            </w:pPr>
            <w:r>
              <w:rPr>
                <w:rFonts w:ascii="Arial" w:cs="Arial" w:eastAsia="Arial" w:hAnsi="Arial"/>
                <w:sz w:val="9"/>
                <w:szCs w:val="9"/>
                <w:color w:val="auto"/>
              </w:rPr>
              <w:t>with secondary offering, net of offering</w:t>
            </w:r>
          </w:p>
        </w:tc>
        <w:tc>
          <w:tcPr>
            <w:tcW w:w="600" w:type="dxa"/>
            <w:vAlign w:val="bottom"/>
            <w:vMerge w:val="restart"/>
            <w:shd w:val="clear" w:color="auto" w:fill="CCEEFF"/>
          </w:tcPr>
          <w:p>
            <w:pPr>
              <w:jc w:val="right"/>
              <w:ind w:right="13"/>
              <w:spacing w:after="0"/>
              <w:rPr>
                <w:sz w:val="20"/>
                <w:szCs w:val="20"/>
                <w:color w:val="auto"/>
              </w:rPr>
            </w:pPr>
            <w:r>
              <w:rPr>
                <w:rFonts w:ascii="Arial" w:cs="Arial" w:eastAsia="Arial" w:hAnsi="Arial"/>
                <w:sz w:val="9"/>
                <w:szCs w:val="9"/>
                <w:color w:val="auto"/>
              </w:rPr>
              <w:t>9,000,000</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80" w:type="dxa"/>
            <w:vAlign w:val="bottom"/>
            <w:gridSpan w:val="2"/>
            <w:vMerge w:val="restart"/>
            <w:shd w:val="clear" w:color="auto" w:fill="CCEEFF"/>
          </w:tcPr>
          <w:p>
            <w:pPr>
              <w:ind w:left="360"/>
              <w:spacing w:after="0"/>
              <w:rPr>
                <w:sz w:val="20"/>
                <w:szCs w:val="20"/>
                <w:color w:val="auto"/>
              </w:rPr>
            </w:pPr>
            <w:r>
              <w:rPr>
                <w:rFonts w:ascii="Arial" w:cs="Arial" w:eastAsia="Arial" w:hAnsi="Arial"/>
                <w:sz w:val="9"/>
                <w:szCs w:val="9"/>
                <w:color w:val="auto"/>
              </w:rPr>
              <w:t>—</w:t>
            </w:r>
          </w:p>
        </w:tc>
        <w:tc>
          <w:tcPr>
            <w:tcW w:w="580" w:type="dxa"/>
            <w:vAlign w:val="bottom"/>
            <w:vMerge w:val="restart"/>
            <w:shd w:val="clear" w:color="auto" w:fill="CCEEFF"/>
          </w:tcPr>
          <w:p>
            <w:pPr>
              <w:ind w:left="100"/>
              <w:spacing w:after="0"/>
              <w:rPr>
                <w:sz w:val="20"/>
                <w:szCs w:val="20"/>
                <w:color w:val="auto"/>
              </w:rPr>
            </w:pPr>
            <w:r>
              <w:rPr>
                <w:rFonts w:ascii="Arial" w:cs="Arial" w:eastAsia="Arial" w:hAnsi="Arial"/>
                <w:sz w:val="9"/>
                <w:szCs w:val="9"/>
                <w:color w:val="auto"/>
                <w:w w:val="99"/>
              </w:rPr>
              <w:t>(9,000,000)</w:t>
            </w: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40" w:type="dxa"/>
            <w:vAlign w:val="bottom"/>
            <w:gridSpan w:val="2"/>
            <w:vMerge w:val="restart"/>
            <w:shd w:val="clear" w:color="auto" w:fill="CCEEFF"/>
          </w:tcPr>
          <w:p>
            <w:pPr>
              <w:ind w:left="42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20" w:type="dxa"/>
            <w:vAlign w:val="bottom"/>
            <w:gridSpan w:val="2"/>
            <w:vMerge w:val="restart"/>
            <w:shd w:val="clear" w:color="auto" w:fill="CCEEFF"/>
          </w:tcPr>
          <w:p>
            <w:pPr>
              <w:ind w:left="30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(375)</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(375)</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(375)</w:t>
            </w:r>
          </w:p>
        </w:tc>
        <w:tc>
          <w:tcPr>
            <w:tcW w:w="0" w:type="dxa"/>
            <w:vAlign w:val="bottom"/>
          </w:tcPr>
          <w:p>
            <w:pPr>
              <w:spacing w:after="0"/>
              <w:rPr>
                <w:sz w:val="1"/>
                <w:szCs w:val="1"/>
                <w:color w:val="auto"/>
              </w:rPr>
            </w:pPr>
          </w:p>
        </w:tc>
      </w:tr>
      <w:tr>
        <w:trPr>
          <w:trHeight w:val="140"/>
        </w:trPr>
        <w:tc>
          <w:tcPr>
            <w:tcW w:w="1860" w:type="dxa"/>
            <w:vAlign w:val="bottom"/>
            <w:gridSpan w:val="2"/>
            <w:shd w:val="clear" w:color="auto" w:fill="CCEEFF"/>
          </w:tcPr>
          <w:p>
            <w:pPr>
              <w:ind w:left="120"/>
              <w:spacing w:after="0"/>
              <w:rPr>
                <w:sz w:val="20"/>
                <w:szCs w:val="20"/>
                <w:color w:val="auto"/>
              </w:rPr>
            </w:pPr>
            <w:r>
              <w:rPr>
                <w:rFonts w:ascii="Arial" w:cs="Arial" w:eastAsia="Arial" w:hAnsi="Arial"/>
                <w:sz w:val="9"/>
                <w:szCs w:val="9"/>
                <w:color w:val="auto"/>
              </w:rPr>
              <w:t>costs</w:t>
            </w:r>
          </w:p>
        </w:tc>
        <w:tc>
          <w:tcPr>
            <w:tcW w:w="6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2"/>
            <w:vMerge w:val="continue"/>
            <w:shd w:val="clear" w:color="auto" w:fill="CCEEFF"/>
          </w:tcPr>
          <w:p>
            <w:pPr>
              <w:spacing w:after="0"/>
              <w:rPr>
                <w:sz w:val="12"/>
                <w:szCs w:val="12"/>
                <w:color w:val="auto"/>
              </w:rPr>
            </w:pPr>
          </w:p>
        </w:tc>
        <w:tc>
          <w:tcPr>
            <w:tcW w:w="64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vMerge w:val="continue"/>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vMerge w:val="continue"/>
            <w:shd w:val="clear" w:color="auto" w:fill="CCEEFF"/>
          </w:tcPr>
          <w:p>
            <w:pPr>
              <w:spacing w:after="0"/>
              <w:rPr>
                <w:sz w:val="12"/>
                <w:szCs w:val="12"/>
                <w:color w:val="auto"/>
              </w:rPr>
            </w:pPr>
          </w:p>
        </w:tc>
        <w:tc>
          <w:tcPr>
            <w:tcW w:w="640" w:type="dxa"/>
            <w:vAlign w:val="bottom"/>
            <w:gridSpan w:val="2"/>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1860" w:type="dxa"/>
            <w:vAlign w:val="bottom"/>
            <w:gridSpan w:val="2"/>
          </w:tcPr>
          <w:p>
            <w:pPr>
              <w:ind w:left="120"/>
              <w:spacing w:after="0" w:line="98" w:lineRule="exact"/>
              <w:rPr>
                <w:sz w:val="20"/>
                <w:szCs w:val="20"/>
                <w:color w:val="auto"/>
              </w:rPr>
            </w:pPr>
            <w:r>
              <w:rPr>
                <w:rFonts w:ascii="Arial" w:cs="Arial" w:eastAsia="Arial" w:hAnsi="Arial"/>
                <w:sz w:val="9"/>
                <w:szCs w:val="9"/>
                <w:color w:val="auto"/>
              </w:rPr>
              <w:t>Repurchase of Virtu Financial Units and</w:t>
            </w: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860" w:type="dxa"/>
            <w:vAlign w:val="bottom"/>
            <w:gridSpan w:val="2"/>
          </w:tcPr>
          <w:p>
            <w:pPr>
              <w:ind w:left="120"/>
              <w:spacing w:after="0" w:line="95" w:lineRule="exact"/>
              <w:rPr>
                <w:sz w:val="20"/>
                <w:szCs w:val="20"/>
                <w:color w:val="auto"/>
              </w:rPr>
            </w:pPr>
            <w:r>
              <w:rPr>
                <w:rFonts w:ascii="Arial" w:cs="Arial" w:eastAsia="Arial" w:hAnsi="Arial"/>
                <w:sz w:val="9"/>
                <w:szCs w:val="9"/>
                <w:color w:val="auto"/>
              </w:rPr>
              <w:t>corresponding number of Class C common</w:t>
            </w: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860" w:type="dxa"/>
            <w:vAlign w:val="bottom"/>
            <w:gridSpan w:val="2"/>
          </w:tcPr>
          <w:p>
            <w:pPr>
              <w:ind w:left="120"/>
              <w:spacing w:after="0" w:line="95" w:lineRule="exact"/>
              <w:rPr>
                <w:sz w:val="20"/>
                <w:szCs w:val="20"/>
                <w:color w:val="auto"/>
              </w:rPr>
            </w:pPr>
            <w:r>
              <w:rPr>
                <w:rFonts w:ascii="Arial" w:cs="Arial" w:eastAsia="Arial" w:hAnsi="Arial"/>
                <w:sz w:val="9"/>
                <w:szCs w:val="9"/>
                <w:color w:val="auto"/>
              </w:rPr>
              <w:t>stock in connection with employee</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580" w:type="dxa"/>
            <w:vAlign w:val="bottom"/>
            <w:vMerge w:val="restart"/>
          </w:tcPr>
          <w:p>
            <w:pPr>
              <w:jc w:val="right"/>
              <w:spacing w:after="0"/>
              <w:rPr>
                <w:sz w:val="20"/>
                <w:szCs w:val="20"/>
                <w:color w:val="auto"/>
              </w:rPr>
            </w:pPr>
            <w:r>
              <w:rPr>
                <w:rFonts w:ascii="Arial" w:cs="Arial" w:eastAsia="Arial" w:hAnsi="Arial"/>
                <w:sz w:val="9"/>
                <w:szCs w:val="9"/>
                <w:color w:val="auto"/>
              </w:rPr>
              <w:t>(853,167)</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gridSpan w:val="2"/>
            <w:vMerge w:val="restart"/>
          </w:tcPr>
          <w:p>
            <w:pPr>
              <w:ind w:left="360"/>
              <w:spacing w:after="0"/>
              <w:rPr>
                <w:sz w:val="20"/>
                <w:szCs w:val="20"/>
                <w:color w:val="auto"/>
              </w:rPr>
            </w:pPr>
            <w:r>
              <w:rPr>
                <w:rFonts w:ascii="Arial" w:cs="Arial" w:eastAsia="Arial" w:hAnsi="Arial"/>
                <w:sz w:val="9"/>
                <w:szCs w:val="9"/>
                <w:color w:val="auto"/>
              </w:rPr>
              <w:t>—</w:t>
            </w: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640" w:type="dxa"/>
            <w:vAlign w:val="bottom"/>
            <w:gridSpan w:val="2"/>
            <w:vMerge w:val="restart"/>
          </w:tcPr>
          <w:p>
            <w:pPr>
              <w:ind w:left="42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20" w:type="dxa"/>
            <w:vAlign w:val="bottom"/>
            <w:gridSpan w:val="2"/>
            <w:vMerge w:val="restart"/>
          </w:tcPr>
          <w:p>
            <w:pPr>
              <w:ind w:left="30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2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2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500" w:type="dxa"/>
            <w:vAlign w:val="bottom"/>
            <w:vMerge w:val="restart"/>
          </w:tcPr>
          <w:p>
            <w:pPr>
              <w:jc w:val="right"/>
              <w:ind w:right="13"/>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30"/>
        </w:trPr>
        <w:tc>
          <w:tcPr>
            <w:tcW w:w="1860" w:type="dxa"/>
            <w:vAlign w:val="bottom"/>
            <w:gridSpan w:val="2"/>
          </w:tcPr>
          <w:p>
            <w:pPr>
              <w:ind w:left="120"/>
              <w:spacing w:after="0"/>
              <w:rPr>
                <w:sz w:val="20"/>
                <w:szCs w:val="20"/>
                <w:color w:val="auto"/>
              </w:rPr>
            </w:pPr>
            <w:r>
              <w:rPr>
                <w:rFonts w:ascii="Arial" w:cs="Arial" w:eastAsia="Arial" w:hAnsi="Arial"/>
                <w:sz w:val="9"/>
                <w:szCs w:val="9"/>
                <w:color w:val="auto"/>
              </w:rPr>
              <w:t>exchanges</w:t>
            </w:r>
          </w:p>
        </w:tc>
        <w:tc>
          <w:tcPr>
            <w:tcW w:w="68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860" w:type="dxa"/>
            <w:vAlign w:val="bottom"/>
            <w:gridSpan w:val="2"/>
            <w:shd w:val="clear" w:color="auto" w:fill="CCEEFF"/>
          </w:tcPr>
          <w:p>
            <w:pPr>
              <w:ind w:left="120"/>
              <w:spacing w:after="0"/>
              <w:rPr>
                <w:sz w:val="20"/>
                <w:szCs w:val="20"/>
                <w:color w:val="auto"/>
              </w:rPr>
            </w:pPr>
            <w:r>
              <w:rPr>
                <w:rFonts w:ascii="Arial" w:cs="Arial" w:eastAsia="Arial" w:hAnsi="Arial"/>
                <w:sz w:val="9"/>
                <w:szCs w:val="9"/>
                <w:color w:val="auto"/>
              </w:rPr>
              <w:t>Issuance of tax receivable agreements in</w:t>
            </w:r>
          </w:p>
        </w:tc>
        <w:tc>
          <w:tcPr>
            <w:tcW w:w="600" w:type="dxa"/>
            <w:vAlign w:val="bottom"/>
            <w:vMerge w:val="restart"/>
            <w:shd w:val="clear" w:color="auto" w:fill="CCEEFF"/>
          </w:tcPr>
          <w:p>
            <w:pPr>
              <w:jc w:val="right"/>
              <w:ind w:right="13"/>
              <w:spacing w:after="0"/>
              <w:rPr>
                <w:sz w:val="20"/>
                <w:szCs w:val="20"/>
                <w:color w:val="auto"/>
              </w:rPr>
            </w:pPr>
            <w:r>
              <w:rPr>
                <w:rFonts w:ascii="Arial" w:cs="Arial" w:eastAsia="Arial" w:hAnsi="Arial"/>
                <w:sz w:val="9"/>
                <w:szCs w:val="9"/>
                <w:color w:val="auto"/>
              </w:rPr>
              <w:t>—</w:t>
            </w:r>
          </w:p>
        </w:tc>
        <w:tc>
          <w:tcPr>
            <w:tcW w:w="80" w:type="dxa"/>
            <w:vAlign w:val="bottom"/>
            <w:vMerge w:val="restart"/>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ind w:right="13"/>
              <w:spacing w:after="0"/>
              <w:rPr>
                <w:sz w:val="20"/>
                <w:szCs w:val="20"/>
                <w:color w:val="auto"/>
              </w:rPr>
            </w:pPr>
            <w:r>
              <w:rPr>
                <w:rFonts w:ascii="Arial" w:cs="Arial" w:eastAsia="Arial" w:hAnsi="Arial"/>
                <w:sz w:val="9"/>
                <w:szCs w:val="9"/>
                <w:color w:val="auto"/>
              </w:rPr>
              <w:t>—</w:t>
            </w:r>
          </w:p>
        </w:tc>
        <w:tc>
          <w:tcPr>
            <w:tcW w:w="80" w:type="dxa"/>
            <w:vAlign w:val="bottom"/>
            <w:vMerge w:val="restart"/>
            <w:shd w:val="clear" w:color="auto" w:fill="CCEEFF"/>
          </w:tcPr>
          <w:p>
            <w:pPr>
              <w:spacing w:after="0"/>
              <w:rPr>
                <w:sz w:val="9"/>
                <w:szCs w:val="9"/>
                <w:color w:val="auto"/>
              </w:rPr>
            </w:pPr>
          </w:p>
        </w:tc>
        <w:tc>
          <w:tcPr>
            <w:tcW w:w="580" w:type="dxa"/>
            <w:vAlign w:val="bottom"/>
            <w:vMerge w:val="restart"/>
            <w:shd w:val="clear" w:color="auto" w:fill="CCEEFF"/>
          </w:tcPr>
          <w:p>
            <w:pPr>
              <w:jc w:val="right"/>
              <w:ind w:right="13"/>
              <w:spacing w:after="0"/>
              <w:rPr>
                <w:sz w:val="20"/>
                <w:szCs w:val="20"/>
                <w:color w:val="auto"/>
              </w:rPr>
            </w:pPr>
            <w:r>
              <w:rPr>
                <w:rFonts w:ascii="Arial" w:cs="Arial" w:eastAsia="Arial" w:hAnsi="Arial"/>
                <w:sz w:val="9"/>
                <w:szCs w:val="9"/>
                <w:color w:val="auto"/>
              </w:rPr>
              <w:t>—</w:t>
            </w:r>
          </w:p>
        </w:tc>
        <w:tc>
          <w:tcPr>
            <w:tcW w:w="60" w:type="dxa"/>
            <w:vAlign w:val="bottom"/>
            <w:vMerge w:val="restart"/>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ind w:left="360"/>
              <w:spacing w:after="0"/>
              <w:rPr>
                <w:sz w:val="20"/>
                <w:szCs w:val="20"/>
                <w:color w:val="auto"/>
              </w:rPr>
            </w:pPr>
            <w:r>
              <w:rPr>
                <w:rFonts w:ascii="Arial" w:cs="Arial" w:eastAsia="Arial" w:hAnsi="Arial"/>
                <w:sz w:val="9"/>
                <w:szCs w:val="9"/>
                <w:color w:val="auto"/>
              </w:rPr>
              <w:t>—</w:t>
            </w:r>
          </w:p>
        </w:tc>
        <w:tc>
          <w:tcPr>
            <w:tcW w:w="80" w:type="dxa"/>
            <w:vAlign w:val="bottom"/>
            <w:vMerge w:val="restart"/>
            <w:shd w:val="clear" w:color="auto" w:fill="CCEEFF"/>
          </w:tcPr>
          <w:p>
            <w:pPr>
              <w:spacing w:after="0"/>
              <w:rPr>
                <w:sz w:val="9"/>
                <w:szCs w:val="9"/>
                <w:color w:val="auto"/>
              </w:rPr>
            </w:pPr>
          </w:p>
        </w:tc>
        <w:tc>
          <w:tcPr>
            <w:tcW w:w="580" w:type="dxa"/>
            <w:vAlign w:val="bottom"/>
            <w:vMerge w:val="restart"/>
            <w:shd w:val="clear" w:color="auto" w:fill="CCEEFF"/>
          </w:tcPr>
          <w:p>
            <w:pPr>
              <w:jc w:val="right"/>
              <w:ind w:right="13"/>
              <w:spacing w:after="0"/>
              <w:rPr>
                <w:sz w:val="20"/>
                <w:szCs w:val="20"/>
                <w:color w:val="auto"/>
              </w:rPr>
            </w:pPr>
            <w:r>
              <w:rPr>
                <w:rFonts w:ascii="Arial" w:cs="Arial" w:eastAsia="Arial" w:hAnsi="Arial"/>
                <w:sz w:val="9"/>
                <w:szCs w:val="9"/>
                <w:color w:val="auto"/>
              </w:rPr>
              <w:t>—</w:t>
            </w:r>
          </w:p>
        </w:tc>
        <w:tc>
          <w:tcPr>
            <w:tcW w:w="60" w:type="dxa"/>
            <w:vAlign w:val="bottom"/>
            <w:vMerge w:val="restart"/>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vMerge w:val="restart"/>
            <w:shd w:val="clear" w:color="auto" w:fill="CCEEFF"/>
          </w:tcPr>
          <w:p>
            <w:pPr>
              <w:spacing w:after="0"/>
              <w:rPr>
                <w:sz w:val="9"/>
                <w:szCs w:val="9"/>
                <w:color w:val="auto"/>
              </w:rPr>
            </w:pPr>
          </w:p>
        </w:tc>
        <w:tc>
          <w:tcPr>
            <w:tcW w:w="560" w:type="dxa"/>
            <w:vAlign w:val="bottom"/>
            <w:vMerge w:val="restart"/>
            <w:shd w:val="clear" w:color="auto" w:fill="CCEEFF"/>
          </w:tcPr>
          <w:p>
            <w:pPr>
              <w:ind w:left="420"/>
              <w:spacing w:after="0"/>
              <w:rPr>
                <w:sz w:val="20"/>
                <w:szCs w:val="20"/>
                <w:color w:val="auto"/>
              </w:rPr>
            </w:pPr>
            <w:r>
              <w:rPr>
                <w:rFonts w:ascii="Arial" w:cs="Arial" w:eastAsia="Arial" w:hAnsi="Arial"/>
                <w:sz w:val="9"/>
                <w:szCs w:val="9"/>
                <w:color w:val="auto"/>
              </w:rPr>
              <w:t>—</w:t>
            </w:r>
          </w:p>
        </w:tc>
        <w:tc>
          <w:tcPr>
            <w:tcW w:w="80" w:type="dxa"/>
            <w:vAlign w:val="bottom"/>
            <w:vMerge w:val="restart"/>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vMerge w:val="restart"/>
            <w:shd w:val="clear" w:color="auto" w:fill="CCEEFF"/>
          </w:tcPr>
          <w:p>
            <w:pPr>
              <w:ind w:left="300"/>
              <w:spacing w:after="0"/>
              <w:rPr>
                <w:sz w:val="20"/>
                <w:szCs w:val="20"/>
                <w:color w:val="auto"/>
              </w:rPr>
            </w:pPr>
            <w:r>
              <w:rPr>
                <w:rFonts w:ascii="Arial" w:cs="Arial" w:eastAsia="Arial" w:hAnsi="Arial"/>
                <w:sz w:val="9"/>
                <w:szCs w:val="9"/>
                <w:color w:val="auto"/>
              </w:rPr>
              <w:t>—</w:t>
            </w:r>
          </w:p>
        </w:tc>
        <w:tc>
          <w:tcPr>
            <w:tcW w:w="60" w:type="dxa"/>
            <w:vAlign w:val="bottom"/>
            <w:vMerge w:val="restart"/>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(5,811)</w:t>
            </w: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vMerge w:val="restart"/>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ind w:right="13"/>
              <w:spacing w:after="0"/>
              <w:rPr>
                <w:sz w:val="20"/>
                <w:szCs w:val="20"/>
                <w:color w:val="auto"/>
              </w:rPr>
            </w:pPr>
            <w:r>
              <w:rPr>
                <w:rFonts w:ascii="Arial" w:cs="Arial" w:eastAsia="Arial" w:hAnsi="Arial"/>
                <w:sz w:val="9"/>
                <w:szCs w:val="9"/>
                <w:color w:val="auto"/>
              </w:rPr>
              <w:t>—</w:t>
            </w:r>
          </w:p>
        </w:tc>
        <w:tc>
          <w:tcPr>
            <w:tcW w:w="60" w:type="dxa"/>
            <w:vAlign w:val="bottom"/>
            <w:vMerge w:val="restart"/>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(5,811)</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vMerge w:val="restart"/>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(5,811)</w:t>
            </w:r>
          </w:p>
        </w:tc>
        <w:tc>
          <w:tcPr>
            <w:tcW w:w="0" w:type="dxa"/>
            <w:vAlign w:val="bottom"/>
          </w:tcPr>
          <w:p>
            <w:pPr>
              <w:spacing w:after="0"/>
              <w:rPr>
                <w:sz w:val="1"/>
                <w:szCs w:val="1"/>
                <w:color w:val="auto"/>
              </w:rPr>
            </w:pPr>
          </w:p>
        </w:tc>
      </w:tr>
      <w:tr>
        <w:trPr>
          <w:trHeight w:val="132"/>
        </w:trPr>
        <w:tc>
          <w:tcPr>
            <w:tcW w:w="18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9"/>
                <w:szCs w:val="9"/>
                <w:color w:val="auto"/>
              </w:rPr>
              <w:t>connection with employee exchange</w:t>
            </w:r>
          </w:p>
        </w:tc>
        <w:tc>
          <w:tcPr>
            <w:tcW w:w="60" w:type="dxa"/>
            <w:vAlign w:val="bottom"/>
            <w:shd w:val="clear" w:color="auto" w:fill="CCEEFF"/>
          </w:tcPr>
          <w:p>
            <w:pPr>
              <w:spacing w:after="0"/>
              <w:rPr>
                <w:sz w:val="11"/>
                <w:szCs w:val="11"/>
                <w:color w:val="auto"/>
              </w:rPr>
            </w:pPr>
          </w:p>
        </w:tc>
        <w:tc>
          <w:tcPr>
            <w:tcW w:w="600" w:type="dxa"/>
            <w:vAlign w:val="bottom"/>
            <w:tcBorders>
              <w:bottom w:val="single" w:sz="8" w:color="auto"/>
            </w:tcBorders>
            <w:vMerge w:val="continue"/>
            <w:shd w:val="clear" w:color="auto" w:fill="CCEEFF"/>
          </w:tcPr>
          <w:p>
            <w:pPr>
              <w:spacing w:after="0"/>
              <w:rPr>
                <w:sz w:val="11"/>
                <w:szCs w:val="11"/>
                <w:color w:val="auto"/>
              </w:rPr>
            </w:pPr>
          </w:p>
        </w:tc>
        <w:tc>
          <w:tcPr>
            <w:tcW w:w="80" w:type="dxa"/>
            <w:vAlign w:val="bottom"/>
            <w:vMerge w:val="continue"/>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vMerge w:val="continue"/>
            <w:shd w:val="clear" w:color="auto" w:fill="CCEEFF"/>
          </w:tcPr>
          <w:p>
            <w:pPr>
              <w:spacing w:after="0"/>
              <w:rPr>
                <w:sz w:val="11"/>
                <w:szCs w:val="11"/>
                <w:color w:val="auto"/>
              </w:rPr>
            </w:pPr>
          </w:p>
        </w:tc>
        <w:tc>
          <w:tcPr>
            <w:tcW w:w="80" w:type="dxa"/>
            <w:vAlign w:val="bottom"/>
            <w:vMerge w:val="continue"/>
            <w:shd w:val="clear" w:color="auto" w:fill="CCEEFF"/>
          </w:tcPr>
          <w:p>
            <w:pPr>
              <w:spacing w:after="0"/>
              <w:rPr>
                <w:sz w:val="11"/>
                <w:szCs w:val="11"/>
                <w:color w:val="auto"/>
              </w:rPr>
            </w:pPr>
          </w:p>
        </w:tc>
        <w:tc>
          <w:tcPr>
            <w:tcW w:w="580" w:type="dxa"/>
            <w:vAlign w:val="bottom"/>
            <w:tcBorders>
              <w:bottom w:val="single" w:sz="8" w:color="auto"/>
            </w:tcBorders>
            <w:vMerge w:val="continue"/>
            <w:shd w:val="clear" w:color="auto" w:fill="CCEEFF"/>
          </w:tcPr>
          <w:p>
            <w:pPr>
              <w:spacing w:after="0"/>
              <w:rPr>
                <w:sz w:val="11"/>
                <w:szCs w:val="11"/>
                <w:color w:val="auto"/>
              </w:rPr>
            </w:pPr>
          </w:p>
        </w:tc>
        <w:tc>
          <w:tcPr>
            <w:tcW w:w="60" w:type="dxa"/>
            <w:vAlign w:val="bottom"/>
            <w:vMerge w:val="continue"/>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vMerge w:val="continue"/>
            <w:shd w:val="clear" w:color="auto" w:fill="CCEEFF"/>
          </w:tcPr>
          <w:p>
            <w:pPr>
              <w:spacing w:after="0"/>
              <w:rPr>
                <w:sz w:val="11"/>
                <w:szCs w:val="11"/>
                <w:color w:val="auto"/>
              </w:rPr>
            </w:pPr>
          </w:p>
        </w:tc>
        <w:tc>
          <w:tcPr>
            <w:tcW w:w="80" w:type="dxa"/>
            <w:vAlign w:val="bottom"/>
            <w:vMerge w:val="continue"/>
            <w:shd w:val="clear" w:color="auto" w:fill="CCEEFF"/>
          </w:tcPr>
          <w:p>
            <w:pPr>
              <w:spacing w:after="0"/>
              <w:rPr>
                <w:sz w:val="11"/>
                <w:szCs w:val="11"/>
                <w:color w:val="auto"/>
              </w:rPr>
            </w:pPr>
          </w:p>
        </w:tc>
        <w:tc>
          <w:tcPr>
            <w:tcW w:w="580" w:type="dxa"/>
            <w:vAlign w:val="bottom"/>
            <w:tcBorders>
              <w:bottom w:val="single" w:sz="8" w:color="auto"/>
            </w:tcBorders>
            <w:vMerge w:val="continue"/>
            <w:shd w:val="clear" w:color="auto" w:fill="CCEEFF"/>
          </w:tcPr>
          <w:p>
            <w:pPr>
              <w:spacing w:after="0"/>
              <w:rPr>
                <w:sz w:val="11"/>
                <w:szCs w:val="11"/>
                <w:color w:val="auto"/>
              </w:rPr>
            </w:pPr>
          </w:p>
        </w:tc>
        <w:tc>
          <w:tcPr>
            <w:tcW w:w="60" w:type="dxa"/>
            <w:vAlign w:val="bottom"/>
            <w:vMerge w:val="continue"/>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vMerge w:val="continue"/>
            <w:shd w:val="clear" w:color="auto" w:fill="CCEEFF"/>
          </w:tcPr>
          <w:p>
            <w:pPr>
              <w:spacing w:after="0"/>
              <w:rPr>
                <w:sz w:val="11"/>
                <w:szCs w:val="11"/>
                <w:color w:val="auto"/>
              </w:rPr>
            </w:pPr>
          </w:p>
        </w:tc>
        <w:tc>
          <w:tcPr>
            <w:tcW w:w="80" w:type="dxa"/>
            <w:vAlign w:val="bottom"/>
            <w:vMerge w:val="continue"/>
            <w:shd w:val="clear" w:color="auto" w:fill="CCEEFF"/>
          </w:tcPr>
          <w:p>
            <w:pPr>
              <w:spacing w:after="0"/>
              <w:rPr>
                <w:sz w:val="11"/>
                <w:szCs w:val="11"/>
                <w:color w:val="auto"/>
              </w:rPr>
            </w:pPr>
          </w:p>
        </w:tc>
        <w:tc>
          <w:tcPr>
            <w:tcW w:w="560" w:type="dxa"/>
            <w:vAlign w:val="bottom"/>
            <w:tcBorders>
              <w:bottom w:val="single" w:sz="8" w:color="auto"/>
            </w:tcBorders>
            <w:vMerge w:val="continue"/>
            <w:shd w:val="clear" w:color="auto" w:fill="CCEEFF"/>
          </w:tcPr>
          <w:p>
            <w:pPr>
              <w:spacing w:after="0"/>
              <w:rPr>
                <w:sz w:val="11"/>
                <w:szCs w:val="11"/>
                <w:color w:val="auto"/>
              </w:rPr>
            </w:pPr>
          </w:p>
        </w:tc>
        <w:tc>
          <w:tcPr>
            <w:tcW w:w="80" w:type="dxa"/>
            <w:vAlign w:val="bottom"/>
            <w:vMerge w:val="continue"/>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vMerge w:val="continue"/>
            <w:shd w:val="clear" w:color="auto" w:fill="CCEEFF"/>
          </w:tcPr>
          <w:p>
            <w:pPr>
              <w:spacing w:after="0"/>
              <w:rPr>
                <w:sz w:val="11"/>
                <w:szCs w:val="11"/>
                <w:color w:val="auto"/>
              </w:rPr>
            </w:pPr>
          </w:p>
        </w:tc>
        <w:tc>
          <w:tcPr>
            <w:tcW w:w="60" w:type="dxa"/>
            <w:vAlign w:val="bottom"/>
            <w:vMerge w:val="continue"/>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vMerge w:val="continue"/>
            <w:shd w:val="clear" w:color="auto" w:fill="CCEEFF"/>
          </w:tcPr>
          <w:p>
            <w:pPr>
              <w:spacing w:after="0"/>
              <w:rPr>
                <w:sz w:val="11"/>
                <w:szCs w:val="11"/>
                <w:color w:val="auto"/>
              </w:rPr>
            </w:pPr>
          </w:p>
        </w:tc>
        <w:tc>
          <w:tcPr>
            <w:tcW w:w="80" w:type="dxa"/>
            <w:vAlign w:val="bottom"/>
            <w:vMerge w:val="continue"/>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vMerge w:val="continue"/>
            <w:shd w:val="clear" w:color="auto" w:fill="CCEEFF"/>
          </w:tcPr>
          <w:p>
            <w:pPr>
              <w:spacing w:after="0"/>
              <w:rPr>
                <w:sz w:val="11"/>
                <w:szCs w:val="11"/>
                <w:color w:val="auto"/>
              </w:rPr>
            </w:pPr>
          </w:p>
        </w:tc>
        <w:tc>
          <w:tcPr>
            <w:tcW w:w="60" w:type="dxa"/>
            <w:vAlign w:val="bottom"/>
            <w:vMerge w:val="continue"/>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vMerge w:val="continue"/>
            <w:shd w:val="clear" w:color="auto" w:fill="CCEEFF"/>
          </w:tcPr>
          <w:p>
            <w:pPr>
              <w:spacing w:after="0"/>
              <w:rPr>
                <w:sz w:val="11"/>
                <w:szCs w:val="11"/>
                <w:color w:val="auto"/>
              </w:rPr>
            </w:pPr>
          </w:p>
        </w:tc>
        <w:tc>
          <w:tcPr>
            <w:tcW w:w="80" w:type="dxa"/>
            <w:vAlign w:val="bottom"/>
            <w:vMerge w:val="continue"/>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860" w:type="dxa"/>
            <w:vAlign w:val="bottom"/>
            <w:gridSpan w:val="2"/>
          </w:tcPr>
          <w:p>
            <w:pPr>
              <w:ind w:left="20"/>
              <w:spacing w:after="0"/>
              <w:rPr>
                <w:sz w:val="20"/>
                <w:szCs w:val="20"/>
                <w:color w:val="auto"/>
              </w:rPr>
            </w:pPr>
            <w:r>
              <w:rPr>
                <w:rFonts w:ascii="Arial" w:cs="Arial" w:eastAsia="Arial" w:hAnsi="Arial"/>
                <w:sz w:val="9"/>
                <w:szCs w:val="9"/>
                <w:color w:val="auto"/>
              </w:rPr>
              <w:t>Balance at December 31, 2019</w:t>
            </w:r>
          </w:p>
        </w:tc>
        <w:tc>
          <w:tcPr>
            <w:tcW w:w="600" w:type="dxa"/>
            <w:vAlign w:val="bottom"/>
          </w:tcPr>
          <w:p>
            <w:pPr>
              <w:jc w:val="right"/>
              <w:ind w:right="13"/>
              <w:spacing w:after="0"/>
              <w:rPr>
                <w:sz w:val="20"/>
                <w:szCs w:val="20"/>
                <w:color w:val="auto"/>
              </w:rPr>
            </w:pPr>
            <w:r>
              <w:rPr>
                <w:rFonts w:ascii="Arial" w:cs="Arial" w:eastAsia="Arial" w:hAnsi="Arial"/>
                <w:sz w:val="9"/>
                <w:szCs w:val="9"/>
                <w:color w:val="auto"/>
              </w:rPr>
              <w:t>120,435,912</w:t>
            </w:r>
          </w:p>
        </w:tc>
        <w:tc>
          <w:tcPr>
            <w:tcW w:w="8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00" w:type="dxa"/>
            <w:vAlign w:val="bottom"/>
          </w:tcPr>
          <w:p>
            <w:pPr>
              <w:jc w:val="right"/>
              <w:ind w:right="13"/>
              <w:spacing w:after="0"/>
              <w:rPr>
                <w:sz w:val="20"/>
                <w:szCs w:val="20"/>
                <w:color w:val="auto"/>
              </w:rPr>
            </w:pPr>
            <w:r>
              <w:rPr>
                <w:rFonts w:ascii="Arial" w:cs="Arial" w:eastAsia="Arial" w:hAnsi="Arial"/>
                <w:sz w:val="9"/>
                <w:szCs w:val="9"/>
                <w:color w:val="auto"/>
              </w:rPr>
              <w:t>1</w:t>
            </w:r>
          </w:p>
        </w:tc>
        <w:tc>
          <w:tcPr>
            <w:tcW w:w="80" w:type="dxa"/>
            <w:vAlign w:val="bottom"/>
          </w:tcPr>
          <w:p>
            <w:pPr>
              <w:spacing w:after="0"/>
              <w:rPr>
                <w:sz w:val="11"/>
                <w:szCs w:val="11"/>
                <w:color w:val="auto"/>
              </w:rPr>
            </w:pPr>
          </w:p>
        </w:tc>
        <w:tc>
          <w:tcPr>
            <w:tcW w:w="580" w:type="dxa"/>
            <w:vAlign w:val="bottom"/>
          </w:tcPr>
          <w:p>
            <w:pPr>
              <w:jc w:val="right"/>
              <w:ind w:right="13"/>
              <w:spacing w:after="0"/>
              <w:rPr>
                <w:sz w:val="20"/>
                <w:szCs w:val="20"/>
                <w:color w:val="auto"/>
              </w:rPr>
            </w:pPr>
            <w:r>
              <w:rPr>
                <w:rFonts w:ascii="Arial" w:cs="Arial" w:eastAsia="Arial" w:hAnsi="Arial"/>
                <w:sz w:val="9"/>
                <w:szCs w:val="9"/>
                <w:color w:val="auto"/>
              </w:rPr>
              <w:t>12,887,178</w:t>
            </w:r>
          </w:p>
        </w:tc>
        <w:tc>
          <w:tcPr>
            <w:tcW w:w="6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gridSpan w:val="2"/>
          </w:tcPr>
          <w:p>
            <w:pPr>
              <w:ind w:left="360"/>
              <w:spacing w:after="0"/>
              <w:rPr>
                <w:sz w:val="20"/>
                <w:szCs w:val="20"/>
                <w:color w:val="auto"/>
              </w:rPr>
            </w:pPr>
            <w:r>
              <w:rPr>
                <w:rFonts w:ascii="Arial" w:cs="Arial" w:eastAsia="Arial" w:hAnsi="Arial"/>
                <w:sz w:val="9"/>
                <w:szCs w:val="9"/>
                <w:color w:val="auto"/>
              </w:rPr>
              <w:t>—</w:t>
            </w:r>
          </w:p>
        </w:tc>
        <w:tc>
          <w:tcPr>
            <w:tcW w:w="580" w:type="dxa"/>
            <w:vAlign w:val="bottom"/>
          </w:tcPr>
          <w:p>
            <w:pPr>
              <w:jc w:val="right"/>
              <w:ind w:right="13"/>
              <w:spacing w:after="0"/>
              <w:rPr>
                <w:sz w:val="20"/>
                <w:szCs w:val="20"/>
                <w:color w:val="auto"/>
              </w:rPr>
            </w:pPr>
            <w:r>
              <w:rPr>
                <w:rFonts w:ascii="Arial" w:cs="Arial" w:eastAsia="Arial" w:hAnsi="Arial"/>
                <w:sz w:val="9"/>
                <w:szCs w:val="9"/>
                <w:color w:val="auto"/>
              </w:rPr>
              <w:t>60,091,740</w:t>
            </w:r>
          </w:p>
        </w:tc>
        <w:tc>
          <w:tcPr>
            <w:tcW w:w="6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tcPr>
          <w:p>
            <w:pPr>
              <w:jc w:val="right"/>
              <w:spacing w:after="0"/>
              <w:rPr>
                <w:sz w:val="20"/>
                <w:szCs w:val="20"/>
                <w:color w:val="auto"/>
              </w:rPr>
            </w:pPr>
            <w:r>
              <w:rPr>
                <w:rFonts w:ascii="Arial" w:cs="Arial" w:eastAsia="Arial" w:hAnsi="Arial"/>
                <w:sz w:val="9"/>
                <w:szCs w:val="9"/>
                <w:color w:val="auto"/>
              </w:rPr>
              <w:t>1</w:t>
            </w: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(2,178,771)</w:t>
            </w:r>
          </w:p>
        </w:tc>
        <w:tc>
          <w:tcPr>
            <w:tcW w:w="8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60" w:type="dxa"/>
            <w:vAlign w:val="bottom"/>
          </w:tcPr>
          <w:p>
            <w:pPr>
              <w:jc w:val="right"/>
              <w:spacing w:after="0"/>
              <w:rPr>
                <w:sz w:val="20"/>
                <w:szCs w:val="20"/>
                <w:color w:val="auto"/>
              </w:rPr>
            </w:pPr>
            <w:r>
              <w:rPr>
                <w:rFonts w:ascii="Arial" w:cs="Arial" w:eastAsia="Arial" w:hAnsi="Arial"/>
                <w:sz w:val="9"/>
                <w:szCs w:val="9"/>
                <w:color w:val="auto"/>
              </w:rPr>
              <w:t>(55,005)</w:t>
            </w:r>
          </w:p>
        </w:tc>
        <w:tc>
          <w:tcPr>
            <w:tcW w:w="6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tcPr>
          <w:p>
            <w:pPr>
              <w:jc w:val="right"/>
              <w:ind w:right="13"/>
              <w:spacing w:after="0"/>
              <w:rPr>
                <w:sz w:val="20"/>
                <w:szCs w:val="20"/>
                <w:color w:val="auto"/>
              </w:rPr>
            </w:pPr>
            <w:r>
              <w:rPr>
                <w:rFonts w:ascii="Arial" w:cs="Arial" w:eastAsia="Arial" w:hAnsi="Arial"/>
                <w:sz w:val="9"/>
                <w:szCs w:val="9"/>
                <w:color w:val="auto"/>
              </w:rPr>
              <w:t>1,077,398</w:t>
            </w:r>
          </w:p>
        </w:tc>
        <w:tc>
          <w:tcPr>
            <w:tcW w:w="60" w:type="dxa"/>
            <w:vAlign w:val="bottom"/>
          </w:tcPr>
          <w:p>
            <w:pPr>
              <w:spacing w:after="0"/>
              <w:rPr>
                <w:sz w:val="11"/>
                <w:szCs w:val="11"/>
                <w:color w:val="auto"/>
              </w:rPr>
            </w:pPr>
          </w:p>
        </w:tc>
        <w:tc>
          <w:tcPr>
            <w:tcW w:w="100" w:type="dxa"/>
            <w:vAlign w:val="bottom"/>
          </w:tcPr>
          <w:p>
            <w:pPr>
              <w:ind w:left="20"/>
              <w:spacing w:after="0"/>
              <w:rPr>
                <w:sz w:val="20"/>
                <w:szCs w:val="20"/>
                <w:color w:val="auto"/>
              </w:rPr>
            </w:pPr>
            <w:r>
              <w:rPr>
                <w:rFonts w:ascii="Arial" w:cs="Arial" w:eastAsia="Arial" w:hAnsi="Arial"/>
                <w:sz w:val="9"/>
                <w:szCs w:val="9"/>
                <w:color w:val="auto"/>
              </w:rPr>
              <w:t>$</w:t>
            </w:r>
          </w:p>
        </w:tc>
        <w:tc>
          <w:tcPr>
            <w:tcW w:w="520" w:type="dxa"/>
            <w:vAlign w:val="bottom"/>
          </w:tcPr>
          <w:p>
            <w:pPr>
              <w:jc w:val="right"/>
              <w:spacing w:after="0"/>
              <w:rPr>
                <w:sz w:val="20"/>
                <w:szCs w:val="20"/>
                <w:color w:val="auto"/>
              </w:rPr>
            </w:pPr>
            <w:r>
              <w:rPr>
                <w:rFonts w:ascii="Arial" w:cs="Arial" w:eastAsia="Arial" w:hAnsi="Arial"/>
                <w:sz w:val="9"/>
                <w:szCs w:val="9"/>
                <w:color w:val="auto"/>
              </w:rPr>
              <w:t>(90,374)</w:t>
            </w:r>
          </w:p>
        </w:tc>
        <w:tc>
          <w:tcPr>
            <w:tcW w:w="80" w:type="dxa"/>
            <w:vAlign w:val="bottom"/>
          </w:tcPr>
          <w:p>
            <w:pPr>
              <w:spacing w:after="0"/>
              <w:rPr>
                <w:sz w:val="11"/>
                <w:szCs w:val="11"/>
                <w:color w:val="auto"/>
              </w:rPr>
            </w:pPr>
          </w:p>
        </w:tc>
        <w:tc>
          <w:tcPr>
            <w:tcW w:w="60" w:type="dxa"/>
            <w:vAlign w:val="bottom"/>
          </w:tcPr>
          <w:p>
            <w:pPr>
              <w:spacing w:after="0"/>
              <w:rPr>
                <w:sz w:val="20"/>
                <w:szCs w:val="20"/>
                <w:color w:val="auto"/>
              </w:rPr>
            </w:pPr>
            <w:r>
              <w:rPr>
                <w:rFonts w:ascii="Arial" w:cs="Arial" w:eastAsia="Arial" w:hAnsi="Arial"/>
                <w:sz w:val="9"/>
                <w:szCs w:val="9"/>
                <w:color w:val="auto"/>
                <w:w w:val="78"/>
              </w:rPr>
              <w:t>$</w:t>
            </w:r>
          </w:p>
        </w:tc>
        <w:tc>
          <w:tcPr>
            <w:tcW w:w="600" w:type="dxa"/>
            <w:vAlign w:val="bottom"/>
          </w:tcPr>
          <w:p>
            <w:pPr>
              <w:jc w:val="right"/>
              <w:spacing w:after="0"/>
              <w:rPr>
                <w:sz w:val="20"/>
                <w:szCs w:val="20"/>
                <w:color w:val="auto"/>
              </w:rPr>
            </w:pPr>
            <w:r>
              <w:rPr>
                <w:rFonts w:ascii="Arial" w:cs="Arial" w:eastAsia="Arial" w:hAnsi="Arial"/>
                <w:sz w:val="9"/>
                <w:szCs w:val="9"/>
                <w:color w:val="auto"/>
              </w:rPr>
              <w:t>(647)</w:t>
            </w:r>
          </w:p>
        </w:tc>
        <w:tc>
          <w:tcPr>
            <w:tcW w:w="60" w:type="dxa"/>
            <w:vAlign w:val="bottom"/>
          </w:tcPr>
          <w:p>
            <w:pPr>
              <w:spacing w:after="0"/>
              <w:rPr>
                <w:sz w:val="11"/>
                <w:szCs w:val="11"/>
                <w:color w:val="auto"/>
              </w:rPr>
            </w:pPr>
          </w:p>
        </w:tc>
        <w:tc>
          <w:tcPr>
            <w:tcW w:w="80" w:type="dxa"/>
            <w:vAlign w:val="bottom"/>
          </w:tcPr>
          <w:p>
            <w:pPr>
              <w:ind w:left="20"/>
              <w:spacing w:after="0"/>
              <w:rPr>
                <w:sz w:val="20"/>
                <w:szCs w:val="20"/>
                <w:color w:val="auto"/>
              </w:rPr>
            </w:pPr>
            <w:r>
              <w:rPr>
                <w:rFonts w:ascii="Arial" w:cs="Arial" w:eastAsia="Arial" w:hAnsi="Arial"/>
                <w:sz w:val="9"/>
                <w:szCs w:val="9"/>
                <w:color w:val="auto"/>
                <w:w w:val="78"/>
              </w:rPr>
              <w:t>$</w:t>
            </w:r>
          </w:p>
        </w:tc>
        <w:tc>
          <w:tcPr>
            <w:tcW w:w="540" w:type="dxa"/>
            <w:vAlign w:val="bottom"/>
          </w:tcPr>
          <w:p>
            <w:pPr>
              <w:jc w:val="right"/>
              <w:spacing w:after="0"/>
              <w:rPr>
                <w:sz w:val="20"/>
                <w:szCs w:val="20"/>
                <w:color w:val="auto"/>
              </w:rPr>
            </w:pPr>
            <w:r>
              <w:rPr>
                <w:rFonts w:ascii="Arial" w:cs="Arial" w:eastAsia="Arial" w:hAnsi="Arial"/>
                <w:sz w:val="9"/>
                <w:szCs w:val="9"/>
                <w:color w:val="auto"/>
              </w:rPr>
              <w:t>931,374</w:t>
            </w:r>
          </w:p>
        </w:tc>
        <w:tc>
          <w:tcPr>
            <w:tcW w:w="80" w:type="dxa"/>
            <w:vAlign w:val="bottom"/>
          </w:tcPr>
          <w:p>
            <w:pPr>
              <w:spacing w:after="0"/>
              <w:rPr>
                <w:sz w:val="11"/>
                <w:szCs w:val="11"/>
                <w:color w:val="auto"/>
              </w:rPr>
            </w:pPr>
          </w:p>
        </w:tc>
        <w:tc>
          <w:tcPr>
            <w:tcW w:w="100" w:type="dxa"/>
            <w:vAlign w:val="bottom"/>
          </w:tcPr>
          <w:p>
            <w:pPr>
              <w:spacing w:after="0"/>
              <w:rPr>
                <w:sz w:val="20"/>
                <w:szCs w:val="20"/>
                <w:color w:val="auto"/>
              </w:rPr>
            </w:pPr>
            <w:r>
              <w:rPr>
                <w:rFonts w:ascii="Arial" w:cs="Arial" w:eastAsia="Arial" w:hAnsi="Arial"/>
                <w:sz w:val="9"/>
                <w:szCs w:val="9"/>
                <w:color w:val="auto"/>
              </w:rPr>
              <w:t>$</w:t>
            </w:r>
          </w:p>
        </w:tc>
        <w:tc>
          <w:tcPr>
            <w:tcW w:w="540" w:type="dxa"/>
            <w:vAlign w:val="bottom"/>
          </w:tcPr>
          <w:p>
            <w:pPr>
              <w:jc w:val="right"/>
              <w:spacing w:after="0"/>
              <w:rPr>
                <w:sz w:val="20"/>
                <w:szCs w:val="20"/>
                <w:color w:val="auto"/>
              </w:rPr>
            </w:pPr>
            <w:r>
              <w:rPr>
                <w:rFonts w:ascii="Arial" w:cs="Arial" w:eastAsia="Arial" w:hAnsi="Arial"/>
                <w:sz w:val="9"/>
                <w:szCs w:val="9"/>
                <w:color w:val="auto"/>
              </w:rPr>
              <w:t>297,562</w:t>
            </w:r>
          </w:p>
        </w:tc>
        <w:tc>
          <w:tcPr>
            <w:tcW w:w="8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tcPr>
          <w:p>
            <w:pPr>
              <w:jc w:val="right"/>
              <w:ind w:right="13"/>
              <w:spacing w:after="0"/>
              <w:rPr>
                <w:sz w:val="20"/>
                <w:szCs w:val="20"/>
                <w:color w:val="auto"/>
              </w:rPr>
            </w:pPr>
            <w:r>
              <w:rPr>
                <w:rFonts w:ascii="Arial" w:cs="Arial" w:eastAsia="Arial" w:hAnsi="Arial"/>
                <w:sz w:val="9"/>
                <w:szCs w:val="9"/>
                <w:color w:val="auto"/>
              </w:rPr>
              <w:t>1,228,936</w:t>
            </w:r>
          </w:p>
        </w:tc>
        <w:tc>
          <w:tcPr>
            <w:tcW w:w="0" w:type="dxa"/>
            <w:vAlign w:val="bottom"/>
          </w:tcPr>
          <w:p>
            <w:pPr>
              <w:spacing w:after="0"/>
              <w:rPr>
                <w:sz w:val="1"/>
                <w:szCs w:val="1"/>
                <w:color w:val="auto"/>
              </w:rPr>
            </w:pPr>
          </w:p>
        </w:tc>
      </w:tr>
      <w:tr>
        <w:trPr>
          <w:trHeight w:val="20"/>
        </w:trPr>
        <w:tc>
          <w:tcPr>
            <w:tcW w:w="1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1860" w:type="dxa"/>
            <w:vAlign w:val="bottom"/>
            <w:gridSpan w:val="2"/>
            <w:shd w:val="clear" w:color="auto" w:fill="CCEEFF"/>
          </w:tcPr>
          <w:p>
            <w:pPr>
              <w:ind w:left="120"/>
              <w:spacing w:after="0"/>
              <w:rPr>
                <w:sz w:val="20"/>
                <w:szCs w:val="20"/>
                <w:color w:val="auto"/>
              </w:rPr>
            </w:pPr>
            <w:r>
              <w:rPr>
                <w:rFonts w:ascii="Arial" w:cs="Arial" w:eastAsia="Arial" w:hAnsi="Arial"/>
                <w:sz w:val="9"/>
                <w:szCs w:val="9"/>
                <w:color w:val="auto"/>
              </w:rPr>
              <w:t>Share based compensation</w:t>
            </w: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rPr>
              <w:t>2,489,483</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ind w:left="360"/>
              <w:spacing w:after="0"/>
              <w:rPr>
                <w:sz w:val="20"/>
                <w:szCs w:val="20"/>
                <w:color w:val="auto"/>
              </w:rPr>
            </w:pPr>
            <w:r>
              <w:rPr>
                <w:rFonts w:ascii="Arial" w:cs="Arial" w:eastAsia="Arial" w:hAnsi="Arial"/>
                <w:sz w:val="9"/>
                <w:szCs w:val="9"/>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40" w:type="dxa"/>
            <w:vAlign w:val="bottom"/>
            <w:gridSpan w:val="2"/>
            <w:shd w:val="clear" w:color="auto" w:fill="CCEEFF"/>
          </w:tcPr>
          <w:p>
            <w:pPr>
              <w:ind w:left="42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rPr>
              <w:t>56,629</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56,629</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rPr>
              <w:t>56,629</w:t>
            </w:r>
          </w:p>
        </w:tc>
        <w:tc>
          <w:tcPr>
            <w:tcW w:w="0" w:type="dxa"/>
            <w:vAlign w:val="bottom"/>
          </w:tcPr>
          <w:p>
            <w:pPr>
              <w:spacing w:after="0"/>
              <w:rPr>
                <w:sz w:val="1"/>
                <w:szCs w:val="1"/>
                <w:color w:val="auto"/>
              </w:rPr>
            </w:pPr>
          </w:p>
        </w:tc>
      </w:tr>
      <w:tr>
        <w:trPr>
          <w:trHeight w:val="132"/>
        </w:trPr>
        <w:tc>
          <w:tcPr>
            <w:tcW w:w="1860" w:type="dxa"/>
            <w:vAlign w:val="bottom"/>
            <w:gridSpan w:val="2"/>
          </w:tcPr>
          <w:p>
            <w:pPr>
              <w:ind w:left="120"/>
              <w:spacing w:after="0"/>
              <w:rPr>
                <w:sz w:val="20"/>
                <w:szCs w:val="20"/>
                <w:color w:val="auto"/>
              </w:rPr>
            </w:pPr>
            <w:r>
              <w:rPr>
                <w:rFonts w:ascii="Arial" w:cs="Arial" w:eastAsia="Arial" w:hAnsi="Arial"/>
                <w:sz w:val="9"/>
                <w:szCs w:val="9"/>
                <w:color w:val="auto"/>
              </w:rPr>
              <w:t>Repurchase of Class C common stock</w:t>
            </w:r>
          </w:p>
        </w:tc>
        <w:tc>
          <w:tcPr>
            <w:tcW w:w="6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80" w:type="dxa"/>
            <w:vAlign w:val="bottom"/>
            <w:gridSpan w:val="2"/>
          </w:tcPr>
          <w:p>
            <w:pPr>
              <w:ind w:left="360"/>
              <w:spacing w:after="0"/>
              <w:rPr>
                <w:sz w:val="20"/>
                <w:szCs w:val="20"/>
                <w:color w:val="auto"/>
              </w:rPr>
            </w:pPr>
            <w:r>
              <w:rPr>
                <w:rFonts w:ascii="Arial" w:cs="Arial" w:eastAsia="Arial" w:hAnsi="Arial"/>
                <w:sz w:val="9"/>
                <w:szCs w:val="9"/>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640" w:type="dxa"/>
            <w:vAlign w:val="bottom"/>
            <w:gridSpan w:val="2"/>
          </w:tcPr>
          <w:p>
            <w:pPr>
              <w:ind w:left="42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520" w:type="dxa"/>
            <w:vAlign w:val="bottom"/>
            <w:gridSpan w:val="2"/>
          </w:tcPr>
          <w:p>
            <w:pPr>
              <w:ind w:left="30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500" w:type="dxa"/>
            <w:vAlign w:val="bottom"/>
          </w:tcPr>
          <w:p>
            <w:pPr>
              <w:jc w:val="right"/>
              <w:ind w:right="13"/>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52"/>
        </w:trPr>
        <w:tc>
          <w:tcPr>
            <w:tcW w:w="1860" w:type="dxa"/>
            <w:vAlign w:val="bottom"/>
            <w:gridSpan w:val="2"/>
            <w:shd w:val="clear" w:color="auto" w:fill="CCEEFF"/>
          </w:tcPr>
          <w:p>
            <w:pPr>
              <w:ind w:left="120"/>
              <w:spacing w:after="0"/>
              <w:rPr>
                <w:sz w:val="20"/>
                <w:szCs w:val="20"/>
                <w:color w:val="auto"/>
              </w:rPr>
            </w:pPr>
            <w:r>
              <w:rPr>
                <w:rFonts w:ascii="Arial" w:cs="Arial" w:eastAsia="Arial" w:hAnsi="Arial"/>
                <w:sz w:val="9"/>
                <w:szCs w:val="9"/>
                <w:color w:val="auto"/>
              </w:rPr>
              <w:t>Treasury stock purchases</w:t>
            </w: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(867,984)</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ind w:left="360"/>
              <w:spacing w:after="0"/>
              <w:rPr>
                <w:sz w:val="20"/>
                <w:szCs w:val="20"/>
                <w:color w:val="auto"/>
              </w:rPr>
            </w:pPr>
            <w:r>
              <w:rPr>
                <w:rFonts w:ascii="Arial" w:cs="Arial" w:eastAsia="Arial" w:hAnsi="Arial"/>
                <w:sz w:val="9"/>
                <w:szCs w:val="9"/>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(1,436,326)</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(33,918)</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(15,946)</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(49,864)</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(49,864)</w:t>
            </w:r>
          </w:p>
        </w:tc>
        <w:tc>
          <w:tcPr>
            <w:tcW w:w="0" w:type="dxa"/>
            <w:vAlign w:val="bottom"/>
          </w:tcPr>
          <w:p>
            <w:pPr>
              <w:spacing w:after="0"/>
              <w:rPr>
                <w:sz w:val="1"/>
                <w:szCs w:val="1"/>
                <w:color w:val="auto"/>
              </w:rPr>
            </w:pPr>
          </w:p>
        </w:tc>
      </w:tr>
      <w:tr>
        <w:trPr>
          <w:trHeight w:val="132"/>
        </w:trPr>
        <w:tc>
          <w:tcPr>
            <w:tcW w:w="1860" w:type="dxa"/>
            <w:vAlign w:val="bottom"/>
            <w:gridSpan w:val="2"/>
          </w:tcPr>
          <w:p>
            <w:pPr>
              <w:ind w:left="120"/>
              <w:spacing w:after="0"/>
              <w:rPr>
                <w:sz w:val="20"/>
                <w:szCs w:val="20"/>
                <w:color w:val="auto"/>
              </w:rPr>
            </w:pPr>
            <w:r>
              <w:rPr>
                <w:rFonts w:ascii="Arial" w:cs="Arial" w:eastAsia="Arial" w:hAnsi="Arial"/>
                <w:sz w:val="9"/>
                <w:szCs w:val="9"/>
                <w:color w:val="auto"/>
              </w:rPr>
              <w:t>Stock option exercised</w:t>
            </w:r>
          </w:p>
        </w:tc>
        <w:tc>
          <w:tcPr>
            <w:tcW w:w="600" w:type="dxa"/>
            <w:vAlign w:val="bottom"/>
          </w:tcPr>
          <w:p>
            <w:pPr>
              <w:jc w:val="right"/>
              <w:ind w:right="13"/>
              <w:spacing w:after="0"/>
              <w:rPr>
                <w:sz w:val="20"/>
                <w:szCs w:val="20"/>
                <w:color w:val="auto"/>
              </w:rPr>
            </w:pPr>
            <w:r>
              <w:rPr>
                <w:rFonts w:ascii="Arial" w:cs="Arial" w:eastAsia="Arial" w:hAnsi="Arial"/>
                <w:sz w:val="9"/>
                <w:szCs w:val="9"/>
                <w:color w:val="auto"/>
              </w:rPr>
              <w:t>909,627</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80" w:type="dxa"/>
            <w:vAlign w:val="bottom"/>
            <w:gridSpan w:val="2"/>
          </w:tcPr>
          <w:p>
            <w:pPr>
              <w:ind w:left="360"/>
              <w:spacing w:after="0"/>
              <w:rPr>
                <w:sz w:val="20"/>
                <w:szCs w:val="20"/>
                <w:color w:val="auto"/>
              </w:rPr>
            </w:pPr>
            <w:r>
              <w:rPr>
                <w:rFonts w:ascii="Arial" w:cs="Arial" w:eastAsia="Arial" w:hAnsi="Arial"/>
                <w:sz w:val="9"/>
                <w:szCs w:val="9"/>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640" w:type="dxa"/>
            <w:vAlign w:val="bottom"/>
            <w:gridSpan w:val="2"/>
          </w:tcPr>
          <w:p>
            <w:pPr>
              <w:ind w:left="42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520" w:type="dxa"/>
            <w:vAlign w:val="bottom"/>
            <w:gridSpan w:val="2"/>
          </w:tcPr>
          <w:p>
            <w:pPr>
              <w:ind w:left="30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20" w:type="dxa"/>
            <w:vAlign w:val="bottom"/>
          </w:tcPr>
          <w:p>
            <w:pPr>
              <w:jc w:val="right"/>
              <w:ind w:right="13"/>
              <w:spacing w:after="0"/>
              <w:rPr>
                <w:sz w:val="20"/>
                <w:szCs w:val="20"/>
                <w:color w:val="auto"/>
              </w:rPr>
            </w:pPr>
            <w:r>
              <w:rPr>
                <w:rFonts w:ascii="Arial" w:cs="Arial" w:eastAsia="Arial" w:hAnsi="Arial"/>
                <w:sz w:val="9"/>
                <w:szCs w:val="9"/>
                <w:color w:val="auto"/>
              </w:rPr>
              <w:t>16,440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16,440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500" w:type="dxa"/>
            <w:vAlign w:val="bottom"/>
          </w:tcPr>
          <w:p>
            <w:pPr>
              <w:jc w:val="right"/>
              <w:ind w:right="13"/>
              <w:spacing w:after="0"/>
              <w:rPr>
                <w:sz w:val="20"/>
                <w:szCs w:val="20"/>
                <w:color w:val="auto"/>
              </w:rPr>
            </w:pPr>
            <w:r>
              <w:rPr>
                <w:rFonts w:ascii="Arial" w:cs="Arial" w:eastAsia="Arial" w:hAnsi="Arial"/>
                <w:sz w:val="9"/>
                <w:szCs w:val="9"/>
                <w:color w:val="auto"/>
              </w:rPr>
              <w:t>16,440</w:t>
            </w:r>
          </w:p>
        </w:tc>
        <w:tc>
          <w:tcPr>
            <w:tcW w:w="0" w:type="dxa"/>
            <w:vAlign w:val="bottom"/>
          </w:tcPr>
          <w:p>
            <w:pPr>
              <w:spacing w:after="0"/>
              <w:rPr>
                <w:sz w:val="1"/>
                <w:szCs w:val="1"/>
                <w:color w:val="auto"/>
              </w:rPr>
            </w:pPr>
          </w:p>
        </w:tc>
      </w:tr>
      <w:tr>
        <w:trPr>
          <w:trHeight w:val="152"/>
        </w:trPr>
        <w:tc>
          <w:tcPr>
            <w:tcW w:w="1860" w:type="dxa"/>
            <w:vAlign w:val="bottom"/>
            <w:gridSpan w:val="2"/>
            <w:shd w:val="clear" w:color="auto" w:fill="CCEEFF"/>
          </w:tcPr>
          <w:p>
            <w:pPr>
              <w:ind w:left="120"/>
              <w:spacing w:after="0"/>
              <w:rPr>
                <w:sz w:val="20"/>
                <w:szCs w:val="20"/>
                <w:color w:val="auto"/>
              </w:rPr>
            </w:pPr>
            <w:r>
              <w:rPr>
                <w:rFonts w:ascii="Arial" w:cs="Arial" w:eastAsia="Arial" w:hAnsi="Arial"/>
                <w:sz w:val="9"/>
                <w:szCs w:val="9"/>
                <w:color w:val="auto"/>
              </w:rPr>
              <w:t>Warrants issued</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ind w:left="360"/>
              <w:spacing w:after="0"/>
              <w:rPr>
                <w:sz w:val="20"/>
                <w:szCs w:val="20"/>
                <w:color w:val="auto"/>
              </w:rPr>
            </w:pPr>
            <w:r>
              <w:rPr>
                <w:rFonts w:ascii="Arial" w:cs="Arial" w:eastAsia="Arial" w:hAnsi="Arial"/>
                <w:sz w:val="9"/>
                <w:szCs w:val="9"/>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40" w:type="dxa"/>
            <w:vAlign w:val="bottom"/>
            <w:gridSpan w:val="2"/>
            <w:shd w:val="clear" w:color="auto" w:fill="CCEEFF"/>
          </w:tcPr>
          <w:p>
            <w:pPr>
              <w:ind w:left="42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rPr>
              <w:t>11,488</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11,488</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rPr>
              <w:t>11,488</w:t>
            </w:r>
          </w:p>
        </w:tc>
        <w:tc>
          <w:tcPr>
            <w:tcW w:w="0" w:type="dxa"/>
            <w:vAlign w:val="bottom"/>
          </w:tcPr>
          <w:p>
            <w:pPr>
              <w:spacing w:after="0"/>
              <w:rPr>
                <w:sz w:val="1"/>
                <w:szCs w:val="1"/>
                <w:color w:val="auto"/>
              </w:rPr>
            </w:pPr>
          </w:p>
        </w:tc>
      </w:tr>
      <w:tr>
        <w:trPr>
          <w:trHeight w:val="132"/>
        </w:trPr>
        <w:tc>
          <w:tcPr>
            <w:tcW w:w="1860" w:type="dxa"/>
            <w:vAlign w:val="bottom"/>
            <w:gridSpan w:val="2"/>
          </w:tcPr>
          <w:p>
            <w:pPr>
              <w:ind w:left="120"/>
              <w:spacing w:after="0"/>
              <w:rPr>
                <w:sz w:val="20"/>
                <w:szCs w:val="20"/>
                <w:color w:val="auto"/>
              </w:rPr>
            </w:pPr>
            <w:r>
              <w:rPr>
                <w:rFonts w:ascii="Arial" w:cs="Arial" w:eastAsia="Arial" w:hAnsi="Arial"/>
                <w:sz w:val="9"/>
                <w:szCs w:val="9"/>
                <w:color w:val="auto"/>
              </w:rPr>
              <w:t>Net Income (loss)</w:t>
            </w:r>
          </w:p>
        </w:tc>
        <w:tc>
          <w:tcPr>
            <w:tcW w:w="6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80" w:type="dxa"/>
            <w:vAlign w:val="bottom"/>
            <w:gridSpan w:val="2"/>
          </w:tcPr>
          <w:p>
            <w:pPr>
              <w:ind w:left="360"/>
              <w:spacing w:after="0"/>
              <w:rPr>
                <w:sz w:val="20"/>
                <w:szCs w:val="20"/>
                <w:color w:val="auto"/>
              </w:rPr>
            </w:pPr>
            <w:r>
              <w:rPr>
                <w:rFonts w:ascii="Arial" w:cs="Arial" w:eastAsia="Arial" w:hAnsi="Arial"/>
                <w:sz w:val="9"/>
                <w:szCs w:val="9"/>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640" w:type="dxa"/>
            <w:vAlign w:val="bottom"/>
            <w:gridSpan w:val="2"/>
          </w:tcPr>
          <w:p>
            <w:pPr>
              <w:ind w:left="42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520" w:type="dxa"/>
            <w:vAlign w:val="bottom"/>
            <w:gridSpan w:val="2"/>
          </w:tcPr>
          <w:p>
            <w:pPr>
              <w:ind w:left="30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649,197</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649,197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471,716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ind w:right="13"/>
              <w:spacing w:after="0"/>
              <w:rPr>
                <w:sz w:val="20"/>
                <w:szCs w:val="20"/>
                <w:color w:val="auto"/>
              </w:rPr>
            </w:pPr>
            <w:r>
              <w:rPr>
                <w:rFonts w:ascii="Arial" w:cs="Arial" w:eastAsia="Arial" w:hAnsi="Arial"/>
                <w:sz w:val="9"/>
                <w:szCs w:val="9"/>
                <w:color w:val="auto"/>
              </w:rPr>
              <w:t>1,120,913</w:t>
            </w:r>
          </w:p>
        </w:tc>
        <w:tc>
          <w:tcPr>
            <w:tcW w:w="0" w:type="dxa"/>
            <w:vAlign w:val="bottom"/>
          </w:tcPr>
          <w:p>
            <w:pPr>
              <w:spacing w:after="0"/>
              <w:rPr>
                <w:sz w:val="1"/>
                <w:szCs w:val="1"/>
                <w:color w:val="auto"/>
              </w:rPr>
            </w:pPr>
          </w:p>
        </w:tc>
      </w:tr>
      <w:tr>
        <w:trPr>
          <w:trHeight w:val="152"/>
        </w:trPr>
        <w:tc>
          <w:tcPr>
            <w:tcW w:w="1860" w:type="dxa"/>
            <w:vAlign w:val="bottom"/>
            <w:gridSpan w:val="2"/>
            <w:shd w:val="clear" w:color="auto" w:fill="CCEEFF"/>
          </w:tcPr>
          <w:p>
            <w:pPr>
              <w:ind w:left="120"/>
              <w:spacing w:after="0"/>
              <w:rPr>
                <w:sz w:val="20"/>
                <w:szCs w:val="20"/>
                <w:color w:val="auto"/>
              </w:rPr>
            </w:pPr>
            <w:r>
              <w:rPr>
                <w:rFonts w:ascii="Arial" w:cs="Arial" w:eastAsia="Arial" w:hAnsi="Arial"/>
                <w:sz w:val="9"/>
                <w:szCs w:val="9"/>
                <w:color w:val="auto"/>
              </w:rPr>
              <w:t>Foreign exchange translation adjustment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ind w:left="360"/>
              <w:spacing w:after="0"/>
              <w:rPr>
                <w:sz w:val="20"/>
                <w:szCs w:val="20"/>
                <w:color w:val="auto"/>
              </w:rPr>
            </w:pPr>
            <w:r>
              <w:rPr>
                <w:rFonts w:ascii="Arial" w:cs="Arial" w:eastAsia="Arial" w:hAnsi="Arial"/>
                <w:sz w:val="9"/>
                <w:szCs w:val="9"/>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40" w:type="dxa"/>
            <w:vAlign w:val="bottom"/>
            <w:gridSpan w:val="2"/>
            <w:shd w:val="clear" w:color="auto" w:fill="CCEEFF"/>
          </w:tcPr>
          <w:p>
            <w:pPr>
              <w:ind w:left="42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rPr>
              <w:t>8,604</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8,604</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6,714</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rPr>
              <w:t>15,318</w:t>
            </w:r>
          </w:p>
        </w:tc>
        <w:tc>
          <w:tcPr>
            <w:tcW w:w="0" w:type="dxa"/>
            <w:vAlign w:val="bottom"/>
          </w:tcPr>
          <w:p>
            <w:pPr>
              <w:spacing w:after="0"/>
              <w:rPr>
                <w:sz w:val="1"/>
                <w:szCs w:val="1"/>
                <w:color w:val="auto"/>
              </w:rPr>
            </w:pPr>
          </w:p>
        </w:tc>
      </w:tr>
      <w:tr>
        <w:trPr>
          <w:trHeight w:val="97"/>
        </w:trPr>
        <w:tc>
          <w:tcPr>
            <w:tcW w:w="1860" w:type="dxa"/>
            <w:vAlign w:val="bottom"/>
            <w:gridSpan w:val="2"/>
          </w:tcPr>
          <w:p>
            <w:pPr>
              <w:ind w:left="120"/>
              <w:spacing w:after="0" w:line="98" w:lineRule="exact"/>
              <w:rPr>
                <w:sz w:val="20"/>
                <w:szCs w:val="20"/>
                <w:color w:val="auto"/>
              </w:rPr>
            </w:pPr>
            <w:r>
              <w:rPr>
                <w:rFonts w:ascii="Arial" w:cs="Arial" w:eastAsia="Arial" w:hAnsi="Arial"/>
                <w:sz w:val="9"/>
                <w:szCs w:val="9"/>
                <w:color w:val="auto"/>
              </w:rPr>
              <w:t>Net change in unrealized cash flow hedges</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80" w:type="dxa"/>
            <w:vAlign w:val="bottom"/>
            <w:gridSpan w:val="2"/>
            <w:vMerge w:val="restart"/>
          </w:tcPr>
          <w:p>
            <w:pPr>
              <w:ind w:left="360"/>
              <w:spacing w:after="0"/>
              <w:rPr>
                <w:sz w:val="20"/>
                <w:szCs w:val="20"/>
                <w:color w:val="auto"/>
              </w:rPr>
            </w:pPr>
            <w:r>
              <w:rPr>
                <w:rFonts w:ascii="Arial" w:cs="Arial" w:eastAsia="Arial" w:hAnsi="Arial"/>
                <w:sz w:val="9"/>
                <w:szCs w:val="9"/>
                <w:color w:val="auto"/>
              </w:rPr>
              <w:t>—</w:t>
            </w: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640" w:type="dxa"/>
            <w:vAlign w:val="bottom"/>
            <w:gridSpan w:val="2"/>
            <w:vMerge w:val="restart"/>
          </w:tcPr>
          <w:p>
            <w:pPr>
              <w:ind w:left="42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20" w:type="dxa"/>
            <w:vAlign w:val="bottom"/>
            <w:gridSpan w:val="2"/>
            <w:vMerge w:val="restart"/>
          </w:tcPr>
          <w:p>
            <w:pPr>
              <w:ind w:left="30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00" w:type="dxa"/>
            <w:vAlign w:val="bottom"/>
            <w:vMerge w:val="restart"/>
          </w:tcPr>
          <w:p>
            <w:pPr>
              <w:jc w:val="right"/>
              <w:spacing w:after="0"/>
              <w:rPr>
                <w:sz w:val="20"/>
                <w:szCs w:val="20"/>
                <w:color w:val="auto"/>
              </w:rPr>
            </w:pPr>
            <w:r>
              <w:rPr>
                <w:rFonts w:ascii="Arial" w:cs="Arial" w:eastAsia="Arial" w:hAnsi="Arial"/>
                <w:sz w:val="9"/>
                <w:szCs w:val="9"/>
                <w:color w:val="auto"/>
              </w:rPr>
              <w:t>(33,444)</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vMerge w:val="restart"/>
          </w:tcPr>
          <w:p>
            <w:pPr>
              <w:jc w:val="right"/>
              <w:spacing w:after="0"/>
              <w:rPr>
                <w:sz w:val="20"/>
                <w:szCs w:val="20"/>
                <w:color w:val="auto"/>
              </w:rPr>
            </w:pPr>
            <w:r>
              <w:rPr>
                <w:rFonts w:ascii="Arial" w:cs="Arial" w:eastAsia="Arial" w:hAnsi="Arial"/>
                <w:sz w:val="9"/>
                <w:szCs w:val="9"/>
                <w:color w:val="auto"/>
              </w:rPr>
              <w:t>(33,444)</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vMerge w:val="restart"/>
          </w:tcPr>
          <w:p>
            <w:pPr>
              <w:jc w:val="right"/>
              <w:spacing w:after="0"/>
              <w:rPr>
                <w:sz w:val="20"/>
                <w:szCs w:val="20"/>
                <w:color w:val="auto"/>
              </w:rPr>
            </w:pPr>
            <w:r>
              <w:rPr>
                <w:rFonts w:ascii="Arial" w:cs="Arial" w:eastAsia="Arial" w:hAnsi="Arial"/>
                <w:sz w:val="9"/>
                <w:szCs w:val="9"/>
                <w:color w:val="auto"/>
              </w:rPr>
              <w:t>(25,575)</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vMerge w:val="restart"/>
          </w:tcPr>
          <w:p>
            <w:pPr>
              <w:jc w:val="right"/>
              <w:spacing w:after="0"/>
              <w:rPr>
                <w:sz w:val="20"/>
                <w:szCs w:val="20"/>
                <w:color w:val="auto"/>
              </w:rPr>
            </w:pPr>
            <w:r>
              <w:rPr>
                <w:rFonts w:ascii="Arial" w:cs="Arial" w:eastAsia="Arial" w:hAnsi="Arial"/>
                <w:sz w:val="9"/>
                <w:szCs w:val="9"/>
                <w:color w:val="auto"/>
              </w:rPr>
              <w:t>(59,019)</w:t>
            </w:r>
          </w:p>
        </w:tc>
        <w:tc>
          <w:tcPr>
            <w:tcW w:w="0" w:type="dxa"/>
            <w:vAlign w:val="bottom"/>
          </w:tcPr>
          <w:p>
            <w:pPr>
              <w:spacing w:after="0"/>
              <w:rPr>
                <w:sz w:val="1"/>
                <w:szCs w:val="1"/>
                <w:color w:val="auto"/>
              </w:rPr>
            </w:pPr>
          </w:p>
        </w:tc>
      </w:tr>
      <w:tr>
        <w:trPr>
          <w:trHeight w:val="130"/>
        </w:trPr>
        <w:tc>
          <w:tcPr>
            <w:tcW w:w="1860" w:type="dxa"/>
            <w:vAlign w:val="bottom"/>
            <w:gridSpan w:val="2"/>
          </w:tcPr>
          <w:p>
            <w:pPr>
              <w:ind w:left="120"/>
              <w:spacing w:after="0"/>
              <w:rPr>
                <w:sz w:val="20"/>
                <w:szCs w:val="20"/>
                <w:color w:val="auto"/>
              </w:rPr>
            </w:pPr>
            <w:r>
              <w:rPr>
                <w:rFonts w:ascii="Arial" w:cs="Arial" w:eastAsia="Arial" w:hAnsi="Arial"/>
                <w:sz w:val="9"/>
                <w:szCs w:val="9"/>
                <w:color w:val="auto"/>
              </w:rPr>
              <w:t>gains (losses)</w:t>
            </w:r>
          </w:p>
        </w:tc>
        <w:tc>
          <w:tcPr>
            <w:tcW w:w="68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860" w:type="dxa"/>
            <w:vAlign w:val="bottom"/>
            <w:gridSpan w:val="2"/>
            <w:shd w:val="clear" w:color="auto" w:fill="CCEEFF"/>
          </w:tcPr>
          <w:p>
            <w:pPr>
              <w:ind w:left="120"/>
              <w:spacing w:after="0"/>
              <w:rPr>
                <w:sz w:val="20"/>
                <w:szCs w:val="20"/>
                <w:color w:val="auto"/>
              </w:rPr>
            </w:pPr>
            <w:r>
              <w:rPr>
                <w:rFonts w:ascii="Arial" w:cs="Arial" w:eastAsia="Arial" w:hAnsi="Arial"/>
                <w:sz w:val="9"/>
                <w:szCs w:val="9"/>
                <w:color w:val="auto"/>
              </w:rPr>
              <w:t>Dividends ($0.24 per share of Class A</w:t>
            </w: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1860" w:type="dxa"/>
            <w:vAlign w:val="bottom"/>
            <w:gridSpan w:val="2"/>
            <w:shd w:val="clear" w:color="auto" w:fill="CCEEFF"/>
          </w:tcPr>
          <w:p>
            <w:pPr>
              <w:ind w:left="120"/>
              <w:spacing w:after="0" w:line="95" w:lineRule="exact"/>
              <w:rPr>
                <w:sz w:val="20"/>
                <w:szCs w:val="20"/>
                <w:color w:val="auto"/>
              </w:rPr>
            </w:pPr>
            <w:r>
              <w:rPr>
                <w:rFonts w:ascii="Arial" w:cs="Arial" w:eastAsia="Arial" w:hAnsi="Arial"/>
                <w:sz w:val="9"/>
                <w:szCs w:val="9"/>
                <w:color w:val="auto"/>
              </w:rPr>
              <w:t>common</w:t>
            </w: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860" w:type="dxa"/>
            <w:vAlign w:val="bottom"/>
            <w:gridSpan w:val="2"/>
            <w:shd w:val="clear" w:color="auto" w:fill="CCEEFF"/>
          </w:tcPr>
          <w:p>
            <w:pPr>
              <w:ind w:left="120"/>
              <w:spacing w:after="0" w:line="95" w:lineRule="exact"/>
              <w:rPr>
                <w:sz w:val="20"/>
                <w:szCs w:val="20"/>
                <w:color w:val="auto"/>
              </w:rPr>
            </w:pPr>
            <w:r>
              <w:rPr>
                <w:rFonts w:ascii="Arial" w:cs="Arial" w:eastAsia="Arial" w:hAnsi="Arial"/>
                <w:sz w:val="9"/>
                <w:szCs w:val="9"/>
                <w:color w:val="auto"/>
              </w:rPr>
              <w:t>stock and participating Restricted Stock</w:t>
            </w: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860" w:type="dxa"/>
            <w:vAlign w:val="bottom"/>
            <w:gridSpan w:val="2"/>
            <w:shd w:val="clear" w:color="auto" w:fill="CCEEFF"/>
          </w:tcPr>
          <w:p>
            <w:pPr>
              <w:ind w:left="120"/>
              <w:spacing w:after="0" w:line="95" w:lineRule="exact"/>
              <w:rPr>
                <w:sz w:val="20"/>
                <w:szCs w:val="20"/>
                <w:color w:val="auto"/>
              </w:rPr>
            </w:pPr>
            <w:r>
              <w:rPr>
                <w:rFonts w:ascii="Arial" w:cs="Arial" w:eastAsia="Arial" w:hAnsi="Arial"/>
                <w:sz w:val="9"/>
                <w:szCs w:val="9"/>
                <w:color w:val="auto"/>
              </w:rPr>
              <w:t>Unit and</w:t>
            </w: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860" w:type="dxa"/>
            <w:vAlign w:val="bottom"/>
            <w:gridSpan w:val="2"/>
            <w:shd w:val="clear" w:color="auto" w:fill="CCEEFF"/>
          </w:tcPr>
          <w:p>
            <w:pPr>
              <w:ind w:left="120"/>
              <w:spacing w:after="0" w:line="95" w:lineRule="exact"/>
              <w:rPr>
                <w:sz w:val="20"/>
                <w:szCs w:val="20"/>
                <w:color w:val="auto"/>
              </w:rPr>
            </w:pPr>
            <w:r>
              <w:rPr>
                <w:rFonts w:ascii="Arial" w:cs="Arial" w:eastAsia="Arial" w:hAnsi="Arial"/>
                <w:sz w:val="9"/>
                <w:szCs w:val="9"/>
                <w:color w:val="auto"/>
              </w:rPr>
              <w:t>Restricted Stock Award) and distributions</w:t>
            </w: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860" w:type="dxa"/>
            <w:vAlign w:val="bottom"/>
            <w:gridSpan w:val="2"/>
            <w:shd w:val="clear" w:color="auto" w:fill="CCEEFF"/>
          </w:tcPr>
          <w:p>
            <w:pPr>
              <w:ind w:left="120"/>
              <w:spacing w:after="0" w:line="95" w:lineRule="exact"/>
              <w:rPr>
                <w:sz w:val="20"/>
                <w:szCs w:val="20"/>
                <w:color w:val="auto"/>
              </w:rPr>
            </w:pPr>
            <w:r>
              <w:rPr>
                <w:rFonts w:ascii="Arial" w:cs="Arial" w:eastAsia="Arial" w:hAnsi="Arial"/>
                <w:sz w:val="9"/>
                <w:szCs w:val="9"/>
                <w:color w:val="auto"/>
              </w:rPr>
              <w:t>from</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80" w:type="dxa"/>
            <w:vAlign w:val="bottom"/>
            <w:gridSpan w:val="2"/>
            <w:vMerge w:val="restart"/>
            <w:shd w:val="clear" w:color="auto" w:fill="CCEEFF"/>
          </w:tcPr>
          <w:p>
            <w:pPr>
              <w:ind w:left="360"/>
              <w:spacing w:after="0"/>
              <w:rPr>
                <w:sz w:val="20"/>
                <w:szCs w:val="20"/>
                <w:color w:val="auto"/>
              </w:rPr>
            </w:pPr>
            <w:r>
              <w:rPr>
                <w:rFonts w:ascii="Arial" w:cs="Arial" w:eastAsia="Arial" w:hAnsi="Arial"/>
                <w:sz w:val="9"/>
                <w:szCs w:val="9"/>
                <w:color w:val="auto"/>
              </w:rPr>
              <w:t>—</w:t>
            </w:r>
          </w:p>
        </w:tc>
        <w:tc>
          <w:tcPr>
            <w:tcW w:w="6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40" w:type="dxa"/>
            <w:vAlign w:val="bottom"/>
            <w:gridSpan w:val="2"/>
            <w:vMerge w:val="restart"/>
            <w:shd w:val="clear" w:color="auto" w:fill="CCEEFF"/>
          </w:tcPr>
          <w:p>
            <w:pPr>
              <w:ind w:left="42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20" w:type="dxa"/>
            <w:vAlign w:val="bottom"/>
            <w:gridSpan w:val="2"/>
            <w:vMerge w:val="restart"/>
            <w:shd w:val="clear" w:color="auto" w:fill="CCEEFF"/>
          </w:tcPr>
          <w:p>
            <w:pPr>
              <w:ind w:left="30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(120,496)</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(120,496)</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(363,919)</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(484,415)</w:t>
            </w:r>
          </w:p>
        </w:tc>
        <w:tc>
          <w:tcPr>
            <w:tcW w:w="0" w:type="dxa"/>
            <w:vAlign w:val="bottom"/>
          </w:tcPr>
          <w:p>
            <w:pPr>
              <w:spacing w:after="0"/>
              <w:rPr>
                <w:sz w:val="1"/>
                <w:szCs w:val="1"/>
                <w:color w:val="auto"/>
              </w:rPr>
            </w:pPr>
          </w:p>
        </w:tc>
      </w:tr>
      <w:tr>
        <w:trPr>
          <w:trHeight w:val="140"/>
        </w:trPr>
        <w:tc>
          <w:tcPr>
            <w:tcW w:w="1860" w:type="dxa"/>
            <w:vAlign w:val="bottom"/>
            <w:gridSpan w:val="2"/>
            <w:shd w:val="clear" w:color="auto" w:fill="CCEEFF"/>
          </w:tcPr>
          <w:p>
            <w:pPr>
              <w:ind w:left="120"/>
              <w:spacing w:after="0"/>
              <w:rPr>
                <w:sz w:val="20"/>
                <w:szCs w:val="20"/>
                <w:color w:val="auto"/>
              </w:rPr>
            </w:pPr>
            <w:r>
              <w:rPr>
                <w:rFonts w:ascii="Arial" w:cs="Arial" w:eastAsia="Arial" w:hAnsi="Arial"/>
                <w:sz w:val="9"/>
                <w:szCs w:val="9"/>
                <w:color w:val="auto"/>
              </w:rPr>
              <w:t>Virtu Financial to non-controlling interest</w:t>
            </w:r>
          </w:p>
        </w:tc>
        <w:tc>
          <w:tcPr>
            <w:tcW w:w="680" w:type="dxa"/>
            <w:vAlign w:val="bottom"/>
            <w:gridSpan w:val="2"/>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2"/>
            <w:vMerge w:val="continue"/>
            <w:shd w:val="clear" w:color="auto" w:fill="CCEEFF"/>
          </w:tcPr>
          <w:p>
            <w:pPr>
              <w:spacing w:after="0"/>
              <w:rPr>
                <w:sz w:val="12"/>
                <w:szCs w:val="12"/>
                <w:color w:val="auto"/>
              </w:rPr>
            </w:pPr>
          </w:p>
        </w:tc>
        <w:tc>
          <w:tcPr>
            <w:tcW w:w="64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vMerge w:val="continue"/>
            <w:shd w:val="clear" w:color="auto" w:fill="CCEEFF"/>
          </w:tcPr>
          <w:p>
            <w:pPr>
              <w:spacing w:after="0"/>
              <w:rPr>
                <w:sz w:val="12"/>
                <w:szCs w:val="12"/>
                <w:color w:val="auto"/>
              </w:rPr>
            </w:pPr>
          </w:p>
        </w:tc>
        <w:tc>
          <w:tcPr>
            <w:tcW w:w="64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vMerge w:val="continue"/>
            <w:shd w:val="clear" w:color="auto" w:fill="CCEEFF"/>
          </w:tcPr>
          <w:p>
            <w:pPr>
              <w:spacing w:after="0"/>
              <w:rPr>
                <w:sz w:val="12"/>
                <w:szCs w:val="12"/>
                <w:color w:val="auto"/>
              </w:rPr>
            </w:pPr>
          </w:p>
        </w:tc>
        <w:tc>
          <w:tcPr>
            <w:tcW w:w="640" w:type="dxa"/>
            <w:vAlign w:val="bottom"/>
            <w:gridSpan w:val="2"/>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1860" w:type="dxa"/>
            <w:vAlign w:val="bottom"/>
            <w:gridSpan w:val="2"/>
          </w:tcPr>
          <w:p>
            <w:pPr>
              <w:ind w:left="120"/>
              <w:spacing w:after="0" w:line="98" w:lineRule="exact"/>
              <w:rPr>
                <w:sz w:val="20"/>
                <w:szCs w:val="20"/>
                <w:color w:val="auto"/>
              </w:rPr>
            </w:pPr>
            <w:r>
              <w:rPr>
                <w:rFonts w:ascii="Arial" w:cs="Arial" w:eastAsia="Arial" w:hAnsi="Arial"/>
                <w:sz w:val="9"/>
                <w:szCs w:val="9"/>
                <w:color w:val="auto"/>
              </w:rPr>
              <w:t>Issuance of common stock in connection</w:t>
            </w:r>
          </w:p>
        </w:tc>
        <w:tc>
          <w:tcPr>
            <w:tcW w:w="600" w:type="dxa"/>
            <w:vAlign w:val="bottom"/>
            <w:vMerge w:val="restart"/>
          </w:tcPr>
          <w:p>
            <w:pPr>
              <w:jc w:val="right"/>
              <w:ind w:right="13"/>
              <w:spacing w:after="0"/>
              <w:rPr>
                <w:sz w:val="20"/>
                <w:szCs w:val="20"/>
                <w:color w:val="auto"/>
              </w:rPr>
            </w:pPr>
            <w:r>
              <w:rPr>
                <w:rFonts w:ascii="Arial" w:cs="Arial" w:eastAsia="Arial" w:hAnsi="Arial"/>
                <w:sz w:val="9"/>
                <w:szCs w:val="9"/>
                <w:color w:val="auto"/>
              </w:rPr>
              <w:t>2,660,239</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80" w:type="dxa"/>
            <w:vAlign w:val="bottom"/>
            <w:gridSpan w:val="2"/>
            <w:vMerge w:val="restart"/>
          </w:tcPr>
          <w:p>
            <w:pPr>
              <w:ind w:left="360"/>
              <w:spacing w:after="0"/>
              <w:rPr>
                <w:sz w:val="20"/>
                <w:szCs w:val="20"/>
                <w:color w:val="auto"/>
              </w:rPr>
            </w:pPr>
            <w:r>
              <w:rPr>
                <w:rFonts w:ascii="Arial" w:cs="Arial" w:eastAsia="Arial" w:hAnsi="Arial"/>
                <w:sz w:val="9"/>
                <w:szCs w:val="9"/>
                <w:color w:val="auto"/>
              </w:rPr>
              <w:t>—</w:t>
            </w: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640" w:type="dxa"/>
            <w:vAlign w:val="bottom"/>
            <w:gridSpan w:val="2"/>
            <w:vMerge w:val="restart"/>
          </w:tcPr>
          <w:p>
            <w:pPr>
              <w:ind w:left="42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20" w:type="dxa"/>
            <w:vAlign w:val="bottom"/>
            <w:gridSpan w:val="2"/>
            <w:vMerge w:val="restart"/>
          </w:tcPr>
          <w:p>
            <w:pPr>
              <w:ind w:left="30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2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2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500" w:type="dxa"/>
            <w:vAlign w:val="bottom"/>
            <w:vMerge w:val="restart"/>
          </w:tcPr>
          <w:p>
            <w:pPr>
              <w:jc w:val="right"/>
              <w:ind w:right="13"/>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30"/>
        </w:trPr>
        <w:tc>
          <w:tcPr>
            <w:tcW w:w="1860" w:type="dxa"/>
            <w:vAlign w:val="bottom"/>
            <w:gridSpan w:val="2"/>
          </w:tcPr>
          <w:p>
            <w:pPr>
              <w:ind w:left="120"/>
              <w:spacing w:after="0"/>
              <w:rPr>
                <w:sz w:val="20"/>
                <w:szCs w:val="20"/>
                <w:color w:val="auto"/>
              </w:rPr>
            </w:pPr>
            <w:r>
              <w:rPr>
                <w:rFonts w:ascii="Arial" w:cs="Arial" w:eastAsia="Arial" w:hAnsi="Arial"/>
                <w:sz w:val="9"/>
                <w:szCs w:val="9"/>
                <w:color w:val="auto"/>
              </w:rPr>
              <w:t>with employee exchanges</w:t>
            </w:r>
          </w:p>
        </w:tc>
        <w:tc>
          <w:tcPr>
            <w:tcW w:w="6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860" w:type="dxa"/>
            <w:vAlign w:val="bottom"/>
            <w:gridSpan w:val="2"/>
            <w:shd w:val="clear" w:color="auto" w:fill="CCEEFF"/>
          </w:tcPr>
          <w:p>
            <w:pPr>
              <w:ind w:left="120"/>
              <w:spacing w:after="0"/>
              <w:rPr>
                <w:sz w:val="20"/>
                <w:szCs w:val="20"/>
                <w:color w:val="auto"/>
              </w:rPr>
            </w:pPr>
            <w:r>
              <w:rPr>
                <w:rFonts w:ascii="Arial" w:cs="Arial" w:eastAsia="Arial" w:hAnsi="Arial"/>
                <w:sz w:val="9"/>
                <w:szCs w:val="9"/>
                <w:color w:val="auto"/>
              </w:rPr>
              <w:t>Repurchase of Virtu Financial Units and</w:t>
            </w: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1860" w:type="dxa"/>
            <w:vAlign w:val="bottom"/>
            <w:gridSpan w:val="2"/>
            <w:shd w:val="clear" w:color="auto" w:fill="CCEEFF"/>
          </w:tcPr>
          <w:p>
            <w:pPr>
              <w:ind w:left="120"/>
              <w:spacing w:after="0" w:line="95" w:lineRule="exact"/>
              <w:rPr>
                <w:sz w:val="20"/>
                <w:szCs w:val="20"/>
                <w:color w:val="auto"/>
              </w:rPr>
            </w:pPr>
            <w:r>
              <w:rPr>
                <w:rFonts w:ascii="Arial" w:cs="Arial" w:eastAsia="Arial" w:hAnsi="Arial"/>
                <w:sz w:val="9"/>
                <w:szCs w:val="9"/>
                <w:color w:val="auto"/>
              </w:rPr>
              <w:t>corresponding number of Class C common</w:t>
            </w: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860" w:type="dxa"/>
            <w:vAlign w:val="bottom"/>
            <w:gridSpan w:val="2"/>
            <w:shd w:val="clear" w:color="auto" w:fill="CCEEFF"/>
          </w:tcPr>
          <w:p>
            <w:pPr>
              <w:ind w:left="120"/>
              <w:spacing w:after="0" w:line="95" w:lineRule="exact"/>
              <w:rPr>
                <w:sz w:val="20"/>
                <w:szCs w:val="20"/>
                <w:color w:val="auto"/>
              </w:rPr>
            </w:pPr>
            <w:r>
              <w:rPr>
                <w:rFonts w:ascii="Arial" w:cs="Arial" w:eastAsia="Arial" w:hAnsi="Arial"/>
                <w:sz w:val="9"/>
                <w:szCs w:val="9"/>
                <w:color w:val="auto"/>
              </w:rPr>
              <w:t>stock in connection with employee</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(2,660,239)</w:t>
            </w: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gridSpan w:val="2"/>
            <w:vMerge w:val="restart"/>
            <w:shd w:val="clear" w:color="auto" w:fill="CCEEFF"/>
          </w:tcPr>
          <w:p>
            <w:pPr>
              <w:ind w:left="360"/>
              <w:spacing w:after="0"/>
              <w:rPr>
                <w:sz w:val="20"/>
                <w:szCs w:val="20"/>
                <w:color w:val="auto"/>
              </w:rPr>
            </w:pPr>
            <w:r>
              <w:rPr>
                <w:rFonts w:ascii="Arial" w:cs="Arial" w:eastAsia="Arial" w:hAnsi="Arial"/>
                <w:sz w:val="9"/>
                <w:szCs w:val="9"/>
                <w:color w:val="auto"/>
              </w:rPr>
              <w:t>—</w:t>
            </w:r>
          </w:p>
        </w:tc>
        <w:tc>
          <w:tcPr>
            <w:tcW w:w="6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40" w:type="dxa"/>
            <w:vAlign w:val="bottom"/>
            <w:gridSpan w:val="2"/>
            <w:vMerge w:val="restart"/>
            <w:shd w:val="clear" w:color="auto" w:fill="CCEEFF"/>
          </w:tcPr>
          <w:p>
            <w:pPr>
              <w:ind w:left="42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20" w:type="dxa"/>
            <w:vAlign w:val="bottom"/>
            <w:gridSpan w:val="2"/>
            <w:vMerge w:val="restart"/>
            <w:shd w:val="clear" w:color="auto" w:fill="CCEEFF"/>
          </w:tcPr>
          <w:p>
            <w:pPr>
              <w:ind w:left="30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00" w:type="dxa"/>
            <w:vAlign w:val="bottom"/>
            <w:vMerge w:val="restart"/>
            <w:shd w:val="clear" w:color="auto" w:fill="CCEEFF"/>
          </w:tcPr>
          <w:p>
            <w:pPr>
              <w:jc w:val="right"/>
              <w:ind w:right="13"/>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40"/>
        </w:trPr>
        <w:tc>
          <w:tcPr>
            <w:tcW w:w="1860" w:type="dxa"/>
            <w:vAlign w:val="bottom"/>
            <w:gridSpan w:val="2"/>
            <w:shd w:val="clear" w:color="auto" w:fill="CCEEFF"/>
          </w:tcPr>
          <w:p>
            <w:pPr>
              <w:ind w:left="120"/>
              <w:spacing w:after="0"/>
              <w:rPr>
                <w:sz w:val="20"/>
                <w:szCs w:val="20"/>
                <w:color w:val="auto"/>
              </w:rPr>
            </w:pPr>
            <w:r>
              <w:rPr>
                <w:rFonts w:ascii="Arial" w:cs="Arial" w:eastAsia="Arial" w:hAnsi="Arial"/>
                <w:sz w:val="9"/>
                <w:szCs w:val="9"/>
                <w:color w:val="auto"/>
              </w:rPr>
              <w:t>exchanges</w:t>
            </w:r>
          </w:p>
        </w:tc>
        <w:tc>
          <w:tcPr>
            <w:tcW w:w="680" w:type="dxa"/>
            <w:vAlign w:val="bottom"/>
            <w:gridSpan w:val="2"/>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2"/>
            <w:vMerge w:val="continue"/>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vMerge w:val="continue"/>
            <w:shd w:val="clear" w:color="auto" w:fill="CCEEFF"/>
          </w:tcPr>
          <w:p>
            <w:pPr>
              <w:spacing w:after="0"/>
              <w:rPr>
                <w:sz w:val="12"/>
                <w:szCs w:val="12"/>
                <w:color w:val="auto"/>
              </w:rPr>
            </w:pPr>
          </w:p>
        </w:tc>
        <w:tc>
          <w:tcPr>
            <w:tcW w:w="64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vMerge w:val="continue"/>
            <w:shd w:val="clear" w:color="auto" w:fill="CCEEFF"/>
          </w:tcPr>
          <w:p>
            <w:pPr>
              <w:spacing w:after="0"/>
              <w:rPr>
                <w:sz w:val="12"/>
                <w:szCs w:val="12"/>
                <w:color w:val="auto"/>
              </w:rPr>
            </w:pPr>
          </w:p>
        </w:tc>
        <w:tc>
          <w:tcPr>
            <w:tcW w:w="640" w:type="dxa"/>
            <w:vAlign w:val="bottom"/>
            <w:gridSpan w:val="2"/>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1860" w:type="dxa"/>
            <w:vAlign w:val="bottom"/>
            <w:gridSpan w:val="2"/>
          </w:tcPr>
          <w:p>
            <w:pPr>
              <w:ind w:left="120"/>
              <w:spacing w:after="0" w:line="98" w:lineRule="exact"/>
              <w:rPr>
                <w:sz w:val="20"/>
                <w:szCs w:val="20"/>
                <w:color w:val="auto"/>
              </w:rPr>
            </w:pPr>
            <w:r>
              <w:rPr>
                <w:rFonts w:ascii="Arial" w:cs="Arial" w:eastAsia="Arial" w:hAnsi="Arial"/>
                <w:sz w:val="9"/>
                <w:szCs w:val="9"/>
                <w:color w:val="auto"/>
              </w:rPr>
              <w:t>Issuance of tax receivable agreements in</w:t>
            </w:r>
          </w:p>
        </w:tc>
        <w:tc>
          <w:tcPr>
            <w:tcW w:w="600" w:type="dxa"/>
            <w:vAlign w:val="bottom"/>
            <w:vMerge w:val="restart"/>
          </w:tcPr>
          <w:p>
            <w:pPr>
              <w:jc w:val="right"/>
              <w:ind w:right="13"/>
              <w:spacing w:after="0"/>
              <w:rPr>
                <w:sz w:val="20"/>
                <w:szCs w:val="20"/>
                <w:color w:val="auto"/>
              </w:rPr>
            </w:pPr>
            <w:r>
              <w:rPr>
                <w:rFonts w:ascii="Arial" w:cs="Arial" w:eastAsia="Arial" w:hAnsi="Arial"/>
                <w:sz w:val="9"/>
                <w:szCs w:val="9"/>
                <w:color w:val="auto"/>
              </w:rPr>
              <w:t>—</w:t>
            </w:r>
          </w:p>
        </w:tc>
        <w:tc>
          <w:tcPr>
            <w:tcW w:w="80" w:type="dxa"/>
            <w:vAlign w:val="bottom"/>
            <w:vMerge w:val="restart"/>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vMerge w:val="restart"/>
          </w:tcPr>
          <w:p>
            <w:pPr>
              <w:jc w:val="right"/>
              <w:ind w:right="13"/>
              <w:spacing w:after="0"/>
              <w:rPr>
                <w:sz w:val="20"/>
                <w:szCs w:val="20"/>
                <w:color w:val="auto"/>
              </w:rPr>
            </w:pPr>
            <w:r>
              <w:rPr>
                <w:rFonts w:ascii="Arial" w:cs="Arial" w:eastAsia="Arial" w:hAnsi="Arial"/>
                <w:sz w:val="9"/>
                <w:szCs w:val="9"/>
                <w:color w:val="auto"/>
              </w:rPr>
              <w:t>—</w:t>
            </w:r>
          </w:p>
        </w:tc>
        <w:tc>
          <w:tcPr>
            <w:tcW w:w="80" w:type="dxa"/>
            <w:vAlign w:val="bottom"/>
            <w:vMerge w:val="restart"/>
          </w:tcPr>
          <w:p>
            <w:pPr>
              <w:spacing w:after="0"/>
              <w:rPr>
                <w:sz w:val="8"/>
                <w:szCs w:val="8"/>
                <w:color w:val="auto"/>
              </w:rPr>
            </w:pPr>
          </w:p>
        </w:tc>
        <w:tc>
          <w:tcPr>
            <w:tcW w:w="580" w:type="dxa"/>
            <w:vAlign w:val="bottom"/>
            <w:vMerge w:val="restart"/>
          </w:tcPr>
          <w:p>
            <w:pPr>
              <w:jc w:val="right"/>
              <w:ind w:right="13"/>
              <w:spacing w:after="0"/>
              <w:rPr>
                <w:sz w:val="20"/>
                <w:szCs w:val="20"/>
                <w:color w:val="auto"/>
              </w:rPr>
            </w:pPr>
            <w:r>
              <w:rPr>
                <w:rFonts w:ascii="Arial" w:cs="Arial" w:eastAsia="Arial" w:hAnsi="Arial"/>
                <w:sz w:val="9"/>
                <w:szCs w:val="9"/>
                <w:color w:val="auto"/>
              </w:rPr>
              <w:t>—</w:t>
            </w:r>
          </w:p>
        </w:tc>
        <w:tc>
          <w:tcPr>
            <w:tcW w:w="60" w:type="dxa"/>
            <w:vAlign w:val="bottom"/>
            <w:vMerge w:val="restart"/>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vMerge w:val="restart"/>
          </w:tcPr>
          <w:p>
            <w:pPr>
              <w:ind w:left="360"/>
              <w:spacing w:after="0"/>
              <w:rPr>
                <w:sz w:val="20"/>
                <w:szCs w:val="20"/>
                <w:color w:val="auto"/>
              </w:rPr>
            </w:pPr>
            <w:r>
              <w:rPr>
                <w:rFonts w:ascii="Arial" w:cs="Arial" w:eastAsia="Arial" w:hAnsi="Arial"/>
                <w:sz w:val="9"/>
                <w:szCs w:val="9"/>
                <w:color w:val="auto"/>
              </w:rPr>
              <w:t>—</w:t>
            </w:r>
          </w:p>
        </w:tc>
        <w:tc>
          <w:tcPr>
            <w:tcW w:w="80" w:type="dxa"/>
            <w:vAlign w:val="bottom"/>
            <w:vMerge w:val="restart"/>
          </w:tcPr>
          <w:p>
            <w:pPr>
              <w:spacing w:after="0"/>
              <w:rPr>
                <w:sz w:val="8"/>
                <w:szCs w:val="8"/>
                <w:color w:val="auto"/>
              </w:rPr>
            </w:pPr>
          </w:p>
        </w:tc>
        <w:tc>
          <w:tcPr>
            <w:tcW w:w="580" w:type="dxa"/>
            <w:vAlign w:val="bottom"/>
            <w:vMerge w:val="restart"/>
          </w:tcPr>
          <w:p>
            <w:pPr>
              <w:jc w:val="right"/>
              <w:ind w:right="13"/>
              <w:spacing w:after="0"/>
              <w:rPr>
                <w:sz w:val="20"/>
                <w:szCs w:val="20"/>
                <w:color w:val="auto"/>
              </w:rPr>
            </w:pPr>
            <w:r>
              <w:rPr>
                <w:rFonts w:ascii="Arial" w:cs="Arial" w:eastAsia="Arial" w:hAnsi="Arial"/>
                <w:sz w:val="9"/>
                <w:szCs w:val="9"/>
                <w:color w:val="auto"/>
              </w:rPr>
              <w:t>—</w:t>
            </w:r>
          </w:p>
        </w:tc>
        <w:tc>
          <w:tcPr>
            <w:tcW w:w="60" w:type="dxa"/>
            <w:vAlign w:val="bottom"/>
            <w:vMerge w:val="restart"/>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80" w:type="dxa"/>
            <w:vAlign w:val="bottom"/>
            <w:vMerge w:val="restart"/>
          </w:tcPr>
          <w:p>
            <w:pPr>
              <w:spacing w:after="0"/>
              <w:rPr>
                <w:sz w:val="8"/>
                <w:szCs w:val="8"/>
                <w:color w:val="auto"/>
              </w:rPr>
            </w:pPr>
          </w:p>
        </w:tc>
        <w:tc>
          <w:tcPr>
            <w:tcW w:w="560" w:type="dxa"/>
            <w:vAlign w:val="bottom"/>
            <w:vMerge w:val="restart"/>
          </w:tcPr>
          <w:p>
            <w:pPr>
              <w:ind w:left="420"/>
              <w:spacing w:after="0"/>
              <w:rPr>
                <w:sz w:val="20"/>
                <w:szCs w:val="20"/>
                <w:color w:val="auto"/>
              </w:rPr>
            </w:pPr>
            <w:r>
              <w:rPr>
                <w:rFonts w:ascii="Arial" w:cs="Arial" w:eastAsia="Arial" w:hAnsi="Arial"/>
                <w:sz w:val="9"/>
                <w:szCs w:val="9"/>
                <w:color w:val="auto"/>
              </w:rPr>
              <w:t>—</w:t>
            </w:r>
          </w:p>
        </w:tc>
        <w:tc>
          <w:tcPr>
            <w:tcW w:w="80" w:type="dxa"/>
            <w:vAlign w:val="bottom"/>
            <w:vMerge w:val="restart"/>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vMerge w:val="restart"/>
          </w:tcPr>
          <w:p>
            <w:pPr>
              <w:ind w:left="300"/>
              <w:spacing w:after="0"/>
              <w:rPr>
                <w:sz w:val="20"/>
                <w:szCs w:val="20"/>
                <w:color w:val="auto"/>
              </w:rPr>
            </w:pPr>
            <w:r>
              <w:rPr>
                <w:rFonts w:ascii="Arial" w:cs="Arial" w:eastAsia="Arial" w:hAnsi="Arial"/>
                <w:sz w:val="9"/>
                <w:szCs w:val="9"/>
                <w:color w:val="auto"/>
              </w:rPr>
              <w:t>—</w:t>
            </w:r>
          </w:p>
        </w:tc>
        <w:tc>
          <w:tcPr>
            <w:tcW w:w="60" w:type="dxa"/>
            <w:vAlign w:val="bottom"/>
            <w:vMerge w:val="restart"/>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vMerge w:val="restart"/>
          </w:tcPr>
          <w:p>
            <w:pPr>
              <w:jc w:val="right"/>
              <w:spacing w:after="0"/>
              <w:rPr>
                <w:sz w:val="20"/>
                <w:szCs w:val="20"/>
                <w:color w:val="auto"/>
              </w:rPr>
            </w:pPr>
            <w:r>
              <w:rPr>
                <w:rFonts w:ascii="Arial" w:cs="Arial" w:eastAsia="Arial" w:hAnsi="Arial"/>
                <w:sz w:val="9"/>
                <w:szCs w:val="9"/>
                <w:color w:val="auto"/>
              </w:rPr>
              <w:t>(1,388)</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80" w:type="dxa"/>
            <w:vAlign w:val="bottom"/>
            <w:vMerge w:val="restart"/>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vMerge w:val="restart"/>
          </w:tcPr>
          <w:p>
            <w:pPr>
              <w:jc w:val="right"/>
              <w:ind w:right="13"/>
              <w:spacing w:after="0"/>
              <w:rPr>
                <w:sz w:val="20"/>
                <w:szCs w:val="20"/>
                <w:color w:val="auto"/>
              </w:rPr>
            </w:pPr>
            <w:r>
              <w:rPr>
                <w:rFonts w:ascii="Arial" w:cs="Arial" w:eastAsia="Arial" w:hAnsi="Arial"/>
                <w:sz w:val="9"/>
                <w:szCs w:val="9"/>
                <w:color w:val="auto"/>
              </w:rPr>
              <w:t>—</w:t>
            </w:r>
          </w:p>
        </w:tc>
        <w:tc>
          <w:tcPr>
            <w:tcW w:w="60" w:type="dxa"/>
            <w:vAlign w:val="bottom"/>
            <w:vMerge w:val="restart"/>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vMerge w:val="restart"/>
          </w:tcPr>
          <w:p>
            <w:pPr>
              <w:jc w:val="right"/>
              <w:spacing w:after="0"/>
              <w:rPr>
                <w:sz w:val="20"/>
                <w:szCs w:val="20"/>
                <w:color w:val="auto"/>
              </w:rPr>
            </w:pPr>
            <w:r>
              <w:rPr>
                <w:rFonts w:ascii="Arial" w:cs="Arial" w:eastAsia="Arial" w:hAnsi="Arial"/>
                <w:sz w:val="9"/>
                <w:szCs w:val="9"/>
                <w:color w:val="auto"/>
              </w:rPr>
              <w:t>(1,388)</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80" w:type="dxa"/>
            <w:vAlign w:val="bottom"/>
            <w:vMerge w:val="restart"/>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vMerge w:val="restart"/>
          </w:tcPr>
          <w:p>
            <w:pPr>
              <w:jc w:val="right"/>
              <w:spacing w:after="0"/>
              <w:rPr>
                <w:sz w:val="20"/>
                <w:szCs w:val="20"/>
                <w:color w:val="auto"/>
              </w:rPr>
            </w:pPr>
            <w:r>
              <w:rPr>
                <w:rFonts w:ascii="Arial" w:cs="Arial" w:eastAsia="Arial" w:hAnsi="Arial"/>
                <w:sz w:val="9"/>
                <w:szCs w:val="9"/>
                <w:color w:val="auto"/>
              </w:rPr>
              <w:t>(1,388)</w:t>
            </w:r>
          </w:p>
        </w:tc>
        <w:tc>
          <w:tcPr>
            <w:tcW w:w="0" w:type="dxa"/>
            <w:vAlign w:val="bottom"/>
          </w:tcPr>
          <w:p>
            <w:pPr>
              <w:spacing w:after="0"/>
              <w:rPr>
                <w:sz w:val="1"/>
                <w:szCs w:val="1"/>
                <w:color w:val="auto"/>
              </w:rPr>
            </w:pPr>
          </w:p>
        </w:tc>
      </w:tr>
      <w:tr>
        <w:trPr>
          <w:trHeight w:val="132"/>
        </w:trPr>
        <w:tc>
          <w:tcPr>
            <w:tcW w:w="1800" w:type="dxa"/>
            <w:vAlign w:val="bottom"/>
            <w:tcBorders>
              <w:bottom w:val="single" w:sz="8" w:color="auto"/>
            </w:tcBorders>
          </w:tcPr>
          <w:p>
            <w:pPr>
              <w:ind w:left="120"/>
              <w:spacing w:after="0"/>
              <w:rPr>
                <w:sz w:val="20"/>
                <w:szCs w:val="20"/>
                <w:color w:val="auto"/>
              </w:rPr>
            </w:pPr>
            <w:r>
              <w:rPr>
                <w:rFonts w:ascii="Arial" w:cs="Arial" w:eastAsia="Arial" w:hAnsi="Arial"/>
                <w:sz w:val="9"/>
                <w:szCs w:val="9"/>
                <w:color w:val="auto"/>
              </w:rPr>
              <w:t>connection with employee exchange</w:t>
            </w:r>
          </w:p>
        </w:tc>
        <w:tc>
          <w:tcPr>
            <w:tcW w:w="60" w:type="dxa"/>
            <w:vAlign w:val="bottom"/>
            <w:tcBorders>
              <w:bottom w:val="single" w:sz="8" w:color="CCEEFF"/>
            </w:tcBorders>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580" w:type="dxa"/>
            <w:vAlign w:val="bottom"/>
            <w:tcBorders>
              <w:bottom w:val="single" w:sz="8" w:color="auto"/>
            </w:tcBorders>
            <w:vMerge w:val="continue"/>
          </w:tcPr>
          <w:p>
            <w:pPr>
              <w:spacing w:after="0"/>
              <w:rPr>
                <w:sz w:val="11"/>
                <w:szCs w:val="11"/>
                <w:color w:val="auto"/>
              </w:rPr>
            </w:pPr>
          </w:p>
        </w:tc>
        <w:tc>
          <w:tcPr>
            <w:tcW w:w="60" w:type="dxa"/>
            <w:vAlign w:val="bottom"/>
            <w:tcBorders>
              <w:bottom w:val="single" w:sz="8" w:color="CCEEFF"/>
            </w:tcBorders>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580" w:type="dxa"/>
            <w:vAlign w:val="bottom"/>
            <w:tcBorders>
              <w:bottom w:val="single" w:sz="8" w:color="auto"/>
            </w:tcBorders>
            <w:vMerge w:val="continue"/>
          </w:tcPr>
          <w:p>
            <w:pPr>
              <w:spacing w:after="0"/>
              <w:rPr>
                <w:sz w:val="11"/>
                <w:szCs w:val="11"/>
                <w:color w:val="auto"/>
              </w:rPr>
            </w:pPr>
          </w:p>
        </w:tc>
        <w:tc>
          <w:tcPr>
            <w:tcW w:w="60" w:type="dxa"/>
            <w:vAlign w:val="bottom"/>
            <w:tcBorders>
              <w:bottom w:val="single" w:sz="8" w:color="CCEEFF"/>
            </w:tcBorders>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56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vMerge w:val="continue"/>
          </w:tcPr>
          <w:p>
            <w:pPr>
              <w:spacing w:after="0"/>
              <w:rPr>
                <w:sz w:val="11"/>
                <w:szCs w:val="11"/>
                <w:color w:val="auto"/>
              </w:rPr>
            </w:pPr>
          </w:p>
        </w:tc>
        <w:tc>
          <w:tcPr>
            <w:tcW w:w="60" w:type="dxa"/>
            <w:vAlign w:val="bottom"/>
            <w:tcBorders>
              <w:bottom w:val="single" w:sz="8" w:color="CCEEFF"/>
            </w:tcBorders>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vMerge w:val="continue"/>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60" w:type="dxa"/>
            <w:vAlign w:val="bottom"/>
            <w:tcBorders>
              <w:bottom w:val="single" w:sz="8" w:color="CCEEFF"/>
            </w:tcBorders>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186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Balance at December 31, 2020</w:t>
            </w: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rPr>
              <w:t>125,627,277</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0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rPr>
              <w:t>1</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rPr>
              <w:t>10,226,939</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gridSpan w:val="2"/>
            <w:shd w:val="clear" w:color="auto" w:fill="CCEEFF"/>
          </w:tcPr>
          <w:p>
            <w:pPr>
              <w:ind w:left="360"/>
              <w:spacing w:after="0"/>
              <w:rPr>
                <w:sz w:val="20"/>
                <w:szCs w:val="20"/>
                <w:color w:val="auto"/>
              </w:rPr>
            </w:pPr>
            <w:r>
              <w:rPr>
                <w:rFonts w:ascii="Arial" w:cs="Arial" w:eastAsia="Arial" w:hAnsi="Arial"/>
                <w:sz w:val="9"/>
                <w:szCs w:val="9"/>
                <w:color w:val="auto"/>
              </w:rPr>
              <w:t>—</w:t>
            </w:r>
          </w:p>
        </w:tc>
        <w:tc>
          <w:tcPr>
            <w:tcW w:w="58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rPr>
              <w:t>60,091,740</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1</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(3,615,097)</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(88,923)</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rPr>
              <w:t>1,160,567</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422,381</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20"/>
                <w:szCs w:val="20"/>
                <w:color w:val="auto"/>
              </w:rPr>
            </w:pPr>
            <w:r>
              <w:rPr>
                <w:rFonts w:ascii="Arial" w:cs="Arial" w:eastAsia="Arial" w:hAnsi="Arial"/>
                <w:sz w:val="9"/>
                <w:szCs w:val="9"/>
                <w:color w:val="auto"/>
                <w:w w:val="78"/>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(25,487)</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9"/>
                <w:szCs w:val="9"/>
                <w:color w:val="auto"/>
                <w:w w:val="78"/>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1,468,540</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386,498</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rPr>
              <w:t>1,855,038</w:t>
            </w:r>
          </w:p>
        </w:tc>
        <w:tc>
          <w:tcPr>
            <w:tcW w:w="0" w:type="dxa"/>
            <w:vAlign w:val="bottom"/>
          </w:tcPr>
          <w:p>
            <w:pPr>
              <w:spacing w:after="0"/>
              <w:rPr>
                <w:sz w:val="1"/>
                <w:szCs w:val="1"/>
                <w:color w:val="auto"/>
              </w:rPr>
            </w:pPr>
          </w:p>
        </w:tc>
      </w:tr>
      <w:tr>
        <w:trPr>
          <w:trHeight w:val="20"/>
        </w:trPr>
        <w:tc>
          <w:tcPr>
            <w:tcW w:w="1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860" w:type="dxa"/>
            <w:vAlign w:val="bottom"/>
            <w:gridSpan w:val="2"/>
          </w:tcPr>
          <w:p>
            <w:pPr>
              <w:ind w:left="120"/>
              <w:spacing w:after="0"/>
              <w:rPr>
                <w:sz w:val="20"/>
                <w:szCs w:val="20"/>
                <w:color w:val="auto"/>
              </w:rPr>
            </w:pPr>
            <w:r>
              <w:rPr>
                <w:rFonts w:ascii="Arial" w:cs="Arial" w:eastAsia="Arial" w:hAnsi="Arial"/>
                <w:sz w:val="9"/>
                <w:szCs w:val="9"/>
                <w:color w:val="auto"/>
              </w:rPr>
              <w:t>Share based compensation</w:t>
            </w:r>
          </w:p>
        </w:tc>
        <w:tc>
          <w:tcPr>
            <w:tcW w:w="600" w:type="dxa"/>
            <w:vAlign w:val="bottom"/>
          </w:tcPr>
          <w:p>
            <w:pPr>
              <w:jc w:val="right"/>
              <w:ind w:right="13"/>
              <w:spacing w:after="0"/>
              <w:rPr>
                <w:sz w:val="20"/>
                <w:szCs w:val="20"/>
                <w:color w:val="auto"/>
              </w:rPr>
            </w:pPr>
            <w:r>
              <w:rPr>
                <w:rFonts w:ascii="Arial" w:cs="Arial" w:eastAsia="Arial" w:hAnsi="Arial"/>
                <w:sz w:val="9"/>
                <w:szCs w:val="9"/>
                <w:color w:val="auto"/>
              </w:rPr>
              <w:t>2,434,251</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580" w:type="dxa"/>
            <w:vAlign w:val="bottom"/>
            <w:gridSpan w:val="2"/>
          </w:tcPr>
          <w:p>
            <w:pPr>
              <w:ind w:left="360"/>
              <w:spacing w:after="0"/>
              <w:rPr>
                <w:sz w:val="20"/>
                <w:szCs w:val="20"/>
                <w:color w:val="auto"/>
              </w:rPr>
            </w:pPr>
            <w:r>
              <w:rPr>
                <w:rFonts w:ascii="Arial" w:cs="Arial" w:eastAsia="Arial" w:hAnsi="Arial"/>
                <w:sz w:val="9"/>
                <w:szCs w:val="9"/>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640" w:type="dxa"/>
            <w:vAlign w:val="bottom"/>
            <w:gridSpan w:val="2"/>
          </w:tcPr>
          <w:p>
            <w:pPr>
              <w:ind w:left="42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520" w:type="dxa"/>
            <w:vAlign w:val="bottom"/>
            <w:gridSpan w:val="2"/>
          </w:tcPr>
          <w:p>
            <w:pPr>
              <w:ind w:left="300"/>
              <w:spacing w:after="0"/>
              <w:rPr>
                <w:sz w:val="20"/>
                <w:szCs w:val="20"/>
                <w:color w:val="auto"/>
              </w:rPr>
            </w:pPr>
            <w:r>
              <w:rPr>
                <w:rFonts w:ascii="Arial" w:cs="Arial" w:eastAsia="Arial" w:hAnsi="Arial"/>
                <w:sz w:val="9"/>
                <w:szCs w:val="9"/>
                <w:color w:val="auto"/>
              </w:rPr>
              <w:t>—</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tcPr>
          <w:p>
            <w:pPr>
              <w:jc w:val="right"/>
              <w:ind w:right="13"/>
              <w:spacing w:after="0"/>
              <w:rPr>
                <w:sz w:val="20"/>
                <w:szCs w:val="20"/>
                <w:color w:val="auto"/>
              </w:rPr>
            </w:pPr>
            <w:r>
              <w:rPr>
                <w:rFonts w:ascii="Arial" w:cs="Arial" w:eastAsia="Arial" w:hAnsi="Arial"/>
                <w:sz w:val="9"/>
                <w:szCs w:val="9"/>
                <w:color w:val="auto"/>
              </w:rPr>
              <w:t>55,654</w:t>
            </w:r>
          </w:p>
        </w:tc>
        <w:tc>
          <w:tcPr>
            <w:tcW w:w="60" w:type="dxa"/>
            <w:vAlign w:val="bottom"/>
          </w:tcPr>
          <w:p>
            <w:pPr>
              <w:spacing w:after="0"/>
              <w:rPr>
                <w:sz w:val="9"/>
                <w:szCs w:val="9"/>
                <w:color w:val="auto"/>
              </w:rPr>
            </w:pPr>
          </w:p>
        </w:tc>
        <w:tc>
          <w:tcPr>
            <w:tcW w:w="100" w:type="dxa"/>
            <w:vAlign w:val="bottom"/>
          </w:tcPr>
          <w:p>
            <w:pPr>
              <w:ind w:left="20"/>
              <w:spacing w:after="0"/>
              <w:rPr>
                <w:sz w:val="20"/>
                <w:szCs w:val="20"/>
                <w:color w:val="auto"/>
              </w:rPr>
            </w:pPr>
            <w:r>
              <w:rPr>
                <w:rFonts w:ascii="Arial" w:cs="Arial" w:eastAsia="Arial" w:hAnsi="Arial"/>
                <w:sz w:val="9"/>
                <w:szCs w:val="9"/>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20"/>
                <w:szCs w:val="20"/>
                <w:color w:val="auto"/>
              </w:rPr>
            </w:pPr>
            <w:r>
              <w:rPr>
                <w:rFonts w:ascii="Arial" w:cs="Arial" w:eastAsia="Arial" w:hAnsi="Arial"/>
                <w:sz w:val="9"/>
                <w:szCs w:val="9"/>
                <w:color w:val="auto"/>
                <w:w w:val="78"/>
              </w:rPr>
              <w:t>$</w:t>
            </w:r>
          </w:p>
        </w:tc>
        <w:tc>
          <w:tcPr>
            <w:tcW w:w="6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ind w:left="20"/>
              <w:spacing w:after="0"/>
              <w:rPr>
                <w:sz w:val="20"/>
                <w:szCs w:val="20"/>
                <w:color w:val="auto"/>
              </w:rPr>
            </w:pPr>
            <w:r>
              <w:rPr>
                <w:rFonts w:ascii="Arial" w:cs="Arial" w:eastAsia="Arial" w:hAnsi="Arial"/>
                <w:sz w:val="9"/>
                <w:szCs w:val="9"/>
                <w:color w:val="auto"/>
                <w:w w:val="78"/>
              </w:rPr>
              <w:t>$</w:t>
            </w:r>
          </w:p>
        </w:tc>
        <w:tc>
          <w:tcPr>
            <w:tcW w:w="540" w:type="dxa"/>
            <w:vAlign w:val="bottom"/>
          </w:tcPr>
          <w:p>
            <w:pPr>
              <w:jc w:val="right"/>
              <w:spacing w:after="0"/>
              <w:rPr>
                <w:sz w:val="20"/>
                <w:szCs w:val="20"/>
                <w:color w:val="auto"/>
              </w:rPr>
            </w:pPr>
            <w:r>
              <w:rPr>
                <w:rFonts w:ascii="Arial" w:cs="Arial" w:eastAsia="Arial" w:hAnsi="Arial"/>
                <w:sz w:val="9"/>
                <w:szCs w:val="9"/>
                <w:color w:val="auto"/>
              </w:rPr>
              <w:t>55,654</w:t>
            </w:r>
          </w:p>
        </w:tc>
        <w:tc>
          <w:tcPr>
            <w:tcW w:w="80" w:type="dxa"/>
            <w:vAlign w:val="bottom"/>
          </w:tcPr>
          <w:p>
            <w:pPr>
              <w:spacing w:after="0"/>
              <w:rPr>
                <w:sz w:val="9"/>
                <w:szCs w:val="9"/>
                <w:color w:val="auto"/>
              </w:rPr>
            </w:pPr>
          </w:p>
        </w:tc>
        <w:tc>
          <w:tcPr>
            <w:tcW w:w="100" w:type="dxa"/>
            <w:vAlign w:val="bottom"/>
          </w:tcPr>
          <w:p>
            <w:pPr>
              <w:spacing w:after="0"/>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tcPr>
          <w:p>
            <w:pPr>
              <w:jc w:val="right"/>
              <w:ind w:right="13"/>
              <w:spacing w:after="0"/>
              <w:rPr>
                <w:sz w:val="20"/>
                <w:szCs w:val="20"/>
                <w:color w:val="auto"/>
              </w:rPr>
            </w:pPr>
            <w:r>
              <w:rPr>
                <w:rFonts w:ascii="Arial" w:cs="Arial" w:eastAsia="Arial" w:hAnsi="Arial"/>
                <w:sz w:val="9"/>
                <w:szCs w:val="9"/>
                <w:color w:val="auto"/>
              </w:rPr>
              <w:t>55,654</w:t>
            </w:r>
          </w:p>
        </w:tc>
        <w:tc>
          <w:tcPr>
            <w:tcW w:w="0" w:type="dxa"/>
            <w:vAlign w:val="bottom"/>
          </w:tcPr>
          <w:p>
            <w:pPr>
              <w:spacing w:after="0"/>
              <w:rPr>
                <w:sz w:val="1"/>
                <w:szCs w:val="1"/>
                <w:color w:val="auto"/>
              </w:rPr>
            </w:pPr>
          </w:p>
        </w:tc>
      </w:tr>
      <w:tr>
        <w:trPr>
          <w:trHeight w:val="152"/>
        </w:trPr>
        <w:tc>
          <w:tcPr>
            <w:tcW w:w="1860" w:type="dxa"/>
            <w:vAlign w:val="bottom"/>
            <w:gridSpan w:val="2"/>
            <w:shd w:val="clear" w:color="auto" w:fill="CCEEFF"/>
          </w:tcPr>
          <w:p>
            <w:pPr>
              <w:ind w:left="120"/>
              <w:spacing w:after="0"/>
              <w:rPr>
                <w:sz w:val="20"/>
                <w:szCs w:val="20"/>
                <w:color w:val="auto"/>
              </w:rPr>
            </w:pPr>
            <w:r>
              <w:rPr>
                <w:rFonts w:ascii="Arial" w:cs="Arial" w:eastAsia="Arial" w:hAnsi="Arial"/>
                <w:sz w:val="9"/>
                <w:szCs w:val="9"/>
                <w:color w:val="auto"/>
              </w:rPr>
              <w:t>Repurchase of Class C common stock</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(120,025)</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ind w:left="360"/>
              <w:spacing w:after="0"/>
              <w:rPr>
                <w:sz w:val="20"/>
                <w:szCs w:val="20"/>
                <w:color w:val="auto"/>
              </w:rPr>
            </w:pPr>
            <w:r>
              <w:rPr>
                <w:rFonts w:ascii="Arial" w:cs="Arial" w:eastAsia="Arial" w:hAnsi="Arial"/>
                <w:sz w:val="9"/>
                <w:szCs w:val="9"/>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40" w:type="dxa"/>
            <w:vAlign w:val="bottom"/>
            <w:gridSpan w:val="2"/>
            <w:shd w:val="clear" w:color="auto" w:fill="CCEEFF"/>
          </w:tcPr>
          <w:p>
            <w:pPr>
              <w:ind w:left="42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(3,455)</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9"/>
                <w:szCs w:val="9"/>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9"/>
                <w:szCs w:val="9"/>
                <w:color w:val="auto"/>
                <w:w w:val="78"/>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ind w:left="20"/>
              <w:spacing w:after="0"/>
              <w:rPr>
                <w:sz w:val="20"/>
                <w:szCs w:val="20"/>
                <w:color w:val="auto"/>
              </w:rPr>
            </w:pPr>
            <w:r>
              <w:rPr>
                <w:rFonts w:ascii="Arial" w:cs="Arial" w:eastAsia="Arial" w:hAnsi="Arial"/>
                <w:sz w:val="9"/>
                <w:szCs w:val="9"/>
                <w:color w:val="auto"/>
                <w:w w:val="78"/>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(3,455)</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(3,455)</w:t>
            </w:r>
          </w:p>
        </w:tc>
        <w:tc>
          <w:tcPr>
            <w:tcW w:w="0" w:type="dxa"/>
            <w:vAlign w:val="bottom"/>
          </w:tcPr>
          <w:p>
            <w:pPr>
              <w:spacing w:after="0"/>
              <w:rPr>
                <w:sz w:val="1"/>
                <w:szCs w:val="1"/>
                <w:color w:val="auto"/>
              </w:rPr>
            </w:pPr>
          </w:p>
        </w:tc>
      </w:tr>
      <w:tr>
        <w:trPr>
          <w:trHeight w:val="132"/>
        </w:trPr>
        <w:tc>
          <w:tcPr>
            <w:tcW w:w="1860" w:type="dxa"/>
            <w:vAlign w:val="bottom"/>
            <w:gridSpan w:val="2"/>
          </w:tcPr>
          <w:p>
            <w:pPr>
              <w:ind w:left="120"/>
              <w:spacing w:after="0"/>
              <w:rPr>
                <w:sz w:val="20"/>
                <w:szCs w:val="20"/>
                <w:color w:val="auto"/>
              </w:rPr>
            </w:pPr>
            <w:r>
              <w:rPr>
                <w:rFonts w:ascii="Arial" w:cs="Arial" w:eastAsia="Arial" w:hAnsi="Arial"/>
                <w:sz w:val="9"/>
                <w:szCs w:val="9"/>
                <w:color w:val="auto"/>
              </w:rPr>
              <w:t>Treasury stock purchases</w:t>
            </w:r>
          </w:p>
        </w:tc>
        <w:tc>
          <w:tcPr>
            <w:tcW w:w="600" w:type="dxa"/>
            <w:vAlign w:val="bottom"/>
          </w:tcPr>
          <w:p>
            <w:pPr>
              <w:jc w:val="right"/>
              <w:spacing w:after="0"/>
              <w:rPr>
                <w:sz w:val="20"/>
                <w:szCs w:val="20"/>
                <w:color w:val="auto"/>
              </w:rPr>
            </w:pPr>
            <w:r>
              <w:rPr>
                <w:rFonts w:ascii="Arial" w:cs="Arial" w:eastAsia="Arial" w:hAnsi="Arial"/>
                <w:sz w:val="9"/>
                <w:szCs w:val="9"/>
                <w:color w:val="auto"/>
              </w:rPr>
              <w:t>(840,229)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80" w:type="dxa"/>
            <w:vAlign w:val="bottom"/>
            <w:gridSpan w:val="2"/>
          </w:tcPr>
          <w:p>
            <w:pPr>
              <w:ind w:left="360"/>
              <w:spacing w:after="0"/>
              <w:rPr>
                <w:sz w:val="20"/>
                <w:szCs w:val="20"/>
                <w:color w:val="auto"/>
              </w:rPr>
            </w:pPr>
            <w:r>
              <w:rPr>
                <w:rFonts w:ascii="Arial" w:cs="Arial" w:eastAsia="Arial" w:hAnsi="Arial"/>
                <w:sz w:val="9"/>
                <w:szCs w:val="9"/>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60" w:type="dxa"/>
            <w:vAlign w:val="bottom"/>
          </w:tcPr>
          <w:p>
            <w:pPr>
              <w:jc w:val="right"/>
              <w:spacing w:after="0"/>
              <w:rPr>
                <w:sz w:val="20"/>
                <w:szCs w:val="20"/>
                <w:color w:val="auto"/>
              </w:rPr>
            </w:pPr>
            <w:r>
              <w:rPr>
                <w:rFonts w:ascii="Arial" w:cs="Arial" w:eastAsia="Arial" w:hAnsi="Arial"/>
                <w:sz w:val="9"/>
                <w:szCs w:val="9"/>
                <w:color w:val="auto"/>
              </w:rPr>
              <w:t>(14,711,766)</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9"/>
                <w:szCs w:val="9"/>
                <w:color w:val="auto"/>
              </w:rPr>
              <w:t>(405,152)</w:t>
            </w:r>
          </w:p>
        </w:tc>
        <w:tc>
          <w:tcPr>
            <w:tcW w:w="6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ind w:left="20"/>
              <w:spacing w:after="0"/>
              <w:rPr>
                <w:sz w:val="20"/>
                <w:szCs w:val="20"/>
                <w:color w:val="auto"/>
              </w:rPr>
            </w:pPr>
            <w:r>
              <w:rPr>
                <w:rFonts w:ascii="Arial" w:cs="Arial" w:eastAsia="Arial" w:hAnsi="Arial"/>
                <w:sz w:val="9"/>
                <w:szCs w:val="9"/>
                <w:color w:val="auto"/>
              </w:rPr>
              <w:t>$</w:t>
            </w:r>
          </w:p>
        </w:tc>
        <w:tc>
          <w:tcPr>
            <w:tcW w:w="520" w:type="dxa"/>
            <w:vAlign w:val="bottom"/>
          </w:tcPr>
          <w:p>
            <w:pPr>
              <w:jc w:val="right"/>
              <w:spacing w:after="0"/>
              <w:rPr>
                <w:sz w:val="20"/>
                <w:szCs w:val="20"/>
                <w:color w:val="auto"/>
              </w:rPr>
            </w:pPr>
            <w:r>
              <w:rPr>
                <w:rFonts w:ascii="Arial" w:cs="Arial" w:eastAsia="Arial" w:hAnsi="Arial"/>
                <w:sz w:val="9"/>
                <w:szCs w:val="9"/>
                <w:color w:val="auto"/>
              </w:rPr>
              <w:t>(22,301)</w:t>
            </w:r>
          </w:p>
        </w:tc>
        <w:tc>
          <w:tcPr>
            <w:tcW w:w="80" w:type="dxa"/>
            <w:vAlign w:val="bottom"/>
          </w:tcPr>
          <w:p>
            <w:pPr>
              <w:spacing w:after="0"/>
              <w:rPr>
                <w:sz w:val="11"/>
                <w:szCs w:val="11"/>
                <w:color w:val="auto"/>
              </w:rPr>
            </w:pPr>
          </w:p>
        </w:tc>
        <w:tc>
          <w:tcPr>
            <w:tcW w:w="60" w:type="dxa"/>
            <w:vAlign w:val="bottom"/>
          </w:tcPr>
          <w:p>
            <w:pPr>
              <w:spacing w:after="0"/>
              <w:rPr>
                <w:sz w:val="20"/>
                <w:szCs w:val="20"/>
                <w:color w:val="auto"/>
              </w:rPr>
            </w:pPr>
            <w:r>
              <w:rPr>
                <w:rFonts w:ascii="Arial" w:cs="Arial" w:eastAsia="Arial" w:hAnsi="Arial"/>
                <w:sz w:val="9"/>
                <w:szCs w:val="9"/>
                <w:color w:val="auto"/>
                <w:w w:val="78"/>
              </w:rPr>
              <w:t>$</w:t>
            </w:r>
          </w:p>
        </w:tc>
        <w:tc>
          <w:tcPr>
            <w:tcW w:w="6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ind w:left="20"/>
              <w:spacing w:after="0"/>
              <w:rPr>
                <w:sz w:val="20"/>
                <w:szCs w:val="20"/>
                <w:color w:val="auto"/>
              </w:rPr>
            </w:pPr>
            <w:r>
              <w:rPr>
                <w:rFonts w:ascii="Arial" w:cs="Arial" w:eastAsia="Arial" w:hAnsi="Arial"/>
                <w:sz w:val="9"/>
                <w:szCs w:val="9"/>
                <w:color w:val="auto"/>
                <w:w w:val="78"/>
              </w:rPr>
              <w:t>$</w:t>
            </w:r>
          </w:p>
        </w:tc>
        <w:tc>
          <w:tcPr>
            <w:tcW w:w="540" w:type="dxa"/>
            <w:vAlign w:val="bottom"/>
          </w:tcPr>
          <w:p>
            <w:pPr>
              <w:jc w:val="right"/>
              <w:spacing w:after="0"/>
              <w:rPr>
                <w:sz w:val="20"/>
                <w:szCs w:val="20"/>
                <w:color w:val="auto"/>
              </w:rPr>
            </w:pPr>
            <w:r>
              <w:rPr>
                <w:rFonts w:ascii="Arial" w:cs="Arial" w:eastAsia="Arial" w:hAnsi="Arial"/>
                <w:sz w:val="9"/>
                <w:szCs w:val="9"/>
                <w:color w:val="auto"/>
              </w:rPr>
              <w:t>(427,453)</w:t>
            </w:r>
          </w:p>
        </w:tc>
        <w:tc>
          <w:tcPr>
            <w:tcW w:w="80" w:type="dxa"/>
            <w:vAlign w:val="bottom"/>
          </w:tcPr>
          <w:p>
            <w:pPr>
              <w:spacing w:after="0"/>
              <w:rPr>
                <w:sz w:val="11"/>
                <w:szCs w:val="11"/>
                <w:color w:val="auto"/>
              </w:rPr>
            </w:pPr>
          </w:p>
        </w:tc>
        <w:tc>
          <w:tcPr>
            <w:tcW w:w="100" w:type="dxa"/>
            <w:vAlign w:val="bottom"/>
          </w:tcPr>
          <w:p>
            <w:pPr>
              <w:spacing w:after="0"/>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tcPr>
          <w:p>
            <w:pPr>
              <w:jc w:val="right"/>
              <w:spacing w:after="0"/>
              <w:rPr>
                <w:sz w:val="20"/>
                <w:szCs w:val="20"/>
                <w:color w:val="auto"/>
              </w:rPr>
            </w:pPr>
            <w:r>
              <w:rPr>
                <w:rFonts w:ascii="Arial" w:cs="Arial" w:eastAsia="Arial" w:hAnsi="Arial"/>
                <w:sz w:val="9"/>
                <w:szCs w:val="9"/>
                <w:color w:val="auto"/>
              </w:rPr>
              <w:t>(427,453)</w:t>
            </w:r>
          </w:p>
        </w:tc>
        <w:tc>
          <w:tcPr>
            <w:tcW w:w="0" w:type="dxa"/>
            <w:vAlign w:val="bottom"/>
          </w:tcPr>
          <w:p>
            <w:pPr>
              <w:spacing w:after="0"/>
              <w:rPr>
                <w:sz w:val="1"/>
                <w:szCs w:val="1"/>
                <w:color w:val="auto"/>
              </w:rPr>
            </w:pPr>
          </w:p>
        </w:tc>
      </w:tr>
      <w:tr>
        <w:trPr>
          <w:trHeight w:val="152"/>
        </w:trPr>
        <w:tc>
          <w:tcPr>
            <w:tcW w:w="1860" w:type="dxa"/>
            <w:vAlign w:val="bottom"/>
            <w:gridSpan w:val="2"/>
            <w:shd w:val="clear" w:color="auto" w:fill="CCEEFF"/>
          </w:tcPr>
          <w:p>
            <w:pPr>
              <w:ind w:left="120"/>
              <w:spacing w:after="0"/>
              <w:rPr>
                <w:sz w:val="20"/>
                <w:szCs w:val="20"/>
                <w:color w:val="auto"/>
              </w:rPr>
            </w:pPr>
            <w:r>
              <w:rPr>
                <w:rFonts w:ascii="Arial" w:cs="Arial" w:eastAsia="Arial" w:hAnsi="Arial"/>
                <w:sz w:val="9"/>
                <w:szCs w:val="9"/>
                <w:color w:val="auto"/>
              </w:rPr>
              <w:t>Stock option exercised</w:t>
            </w: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rPr>
              <w:t>528,497</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ind w:left="360"/>
              <w:spacing w:after="0"/>
              <w:rPr>
                <w:sz w:val="20"/>
                <w:szCs w:val="20"/>
                <w:color w:val="auto"/>
              </w:rPr>
            </w:pPr>
            <w:r>
              <w:rPr>
                <w:rFonts w:ascii="Arial" w:cs="Arial" w:eastAsia="Arial" w:hAnsi="Arial"/>
                <w:sz w:val="9"/>
                <w:szCs w:val="9"/>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40" w:type="dxa"/>
            <w:vAlign w:val="bottom"/>
            <w:gridSpan w:val="2"/>
            <w:shd w:val="clear" w:color="auto" w:fill="CCEEFF"/>
          </w:tcPr>
          <w:p>
            <w:pPr>
              <w:ind w:left="42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rPr>
              <w:t>10,042</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9"/>
                <w:szCs w:val="9"/>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9"/>
                <w:szCs w:val="9"/>
                <w:color w:val="auto"/>
                <w:w w:val="78"/>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ind w:left="20"/>
              <w:spacing w:after="0"/>
              <w:rPr>
                <w:sz w:val="20"/>
                <w:szCs w:val="20"/>
                <w:color w:val="auto"/>
              </w:rPr>
            </w:pPr>
            <w:r>
              <w:rPr>
                <w:rFonts w:ascii="Arial" w:cs="Arial" w:eastAsia="Arial" w:hAnsi="Arial"/>
                <w:sz w:val="9"/>
                <w:szCs w:val="9"/>
                <w:color w:val="auto"/>
                <w:w w:val="78"/>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10,042</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rPr>
              <w:t>10,042</w:t>
            </w:r>
          </w:p>
        </w:tc>
        <w:tc>
          <w:tcPr>
            <w:tcW w:w="0" w:type="dxa"/>
            <w:vAlign w:val="bottom"/>
          </w:tcPr>
          <w:p>
            <w:pPr>
              <w:spacing w:after="0"/>
              <w:rPr>
                <w:sz w:val="1"/>
                <w:szCs w:val="1"/>
                <w:color w:val="auto"/>
              </w:rPr>
            </w:pPr>
          </w:p>
        </w:tc>
      </w:tr>
      <w:tr>
        <w:trPr>
          <w:trHeight w:val="123"/>
        </w:trPr>
        <w:tc>
          <w:tcPr>
            <w:tcW w:w="1860" w:type="dxa"/>
            <w:vAlign w:val="bottom"/>
            <w:gridSpan w:val="2"/>
          </w:tcPr>
          <w:p>
            <w:pPr>
              <w:ind w:left="120"/>
              <w:spacing w:after="0"/>
              <w:rPr>
                <w:sz w:val="20"/>
                <w:szCs w:val="20"/>
                <w:color w:val="auto"/>
              </w:rPr>
            </w:pPr>
            <w:r>
              <w:rPr>
                <w:rFonts w:ascii="Arial" w:cs="Arial" w:eastAsia="Arial" w:hAnsi="Arial"/>
                <w:sz w:val="9"/>
                <w:szCs w:val="9"/>
                <w:color w:val="auto"/>
              </w:rPr>
              <w:t>Net Income (loss)</w:t>
            </w:r>
          </w:p>
        </w:tc>
        <w:tc>
          <w:tcPr>
            <w:tcW w:w="6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80" w:type="dxa"/>
            <w:vAlign w:val="bottom"/>
            <w:gridSpan w:val="2"/>
          </w:tcPr>
          <w:p>
            <w:pPr>
              <w:ind w:left="360"/>
              <w:spacing w:after="0"/>
              <w:rPr>
                <w:sz w:val="20"/>
                <w:szCs w:val="20"/>
                <w:color w:val="auto"/>
              </w:rPr>
            </w:pPr>
            <w:r>
              <w:rPr>
                <w:rFonts w:ascii="Arial" w:cs="Arial" w:eastAsia="Arial" w:hAnsi="Arial"/>
                <w:sz w:val="9"/>
                <w:szCs w:val="9"/>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640" w:type="dxa"/>
            <w:vAlign w:val="bottom"/>
            <w:gridSpan w:val="2"/>
          </w:tcPr>
          <w:p>
            <w:pPr>
              <w:ind w:left="42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520" w:type="dxa"/>
            <w:vAlign w:val="bottom"/>
            <w:gridSpan w:val="2"/>
          </w:tcPr>
          <w:p>
            <w:pPr>
              <w:ind w:left="300"/>
              <w:spacing w:after="0"/>
              <w:rPr>
                <w:sz w:val="20"/>
                <w:szCs w:val="20"/>
                <w:color w:val="auto"/>
              </w:rPr>
            </w:pPr>
            <w:r>
              <w:rPr>
                <w:rFonts w:ascii="Arial" w:cs="Arial" w:eastAsia="Arial" w:hAnsi="Arial"/>
                <w:sz w:val="9"/>
                <w:szCs w:val="9"/>
                <w:color w:val="auto"/>
              </w:rPr>
              <w:t>—</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ind w:left="20"/>
              <w:spacing w:after="0"/>
              <w:rPr>
                <w:sz w:val="20"/>
                <w:szCs w:val="20"/>
                <w:color w:val="auto"/>
              </w:rPr>
            </w:pPr>
            <w:r>
              <w:rPr>
                <w:rFonts w:ascii="Arial" w:cs="Arial" w:eastAsia="Arial" w:hAnsi="Arial"/>
                <w:sz w:val="9"/>
                <w:szCs w:val="9"/>
                <w:color w:val="auto"/>
              </w:rPr>
              <w:t>$</w:t>
            </w:r>
          </w:p>
        </w:tc>
        <w:tc>
          <w:tcPr>
            <w:tcW w:w="520" w:type="dxa"/>
            <w:vAlign w:val="bottom"/>
          </w:tcPr>
          <w:p>
            <w:pPr>
              <w:jc w:val="right"/>
              <w:spacing w:after="0"/>
              <w:rPr>
                <w:sz w:val="20"/>
                <w:szCs w:val="20"/>
                <w:color w:val="auto"/>
              </w:rPr>
            </w:pPr>
            <w:r>
              <w:rPr>
                <w:rFonts w:ascii="Arial" w:cs="Arial" w:eastAsia="Arial" w:hAnsi="Arial"/>
                <w:sz w:val="9"/>
                <w:szCs w:val="9"/>
                <w:color w:val="auto"/>
              </w:rPr>
              <w:t>476,878</w:t>
            </w:r>
          </w:p>
        </w:tc>
        <w:tc>
          <w:tcPr>
            <w:tcW w:w="80" w:type="dxa"/>
            <w:vAlign w:val="bottom"/>
          </w:tcPr>
          <w:p>
            <w:pPr>
              <w:spacing w:after="0"/>
              <w:rPr>
                <w:sz w:val="10"/>
                <w:szCs w:val="10"/>
                <w:color w:val="auto"/>
              </w:rPr>
            </w:pPr>
          </w:p>
        </w:tc>
        <w:tc>
          <w:tcPr>
            <w:tcW w:w="60" w:type="dxa"/>
            <w:vAlign w:val="bottom"/>
          </w:tcPr>
          <w:p>
            <w:pPr>
              <w:spacing w:after="0"/>
              <w:rPr>
                <w:sz w:val="20"/>
                <w:szCs w:val="20"/>
                <w:color w:val="auto"/>
              </w:rPr>
            </w:pPr>
            <w:r>
              <w:rPr>
                <w:rFonts w:ascii="Arial" w:cs="Arial" w:eastAsia="Arial" w:hAnsi="Arial"/>
                <w:sz w:val="9"/>
                <w:szCs w:val="9"/>
                <w:color w:val="auto"/>
                <w:w w:val="78"/>
              </w:rPr>
              <w:t>$</w:t>
            </w:r>
          </w:p>
        </w:tc>
        <w:tc>
          <w:tcPr>
            <w:tcW w:w="6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ind w:left="20"/>
              <w:spacing w:after="0"/>
              <w:rPr>
                <w:sz w:val="20"/>
                <w:szCs w:val="20"/>
                <w:color w:val="auto"/>
              </w:rPr>
            </w:pPr>
            <w:r>
              <w:rPr>
                <w:rFonts w:ascii="Arial" w:cs="Arial" w:eastAsia="Arial" w:hAnsi="Arial"/>
                <w:sz w:val="9"/>
                <w:szCs w:val="9"/>
                <w:color w:val="auto"/>
                <w:w w:val="78"/>
              </w:rPr>
              <w:t>$</w:t>
            </w:r>
          </w:p>
        </w:tc>
        <w:tc>
          <w:tcPr>
            <w:tcW w:w="540" w:type="dxa"/>
            <w:vAlign w:val="bottom"/>
          </w:tcPr>
          <w:p>
            <w:pPr>
              <w:jc w:val="right"/>
              <w:spacing w:after="0"/>
              <w:rPr>
                <w:sz w:val="20"/>
                <w:szCs w:val="20"/>
                <w:color w:val="auto"/>
              </w:rPr>
            </w:pPr>
            <w:r>
              <w:rPr>
                <w:rFonts w:ascii="Arial" w:cs="Arial" w:eastAsia="Arial" w:hAnsi="Arial"/>
                <w:sz w:val="9"/>
                <w:szCs w:val="9"/>
                <w:color w:val="auto"/>
              </w:rPr>
              <w:t>476,878</w:t>
            </w:r>
          </w:p>
        </w:tc>
        <w:tc>
          <w:tcPr>
            <w:tcW w:w="80" w:type="dxa"/>
            <w:vAlign w:val="bottom"/>
          </w:tcPr>
          <w:p>
            <w:pPr>
              <w:spacing w:after="0"/>
              <w:rPr>
                <w:sz w:val="10"/>
                <w:szCs w:val="10"/>
                <w:color w:val="auto"/>
              </w:rPr>
            </w:pPr>
          </w:p>
        </w:tc>
        <w:tc>
          <w:tcPr>
            <w:tcW w:w="100" w:type="dxa"/>
            <w:vAlign w:val="bottom"/>
          </w:tcPr>
          <w:p>
            <w:pPr>
              <w:spacing w:after="0"/>
              <w:rPr>
                <w:sz w:val="20"/>
                <w:szCs w:val="20"/>
                <w:color w:val="auto"/>
              </w:rPr>
            </w:pPr>
            <w:r>
              <w:rPr>
                <w:rFonts w:ascii="Arial" w:cs="Arial" w:eastAsia="Arial" w:hAnsi="Arial"/>
                <w:sz w:val="9"/>
                <w:szCs w:val="9"/>
                <w:color w:val="auto"/>
              </w:rPr>
              <w:t>$</w:t>
            </w:r>
          </w:p>
        </w:tc>
        <w:tc>
          <w:tcPr>
            <w:tcW w:w="540" w:type="dxa"/>
            <w:vAlign w:val="bottom"/>
          </w:tcPr>
          <w:p>
            <w:pPr>
              <w:jc w:val="right"/>
              <w:spacing w:after="0"/>
              <w:rPr>
                <w:sz w:val="20"/>
                <w:szCs w:val="20"/>
                <w:color w:val="auto"/>
              </w:rPr>
            </w:pPr>
            <w:r>
              <w:rPr>
                <w:rFonts w:ascii="Arial" w:cs="Arial" w:eastAsia="Arial" w:hAnsi="Arial"/>
                <w:sz w:val="9"/>
                <w:szCs w:val="9"/>
                <w:color w:val="auto"/>
              </w:rPr>
              <w:t>350,356</w:t>
            </w:r>
          </w:p>
        </w:tc>
        <w:tc>
          <w:tcPr>
            <w:tcW w:w="80" w:type="dxa"/>
            <w:vAlign w:val="bottom"/>
          </w:tcPr>
          <w:p>
            <w:pPr>
              <w:spacing w:after="0"/>
              <w:rPr>
                <w:sz w:val="10"/>
                <w:szCs w:val="10"/>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tcPr>
          <w:p>
            <w:pPr>
              <w:jc w:val="right"/>
              <w:ind w:right="13"/>
              <w:spacing w:after="0"/>
              <w:rPr>
                <w:sz w:val="20"/>
                <w:szCs w:val="20"/>
                <w:color w:val="auto"/>
              </w:rPr>
            </w:pPr>
            <w:r>
              <w:rPr>
                <w:rFonts w:ascii="Arial" w:cs="Arial" w:eastAsia="Arial" w:hAnsi="Arial"/>
                <w:sz w:val="9"/>
                <w:szCs w:val="9"/>
                <w:color w:val="auto"/>
              </w:rPr>
              <w:t>827,234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59055</wp:posOffset>
            </wp:positionV>
            <wp:extent cx="7174865" cy="406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00"/>
          </w:cols>
          <w:pgMar w:left="400" w:top="127" w:right="399" w:bottom="1440" w:gutter="0" w:footer="0" w:header="0"/>
        </w:sectPr>
      </w:pPr>
    </w:p>
    <w:bookmarkStart w:id="80" w:name="page81"/>
    <w:bookmarkEnd w:id="8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80" w:type="dxa"/>
        <w:tblCellMar>
          <w:top w:w="0" w:type="dxa"/>
          <w:left w:w="0" w:type="dxa"/>
          <w:bottom w:w="0" w:type="dxa"/>
          <w:right w:w="0" w:type="dxa"/>
        </w:tblCellMar>
      </w:tblPr>
      <w:tr>
        <w:trPr>
          <w:trHeight w:val="103"/>
        </w:trPr>
        <w:tc>
          <w:tcPr>
            <w:tcW w:w="18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gridSpan w:val="2"/>
          </w:tcPr>
          <w:p>
            <w:pPr>
              <w:jc w:val="center"/>
              <w:ind w:right="140"/>
              <w:spacing w:after="0"/>
              <w:rPr>
                <w:sz w:val="20"/>
                <w:szCs w:val="20"/>
                <w:color w:val="auto"/>
              </w:rPr>
            </w:pPr>
            <w:r>
              <w:rPr>
                <w:rFonts w:ascii="Arial" w:cs="Arial" w:eastAsia="Arial" w:hAnsi="Arial"/>
                <w:sz w:val="9"/>
                <w:szCs w:val="9"/>
                <w:b w:val="1"/>
                <w:bCs w:val="1"/>
                <w:color w:val="auto"/>
                <w:w w:val="99"/>
              </w:rPr>
              <w:t>Additional</w:t>
            </w: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800" w:type="dxa"/>
            <w:vAlign w:val="bottom"/>
          </w:tcPr>
          <w:p>
            <w:pPr>
              <w:spacing w:after="0"/>
              <w:rPr>
                <w:sz w:val="8"/>
                <w:szCs w:val="8"/>
                <w:color w:val="auto"/>
              </w:rPr>
            </w:pPr>
          </w:p>
        </w:tc>
        <w:tc>
          <w:tcPr>
            <w:tcW w:w="60" w:type="dxa"/>
            <w:vAlign w:val="bottom"/>
          </w:tcPr>
          <w:p>
            <w:pPr>
              <w:spacing w:after="0"/>
              <w:rPr>
                <w:sz w:val="8"/>
                <w:szCs w:val="8"/>
                <w:color w:val="auto"/>
              </w:rPr>
            </w:pPr>
          </w:p>
        </w:tc>
        <w:tc>
          <w:tcPr>
            <w:tcW w:w="1320" w:type="dxa"/>
            <w:vAlign w:val="bottom"/>
            <w:gridSpan w:val="4"/>
            <w:vMerge w:val="restart"/>
          </w:tcPr>
          <w:p>
            <w:pPr>
              <w:ind w:left="140"/>
              <w:spacing w:after="0"/>
              <w:rPr>
                <w:sz w:val="20"/>
                <w:szCs w:val="20"/>
                <w:color w:val="auto"/>
              </w:rPr>
            </w:pPr>
            <w:r>
              <w:rPr>
                <w:rFonts w:ascii="Arial" w:cs="Arial" w:eastAsia="Arial" w:hAnsi="Arial"/>
                <w:sz w:val="9"/>
                <w:szCs w:val="9"/>
                <w:b w:val="1"/>
                <w:bCs w:val="1"/>
                <w:color w:val="auto"/>
              </w:rPr>
              <w:t>Class A Common Stock</w:t>
            </w:r>
          </w:p>
        </w:tc>
        <w:tc>
          <w:tcPr>
            <w:tcW w:w="1300" w:type="dxa"/>
            <w:vAlign w:val="bottom"/>
            <w:gridSpan w:val="4"/>
            <w:vMerge w:val="restart"/>
          </w:tcPr>
          <w:p>
            <w:pPr>
              <w:ind w:left="140"/>
              <w:spacing w:after="0"/>
              <w:rPr>
                <w:sz w:val="20"/>
                <w:szCs w:val="20"/>
                <w:color w:val="auto"/>
              </w:rPr>
            </w:pPr>
            <w:r>
              <w:rPr>
                <w:rFonts w:ascii="Arial" w:cs="Arial" w:eastAsia="Arial" w:hAnsi="Arial"/>
                <w:sz w:val="9"/>
                <w:szCs w:val="9"/>
                <w:b w:val="1"/>
                <w:bCs w:val="1"/>
                <w:color w:val="auto"/>
              </w:rPr>
              <w:t>Class C Common Stock</w:t>
            </w:r>
          </w:p>
        </w:tc>
        <w:tc>
          <w:tcPr>
            <w:tcW w:w="1300" w:type="dxa"/>
            <w:vAlign w:val="bottom"/>
            <w:gridSpan w:val="4"/>
            <w:vMerge w:val="restart"/>
          </w:tcPr>
          <w:p>
            <w:pPr>
              <w:ind w:left="140"/>
              <w:spacing w:after="0"/>
              <w:rPr>
                <w:sz w:val="20"/>
                <w:szCs w:val="20"/>
                <w:color w:val="auto"/>
              </w:rPr>
            </w:pPr>
            <w:r>
              <w:rPr>
                <w:rFonts w:ascii="Arial" w:cs="Arial" w:eastAsia="Arial" w:hAnsi="Arial"/>
                <w:sz w:val="9"/>
                <w:szCs w:val="9"/>
                <w:b w:val="1"/>
                <w:bCs w:val="1"/>
                <w:color w:val="auto"/>
              </w:rPr>
              <w:t>Class D Common Stock</w:t>
            </w:r>
          </w:p>
        </w:tc>
        <w:tc>
          <w:tcPr>
            <w:tcW w:w="1220" w:type="dxa"/>
            <w:vAlign w:val="bottom"/>
            <w:gridSpan w:val="4"/>
            <w:vMerge w:val="restart"/>
          </w:tcPr>
          <w:p>
            <w:pPr>
              <w:ind w:left="260"/>
              <w:spacing w:after="0"/>
              <w:rPr>
                <w:sz w:val="20"/>
                <w:szCs w:val="20"/>
                <w:color w:val="auto"/>
              </w:rPr>
            </w:pPr>
            <w:r>
              <w:rPr>
                <w:rFonts w:ascii="Arial" w:cs="Arial" w:eastAsia="Arial" w:hAnsi="Arial"/>
                <w:sz w:val="9"/>
                <w:szCs w:val="9"/>
                <w:b w:val="1"/>
                <w:bCs w:val="1"/>
                <w:color w:val="auto"/>
              </w:rPr>
              <w:t>Treasury Stock</w:t>
            </w:r>
          </w:p>
        </w:tc>
        <w:tc>
          <w:tcPr>
            <w:tcW w:w="80" w:type="dxa"/>
            <w:vAlign w:val="bottom"/>
          </w:tcPr>
          <w:p>
            <w:pPr>
              <w:spacing w:after="0"/>
              <w:rPr>
                <w:sz w:val="8"/>
                <w:szCs w:val="8"/>
                <w:color w:val="auto"/>
              </w:rPr>
            </w:pPr>
          </w:p>
        </w:tc>
        <w:tc>
          <w:tcPr>
            <w:tcW w:w="580" w:type="dxa"/>
            <w:vAlign w:val="bottom"/>
            <w:gridSpan w:val="2"/>
          </w:tcPr>
          <w:p>
            <w:pPr>
              <w:jc w:val="center"/>
              <w:ind w:right="160"/>
              <w:spacing w:after="0" w:line="95" w:lineRule="exact"/>
              <w:rPr>
                <w:sz w:val="20"/>
                <w:szCs w:val="20"/>
                <w:color w:val="auto"/>
              </w:rPr>
            </w:pPr>
            <w:r>
              <w:rPr>
                <w:rFonts w:ascii="Arial" w:cs="Arial" w:eastAsia="Arial" w:hAnsi="Arial"/>
                <w:sz w:val="9"/>
                <w:szCs w:val="9"/>
                <w:b w:val="1"/>
                <w:bCs w:val="1"/>
                <w:color w:val="auto"/>
                <w:w w:val="99"/>
              </w:rPr>
              <w:t>Paid-in</w:t>
            </w:r>
          </w:p>
        </w:tc>
        <w:tc>
          <w:tcPr>
            <w:tcW w:w="100" w:type="dxa"/>
            <w:vAlign w:val="bottom"/>
          </w:tcPr>
          <w:p>
            <w:pPr>
              <w:spacing w:after="0"/>
              <w:rPr>
                <w:sz w:val="8"/>
                <w:szCs w:val="8"/>
                <w:color w:val="auto"/>
              </w:rPr>
            </w:pPr>
          </w:p>
        </w:tc>
        <w:tc>
          <w:tcPr>
            <w:tcW w:w="600" w:type="dxa"/>
            <w:vAlign w:val="bottom"/>
            <w:gridSpan w:val="2"/>
            <w:vMerge w:val="restart"/>
          </w:tcPr>
          <w:p>
            <w:pPr>
              <w:jc w:val="center"/>
              <w:ind w:right="180"/>
              <w:spacing w:after="0"/>
              <w:rPr>
                <w:sz w:val="20"/>
                <w:szCs w:val="20"/>
                <w:color w:val="auto"/>
              </w:rPr>
            </w:pPr>
            <w:r>
              <w:rPr>
                <w:rFonts w:ascii="Arial" w:cs="Arial" w:eastAsia="Arial" w:hAnsi="Arial"/>
                <w:sz w:val="9"/>
                <w:szCs w:val="9"/>
                <w:b w:val="1"/>
                <w:bCs w:val="1"/>
                <w:color w:val="auto"/>
                <w:w w:val="99"/>
              </w:rPr>
              <w:t>Retained</w:t>
            </w:r>
          </w:p>
        </w:tc>
        <w:tc>
          <w:tcPr>
            <w:tcW w:w="60" w:type="dxa"/>
            <w:vAlign w:val="bottom"/>
          </w:tcPr>
          <w:p>
            <w:pPr>
              <w:spacing w:after="0"/>
              <w:rPr>
                <w:sz w:val="8"/>
                <w:szCs w:val="8"/>
                <w:color w:val="auto"/>
              </w:rPr>
            </w:pPr>
          </w:p>
        </w:tc>
        <w:tc>
          <w:tcPr>
            <w:tcW w:w="660" w:type="dxa"/>
            <w:vAlign w:val="bottom"/>
            <w:gridSpan w:val="2"/>
            <w:vMerge w:val="restart"/>
          </w:tcPr>
          <w:p>
            <w:pPr>
              <w:jc w:val="center"/>
              <w:ind w:right="140"/>
              <w:spacing w:after="0"/>
              <w:rPr>
                <w:sz w:val="20"/>
                <w:szCs w:val="20"/>
                <w:color w:val="auto"/>
              </w:rPr>
            </w:pPr>
            <w:r>
              <w:rPr>
                <w:rFonts w:ascii="Arial" w:cs="Arial" w:eastAsia="Arial" w:hAnsi="Arial"/>
                <w:sz w:val="9"/>
                <w:szCs w:val="9"/>
                <w:b w:val="1"/>
                <w:bCs w:val="1"/>
                <w:color w:val="auto"/>
                <w:w w:val="91"/>
              </w:rPr>
              <w:t>Accumulated</w:t>
            </w:r>
          </w:p>
        </w:tc>
        <w:tc>
          <w:tcPr>
            <w:tcW w:w="80" w:type="dxa"/>
            <w:vAlign w:val="bottom"/>
          </w:tcPr>
          <w:p>
            <w:pPr>
              <w:spacing w:after="0"/>
              <w:rPr>
                <w:sz w:val="8"/>
                <w:szCs w:val="8"/>
                <w:color w:val="auto"/>
              </w:rPr>
            </w:pPr>
          </w:p>
        </w:tc>
        <w:tc>
          <w:tcPr>
            <w:tcW w:w="620" w:type="dxa"/>
            <w:vAlign w:val="bottom"/>
            <w:gridSpan w:val="2"/>
            <w:vMerge w:val="restart"/>
          </w:tcPr>
          <w:p>
            <w:pPr>
              <w:jc w:val="center"/>
              <w:ind w:right="160"/>
              <w:spacing w:after="0"/>
              <w:rPr>
                <w:sz w:val="20"/>
                <w:szCs w:val="20"/>
                <w:color w:val="auto"/>
              </w:rPr>
            </w:pPr>
            <w:r>
              <w:rPr>
                <w:rFonts w:ascii="Arial" w:cs="Arial" w:eastAsia="Arial" w:hAnsi="Arial"/>
                <w:sz w:val="9"/>
                <w:szCs w:val="9"/>
                <w:b w:val="1"/>
                <w:bCs w:val="1"/>
                <w:color w:val="auto"/>
              </w:rPr>
              <w:t>Total Virtu</w:t>
            </w: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800" w:type="dxa"/>
            <w:vAlign w:val="bottom"/>
          </w:tcPr>
          <w:p>
            <w:pPr>
              <w:spacing w:after="0"/>
              <w:rPr>
                <w:sz w:val="8"/>
                <w:szCs w:val="8"/>
                <w:color w:val="auto"/>
              </w:rPr>
            </w:pPr>
          </w:p>
        </w:tc>
        <w:tc>
          <w:tcPr>
            <w:tcW w:w="60" w:type="dxa"/>
            <w:vAlign w:val="bottom"/>
          </w:tcPr>
          <w:p>
            <w:pPr>
              <w:spacing w:after="0"/>
              <w:rPr>
                <w:sz w:val="8"/>
                <w:szCs w:val="8"/>
                <w:color w:val="auto"/>
              </w:rPr>
            </w:pPr>
          </w:p>
        </w:tc>
        <w:tc>
          <w:tcPr>
            <w:tcW w:w="1320" w:type="dxa"/>
            <w:vAlign w:val="bottom"/>
            <w:gridSpan w:val="4"/>
            <w:vMerge w:val="continue"/>
          </w:tcPr>
          <w:p>
            <w:pPr>
              <w:spacing w:after="0"/>
              <w:rPr>
                <w:sz w:val="8"/>
                <w:szCs w:val="8"/>
                <w:color w:val="auto"/>
              </w:rPr>
            </w:pPr>
          </w:p>
        </w:tc>
        <w:tc>
          <w:tcPr>
            <w:tcW w:w="1300" w:type="dxa"/>
            <w:vAlign w:val="bottom"/>
            <w:gridSpan w:val="4"/>
            <w:vMerge w:val="continue"/>
          </w:tcPr>
          <w:p>
            <w:pPr>
              <w:spacing w:after="0"/>
              <w:rPr>
                <w:sz w:val="8"/>
                <w:szCs w:val="8"/>
                <w:color w:val="auto"/>
              </w:rPr>
            </w:pPr>
          </w:p>
        </w:tc>
        <w:tc>
          <w:tcPr>
            <w:tcW w:w="1300" w:type="dxa"/>
            <w:vAlign w:val="bottom"/>
            <w:gridSpan w:val="4"/>
            <w:vMerge w:val="continue"/>
          </w:tcPr>
          <w:p>
            <w:pPr>
              <w:spacing w:after="0"/>
              <w:rPr>
                <w:sz w:val="8"/>
                <w:szCs w:val="8"/>
                <w:color w:val="auto"/>
              </w:rPr>
            </w:pPr>
          </w:p>
        </w:tc>
        <w:tc>
          <w:tcPr>
            <w:tcW w:w="122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gridSpan w:val="2"/>
          </w:tcPr>
          <w:p>
            <w:pPr>
              <w:jc w:val="center"/>
              <w:ind w:right="160"/>
              <w:spacing w:after="0" w:line="94" w:lineRule="exact"/>
              <w:rPr>
                <w:sz w:val="20"/>
                <w:szCs w:val="20"/>
                <w:color w:val="auto"/>
              </w:rPr>
            </w:pPr>
            <w:r>
              <w:rPr>
                <w:rFonts w:ascii="Arial" w:cs="Arial" w:eastAsia="Arial" w:hAnsi="Arial"/>
                <w:sz w:val="9"/>
                <w:szCs w:val="9"/>
                <w:b w:val="1"/>
                <w:bCs w:val="1"/>
                <w:color w:val="auto"/>
                <w:w w:val="99"/>
              </w:rPr>
              <w:t>Capital</w:t>
            </w:r>
          </w:p>
        </w:tc>
        <w:tc>
          <w:tcPr>
            <w:tcW w:w="10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1860" w:type="dxa"/>
            <w:vAlign w:val="bottom"/>
            <w:gridSpan w:val="2"/>
            <w:vMerge w:val="restart"/>
          </w:tcPr>
          <w:p>
            <w:pPr>
              <w:ind w:left="20"/>
              <w:spacing w:after="0"/>
              <w:rPr>
                <w:sz w:val="20"/>
                <w:szCs w:val="20"/>
                <w:color w:val="auto"/>
              </w:rPr>
            </w:pPr>
            <w:r>
              <w:rPr>
                <w:rFonts w:ascii="Arial" w:cs="Arial" w:eastAsia="Arial" w:hAnsi="Arial"/>
                <w:sz w:val="9"/>
                <w:szCs w:val="9"/>
                <w:b w:val="1"/>
                <w:bCs w:val="1"/>
                <w:color w:val="auto"/>
              </w:rPr>
              <w:t>(in thousands, except</w:t>
            </w:r>
          </w:p>
        </w:tc>
        <w:tc>
          <w:tcPr>
            <w:tcW w:w="6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gridSpan w:val="2"/>
          </w:tcPr>
          <w:p>
            <w:pPr>
              <w:jc w:val="center"/>
              <w:ind w:right="180"/>
              <w:spacing w:after="0" w:line="64" w:lineRule="exact"/>
              <w:rPr>
                <w:sz w:val="20"/>
                <w:szCs w:val="20"/>
                <w:color w:val="auto"/>
              </w:rPr>
            </w:pPr>
            <w:r>
              <w:rPr>
                <w:rFonts w:ascii="Arial" w:cs="Arial" w:eastAsia="Arial" w:hAnsi="Arial"/>
                <w:sz w:val="7"/>
                <w:szCs w:val="7"/>
                <w:b w:val="1"/>
                <w:bCs w:val="1"/>
                <w:color w:val="auto"/>
              </w:rPr>
              <w:t>Earnings</w:t>
            </w:r>
          </w:p>
        </w:tc>
        <w:tc>
          <w:tcPr>
            <w:tcW w:w="60" w:type="dxa"/>
            <w:vAlign w:val="bottom"/>
          </w:tcPr>
          <w:p>
            <w:pPr>
              <w:spacing w:after="0"/>
              <w:rPr>
                <w:sz w:val="5"/>
                <w:szCs w:val="5"/>
                <w:color w:val="auto"/>
              </w:rPr>
            </w:pPr>
          </w:p>
        </w:tc>
        <w:tc>
          <w:tcPr>
            <w:tcW w:w="660" w:type="dxa"/>
            <w:vAlign w:val="bottom"/>
            <w:gridSpan w:val="2"/>
          </w:tcPr>
          <w:p>
            <w:pPr>
              <w:jc w:val="center"/>
              <w:ind w:right="140"/>
              <w:spacing w:after="0" w:line="64" w:lineRule="exact"/>
              <w:rPr>
                <w:sz w:val="20"/>
                <w:szCs w:val="20"/>
                <w:color w:val="auto"/>
              </w:rPr>
            </w:pPr>
            <w:r>
              <w:rPr>
                <w:rFonts w:ascii="Arial" w:cs="Arial" w:eastAsia="Arial" w:hAnsi="Arial"/>
                <w:sz w:val="7"/>
                <w:szCs w:val="7"/>
                <w:b w:val="1"/>
                <w:bCs w:val="1"/>
                <w:color w:val="auto"/>
              </w:rPr>
              <w:t>Other</w:t>
            </w:r>
          </w:p>
        </w:tc>
        <w:tc>
          <w:tcPr>
            <w:tcW w:w="700" w:type="dxa"/>
            <w:vAlign w:val="bottom"/>
            <w:gridSpan w:val="3"/>
          </w:tcPr>
          <w:p>
            <w:pPr>
              <w:jc w:val="center"/>
              <w:ind w:right="60"/>
              <w:spacing w:after="0" w:line="64" w:lineRule="exact"/>
              <w:rPr>
                <w:sz w:val="20"/>
                <w:szCs w:val="20"/>
                <w:color w:val="auto"/>
              </w:rPr>
            </w:pPr>
            <w:r>
              <w:rPr>
                <w:rFonts w:ascii="Arial" w:cs="Arial" w:eastAsia="Arial" w:hAnsi="Arial"/>
                <w:sz w:val="7"/>
                <w:szCs w:val="7"/>
                <w:b w:val="1"/>
                <w:bCs w:val="1"/>
                <w:color w:val="auto"/>
              </w:rPr>
              <w:t>Financial Inc.</w:t>
            </w:r>
          </w:p>
        </w:tc>
        <w:tc>
          <w:tcPr>
            <w:tcW w:w="720" w:type="dxa"/>
            <w:vAlign w:val="bottom"/>
            <w:gridSpan w:val="3"/>
            <w:vMerge w:val="restart"/>
          </w:tcPr>
          <w:p>
            <w:pPr>
              <w:ind w:left="20"/>
              <w:spacing w:after="0"/>
              <w:rPr>
                <w:sz w:val="20"/>
                <w:szCs w:val="20"/>
                <w:color w:val="auto"/>
              </w:rPr>
            </w:pPr>
            <w:r>
              <w:rPr>
                <w:rFonts w:ascii="Arial" w:cs="Arial" w:eastAsia="Arial" w:hAnsi="Arial"/>
                <w:sz w:val="9"/>
                <w:szCs w:val="9"/>
                <w:b w:val="1"/>
                <w:bCs w:val="1"/>
                <w:color w:val="auto"/>
              </w:rPr>
              <w:t>Noncontrolling</w:t>
            </w: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1860" w:type="dxa"/>
            <w:vAlign w:val="bottom"/>
            <w:gridSpan w:val="2"/>
            <w:vMerge w:val="continue"/>
          </w:tcPr>
          <w:p>
            <w:pPr>
              <w:spacing w:after="0"/>
              <w:rPr>
                <w:sz w:val="8"/>
                <w:szCs w:val="8"/>
                <w:color w:val="auto"/>
              </w:rPr>
            </w:pPr>
          </w:p>
        </w:tc>
        <w:tc>
          <w:tcPr>
            <w:tcW w:w="680" w:type="dxa"/>
            <w:vAlign w:val="bottom"/>
            <w:gridSpan w:val="2"/>
            <w:vMerge w:val="restart"/>
          </w:tcPr>
          <w:p>
            <w:pPr>
              <w:ind w:left="160"/>
              <w:spacing w:after="0"/>
              <w:rPr>
                <w:sz w:val="20"/>
                <w:szCs w:val="20"/>
                <w:color w:val="auto"/>
              </w:rPr>
            </w:pPr>
            <w:r>
              <w:rPr>
                <w:rFonts w:ascii="Arial" w:cs="Arial" w:eastAsia="Arial" w:hAnsi="Arial"/>
                <w:sz w:val="9"/>
                <w:szCs w:val="9"/>
                <w:b w:val="1"/>
                <w:bCs w:val="1"/>
                <w:color w:val="auto"/>
              </w:rPr>
              <w:t>Shares</w:t>
            </w:r>
          </w:p>
        </w:tc>
        <w:tc>
          <w:tcPr>
            <w:tcW w:w="640" w:type="dxa"/>
            <w:vAlign w:val="bottom"/>
            <w:gridSpan w:val="2"/>
            <w:vMerge w:val="restart"/>
          </w:tcPr>
          <w:p>
            <w:pPr>
              <w:ind w:left="100"/>
              <w:spacing w:after="0"/>
              <w:rPr>
                <w:sz w:val="20"/>
                <w:szCs w:val="20"/>
                <w:color w:val="auto"/>
              </w:rPr>
            </w:pPr>
            <w:r>
              <w:rPr>
                <w:rFonts w:ascii="Arial" w:cs="Arial" w:eastAsia="Arial" w:hAnsi="Arial"/>
                <w:sz w:val="9"/>
                <w:szCs w:val="9"/>
                <w:b w:val="1"/>
                <w:bCs w:val="1"/>
                <w:color w:val="auto"/>
              </w:rPr>
              <w:t>Amounts</w:t>
            </w:r>
          </w:p>
        </w:tc>
        <w:tc>
          <w:tcPr>
            <w:tcW w:w="660" w:type="dxa"/>
            <w:vAlign w:val="bottom"/>
            <w:gridSpan w:val="2"/>
            <w:vMerge w:val="restart"/>
          </w:tcPr>
          <w:p>
            <w:pPr>
              <w:ind w:left="160"/>
              <w:spacing w:after="0"/>
              <w:rPr>
                <w:sz w:val="20"/>
                <w:szCs w:val="20"/>
                <w:color w:val="auto"/>
              </w:rPr>
            </w:pPr>
            <w:r>
              <w:rPr>
                <w:rFonts w:ascii="Arial" w:cs="Arial" w:eastAsia="Arial" w:hAnsi="Arial"/>
                <w:sz w:val="9"/>
                <w:szCs w:val="9"/>
                <w:b w:val="1"/>
                <w:bCs w:val="1"/>
                <w:color w:val="auto"/>
              </w:rPr>
              <w:t>Shares</w:t>
            </w:r>
          </w:p>
        </w:tc>
        <w:tc>
          <w:tcPr>
            <w:tcW w:w="640" w:type="dxa"/>
            <w:vAlign w:val="bottom"/>
            <w:gridSpan w:val="2"/>
            <w:vMerge w:val="restart"/>
          </w:tcPr>
          <w:p>
            <w:pPr>
              <w:ind w:left="100"/>
              <w:spacing w:after="0"/>
              <w:rPr>
                <w:sz w:val="20"/>
                <w:szCs w:val="20"/>
                <w:color w:val="auto"/>
              </w:rPr>
            </w:pPr>
            <w:r>
              <w:rPr>
                <w:rFonts w:ascii="Arial" w:cs="Arial" w:eastAsia="Arial" w:hAnsi="Arial"/>
                <w:sz w:val="9"/>
                <w:szCs w:val="9"/>
                <w:b w:val="1"/>
                <w:bCs w:val="1"/>
                <w:color w:val="auto"/>
              </w:rPr>
              <w:t>Amounts</w:t>
            </w:r>
          </w:p>
        </w:tc>
        <w:tc>
          <w:tcPr>
            <w:tcW w:w="660" w:type="dxa"/>
            <w:vAlign w:val="bottom"/>
            <w:gridSpan w:val="2"/>
            <w:vMerge w:val="restart"/>
          </w:tcPr>
          <w:p>
            <w:pPr>
              <w:ind w:left="160"/>
              <w:spacing w:after="0"/>
              <w:rPr>
                <w:sz w:val="20"/>
                <w:szCs w:val="20"/>
                <w:color w:val="auto"/>
              </w:rPr>
            </w:pPr>
            <w:r>
              <w:rPr>
                <w:rFonts w:ascii="Arial" w:cs="Arial" w:eastAsia="Arial" w:hAnsi="Arial"/>
                <w:sz w:val="9"/>
                <w:szCs w:val="9"/>
                <w:b w:val="1"/>
                <w:bCs w:val="1"/>
                <w:color w:val="auto"/>
              </w:rPr>
              <w:t>Shares</w:t>
            </w:r>
          </w:p>
        </w:tc>
        <w:tc>
          <w:tcPr>
            <w:tcW w:w="640" w:type="dxa"/>
            <w:vAlign w:val="bottom"/>
            <w:gridSpan w:val="2"/>
            <w:vMerge w:val="restart"/>
          </w:tcPr>
          <w:p>
            <w:pPr>
              <w:ind w:left="100"/>
              <w:spacing w:after="0"/>
              <w:rPr>
                <w:sz w:val="20"/>
                <w:szCs w:val="20"/>
                <w:color w:val="auto"/>
              </w:rPr>
            </w:pPr>
            <w:r>
              <w:rPr>
                <w:rFonts w:ascii="Arial" w:cs="Arial" w:eastAsia="Arial" w:hAnsi="Arial"/>
                <w:sz w:val="9"/>
                <w:szCs w:val="9"/>
                <w:b w:val="1"/>
                <w:bCs w:val="1"/>
                <w:color w:val="auto"/>
              </w:rPr>
              <w:t>Amounts</w:t>
            </w:r>
          </w:p>
        </w:tc>
        <w:tc>
          <w:tcPr>
            <w:tcW w:w="640" w:type="dxa"/>
            <w:vAlign w:val="bottom"/>
            <w:gridSpan w:val="2"/>
            <w:vMerge w:val="restart"/>
          </w:tcPr>
          <w:p>
            <w:pPr>
              <w:ind w:left="140"/>
              <w:spacing w:after="0"/>
              <w:rPr>
                <w:sz w:val="20"/>
                <w:szCs w:val="20"/>
                <w:color w:val="auto"/>
              </w:rPr>
            </w:pPr>
            <w:r>
              <w:rPr>
                <w:rFonts w:ascii="Arial" w:cs="Arial" w:eastAsia="Arial" w:hAnsi="Arial"/>
                <w:sz w:val="9"/>
                <w:szCs w:val="9"/>
                <w:b w:val="1"/>
                <w:bCs w:val="1"/>
                <w:color w:val="auto"/>
              </w:rPr>
              <w:t>Shares</w:t>
            </w:r>
          </w:p>
        </w:tc>
        <w:tc>
          <w:tcPr>
            <w:tcW w:w="580" w:type="dxa"/>
            <w:vAlign w:val="bottom"/>
            <w:gridSpan w:val="2"/>
            <w:vMerge w:val="restart"/>
          </w:tcPr>
          <w:p>
            <w:pPr>
              <w:ind w:left="80"/>
              <w:spacing w:after="0"/>
              <w:rPr>
                <w:sz w:val="20"/>
                <w:szCs w:val="20"/>
                <w:color w:val="auto"/>
              </w:rPr>
            </w:pPr>
            <w:r>
              <w:rPr>
                <w:rFonts w:ascii="Arial" w:cs="Arial" w:eastAsia="Arial" w:hAnsi="Arial"/>
                <w:sz w:val="9"/>
                <w:szCs w:val="9"/>
                <w:b w:val="1"/>
                <w:bCs w:val="1"/>
                <w:color w:val="auto"/>
              </w:rPr>
              <w:t>Amounts</w:t>
            </w:r>
          </w:p>
        </w:tc>
        <w:tc>
          <w:tcPr>
            <w:tcW w:w="80" w:type="dxa"/>
            <w:vAlign w:val="bottom"/>
          </w:tcPr>
          <w:p>
            <w:pPr>
              <w:spacing w:after="0"/>
              <w:rPr>
                <w:sz w:val="8"/>
                <w:szCs w:val="8"/>
                <w:color w:val="auto"/>
              </w:rPr>
            </w:pPr>
          </w:p>
        </w:tc>
        <w:tc>
          <w:tcPr>
            <w:tcW w:w="520" w:type="dxa"/>
            <w:vAlign w:val="bottom"/>
            <w:vMerge w:val="restart"/>
          </w:tcPr>
          <w:p>
            <w:pPr>
              <w:jc w:val="center"/>
              <w:ind w:right="33"/>
              <w:spacing w:after="0"/>
              <w:rPr>
                <w:sz w:val="20"/>
                <w:szCs w:val="20"/>
                <w:color w:val="auto"/>
              </w:rPr>
            </w:pPr>
            <w:r>
              <w:rPr>
                <w:rFonts w:ascii="Arial" w:cs="Arial" w:eastAsia="Arial" w:hAnsi="Arial"/>
                <w:sz w:val="9"/>
                <w:szCs w:val="9"/>
                <w:b w:val="1"/>
                <w:bCs w:val="1"/>
                <w:color w:val="auto"/>
                <w:w w:val="92"/>
              </w:rPr>
              <w:t>Amounts</w:t>
            </w:r>
          </w:p>
        </w:tc>
        <w:tc>
          <w:tcPr>
            <w:tcW w:w="60" w:type="dxa"/>
            <w:vAlign w:val="bottom"/>
            <w:vMerge w:val="restart"/>
          </w:tcPr>
          <w:p>
            <w:pPr>
              <w:spacing w:after="0"/>
              <w:rPr>
                <w:sz w:val="8"/>
                <w:szCs w:val="8"/>
                <w:color w:val="auto"/>
              </w:rPr>
            </w:pPr>
          </w:p>
        </w:tc>
        <w:tc>
          <w:tcPr>
            <w:tcW w:w="700" w:type="dxa"/>
            <w:vAlign w:val="bottom"/>
            <w:gridSpan w:val="3"/>
          </w:tcPr>
          <w:p>
            <w:pPr>
              <w:ind w:left="20"/>
              <w:spacing w:after="0" w:line="95" w:lineRule="exact"/>
              <w:rPr>
                <w:sz w:val="20"/>
                <w:szCs w:val="20"/>
                <w:color w:val="auto"/>
              </w:rPr>
            </w:pPr>
            <w:r>
              <w:rPr>
                <w:rFonts w:ascii="Arial" w:cs="Arial" w:eastAsia="Arial" w:hAnsi="Arial"/>
                <w:sz w:val="9"/>
                <w:szCs w:val="9"/>
                <w:b w:val="1"/>
                <w:bCs w:val="1"/>
                <w:color w:val="auto"/>
              </w:rPr>
              <w:t>(Accumulated</w:t>
            </w:r>
          </w:p>
        </w:tc>
        <w:tc>
          <w:tcPr>
            <w:tcW w:w="720" w:type="dxa"/>
            <w:vAlign w:val="bottom"/>
            <w:gridSpan w:val="3"/>
          </w:tcPr>
          <w:p>
            <w:pPr>
              <w:spacing w:after="0" w:line="95" w:lineRule="exact"/>
              <w:rPr>
                <w:sz w:val="20"/>
                <w:szCs w:val="20"/>
                <w:color w:val="auto"/>
              </w:rPr>
            </w:pPr>
            <w:r>
              <w:rPr>
                <w:rFonts w:ascii="Arial" w:cs="Arial" w:eastAsia="Arial" w:hAnsi="Arial"/>
                <w:sz w:val="9"/>
                <w:szCs w:val="9"/>
                <w:b w:val="1"/>
                <w:bCs w:val="1"/>
                <w:color w:val="auto"/>
              </w:rPr>
              <w:t>Comprehensive</w:t>
            </w:r>
          </w:p>
        </w:tc>
        <w:tc>
          <w:tcPr>
            <w:tcW w:w="700" w:type="dxa"/>
            <w:vAlign w:val="bottom"/>
            <w:gridSpan w:val="3"/>
          </w:tcPr>
          <w:p>
            <w:pPr>
              <w:jc w:val="center"/>
              <w:ind w:right="80"/>
              <w:spacing w:after="0" w:line="95" w:lineRule="exact"/>
              <w:rPr>
                <w:sz w:val="20"/>
                <w:szCs w:val="20"/>
                <w:color w:val="auto"/>
              </w:rPr>
            </w:pPr>
            <w:r>
              <w:rPr>
                <w:rFonts w:ascii="Arial" w:cs="Arial" w:eastAsia="Arial" w:hAnsi="Arial"/>
                <w:sz w:val="9"/>
                <w:szCs w:val="9"/>
                <w:b w:val="1"/>
                <w:bCs w:val="1"/>
                <w:color w:val="auto"/>
                <w:w w:val="91"/>
              </w:rPr>
              <w:t>Stockholders'</w:t>
            </w:r>
          </w:p>
        </w:tc>
        <w:tc>
          <w:tcPr>
            <w:tcW w:w="720" w:type="dxa"/>
            <w:vAlign w:val="bottom"/>
            <w:gridSpan w:val="3"/>
            <w:vMerge w:val="continue"/>
          </w:tcPr>
          <w:p>
            <w:pPr>
              <w:spacing w:after="0"/>
              <w:rPr>
                <w:sz w:val="8"/>
                <w:szCs w:val="8"/>
                <w:color w:val="auto"/>
              </w:rPr>
            </w:pPr>
          </w:p>
        </w:tc>
        <w:tc>
          <w:tcPr>
            <w:tcW w:w="600" w:type="dxa"/>
            <w:vAlign w:val="bottom"/>
            <w:gridSpan w:val="2"/>
            <w:vMerge w:val="restart"/>
          </w:tcPr>
          <w:p>
            <w:pPr>
              <w:jc w:val="right"/>
              <w:ind w:right="13"/>
              <w:spacing w:after="0"/>
              <w:rPr>
                <w:sz w:val="20"/>
                <w:szCs w:val="20"/>
                <w:color w:val="auto"/>
              </w:rPr>
            </w:pPr>
            <w:r>
              <w:rPr>
                <w:rFonts w:ascii="Arial" w:cs="Arial" w:eastAsia="Arial" w:hAnsi="Arial"/>
                <w:sz w:val="9"/>
                <w:szCs w:val="9"/>
                <w:b w:val="1"/>
                <w:bCs w:val="1"/>
                <w:color w:val="auto"/>
              </w:rPr>
              <w:t>Total Equity</w:t>
            </w:r>
          </w:p>
        </w:tc>
        <w:tc>
          <w:tcPr>
            <w:tcW w:w="0" w:type="dxa"/>
            <w:vAlign w:val="bottom"/>
          </w:tcPr>
          <w:p>
            <w:pPr>
              <w:spacing w:after="0"/>
              <w:rPr>
                <w:sz w:val="1"/>
                <w:szCs w:val="1"/>
                <w:color w:val="auto"/>
              </w:rPr>
            </w:pPr>
          </w:p>
        </w:tc>
      </w:tr>
      <w:tr>
        <w:trPr>
          <w:trHeight w:val="134"/>
        </w:trPr>
        <w:tc>
          <w:tcPr>
            <w:tcW w:w="1860" w:type="dxa"/>
            <w:vAlign w:val="bottom"/>
            <w:tcBorders>
              <w:bottom w:val="single" w:sz="8" w:color="CCEEFF"/>
            </w:tcBorders>
            <w:gridSpan w:val="2"/>
          </w:tcPr>
          <w:p>
            <w:pPr>
              <w:ind w:left="20"/>
              <w:spacing w:after="0"/>
              <w:rPr>
                <w:sz w:val="20"/>
                <w:szCs w:val="20"/>
                <w:color w:val="auto"/>
              </w:rPr>
            </w:pPr>
            <w:r>
              <w:rPr>
                <w:rFonts w:ascii="Arial" w:cs="Arial" w:eastAsia="Arial" w:hAnsi="Arial"/>
                <w:sz w:val="9"/>
                <w:szCs w:val="9"/>
                <w:b w:val="1"/>
                <w:bCs w:val="1"/>
                <w:color w:val="auto"/>
              </w:rPr>
              <w:t>share and interest data)</w:t>
            </w:r>
          </w:p>
        </w:tc>
        <w:tc>
          <w:tcPr>
            <w:tcW w:w="680" w:type="dxa"/>
            <w:vAlign w:val="bottom"/>
            <w:tcBorders>
              <w:bottom w:val="single" w:sz="8" w:color="CCEEFF"/>
            </w:tcBorders>
            <w:gridSpan w:val="2"/>
            <w:vMerge w:val="continue"/>
          </w:tcPr>
          <w:p>
            <w:pPr>
              <w:spacing w:after="0"/>
              <w:rPr>
                <w:sz w:val="11"/>
                <w:szCs w:val="11"/>
                <w:color w:val="auto"/>
              </w:rPr>
            </w:pPr>
          </w:p>
        </w:tc>
        <w:tc>
          <w:tcPr>
            <w:tcW w:w="640" w:type="dxa"/>
            <w:vAlign w:val="bottom"/>
            <w:tcBorders>
              <w:bottom w:val="single" w:sz="8" w:color="CCEEFF"/>
            </w:tcBorders>
            <w:gridSpan w:val="2"/>
            <w:vMerge w:val="continue"/>
          </w:tcPr>
          <w:p>
            <w:pPr>
              <w:spacing w:after="0"/>
              <w:rPr>
                <w:sz w:val="11"/>
                <w:szCs w:val="11"/>
                <w:color w:val="auto"/>
              </w:rPr>
            </w:pPr>
          </w:p>
        </w:tc>
        <w:tc>
          <w:tcPr>
            <w:tcW w:w="660" w:type="dxa"/>
            <w:vAlign w:val="bottom"/>
            <w:tcBorders>
              <w:bottom w:val="single" w:sz="8" w:color="CCEEFF"/>
            </w:tcBorders>
            <w:gridSpan w:val="2"/>
            <w:vMerge w:val="continue"/>
          </w:tcPr>
          <w:p>
            <w:pPr>
              <w:spacing w:after="0"/>
              <w:rPr>
                <w:sz w:val="11"/>
                <w:szCs w:val="11"/>
                <w:color w:val="auto"/>
              </w:rPr>
            </w:pPr>
          </w:p>
        </w:tc>
        <w:tc>
          <w:tcPr>
            <w:tcW w:w="640" w:type="dxa"/>
            <w:vAlign w:val="bottom"/>
            <w:tcBorders>
              <w:bottom w:val="single" w:sz="8" w:color="CCEEFF"/>
            </w:tcBorders>
            <w:gridSpan w:val="2"/>
            <w:vMerge w:val="continue"/>
          </w:tcPr>
          <w:p>
            <w:pPr>
              <w:spacing w:after="0"/>
              <w:rPr>
                <w:sz w:val="11"/>
                <w:szCs w:val="11"/>
                <w:color w:val="auto"/>
              </w:rPr>
            </w:pPr>
          </w:p>
        </w:tc>
        <w:tc>
          <w:tcPr>
            <w:tcW w:w="660" w:type="dxa"/>
            <w:vAlign w:val="bottom"/>
            <w:tcBorders>
              <w:bottom w:val="single" w:sz="8" w:color="CCEEFF"/>
            </w:tcBorders>
            <w:gridSpan w:val="2"/>
            <w:vMerge w:val="continue"/>
          </w:tcPr>
          <w:p>
            <w:pPr>
              <w:spacing w:after="0"/>
              <w:rPr>
                <w:sz w:val="11"/>
                <w:szCs w:val="11"/>
                <w:color w:val="auto"/>
              </w:rPr>
            </w:pPr>
          </w:p>
        </w:tc>
        <w:tc>
          <w:tcPr>
            <w:tcW w:w="640" w:type="dxa"/>
            <w:vAlign w:val="bottom"/>
            <w:tcBorders>
              <w:bottom w:val="single" w:sz="8" w:color="CCEEFF"/>
            </w:tcBorders>
            <w:gridSpan w:val="2"/>
            <w:vMerge w:val="continue"/>
          </w:tcPr>
          <w:p>
            <w:pPr>
              <w:spacing w:after="0"/>
              <w:rPr>
                <w:sz w:val="11"/>
                <w:szCs w:val="11"/>
                <w:color w:val="auto"/>
              </w:rPr>
            </w:pPr>
          </w:p>
        </w:tc>
        <w:tc>
          <w:tcPr>
            <w:tcW w:w="640" w:type="dxa"/>
            <w:vAlign w:val="bottom"/>
            <w:tcBorders>
              <w:bottom w:val="single" w:sz="8" w:color="CCEEFF"/>
            </w:tcBorders>
            <w:gridSpan w:val="2"/>
            <w:vMerge w:val="continue"/>
          </w:tcPr>
          <w:p>
            <w:pPr>
              <w:spacing w:after="0"/>
              <w:rPr>
                <w:sz w:val="11"/>
                <w:szCs w:val="11"/>
                <w:color w:val="auto"/>
              </w:rPr>
            </w:pPr>
          </w:p>
        </w:tc>
        <w:tc>
          <w:tcPr>
            <w:tcW w:w="580" w:type="dxa"/>
            <w:vAlign w:val="bottom"/>
            <w:tcBorders>
              <w:bottom w:val="single" w:sz="8" w:color="CCEEFF"/>
            </w:tcBorders>
            <w:gridSpan w:val="2"/>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vMerge w:val="continue"/>
          </w:tcPr>
          <w:p>
            <w:pPr>
              <w:spacing w:after="0"/>
              <w:rPr>
                <w:sz w:val="11"/>
                <w:szCs w:val="11"/>
                <w:color w:val="auto"/>
              </w:rPr>
            </w:pPr>
          </w:p>
        </w:tc>
        <w:tc>
          <w:tcPr>
            <w:tcW w:w="60" w:type="dxa"/>
            <w:vAlign w:val="bottom"/>
            <w:tcBorders>
              <w:bottom w:val="single" w:sz="8" w:color="CCEEFF"/>
            </w:tcBorders>
            <w:vMerge w:val="continue"/>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600" w:type="dxa"/>
            <w:vAlign w:val="bottom"/>
            <w:tcBorders>
              <w:bottom w:val="single" w:sz="8" w:color="CCEEFF"/>
            </w:tcBorders>
            <w:gridSpan w:val="2"/>
          </w:tcPr>
          <w:p>
            <w:pPr>
              <w:jc w:val="center"/>
              <w:ind w:right="180"/>
              <w:spacing w:after="0"/>
              <w:rPr>
                <w:sz w:val="20"/>
                <w:szCs w:val="20"/>
                <w:color w:val="auto"/>
              </w:rPr>
            </w:pPr>
            <w:r>
              <w:rPr>
                <w:rFonts w:ascii="Arial" w:cs="Arial" w:eastAsia="Arial" w:hAnsi="Arial"/>
                <w:sz w:val="9"/>
                <w:szCs w:val="9"/>
                <w:b w:val="1"/>
                <w:bCs w:val="1"/>
                <w:color w:val="auto"/>
                <w:w w:val="98"/>
              </w:rPr>
              <w:t>Deficit)</w:t>
            </w:r>
          </w:p>
        </w:tc>
        <w:tc>
          <w:tcPr>
            <w:tcW w:w="720" w:type="dxa"/>
            <w:vAlign w:val="bottom"/>
            <w:tcBorders>
              <w:bottom w:val="single" w:sz="8" w:color="CCEEFF"/>
            </w:tcBorders>
            <w:gridSpan w:val="3"/>
          </w:tcPr>
          <w:p>
            <w:pPr>
              <w:jc w:val="center"/>
              <w:ind w:right="80"/>
              <w:spacing w:after="0"/>
              <w:rPr>
                <w:sz w:val="20"/>
                <w:szCs w:val="20"/>
                <w:color w:val="auto"/>
              </w:rPr>
            </w:pPr>
            <w:r>
              <w:rPr>
                <w:rFonts w:ascii="Arial" w:cs="Arial" w:eastAsia="Arial" w:hAnsi="Arial"/>
                <w:sz w:val="9"/>
                <w:szCs w:val="9"/>
                <w:b w:val="1"/>
                <w:bCs w:val="1"/>
                <w:color w:val="auto"/>
                <w:w w:val="91"/>
              </w:rPr>
              <w:t>Income (Loss)</w:t>
            </w:r>
          </w:p>
        </w:tc>
        <w:tc>
          <w:tcPr>
            <w:tcW w:w="80" w:type="dxa"/>
            <w:vAlign w:val="bottom"/>
            <w:tcBorders>
              <w:bottom w:val="single" w:sz="8" w:color="CCEEFF"/>
            </w:tcBorders>
          </w:tcPr>
          <w:p>
            <w:pPr>
              <w:spacing w:after="0"/>
              <w:rPr>
                <w:sz w:val="11"/>
                <w:szCs w:val="11"/>
                <w:color w:val="auto"/>
              </w:rPr>
            </w:pPr>
          </w:p>
        </w:tc>
        <w:tc>
          <w:tcPr>
            <w:tcW w:w="620" w:type="dxa"/>
            <w:vAlign w:val="bottom"/>
            <w:tcBorders>
              <w:bottom w:val="single" w:sz="8" w:color="CCEEFF"/>
            </w:tcBorders>
            <w:gridSpan w:val="2"/>
          </w:tcPr>
          <w:p>
            <w:pPr>
              <w:jc w:val="center"/>
              <w:ind w:right="160"/>
              <w:spacing w:after="0"/>
              <w:rPr>
                <w:sz w:val="20"/>
                <w:szCs w:val="20"/>
                <w:color w:val="auto"/>
              </w:rPr>
            </w:pPr>
            <w:r>
              <w:rPr>
                <w:rFonts w:ascii="Arial" w:cs="Arial" w:eastAsia="Arial" w:hAnsi="Arial"/>
                <w:sz w:val="9"/>
                <w:szCs w:val="9"/>
                <w:b w:val="1"/>
                <w:bCs w:val="1"/>
                <w:color w:val="auto"/>
                <w:w w:val="94"/>
              </w:rPr>
              <w:t>Equity</w:t>
            </w:r>
          </w:p>
        </w:tc>
        <w:tc>
          <w:tcPr>
            <w:tcW w:w="100" w:type="dxa"/>
            <w:vAlign w:val="bottom"/>
            <w:tcBorders>
              <w:bottom w:val="single" w:sz="8" w:color="CCEEFF"/>
            </w:tcBorders>
          </w:tcPr>
          <w:p>
            <w:pPr>
              <w:spacing w:after="0"/>
              <w:rPr>
                <w:sz w:val="11"/>
                <w:szCs w:val="11"/>
                <w:color w:val="auto"/>
              </w:rPr>
            </w:pPr>
          </w:p>
        </w:tc>
        <w:tc>
          <w:tcPr>
            <w:tcW w:w="620" w:type="dxa"/>
            <w:vAlign w:val="bottom"/>
            <w:tcBorders>
              <w:bottom w:val="single" w:sz="8" w:color="CCEEFF"/>
            </w:tcBorders>
            <w:gridSpan w:val="2"/>
          </w:tcPr>
          <w:p>
            <w:pPr>
              <w:ind w:left="60"/>
              <w:spacing w:after="0"/>
              <w:rPr>
                <w:sz w:val="20"/>
                <w:szCs w:val="20"/>
                <w:color w:val="auto"/>
              </w:rPr>
            </w:pPr>
            <w:r>
              <w:rPr>
                <w:rFonts w:ascii="Arial" w:cs="Arial" w:eastAsia="Arial" w:hAnsi="Arial"/>
                <w:sz w:val="9"/>
                <w:szCs w:val="9"/>
                <w:b w:val="1"/>
                <w:bCs w:val="1"/>
                <w:color w:val="auto"/>
              </w:rPr>
              <w:t>Interest</w:t>
            </w:r>
          </w:p>
        </w:tc>
        <w:tc>
          <w:tcPr>
            <w:tcW w:w="600" w:type="dxa"/>
            <w:vAlign w:val="bottom"/>
            <w:tcBorders>
              <w:bottom w:val="single" w:sz="8" w:color="CCEEFF"/>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860" w:type="dxa"/>
            <w:vAlign w:val="bottom"/>
            <w:gridSpan w:val="2"/>
            <w:shd w:val="clear" w:color="auto" w:fill="CCEEFF"/>
          </w:tcPr>
          <w:p>
            <w:pPr>
              <w:ind w:left="120"/>
              <w:spacing w:after="0"/>
              <w:rPr>
                <w:sz w:val="20"/>
                <w:szCs w:val="20"/>
                <w:color w:val="auto"/>
              </w:rPr>
            </w:pPr>
            <w:r>
              <w:rPr>
                <w:rFonts w:ascii="Arial" w:cs="Arial" w:eastAsia="Arial" w:hAnsi="Arial"/>
                <w:sz w:val="9"/>
                <w:szCs w:val="9"/>
                <w:color w:val="auto"/>
              </w:rPr>
              <w:t>Foreign exchange translation adjustment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40" w:type="dxa"/>
            <w:vAlign w:val="bottom"/>
            <w:gridSpan w:val="2"/>
            <w:shd w:val="clear" w:color="auto" w:fill="CCEEFF"/>
          </w:tcPr>
          <w:p>
            <w:pPr>
              <w:ind w:left="420"/>
              <w:spacing w:after="0"/>
              <w:rPr>
                <w:sz w:val="20"/>
                <w:szCs w:val="20"/>
                <w:color w:val="auto"/>
              </w:rPr>
            </w:pPr>
            <w:r>
              <w:rPr>
                <w:rFonts w:ascii="Arial" w:cs="Arial" w:eastAsia="Arial" w:hAnsi="Arial"/>
                <w:sz w:val="9"/>
                <w:szCs w:val="9"/>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40" w:type="dxa"/>
            <w:vAlign w:val="bottom"/>
            <w:gridSpan w:val="2"/>
            <w:shd w:val="clear" w:color="auto" w:fill="CCEEFF"/>
          </w:tcPr>
          <w:p>
            <w:pPr>
              <w:ind w:left="420"/>
              <w:spacing w:after="0"/>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ind w:left="36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9"/>
                <w:szCs w:val="9"/>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9"/>
                <w:szCs w:val="9"/>
                <w:color w:val="auto"/>
                <w:w w:val="78"/>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(7,673)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(7,673)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(4,797)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(12,470)</w:t>
            </w:r>
          </w:p>
        </w:tc>
        <w:tc>
          <w:tcPr>
            <w:tcW w:w="0" w:type="dxa"/>
            <w:vAlign w:val="bottom"/>
          </w:tcPr>
          <w:p>
            <w:pPr>
              <w:spacing w:after="0"/>
              <w:rPr>
                <w:sz w:val="1"/>
                <w:szCs w:val="1"/>
                <w:color w:val="auto"/>
              </w:rPr>
            </w:pPr>
          </w:p>
        </w:tc>
      </w:tr>
      <w:tr>
        <w:trPr>
          <w:trHeight w:val="132"/>
        </w:trPr>
        <w:tc>
          <w:tcPr>
            <w:tcW w:w="1860" w:type="dxa"/>
            <w:vAlign w:val="bottom"/>
            <w:gridSpan w:val="2"/>
          </w:tcPr>
          <w:p>
            <w:pPr>
              <w:ind w:left="120"/>
              <w:spacing w:after="0"/>
              <w:rPr>
                <w:sz w:val="20"/>
                <w:szCs w:val="20"/>
                <w:color w:val="auto"/>
              </w:rPr>
            </w:pPr>
            <w:r>
              <w:rPr>
                <w:rFonts w:ascii="Arial" w:cs="Arial" w:eastAsia="Arial" w:hAnsi="Arial"/>
                <w:sz w:val="9"/>
                <w:szCs w:val="9"/>
                <w:color w:val="auto"/>
              </w:rPr>
              <w:t>Warrants exercised</w:t>
            </w:r>
          </w:p>
        </w:tc>
        <w:tc>
          <w:tcPr>
            <w:tcW w:w="600" w:type="dxa"/>
            <w:vAlign w:val="bottom"/>
          </w:tcPr>
          <w:p>
            <w:pPr>
              <w:jc w:val="right"/>
              <w:ind w:right="13"/>
              <w:spacing w:after="0"/>
              <w:rPr>
                <w:sz w:val="20"/>
                <w:szCs w:val="20"/>
                <w:color w:val="auto"/>
              </w:rPr>
            </w:pPr>
            <w:r>
              <w:rPr>
                <w:rFonts w:ascii="Arial" w:cs="Arial" w:eastAsia="Arial" w:hAnsi="Arial"/>
                <w:sz w:val="9"/>
                <w:szCs w:val="9"/>
                <w:color w:val="auto"/>
              </w:rPr>
              <w:t>3,000,000</w:t>
            </w:r>
          </w:p>
        </w:tc>
        <w:tc>
          <w:tcPr>
            <w:tcW w:w="80" w:type="dxa"/>
            <w:vAlign w:val="bottom"/>
          </w:tcPr>
          <w:p>
            <w:pPr>
              <w:spacing w:after="0"/>
              <w:rPr>
                <w:sz w:val="11"/>
                <w:szCs w:val="11"/>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40" w:type="dxa"/>
            <w:vAlign w:val="bottom"/>
            <w:gridSpan w:val="2"/>
          </w:tcPr>
          <w:p>
            <w:pPr>
              <w:ind w:left="420"/>
              <w:spacing w:after="0"/>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640" w:type="dxa"/>
            <w:vAlign w:val="bottom"/>
            <w:gridSpan w:val="2"/>
          </w:tcPr>
          <w:p>
            <w:pPr>
              <w:ind w:left="420"/>
              <w:spacing w:after="0"/>
              <w:rPr>
                <w:sz w:val="20"/>
                <w:szCs w:val="20"/>
                <w:color w:val="auto"/>
              </w:rPr>
            </w:pPr>
            <w:r>
              <w:rPr>
                <w:rFonts w:ascii="Arial" w:cs="Arial" w:eastAsia="Arial" w:hAnsi="Arial"/>
                <w:sz w:val="9"/>
                <w:szCs w:val="9"/>
                <w:color w:val="auto"/>
              </w:rPr>
              <w:t>—</w:t>
            </w:r>
          </w:p>
        </w:tc>
        <w:tc>
          <w:tcPr>
            <w:tcW w:w="580" w:type="dxa"/>
            <w:vAlign w:val="bottom"/>
            <w:gridSpan w:val="2"/>
          </w:tcPr>
          <w:p>
            <w:pPr>
              <w:ind w:left="360"/>
              <w:spacing w:after="0"/>
              <w:rPr>
                <w:sz w:val="20"/>
                <w:szCs w:val="20"/>
                <w:color w:val="auto"/>
              </w:rPr>
            </w:pPr>
            <w:r>
              <w:rPr>
                <w:rFonts w:ascii="Arial" w:cs="Arial" w:eastAsia="Arial" w:hAnsi="Arial"/>
                <w:sz w:val="9"/>
                <w:szCs w:val="9"/>
                <w:color w:val="auto"/>
              </w:rPr>
              <w:t>—</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ind w:left="20"/>
              <w:spacing w:after="0"/>
              <w:rPr>
                <w:sz w:val="20"/>
                <w:szCs w:val="20"/>
                <w:color w:val="auto"/>
              </w:rPr>
            </w:pPr>
            <w:r>
              <w:rPr>
                <w:rFonts w:ascii="Arial" w:cs="Arial" w:eastAsia="Arial" w:hAnsi="Arial"/>
                <w:sz w:val="9"/>
                <w:szCs w:val="9"/>
                <w:color w:val="auto"/>
              </w:rPr>
              <w:t>$</w:t>
            </w:r>
          </w:p>
        </w:tc>
        <w:tc>
          <w:tcPr>
            <w:tcW w:w="520" w:type="dxa"/>
            <w:vAlign w:val="bottom"/>
          </w:tcPr>
          <w:p>
            <w:pPr>
              <w:jc w:val="right"/>
              <w:spacing w:after="0"/>
              <w:rPr>
                <w:sz w:val="20"/>
                <w:szCs w:val="20"/>
                <w:color w:val="auto"/>
              </w:rPr>
            </w:pPr>
            <w:r>
              <w:rPr>
                <w:rFonts w:ascii="Arial" w:cs="Arial" w:eastAsia="Arial" w:hAnsi="Arial"/>
                <w:sz w:val="9"/>
                <w:szCs w:val="9"/>
                <w:color w:val="auto"/>
              </w:rPr>
              <w:t>68,940</w:t>
            </w:r>
          </w:p>
        </w:tc>
        <w:tc>
          <w:tcPr>
            <w:tcW w:w="80" w:type="dxa"/>
            <w:vAlign w:val="bottom"/>
          </w:tcPr>
          <w:p>
            <w:pPr>
              <w:spacing w:after="0"/>
              <w:rPr>
                <w:sz w:val="11"/>
                <w:szCs w:val="11"/>
                <w:color w:val="auto"/>
              </w:rPr>
            </w:pPr>
          </w:p>
        </w:tc>
        <w:tc>
          <w:tcPr>
            <w:tcW w:w="60" w:type="dxa"/>
            <w:vAlign w:val="bottom"/>
          </w:tcPr>
          <w:p>
            <w:pPr>
              <w:spacing w:after="0"/>
              <w:rPr>
                <w:sz w:val="20"/>
                <w:szCs w:val="20"/>
                <w:color w:val="auto"/>
              </w:rPr>
            </w:pPr>
            <w:r>
              <w:rPr>
                <w:rFonts w:ascii="Arial" w:cs="Arial" w:eastAsia="Arial" w:hAnsi="Arial"/>
                <w:sz w:val="9"/>
                <w:szCs w:val="9"/>
                <w:color w:val="auto"/>
                <w:w w:val="78"/>
              </w:rPr>
              <w:t>$</w:t>
            </w:r>
          </w:p>
        </w:tc>
        <w:tc>
          <w:tcPr>
            <w:tcW w:w="6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tcPr>
          <w:p>
            <w:pPr>
              <w:jc w:val="right"/>
              <w:spacing w:after="0"/>
              <w:rPr>
                <w:sz w:val="20"/>
                <w:szCs w:val="20"/>
                <w:color w:val="auto"/>
              </w:rPr>
            </w:pPr>
            <w:r>
              <w:rPr>
                <w:rFonts w:ascii="Arial" w:cs="Arial" w:eastAsia="Arial" w:hAnsi="Arial"/>
                <w:sz w:val="9"/>
                <w:szCs w:val="9"/>
                <w:color w:val="auto"/>
              </w:rPr>
              <w:t>68,940</w:t>
            </w:r>
          </w:p>
        </w:tc>
        <w:tc>
          <w:tcPr>
            <w:tcW w:w="80" w:type="dxa"/>
            <w:vAlign w:val="bottom"/>
          </w:tcPr>
          <w:p>
            <w:pPr>
              <w:spacing w:after="0"/>
              <w:rPr>
                <w:sz w:val="11"/>
                <w:szCs w:val="11"/>
                <w:color w:val="auto"/>
              </w:rPr>
            </w:pPr>
          </w:p>
        </w:tc>
        <w:tc>
          <w:tcPr>
            <w:tcW w:w="100" w:type="dxa"/>
            <w:vAlign w:val="bottom"/>
          </w:tcPr>
          <w:p>
            <w:pPr>
              <w:spacing w:after="0"/>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tcPr>
          <w:p>
            <w:pPr>
              <w:jc w:val="right"/>
              <w:ind w:right="13"/>
              <w:spacing w:after="0"/>
              <w:rPr>
                <w:sz w:val="20"/>
                <w:szCs w:val="20"/>
                <w:color w:val="auto"/>
              </w:rPr>
            </w:pPr>
            <w:r>
              <w:rPr>
                <w:rFonts w:ascii="Arial" w:cs="Arial" w:eastAsia="Arial" w:hAnsi="Arial"/>
                <w:sz w:val="9"/>
                <w:szCs w:val="9"/>
                <w:color w:val="auto"/>
              </w:rPr>
              <w:t>68,940</w:t>
            </w:r>
          </w:p>
        </w:tc>
        <w:tc>
          <w:tcPr>
            <w:tcW w:w="0" w:type="dxa"/>
            <w:vAlign w:val="bottom"/>
          </w:tcPr>
          <w:p>
            <w:pPr>
              <w:spacing w:after="0"/>
              <w:rPr>
                <w:sz w:val="1"/>
                <w:szCs w:val="1"/>
                <w:color w:val="auto"/>
              </w:rPr>
            </w:pPr>
          </w:p>
        </w:tc>
      </w:tr>
      <w:tr>
        <w:trPr>
          <w:trHeight w:val="107"/>
        </w:trPr>
        <w:tc>
          <w:tcPr>
            <w:tcW w:w="1860" w:type="dxa"/>
            <w:vAlign w:val="bottom"/>
            <w:gridSpan w:val="2"/>
            <w:shd w:val="clear" w:color="auto" w:fill="CCEEFF"/>
          </w:tcPr>
          <w:p>
            <w:pPr>
              <w:ind w:left="120"/>
              <w:spacing w:after="0"/>
              <w:rPr>
                <w:sz w:val="20"/>
                <w:szCs w:val="20"/>
                <w:color w:val="auto"/>
              </w:rPr>
            </w:pPr>
            <w:r>
              <w:rPr>
                <w:rFonts w:ascii="Arial" w:cs="Arial" w:eastAsia="Arial" w:hAnsi="Arial"/>
                <w:sz w:val="9"/>
                <w:szCs w:val="9"/>
                <w:color w:val="auto"/>
              </w:rPr>
              <w:t>Net change in unrealized cash flow hedges</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40" w:type="dxa"/>
            <w:vAlign w:val="bottom"/>
            <w:gridSpan w:val="2"/>
            <w:vMerge w:val="restart"/>
            <w:shd w:val="clear" w:color="auto" w:fill="CCEEFF"/>
          </w:tcPr>
          <w:p>
            <w:pPr>
              <w:ind w:left="420"/>
              <w:spacing w:after="0"/>
              <w:rPr>
                <w:sz w:val="20"/>
                <w:szCs w:val="20"/>
                <w:color w:val="auto"/>
              </w:rPr>
            </w:pPr>
            <w:r>
              <w:rPr>
                <w:rFonts w:ascii="Arial" w:cs="Arial" w:eastAsia="Arial" w:hAnsi="Arial"/>
                <w:sz w:val="9"/>
                <w:szCs w:val="9"/>
                <w:color w:val="auto"/>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40" w:type="dxa"/>
            <w:vAlign w:val="bottom"/>
            <w:gridSpan w:val="2"/>
            <w:vMerge w:val="restart"/>
            <w:shd w:val="clear" w:color="auto" w:fill="CCEEFF"/>
          </w:tcPr>
          <w:p>
            <w:pPr>
              <w:ind w:left="420"/>
              <w:spacing w:after="0"/>
              <w:rPr>
                <w:sz w:val="20"/>
                <w:szCs w:val="20"/>
                <w:color w:val="auto"/>
              </w:rPr>
            </w:pPr>
            <w:r>
              <w:rPr>
                <w:rFonts w:ascii="Arial" w:cs="Arial" w:eastAsia="Arial" w:hAnsi="Arial"/>
                <w:sz w:val="9"/>
                <w:szCs w:val="9"/>
                <w:color w:val="auto"/>
              </w:rPr>
              <w:t>—</w:t>
            </w:r>
          </w:p>
        </w:tc>
        <w:tc>
          <w:tcPr>
            <w:tcW w:w="580" w:type="dxa"/>
            <w:vAlign w:val="bottom"/>
            <w:gridSpan w:val="2"/>
            <w:vMerge w:val="restart"/>
            <w:shd w:val="clear" w:color="auto" w:fill="CCEEFF"/>
          </w:tcPr>
          <w:p>
            <w:pPr>
              <w:ind w:left="360"/>
              <w:spacing w:after="0"/>
              <w:rPr>
                <w:sz w:val="20"/>
                <w:szCs w:val="20"/>
                <w:color w:val="auto"/>
              </w:rPr>
            </w:pPr>
            <w:r>
              <w:rPr>
                <w:rFonts w:ascii="Arial" w:cs="Arial" w:eastAsia="Arial" w:hAnsi="Arial"/>
                <w:sz w:val="9"/>
                <w:szCs w:val="9"/>
                <w:color w:val="auto"/>
              </w:rPr>
              <w:t>—</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9"/>
                <w:szCs w:val="9"/>
                <w:color w:val="auto"/>
              </w:rPr>
              <w:t>$</w:t>
            </w:r>
          </w:p>
        </w:tc>
        <w:tc>
          <w:tcPr>
            <w:tcW w:w="6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0" w:type="dxa"/>
            <w:vAlign w:val="bottom"/>
            <w:vMerge w:val="restart"/>
            <w:shd w:val="clear" w:color="auto" w:fill="CCEEFF"/>
          </w:tcPr>
          <w:p>
            <w:pPr>
              <w:spacing w:after="0"/>
              <w:rPr>
                <w:sz w:val="20"/>
                <w:szCs w:val="20"/>
                <w:color w:val="auto"/>
              </w:rPr>
            </w:pPr>
            <w:r>
              <w:rPr>
                <w:rFonts w:ascii="Arial" w:cs="Arial" w:eastAsia="Arial" w:hAnsi="Arial"/>
                <w:sz w:val="9"/>
                <w:szCs w:val="9"/>
                <w:color w:val="auto"/>
                <w:w w:val="78"/>
              </w:rPr>
              <w:t>$</w:t>
            </w:r>
          </w:p>
        </w:tc>
        <w:tc>
          <w:tcPr>
            <w:tcW w:w="600" w:type="dxa"/>
            <w:vAlign w:val="bottom"/>
            <w:vMerge w:val="restart"/>
            <w:shd w:val="clear" w:color="auto" w:fill="CCEEFF"/>
          </w:tcPr>
          <w:p>
            <w:pPr>
              <w:jc w:val="right"/>
              <w:ind w:right="14"/>
              <w:spacing w:after="0"/>
              <w:rPr>
                <w:sz w:val="20"/>
                <w:szCs w:val="20"/>
                <w:color w:val="auto"/>
              </w:rPr>
            </w:pPr>
            <w:r>
              <w:rPr>
                <w:rFonts w:ascii="Arial" w:cs="Arial" w:eastAsia="Arial" w:hAnsi="Arial"/>
                <w:sz w:val="9"/>
                <w:szCs w:val="9"/>
                <w:color w:val="auto"/>
              </w:rPr>
              <w:t>22,964</w:t>
            </w:r>
          </w:p>
        </w:tc>
        <w:tc>
          <w:tcPr>
            <w:tcW w:w="60" w:type="dxa"/>
            <w:vAlign w:val="bottom"/>
            <w:shd w:val="clear" w:color="auto" w:fill="CCEEFF"/>
          </w:tcPr>
          <w:p>
            <w:pPr>
              <w:spacing w:after="0"/>
              <w:rPr>
                <w:sz w:val="9"/>
                <w:szCs w:val="9"/>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22,964</w:t>
            </w:r>
          </w:p>
        </w:tc>
        <w:tc>
          <w:tcPr>
            <w:tcW w:w="8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spacing w:after="0"/>
              <w:rPr>
                <w:sz w:val="20"/>
                <w:szCs w:val="20"/>
                <w:color w:val="auto"/>
              </w:rPr>
            </w:pPr>
            <w:r>
              <w:rPr>
                <w:rFonts w:ascii="Arial" w:cs="Arial" w:eastAsia="Arial" w:hAnsi="Arial"/>
                <w:sz w:val="9"/>
                <w:szCs w:val="9"/>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14,830</w:t>
            </w:r>
          </w:p>
        </w:tc>
        <w:tc>
          <w:tcPr>
            <w:tcW w:w="8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vMerge w:val="restart"/>
            <w:shd w:val="clear" w:color="auto" w:fill="CCEEFF"/>
          </w:tcPr>
          <w:p>
            <w:pPr>
              <w:jc w:val="right"/>
              <w:ind w:right="13"/>
              <w:spacing w:after="0"/>
              <w:rPr>
                <w:sz w:val="20"/>
                <w:szCs w:val="20"/>
                <w:color w:val="auto"/>
              </w:rPr>
            </w:pPr>
            <w:r>
              <w:rPr>
                <w:rFonts w:ascii="Arial" w:cs="Arial" w:eastAsia="Arial" w:hAnsi="Arial"/>
                <w:sz w:val="9"/>
                <w:szCs w:val="9"/>
                <w:color w:val="auto"/>
              </w:rPr>
              <w:t>37,794</w:t>
            </w:r>
          </w:p>
        </w:tc>
        <w:tc>
          <w:tcPr>
            <w:tcW w:w="0" w:type="dxa"/>
            <w:vAlign w:val="bottom"/>
          </w:tcPr>
          <w:p>
            <w:pPr>
              <w:spacing w:after="0"/>
              <w:rPr>
                <w:sz w:val="1"/>
                <w:szCs w:val="1"/>
                <w:color w:val="auto"/>
              </w:rPr>
            </w:pPr>
          </w:p>
        </w:tc>
      </w:tr>
      <w:tr>
        <w:trPr>
          <w:trHeight w:val="140"/>
        </w:trPr>
        <w:tc>
          <w:tcPr>
            <w:tcW w:w="1860" w:type="dxa"/>
            <w:vAlign w:val="bottom"/>
            <w:gridSpan w:val="2"/>
            <w:shd w:val="clear" w:color="auto" w:fill="CCEEFF"/>
          </w:tcPr>
          <w:p>
            <w:pPr>
              <w:ind w:left="120"/>
              <w:spacing w:after="0"/>
              <w:rPr>
                <w:sz w:val="20"/>
                <w:szCs w:val="20"/>
                <w:color w:val="auto"/>
              </w:rPr>
            </w:pPr>
            <w:r>
              <w:rPr>
                <w:rFonts w:ascii="Arial" w:cs="Arial" w:eastAsia="Arial" w:hAnsi="Arial"/>
                <w:sz w:val="9"/>
                <w:szCs w:val="9"/>
                <w:color w:val="auto"/>
              </w:rPr>
              <w:t>gains (losses)</w:t>
            </w:r>
          </w:p>
        </w:tc>
        <w:tc>
          <w:tcPr>
            <w:tcW w:w="680" w:type="dxa"/>
            <w:vAlign w:val="bottom"/>
            <w:gridSpan w:val="2"/>
            <w:vMerge w:val="continue"/>
            <w:shd w:val="clear" w:color="auto" w:fill="CCEEFF"/>
          </w:tcPr>
          <w:p>
            <w:pPr>
              <w:spacing w:after="0"/>
              <w:rPr>
                <w:sz w:val="12"/>
                <w:szCs w:val="12"/>
                <w:color w:val="auto"/>
              </w:rPr>
            </w:pPr>
          </w:p>
        </w:tc>
        <w:tc>
          <w:tcPr>
            <w:tcW w:w="640" w:type="dxa"/>
            <w:vAlign w:val="bottom"/>
            <w:gridSpan w:val="2"/>
            <w:vMerge w:val="continue"/>
            <w:shd w:val="clear" w:color="auto" w:fill="CCEEFF"/>
          </w:tcPr>
          <w:p>
            <w:pPr>
              <w:spacing w:after="0"/>
              <w:rPr>
                <w:sz w:val="12"/>
                <w:szCs w:val="12"/>
                <w:color w:val="auto"/>
              </w:rPr>
            </w:pPr>
          </w:p>
        </w:tc>
        <w:tc>
          <w:tcPr>
            <w:tcW w:w="660" w:type="dxa"/>
            <w:vAlign w:val="bottom"/>
            <w:gridSpan w:val="2"/>
            <w:vMerge w:val="continue"/>
            <w:shd w:val="clear" w:color="auto" w:fill="CCEEFF"/>
          </w:tcPr>
          <w:p>
            <w:pPr>
              <w:spacing w:after="0"/>
              <w:rPr>
                <w:sz w:val="12"/>
                <w:szCs w:val="12"/>
                <w:color w:val="auto"/>
              </w:rPr>
            </w:pPr>
          </w:p>
        </w:tc>
        <w:tc>
          <w:tcPr>
            <w:tcW w:w="640" w:type="dxa"/>
            <w:vAlign w:val="bottom"/>
            <w:gridSpan w:val="2"/>
            <w:vMerge w:val="continue"/>
            <w:shd w:val="clear" w:color="auto" w:fill="CCEEFF"/>
          </w:tcPr>
          <w:p>
            <w:pPr>
              <w:spacing w:after="0"/>
              <w:rPr>
                <w:sz w:val="12"/>
                <w:szCs w:val="12"/>
                <w:color w:val="auto"/>
              </w:rPr>
            </w:pPr>
          </w:p>
        </w:tc>
        <w:tc>
          <w:tcPr>
            <w:tcW w:w="660" w:type="dxa"/>
            <w:vAlign w:val="bottom"/>
            <w:gridSpan w:val="2"/>
            <w:vMerge w:val="continue"/>
            <w:shd w:val="clear" w:color="auto" w:fill="CCEEFF"/>
          </w:tcPr>
          <w:p>
            <w:pPr>
              <w:spacing w:after="0"/>
              <w:rPr>
                <w:sz w:val="12"/>
                <w:szCs w:val="12"/>
                <w:color w:val="auto"/>
              </w:rPr>
            </w:pPr>
          </w:p>
        </w:tc>
        <w:tc>
          <w:tcPr>
            <w:tcW w:w="640" w:type="dxa"/>
            <w:vAlign w:val="bottom"/>
            <w:gridSpan w:val="2"/>
            <w:vMerge w:val="continue"/>
            <w:shd w:val="clear" w:color="auto" w:fill="CCEEFF"/>
          </w:tcPr>
          <w:p>
            <w:pPr>
              <w:spacing w:after="0"/>
              <w:rPr>
                <w:sz w:val="12"/>
                <w:szCs w:val="12"/>
                <w:color w:val="auto"/>
              </w:rPr>
            </w:pPr>
          </w:p>
        </w:tc>
        <w:tc>
          <w:tcPr>
            <w:tcW w:w="640" w:type="dxa"/>
            <w:vAlign w:val="bottom"/>
            <w:gridSpan w:val="2"/>
            <w:vMerge w:val="continue"/>
            <w:shd w:val="clear" w:color="auto" w:fill="CCEEFF"/>
          </w:tcPr>
          <w:p>
            <w:pPr>
              <w:spacing w:after="0"/>
              <w:rPr>
                <w:sz w:val="12"/>
                <w:szCs w:val="12"/>
                <w:color w:val="auto"/>
              </w:rPr>
            </w:pPr>
          </w:p>
        </w:tc>
        <w:tc>
          <w:tcPr>
            <w:tcW w:w="580" w:type="dxa"/>
            <w:vAlign w:val="bottom"/>
            <w:gridSpan w:val="2"/>
            <w:vMerge w:val="continue"/>
            <w:shd w:val="clear" w:color="auto" w:fill="CCEEFF"/>
          </w:tcPr>
          <w:p>
            <w:pPr>
              <w:spacing w:after="0"/>
              <w:rPr>
                <w:sz w:val="12"/>
                <w:szCs w:val="12"/>
                <w:color w:val="auto"/>
              </w:rPr>
            </w:pPr>
          </w:p>
        </w:tc>
        <w:tc>
          <w:tcPr>
            <w:tcW w:w="80" w:type="dxa"/>
            <w:vAlign w:val="bottom"/>
            <w:vMerge w:val="continue"/>
            <w:shd w:val="clear" w:color="auto" w:fill="CCEEFF"/>
          </w:tcPr>
          <w:p>
            <w:pPr>
              <w:spacing w:after="0"/>
              <w:rPr>
                <w:sz w:val="12"/>
                <w:szCs w:val="12"/>
                <w:color w:val="auto"/>
              </w:rPr>
            </w:pPr>
          </w:p>
        </w:tc>
        <w:tc>
          <w:tcPr>
            <w:tcW w:w="580" w:type="dxa"/>
            <w:vAlign w:val="bottom"/>
            <w:gridSpan w:val="2"/>
            <w:vMerge w:val="continue"/>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600" w:type="dxa"/>
            <w:vAlign w:val="bottom"/>
            <w:gridSpan w:val="2"/>
            <w:vMerge w:val="continue"/>
            <w:shd w:val="clear" w:color="auto" w:fill="CCEEFF"/>
          </w:tcPr>
          <w:p>
            <w:pPr>
              <w:spacing w:after="0"/>
              <w:rPr>
                <w:sz w:val="12"/>
                <w:szCs w:val="12"/>
                <w:color w:val="auto"/>
              </w:rPr>
            </w:pPr>
          </w:p>
        </w:tc>
        <w:tc>
          <w:tcPr>
            <w:tcW w:w="60" w:type="dxa"/>
            <w:vAlign w:val="bottom"/>
            <w:vMerge w:val="continue"/>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vMerge w:val="continue"/>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5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1860" w:type="dxa"/>
            <w:vAlign w:val="bottom"/>
            <w:gridSpan w:val="2"/>
          </w:tcPr>
          <w:p>
            <w:pPr>
              <w:ind w:left="120"/>
              <w:spacing w:after="0" w:line="98" w:lineRule="exact"/>
              <w:rPr>
                <w:sz w:val="20"/>
                <w:szCs w:val="20"/>
                <w:color w:val="auto"/>
              </w:rPr>
            </w:pPr>
            <w:r>
              <w:rPr>
                <w:rFonts w:ascii="Arial" w:cs="Arial" w:eastAsia="Arial" w:hAnsi="Arial"/>
                <w:sz w:val="9"/>
                <w:szCs w:val="9"/>
                <w:color w:val="auto"/>
              </w:rPr>
              <w:t>Dividends ($0.24 per share of Class A</w:t>
            </w: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860" w:type="dxa"/>
            <w:vAlign w:val="bottom"/>
            <w:gridSpan w:val="2"/>
          </w:tcPr>
          <w:p>
            <w:pPr>
              <w:ind w:left="120"/>
              <w:spacing w:after="0" w:line="95" w:lineRule="exact"/>
              <w:rPr>
                <w:sz w:val="20"/>
                <w:szCs w:val="20"/>
                <w:color w:val="auto"/>
              </w:rPr>
            </w:pPr>
            <w:r>
              <w:rPr>
                <w:rFonts w:ascii="Arial" w:cs="Arial" w:eastAsia="Arial" w:hAnsi="Arial"/>
                <w:sz w:val="9"/>
                <w:szCs w:val="9"/>
                <w:color w:val="auto"/>
              </w:rPr>
              <w:t>common</w:t>
            </w: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860" w:type="dxa"/>
            <w:vAlign w:val="bottom"/>
            <w:gridSpan w:val="2"/>
          </w:tcPr>
          <w:p>
            <w:pPr>
              <w:ind w:left="120"/>
              <w:spacing w:after="0" w:line="95" w:lineRule="exact"/>
              <w:rPr>
                <w:sz w:val="20"/>
                <w:szCs w:val="20"/>
                <w:color w:val="auto"/>
              </w:rPr>
            </w:pPr>
            <w:r>
              <w:rPr>
                <w:rFonts w:ascii="Arial" w:cs="Arial" w:eastAsia="Arial" w:hAnsi="Arial"/>
                <w:sz w:val="9"/>
                <w:szCs w:val="9"/>
                <w:color w:val="auto"/>
              </w:rPr>
              <w:t>stock and participating Restricted Stock</w:t>
            </w: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860" w:type="dxa"/>
            <w:vAlign w:val="bottom"/>
            <w:gridSpan w:val="2"/>
          </w:tcPr>
          <w:p>
            <w:pPr>
              <w:ind w:left="120"/>
              <w:spacing w:after="0" w:line="95" w:lineRule="exact"/>
              <w:rPr>
                <w:sz w:val="20"/>
                <w:szCs w:val="20"/>
                <w:color w:val="auto"/>
              </w:rPr>
            </w:pPr>
            <w:r>
              <w:rPr>
                <w:rFonts w:ascii="Arial" w:cs="Arial" w:eastAsia="Arial" w:hAnsi="Arial"/>
                <w:sz w:val="9"/>
                <w:szCs w:val="9"/>
                <w:color w:val="auto"/>
              </w:rPr>
              <w:t>Unit and</w:t>
            </w: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860" w:type="dxa"/>
            <w:vAlign w:val="bottom"/>
            <w:gridSpan w:val="2"/>
          </w:tcPr>
          <w:p>
            <w:pPr>
              <w:ind w:left="120"/>
              <w:spacing w:after="0" w:line="95" w:lineRule="exact"/>
              <w:rPr>
                <w:sz w:val="20"/>
                <w:szCs w:val="20"/>
                <w:color w:val="auto"/>
              </w:rPr>
            </w:pPr>
            <w:r>
              <w:rPr>
                <w:rFonts w:ascii="Arial" w:cs="Arial" w:eastAsia="Arial" w:hAnsi="Arial"/>
                <w:sz w:val="9"/>
                <w:szCs w:val="9"/>
                <w:color w:val="auto"/>
              </w:rPr>
              <w:t>Restricted Stock Award) and distributions</w:t>
            </w: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860" w:type="dxa"/>
            <w:vAlign w:val="bottom"/>
            <w:gridSpan w:val="2"/>
          </w:tcPr>
          <w:p>
            <w:pPr>
              <w:ind w:left="120"/>
              <w:spacing w:after="0" w:line="95" w:lineRule="exact"/>
              <w:rPr>
                <w:sz w:val="20"/>
                <w:szCs w:val="20"/>
                <w:color w:val="auto"/>
              </w:rPr>
            </w:pPr>
            <w:r>
              <w:rPr>
                <w:rFonts w:ascii="Arial" w:cs="Arial" w:eastAsia="Arial" w:hAnsi="Arial"/>
                <w:sz w:val="9"/>
                <w:szCs w:val="9"/>
                <w:color w:val="auto"/>
              </w:rPr>
              <w:t>from</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640" w:type="dxa"/>
            <w:vAlign w:val="bottom"/>
            <w:gridSpan w:val="2"/>
            <w:vMerge w:val="restart"/>
          </w:tcPr>
          <w:p>
            <w:pPr>
              <w:ind w:left="420"/>
              <w:spacing w:after="0"/>
              <w:rPr>
                <w:sz w:val="20"/>
                <w:szCs w:val="20"/>
                <w:color w:val="auto"/>
              </w:rPr>
            </w:pPr>
            <w:r>
              <w:rPr>
                <w:rFonts w:ascii="Arial" w:cs="Arial" w:eastAsia="Arial" w:hAnsi="Arial"/>
                <w:sz w:val="9"/>
                <w:szCs w:val="9"/>
                <w:color w:val="auto"/>
              </w:rPr>
              <w:t>—</w:t>
            </w: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640" w:type="dxa"/>
            <w:vAlign w:val="bottom"/>
            <w:gridSpan w:val="2"/>
            <w:vMerge w:val="restart"/>
          </w:tcPr>
          <w:p>
            <w:pPr>
              <w:ind w:left="420"/>
              <w:spacing w:after="0"/>
              <w:rPr>
                <w:sz w:val="20"/>
                <w:szCs w:val="20"/>
                <w:color w:val="auto"/>
              </w:rPr>
            </w:pPr>
            <w:r>
              <w:rPr>
                <w:rFonts w:ascii="Arial" w:cs="Arial" w:eastAsia="Arial" w:hAnsi="Arial"/>
                <w:sz w:val="9"/>
                <w:szCs w:val="9"/>
                <w:color w:val="auto"/>
              </w:rPr>
              <w:t>—</w:t>
            </w:r>
          </w:p>
        </w:tc>
        <w:tc>
          <w:tcPr>
            <w:tcW w:w="580" w:type="dxa"/>
            <w:vAlign w:val="bottom"/>
            <w:gridSpan w:val="2"/>
            <w:vMerge w:val="restart"/>
          </w:tcPr>
          <w:p>
            <w:pPr>
              <w:ind w:left="360"/>
              <w:spacing w:after="0"/>
              <w:rPr>
                <w:sz w:val="20"/>
                <w:szCs w:val="20"/>
                <w:color w:val="auto"/>
              </w:rPr>
            </w:pPr>
            <w:r>
              <w:rPr>
                <w:rFonts w:ascii="Arial" w:cs="Arial" w:eastAsia="Arial" w:hAnsi="Arial"/>
                <w:sz w:val="9"/>
                <w:szCs w:val="9"/>
                <w:color w:val="auto"/>
              </w:rPr>
              <w:t>—</w:t>
            </w:r>
          </w:p>
        </w:tc>
        <w:tc>
          <w:tcPr>
            <w:tcW w:w="80" w:type="dxa"/>
            <w:vAlign w:val="bottom"/>
            <w:vMerge w:val="restart"/>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vMerge w:val="restart"/>
          </w:tcPr>
          <w:p>
            <w:pPr>
              <w:ind w:left="20"/>
              <w:spacing w:after="0"/>
              <w:rPr>
                <w:sz w:val="20"/>
                <w:szCs w:val="20"/>
                <w:color w:val="auto"/>
              </w:rPr>
            </w:pPr>
            <w:r>
              <w:rPr>
                <w:rFonts w:ascii="Arial" w:cs="Arial" w:eastAsia="Arial" w:hAnsi="Arial"/>
                <w:sz w:val="9"/>
                <w:szCs w:val="9"/>
                <w:color w:val="auto"/>
              </w:rPr>
              <w:t>$</w:t>
            </w:r>
          </w:p>
        </w:tc>
        <w:tc>
          <w:tcPr>
            <w:tcW w:w="520" w:type="dxa"/>
            <w:vAlign w:val="bottom"/>
            <w:vMerge w:val="restart"/>
          </w:tcPr>
          <w:p>
            <w:pPr>
              <w:jc w:val="right"/>
              <w:spacing w:after="0"/>
              <w:rPr>
                <w:sz w:val="20"/>
                <w:szCs w:val="20"/>
                <w:color w:val="auto"/>
              </w:rPr>
            </w:pPr>
            <w:r>
              <w:rPr>
                <w:rFonts w:ascii="Arial" w:cs="Arial" w:eastAsia="Arial" w:hAnsi="Arial"/>
                <w:sz w:val="9"/>
                <w:szCs w:val="9"/>
                <w:color w:val="auto"/>
              </w:rPr>
              <w:t>(115,360)</w:t>
            </w:r>
          </w:p>
        </w:tc>
        <w:tc>
          <w:tcPr>
            <w:tcW w:w="80" w:type="dxa"/>
            <w:vAlign w:val="bottom"/>
          </w:tcPr>
          <w:p>
            <w:pPr>
              <w:spacing w:after="0"/>
              <w:rPr>
                <w:sz w:val="8"/>
                <w:szCs w:val="8"/>
                <w:color w:val="auto"/>
              </w:rPr>
            </w:pPr>
          </w:p>
        </w:tc>
        <w:tc>
          <w:tcPr>
            <w:tcW w:w="60" w:type="dxa"/>
            <w:vAlign w:val="bottom"/>
            <w:vMerge w:val="restart"/>
          </w:tcPr>
          <w:p>
            <w:pPr>
              <w:spacing w:after="0"/>
              <w:rPr>
                <w:sz w:val="20"/>
                <w:szCs w:val="20"/>
                <w:color w:val="auto"/>
              </w:rPr>
            </w:pPr>
            <w:r>
              <w:rPr>
                <w:rFonts w:ascii="Arial" w:cs="Arial" w:eastAsia="Arial" w:hAnsi="Arial"/>
                <w:sz w:val="9"/>
                <w:szCs w:val="9"/>
                <w:color w:val="auto"/>
                <w:w w:val="78"/>
              </w:rPr>
              <w:t>$</w:t>
            </w: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vMerge w:val="restart"/>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vMerge w:val="restart"/>
          </w:tcPr>
          <w:p>
            <w:pPr>
              <w:jc w:val="right"/>
              <w:spacing w:after="0"/>
              <w:rPr>
                <w:sz w:val="20"/>
                <w:szCs w:val="20"/>
                <w:color w:val="auto"/>
              </w:rPr>
            </w:pPr>
            <w:r>
              <w:rPr>
                <w:rFonts w:ascii="Arial" w:cs="Arial" w:eastAsia="Arial" w:hAnsi="Arial"/>
                <w:sz w:val="9"/>
                <w:szCs w:val="9"/>
                <w:color w:val="auto"/>
              </w:rPr>
              <w:t>(115,360)</w:t>
            </w:r>
          </w:p>
        </w:tc>
        <w:tc>
          <w:tcPr>
            <w:tcW w:w="80" w:type="dxa"/>
            <w:vAlign w:val="bottom"/>
          </w:tcPr>
          <w:p>
            <w:pPr>
              <w:spacing w:after="0"/>
              <w:rPr>
                <w:sz w:val="8"/>
                <w:szCs w:val="8"/>
                <w:color w:val="auto"/>
              </w:rPr>
            </w:pPr>
          </w:p>
        </w:tc>
        <w:tc>
          <w:tcPr>
            <w:tcW w:w="100" w:type="dxa"/>
            <w:vAlign w:val="bottom"/>
            <w:vMerge w:val="restart"/>
          </w:tcPr>
          <w:p>
            <w:pPr>
              <w:spacing w:after="0"/>
              <w:rPr>
                <w:sz w:val="20"/>
                <w:szCs w:val="20"/>
                <w:color w:val="auto"/>
              </w:rPr>
            </w:pPr>
            <w:r>
              <w:rPr>
                <w:rFonts w:ascii="Arial" w:cs="Arial" w:eastAsia="Arial" w:hAnsi="Arial"/>
                <w:sz w:val="9"/>
                <w:szCs w:val="9"/>
                <w:color w:val="auto"/>
              </w:rPr>
              <w:t>$</w:t>
            </w:r>
          </w:p>
        </w:tc>
        <w:tc>
          <w:tcPr>
            <w:tcW w:w="540" w:type="dxa"/>
            <w:vAlign w:val="bottom"/>
            <w:vMerge w:val="restart"/>
          </w:tcPr>
          <w:p>
            <w:pPr>
              <w:jc w:val="right"/>
              <w:spacing w:after="0"/>
              <w:rPr>
                <w:sz w:val="20"/>
                <w:szCs w:val="20"/>
                <w:color w:val="auto"/>
              </w:rPr>
            </w:pPr>
            <w:r>
              <w:rPr>
                <w:rFonts w:ascii="Arial" w:cs="Arial" w:eastAsia="Arial" w:hAnsi="Arial"/>
                <w:sz w:val="9"/>
                <w:szCs w:val="9"/>
                <w:color w:val="auto"/>
              </w:rPr>
              <w:t>(432,657)</w:t>
            </w:r>
          </w:p>
        </w:tc>
        <w:tc>
          <w:tcPr>
            <w:tcW w:w="8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vMerge w:val="restart"/>
          </w:tcPr>
          <w:p>
            <w:pPr>
              <w:jc w:val="right"/>
              <w:spacing w:after="0"/>
              <w:rPr>
                <w:sz w:val="20"/>
                <w:szCs w:val="20"/>
                <w:color w:val="auto"/>
              </w:rPr>
            </w:pPr>
            <w:r>
              <w:rPr>
                <w:rFonts w:ascii="Arial" w:cs="Arial" w:eastAsia="Arial" w:hAnsi="Arial"/>
                <w:sz w:val="9"/>
                <w:szCs w:val="9"/>
                <w:color w:val="auto"/>
              </w:rPr>
              <w:t>(548,017)</w:t>
            </w:r>
          </w:p>
        </w:tc>
        <w:tc>
          <w:tcPr>
            <w:tcW w:w="0" w:type="dxa"/>
            <w:vAlign w:val="bottom"/>
          </w:tcPr>
          <w:p>
            <w:pPr>
              <w:spacing w:after="0"/>
              <w:rPr>
                <w:sz w:val="1"/>
                <w:szCs w:val="1"/>
                <w:color w:val="auto"/>
              </w:rPr>
            </w:pPr>
          </w:p>
        </w:tc>
      </w:tr>
      <w:tr>
        <w:trPr>
          <w:trHeight w:val="130"/>
        </w:trPr>
        <w:tc>
          <w:tcPr>
            <w:tcW w:w="1860" w:type="dxa"/>
            <w:vAlign w:val="bottom"/>
            <w:gridSpan w:val="2"/>
          </w:tcPr>
          <w:p>
            <w:pPr>
              <w:ind w:left="120"/>
              <w:spacing w:after="0"/>
              <w:rPr>
                <w:sz w:val="20"/>
                <w:szCs w:val="20"/>
                <w:color w:val="auto"/>
              </w:rPr>
            </w:pPr>
            <w:r>
              <w:rPr>
                <w:rFonts w:ascii="Arial" w:cs="Arial" w:eastAsia="Arial" w:hAnsi="Arial"/>
                <w:sz w:val="9"/>
                <w:szCs w:val="9"/>
                <w:color w:val="auto"/>
              </w:rPr>
              <w:t>Virtu Financial to non-controlling interest</w:t>
            </w:r>
          </w:p>
        </w:tc>
        <w:tc>
          <w:tcPr>
            <w:tcW w:w="680" w:type="dxa"/>
            <w:vAlign w:val="bottom"/>
            <w:gridSpan w:val="2"/>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860" w:type="dxa"/>
            <w:vAlign w:val="bottom"/>
            <w:gridSpan w:val="2"/>
            <w:shd w:val="clear" w:color="auto" w:fill="CCEEFF"/>
          </w:tcPr>
          <w:p>
            <w:pPr>
              <w:ind w:left="120"/>
              <w:spacing w:after="0"/>
              <w:rPr>
                <w:sz w:val="20"/>
                <w:szCs w:val="20"/>
                <w:color w:val="auto"/>
              </w:rPr>
            </w:pPr>
            <w:r>
              <w:rPr>
                <w:rFonts w:ascii="Arial" w:cs="Arial" w:eastAsia="Arial" w:hAnsi="Arial"/>
                <w:sz w:val="9"/>
                <w:szCs w:val="9"/>
                <w:color w:val="auto"/>
              </w:rPr>
              <w:t>Issuance of Common Stock in connection</w:t>
            </w:r>
          </w:p>
        </w:tc>
        <w:tc>
          <w:tcPr>
            <w:tcW w:w="600" w:type="dxa"/>
            <w:vAlign w:val="bottom"/>
            <w:vMerge w:val="restart"/>
            <w:shd w:val="clear" w:color="auto" w:fill="CCEEFF"/>
          </w:tcPr>
          <w:p>
            <w:pPr>
              <w:jc w:val="right"/>
              <w:ind w:right="13"/>
              <w:spacing w:after="0"/>
              <w:rPr>
                <w:sz w:val="20"/>
                <w:szCs w:val="20"/>
                <w:color w:val="auto"/>
              </w:rPr>
            </w:pPr>
            <w:r>
              <w:rPr>
                <w:rFonts w:ascii="Arial" w:cs="Arial" w:eastAsia="Arial" w:hAnsi="Arial"/>
                <w:sz w:val="9"/>
                <w:szCs w:val="9"/>
                <w:color w:val="auto"/>
              </w:rPr>
              <w:t>747,849</w:t>
            </w:r>
          </w:p>
        </w:tc>
        <w:tc>
          <w:tcPr>
            <w:tcW w:w="8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40" w:type="dxa"/>
            <w:vAlign w:val="bottom"/>
            <w:gridSpan w:val="2"/>
            <w:vMerge w:val="restart"/>
            <w:shd w:val="clear" w:color="auto" w:fill="CCEEFF"/>
          </w:tcPr>
          <w:p>
            <w:pPr>
              <w:ind w:left="420"/>
              <w:spacing w:after="0"/>
              <w:rPr>
                <w:sz w:val="20"/>
                <w:szCs w:val="20"/>
                <w:color w:val="auto"/>
              </w:rPr>
            </w:pPr>
            <w:r>
              <w:rPr>
                <w:rFonts w:ascii="Arial" w:cs="Arial" w:eastAsia="Arial" w:hAnsi="Arial"/>
                <w:sz w:val="9"/>
                <w:szCs w:val="9"/>
                <w:color w:val="auto"/>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40" w:type="dxa"/>
            <w:vAlign w:val="bottom"/>
            <w:gridSpan w:val="2"/>
            <w:vMerge w:val="restart"/>
            <w:shd w:val="clear" w:color="auto" w:fill="CCEEFF"/>
          </w:tcPr>
          <w:p>
            <w:pPr>
              <w:ind w:left="420"/>
              <w:spacing w:after="0"/>
              <w:rPr>
                <w:sz w:val="20"/>
                <w:szCs w:val="20"/>
                <w:color w:val="auto"/>
              </w:rPr>
            </w:pPr>
            <w:r>
              <w:rPr>
                <w:rFonts w:ascii="Arial" w:cs="Arial" w:eastAsia="Arial" w:hAnsi="Arial"/>
                <w:sz w:val="9"/>
                <w:szCs w:val="9"/>
                <w:color w:val="auto"/>
              </w:rPr>
              <w:t>—</w:t>
            </w:r>
          </w:p>
        </w:tc>
        <w:tc>
          <w:tcPr>
            <w:tcW w:w="580" w:type="dxa"/>
            <w:vAlign w:val="bottom"/>
            <w:gridSpan w:val="2"/>
            <w:vMerge w:val="restart"/>
            <w:shd w:val="clear" w:color="auto" w:fill="CCEEFF"/>
          </w:tcPr>
          <w:p>
            <w:pPr>
              <w:ind w:left="360"/>
              <w:spacing w:after="0"/>
              <w:rPr>
                <w:sz w:val="20"/>
                <w:szCs w:val="20"/>
                <w:color w:val="auto"/>
              </w:rPr>
            </w:pPr>
            <w:r>
              <w:rPr>
                <w:rFonts w:ascii="Arial" w:cs="Arial" w:eastAsia="Arial" w:hAnsi="Arial"/>
                <w:sz w:val="9"/>
                <w:szCs w:val="9"/>
                <w:color w:val="auto"/>
              </w:rPr>
              <w:t>—</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9"/>
                <w:szCs w:val="9"/>
                <w:color w:val="auto"/>
              </w:rPr>
              <w:t>$</w:t>
            </w:r>
          </w:p>
        </w:tc>
        <w:tc>
          <w:tcPr>
            <w:tcW w:w="6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0" w:type="dxa"/>
            <w:vAlign w:val="bottom"/>
            <w:vMerge w:val="restart"/>
            <w:shd w:val="clear" w:color="auto" w:fill="CCEEFF"/>
          </w:tcPr>
          <w:p>
            <w:pPr>
              <w:spacing w:after="0"/>
              <w:rPr>
                <w:sz w:val="20"/>
                <w:szCs w:val="20"/>
                <w:color w:val="auto"/>
              </w:rPr>
            </w:pPr>
            <w:r>
              <w:rPr>
                <w:rFonts w:ascii="Arial" w:cs="Arial" w:eastAsia="Arial" w:hAnsi="Arial"/>
                <w:sz w:val="9"/>
                <w:szCs w:val="9"/>
                <w:color w:val="auto"/>
                <w:w w:val="78"/>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vMerge w:val="restart"/>
            <w:shd w:val="clear" w:color="auto" w:fill="CCEEFF"/>
          </w:tcPr>
          <w:p>
            <w:pPr>
              <w:spacing w:after="0"/>
              <w:rPr>
                <w:sz w:val="20"/>
                <w:szCs w:val="20"/>
                <w:color w:val="auto"/>
              </w:rPr>
            </w:pPr>
            <w:r>
              <w:rPr>
                <w:rFonts w:ascii="Arial" w:cs="Arial" w:eastAsia="Arial" w:hAnsi="Arial"/>
                <w:sz w:val="9"/>
                <w:szCs w:val="9"/>
                <w:color w:val="auto"/>
              </w:rPr>
              <w:t>$</w:t>
            </w:r>
          </w:p>
        </w:tc>
        <w:tc>
          <w:tcPr>
            <w:tcW w:w="6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vMerge w:val="restart"/>
            <w:shd w:val="clear" w:color="auto" w:fill="CCEEFF"/>
          </w:tcPr>
          <w:p>
            <w:pPr>
              <w:jc w:val="right"/>
              <w:ind w:right="13"/>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40"/>
        </w:trPr>
        <w:tc>
          <w:tcPr>
            <w:tcW w:w="1860" w:type="dxa"/>
            <w:vAlign w:val="bottom"/>
            <w:gridSpan w:val="2"/>
            <w:shd w:val="clear" w:color="auto" w:fill="CCEEFF"/>
          </w:tcPr>
          <w:p>
            <w:pPr>
              <w:ind w:left="120"/>
              <w:spacing w:after="0"/>
              <w:rPr>
                <w:sz w:val="20"/>
                <w:szCs w:val="20"/>
                <w:color w:val="auto"/>
              </w:rPr>
            </w:pPr>
            <w:r>
              <w:rPr>
                <w:rFonts w:ascii="Arial" w:cs="Arial" w:eastAsia="Arial" w:hAnsi="Arial"/>
                <w:sz w:val="9"/>
                <w:szCs w:val="9"/>
                <w:color w:val="auto"/>
              </w:rPr>
              <w:t>with employee exchanges</w:t>
            </w:r>
          </w:p>
        </w:tc>
        <w:tc>
          <w:tcPr>
            <w:tcW w:w="6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vMerge w:val="continue"/>
            <w:shd w:val="clear" w:color="auto" w:fill="CCEEFF"/>
          </w:tcPr>
          <w:p>
            <w:pPr>
              <w:spacing w:after="0"/>
              <w:rPr>
                <w:sz w:val="12"/>
                <w:szCs w:val="12"/>
                <w:color w:val="auto"/>
              </w:rPr>
            </w:pPr>
          </w:p>
        </w:tc>
        <w:tc>
          <w:tcPr>
            <w:tcW w:w="660" w:type="dxa"/>
            <w:vAlign w:val="bottom"/>
            <w:gridSpan w:val="2"/>
            <w:vMerge w:val="continue"/>
            <w:shd w:val="clear" w:color="auto" w:fill="CCEEFF"/>
          </w:tcPr>
          <w:p>
            <w:pPr>
              <w:spacing w:after="0"/>
              <w:rPr>
                <w:sz w:val="12"/>
                <w:szCs w:val="12"/>
                <w:color w:val="auto"/>
              </w:rPr>
            </w:pPr>
          </w:p>
        </w:tc>
        <w:tc>
          <w:tcPr>
            <w:tcW w:w="640" w:type="dxa"/>
            <w:vAlign w:val="bottom"/>
            <w:gridSpan w:val="2"/>
            <w:vMerge w:val="continue"/>
            <w:shd w:val="clear" w:color="auto" w:fill="CCEEFF"/>
          </w:tcPr>
          <w:p>
            <w:pPr>
              <w:spacing w:after="0"/>
              <w:rPr>
                <w:sz w:val="12"/>
                <w:szCs w:val="12"/>
                <w:color w:val="auto"/>
              </w:rPr>
            </w:pPr>
          </w:p>
        </w:tc>
        <w:tc>
          <w:tcPr>
            <w:tcW w:w="660" w:type="dxa"/>
            <w:vAlign w:val="bottom"/>
            <w:gridSpan w:val="2"/>
            <w:vMerge w:val="continue"/>
            <w:shd w:val="clear" w:color="auto" w:fill="CCEEFF"/>
          </w:tcPr>
          <w:p>
            <w:pPr>
              <w:spacing w:after="0"/>
              <w:rPr>
                <w:sz w:val="12"/>
                <w:szCs w:val="12"/>
                <w:color w:val="auto"/>
              </w:rPr>
            </w:pPr>
          </w:p>
        </w:tc>
        <w:tc>
          <w:tcPr>
            <w:tcW w:w="640" w:type="dxa"/>
            <w:vAlign w:val="bottom"/>
            <w:gridSpan w:val="2"/>
            <w:vMerge w:val="continue"/>
            <w:shd w:val="clear" w:color="auto" w:fill="CCEEFF"/>
          </w:tcPr>
          <w:p>
            <w:pPr>
              <w:spacing w:after="0"/>
              <w:rPr>
                <w:sz w:val="12"/>
                <w:szCs w:val="12"/>
                <w:color w:val="auto"/>
              </w:rPr>
            </w:pPr>
          </w:p>
        </w:tc>
        <w:tc>
          <w:tcPr>
            <w:tcW w:w="640" w:type="dxa"/>
            <w:vAlign w:val="bottom"/>
            <w:gridSpan w:val="2"/>
            <w:vMerge w:val="continue"/>
            <w:shd w:val="clear" w:color="auto" w:fill="CCEEFF"/>
          </w:tcPr>
          <w:p>
            <w:pPr>
              <w:spacing w:after="0"/>
              <w:rPr>
                <w:sz w:val="12"/>
                <w:szCs w:val="12"/>
                <w:color w:val="auto"/>
              </w:rPr>
            </w:pPr>
          </w:p>
        </w:tc>
        <w:tc>
          <w:tcPr>
            <w:tcW w:w="580" w:type="dxa"/>
            <w:vAlign w:val="bottom"/>
            <w:gridSpan w:val="2"/>
            <w:vMerge w:val="continue"/>
            <w:shd w:val="clear" w:color="auto" w:fill="CCEEFF"/>
          </w:tcPr>
          <w:p>
            <w:pPr>
              <w:spacing w:after="0"/>
              <w:rPr>
                <w:sz w:val="12"/>
                <w:szCs w:val="12"/>
                <w:color w:val="auto"/>
              </w:rPr>
            </w:pPr>
          </w:p>
        </w:tc>
        <w:tc>
          <w:tcPr>
            <w:tcW w:w="80" w:type="dxa"/>
            <w:vAlign w:val="bottom"/>
            <w:vMerge w:val="continue"/>
            <w:shd w:val="clear" w:color="auto" w:fill="CCEEFF"/>
          </w:tcPr>
          <w:p>
            <w:pPr>
              <w:spacing w:after="0"/>
              <w:rPr>
                <w:sz w:val="12"/>
                <w:szCs w:val="12"/>
                <w:color w:val="auto"/>
              </w:rPr>
            </w:pPr>
          </w:p>
        </w:tc>
        <w:tc>
          <w:tcPr>
            <w:tcW w:w="580" w:type="dxa"/>
            <w:vAlign w:val="bottom"/>
            <w:gridSpan w:val="2"/>
            <w:vMerge w:val="continue"/>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600" w:type="dxa"/>
            <w:vAlign w:val="bottom"/>
            <w:gridSpan w:val="2"/>
            <w:vMerge w:val="continue"/>
            <w:shd w:val="clear" w:color="auto" w:fill="CCEEFF"/>
          </w:tcPr>
          <w:p>
            <w:pPr>
              <w:spacing w:after="0"/>
              <w:rPr>
                <w:sz w:val="12"/>
                <w:szCs w:val="12"/>
                <w:color w:val="auto"/>
              </w:rPr>
            </w:pPr>
          </w:p>
        </w:tc>
        <w:tc>
          <w:tcPr>
            <w:tcW w:w="60" w:type="dxa"/>
            <w:vAlign w:val="bottom"/>
            <w:vMerge w:val="continue"/>
            <w:shd w:val="clear" w:color="auto" w:fill="CCEEFF"/>
          </w:tcPr>
          <w:p>
            <w:pPr>
              <w:spacing w:after="0"/>
              <w:rPr>
                <w:sz w:val="12"/>
                <w:szCs w:val="12"/>
                <w:color w:val="auto"/>
              </w:rPr>
            </w:pPr>
          </w:p>
        </w:tc>
        <w:tc>
          <w:tcPr>
            <w:tcW w:w="660" w:type="dxa"/>
            <w:vAlign w:val="bottom"/>
            <w:gridSpan w:val="2"/>
            <w:vMerge w:val="continue"/>
            <w:shd w:val="clear" w:color="auto" w:fill="CCEEFF"/>
          </w:tcPr>
          <w:p>
            <w:pPr>
              <w:spacing w:after="0"/>
              <w:rPr>
                <w:sz w:val="12"/>
                <w:szCs w:val="12"/>
                <w:color w:val="auto"/>
              </w:rPr>
            </w:pPr>
          </w:p>
        </w:tc>
        <w:tc>
          <w:tcPr>
            <w:tcW w:w="80" w:type="dxa"/>
            <w:vAlign w:val="bottom"/>
            <w:vMerge w:val="continue"/>
            <w:shd w:val="clear" w:color="auto" w:fill="CCEEFF"/>
          </w:tcPr>
          <w:p>
            <w:pPr>
              <w:spacing w:after="0"/>
              <w:rPr>
                <w:sz w:val="12"/>
                <w:szCs w:val="12"/>
                <w:color w:val="auto"/>
              </w:rPr>
            </w:pPr>
          </w:p>
        </w:tc>
        <w:tc>
          <w:tcPr>
            <w:tcW w:w="620" w:type="dxa"/>
            <w:vAlign w:val="bottom"/>
            <w:gridSpan w:val="2"/>
            <w:vMerge w:val="continue"/>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620" w:type="dxa"/>
            <w:vAlign w:val="bottom"/>
            <w:gridSpan w:val="2"/>
            <w:vMerge w:val="continue"/>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5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1860" w:type="dxa"/>
            <w:vAlign w:val="bottom"/>
            <w:gridSpan w:val="2"/>
          </w:tcPr>
          <w:p>
            <w:pPr>
              <w:ind w:left="120"/>
              <w:spacing w:after="0" w:line="98" w:lineRule="exact"/>
              <w:rPr>
                <w:sz w:val="20"/>
                <w:szCs w:val="20"/>
                <w:color w:val="auto"/>
              </w:rPr>
            </w:pPr>
            <w:r>
              <w:rPr>
                <w:rFonts w:ascii="Arial" w:cs="Arial" w:eastAsia="Arial" w:hAnsi="Arial"/>
                <w:sz w:val="9"/>
                <w:szCs w:val="9"/>
                <w:color w:val="auto"/>
              </w:rPr>
              <w:t>Repurchase of Virtu Financial Units and</w:t>
            </w: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860" w:type="dxa"/>
            <w:vAlign w:val="bottom"/>
            <w:gridSpan w:val="2"/>
          </w:tcPr>
          <w:p>
            <w:pPr>
              <w:ind w:left="120"/>
              <w:spacing w:after="0" w:line="95" w:lineRule="exact"/>
              <w:rPr>
                <w:sz w:val="20"/>
                <w:szCs w:val="20"/>
                <w:color w:val="auto"/>
              </w:rPr>
            </w:pPr>
            <w:r>
              <w:rPr>
                <w:rFonts w:ascii="Arial" w:cs="Arial" w:eastAsia="Arial" w:hAnsi="Arial"/>
                <w:sz w:val="9"/>
                <w:szCs w:val="9"/>
                <w:color w:val="auto"/>
              </w:rPr>
              <w:t>corresponding number of Class C common</w:t>
            </w: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860" w:type="dxa"/>
            <w:vAlign w:val="bottom"/>
            <w:gridSpan w:val="2"/>
          </w:tcPr>
          <w:p>
            <w:pPr>
              <w:ind w:left="120"/>
              <w:spacing w:after="0" w:line="95" w:lineRule="exact"/>
              <w:rPr>
                <w:sz w:val="20"/>
                <w:szCs w:val="20"/>
                <w:color w:val="auto"/>
              </w:rPr>
            </w:pPr>
            <w:r>
              <w:rPr>
                <w:rFonts w:ascii="Arial" w:cs="Arial" w:eastAsia="Arial" w:hAnsi="Arial"/>
                <w:sz w:val="9"/>
                <w:szCs w:val="9"/>
                <w:color w:val="auto"/>
              </w:rPr>
              <w:t>stock in connection with employee</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580" w:type="dxa"/>
            <w:vAlign w:val="bottom"/>
            <w:vMerge w:val="restart"/>
          </w:tcPr>
          <w:p>
            <w:pPr>
              <w:jc w:val="right"/>
              <w:spacing w:after="0"/>
              <w:rPr>
                <w:sz w:val="20"/>
                <w:szCs w:val="20"/>
                <w:color w:val="auto"/>
              </w:rPr>
            </w:pPr>
            <w:r>
              <w:rPr>
                <w:rFonts w:ascii="Arial" w:cs="Arial" w:eastAsia="Arial" w:hAnsi="Arial"/>
                <w:sz w:val="9"/>
                <w:szCs w:val="9"/>
                <w:color w:val="auto"/>
              </w:rPr>
              <w:t>(747,849)</w:t>
            </w:r>
          </w:p>
        </w:tc>
        <w:tc>
          <w:tcPr>
            <w:tcW w:w="80" w:type="dxa"/>
            <w:vAlign w:val="bottom"/>
          </w:tcPr>
          <w:p>
            <w:pPr>
              <w:spacing w:after="0"/>
              <w:rPr>
                <w:sz w:val="8"/>
                <w:szCs w:val="8"/>
                <w:color w:val="auto"/>
              </w:rPr>
            </w:pPr>
          </w:p>
        </w:tc>
        <w:tc>
          <w:tcPr>
            <w:tcW w:w="640" w:type="dxa"/>
            <w:vAlign w:val="bottom"/>
            <w:gridSpan w:val="2"/>
            <w:vMerge w:val="restart"/>
          </w:tcPr>
          <w:p>
            <w:pPr>
              <w:ind w:left="420"/>
              <w:spacing w:after="0"/>
              <w:rPr>
                <w:sz w:val="20"/>
                <w:szCs w:val="20"/>
                <w:color w:val="auto"/>
              </w:rPr>
            </w:pPr>
            <w:r>
              <w:rPr>
                <w:rFonts w:ascii="Arial" w:cs="Arial" w:eastAsia="Arial" w:hAnsi="Arial"/>
                <w:sz w:val="9"/>
                <w:szCs w:val="9"/>
                <w:color w:val="auto"/>
              </w:rPr>
              <w:t>—</w:t>
            </w: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640" w:type="dxa"/>
            <w:vAlign w:val="bottom"/>
            <w:gridSpan w:val="2"/>
            <w:vMerge w:val="restart"/>
          </w:tcPr>
          <w:p>
            <w:pPr>
              <w:ind w:left="420"/>
              <w:spacing w:after="0"/>
              <w:rPr>
                <w:sz w:val="20"/>
                <w:szCs w:val="20"/>
                <w:color w:val="auto"/>
              </w:rPr>
            </w:pPr>
            <w:r>
              <w:rPr>
                <w:rFonts w:ascii="Arial" w:cs="Arial" w:eastAsia="Arial" w:hAnsi="Arial"/>
                <w:sz w:val="9"/>
                <w:szCs w:val="9"/>
                <w:color w:val="auto"/>
              </w:rPr>
              <w:t>—</w:t>
            </w:r>
          </w:p>
        </w:tc>
        <w:tc>
          <w:tcPr>
            <w:tcW w:w="580" w:type="dxa"/>
            <w:vAlign w:val="bottom"/>
            <w:gridSpan w:val="2"/>
            <w:vMerge w:val="restart"/>
          </w:tcPr>
          <w:p>
            <w:pPr>
              <w:ind w:left="360"/>
              <w:spacing w:after="0"/>
              <w:rPr>
                <w:sz w:val="20"/>
                <w:szCs w:val="20"/>
                <w:color w:val="auto"/>
              </w:rPr>
            </w:pPr>
            <w:r>
              <w:rPr>
                <w:rFonts w:ascii="Arial" w:cs="Arial" w:eastAsia="Arial" w:hAnsi="Arial"/>
                <w:sz w:val="9"/>
                <w:szCs w:val="9"/>
                <w:color w:val="auto"/>
              </w:rPr>
              <w:t>—</w:t>
            </w:r>
          </w:p>
        </w:tc>
        <w:tc>
          <w:tcPr>
            <w:tcW w:w="80" w:type="dxa"/>
            <w:vAlign w:val="bottom"/>
            <w:vMerge w:val="restart"/>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vMerge w:val="restart"/>
          </w:tcPr>
          <w:p>
            <w:pPr>
              <w:ind w:left="20"/>
              <w:spacing w:after="0"/>
              <w:rPr>
                <w:sz w:val="20"/>
                <w:szCs w:val="20"/>
                <w:color w:val="auto"/>
              </w:rPr>
            </w:pPr>
            <w:r>
              <w:rPr>
                <w:rFonts w:ascii="Arial" w:cs="Arial" w:eastAsia="Arial" w:hAnsi="Arial"/>
                <w:sz w:val="9"/>
                <w:szCs w:val="9"/>
                <w:color w:val="auto"/>
              </w:rPr>
              <w:t>$</w:t>
            </w:r>
          </w:p>
        </w:tc>
        <w:tc>
          <w:tcPr>
            <w:tcW w:w="6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60" w:type="dxa"/>
            <w:vAlign w:val="bottom"/>
            <w:vMerge w:val="restart"/>
          </w:tcPr>
          <w:p>
            <w:pPr>
              <w:spacing w:after="0"/>
              <w:rPr>
                <w:sz w:val="20"/>
                <w:szCs w:val="20"/>
                <w:color w:val="auto"/>
              </w:rPr>
            </w:pPr>
            <w:r>
              <w:rPr>
                <w:rFonts w:ascii="Arial" w:cs="Arial" w:eastAsia="Arial" w:hAnsi="Arial"/>
                <w:sz w:val="9"/>
                <w:szCs w:val="9"/>
                <w:color w:val="auto"/>
                <w:w w:val="78"/>
              </w:rPr>
              <w:t>$</w:t>
            </w: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vMerge w:val="restart"/>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vMerge w:val="restart"/>
          </w:tcPr>
          <w:p>
            <w:pPr>
              <w:spacing w:after="0"/>
              <w:rPr>
                <w:sz w:val="20"/>
                <w:szCs w:val="20"/>
                <w:color w:val="auto"/>
              </w:rPr>
            </w:pPr>
            <w:r>
              <w:rPr>
                <w:rFonts w:ascii="Arial" w:cs="Arial" w:eastAsia="Arial" w:hAnsi="Arial"/>
                <w:sz w:val="9"/>
                <w:szCs w:val="9"/>
                <w:color w:val="auto"/>
              </w:rPr>
              <w:t>$</w:t>
            </w:r>
          </w:p>
        </w:tc>
        <w:tc>
          <w:tcPr>
            <w:tcW w:w="62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vMerge w:val="restart"/>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vMerge w:val="restart"/>
          </w:tcPr>
          <w:p>
            <w:pPr>
              <w:jc w:val="right"/>
              <w:ind w:right="13"/>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30"/>
        </w:trPr>
        <w:tc>
          <w:tcPr>
            <w:tcW w:w="1860" w:type="dxa"/>
            <w:vAlign w:val="bottom"/>
            <w:gridSpan w:val="2"/>
          </w:tcPr>
          <w:p>
            <w:pPr>
              <w:ind w:left="120"/>
              <w:spacing w:after="0"/>
              <w:rPr>
                <w:sz w:val="20"/>
                <w:szCs w:val="20"/>
                <w:color w:val="auto"/>
              </w:rPr>
            </w:pPr>
            <w:r>
              <w:rPr>
                <w:rFonts w:ascii="Arial" w:cs="Arial" w:eastAsia="Arial" w:hAnsi="Arial"/>
                <w:sz w:val="9"/>
                <w:szCs w:val="9"/>
                <w:color w:val="auto"/>
              </w:rPr>
              <w:t>exchanges</w:t>
            </w:r>
          </w:p>
        </w:tc>
        <w:tc>
          <w:tcPr>
            <w:tcW w:w="680" w:type="dxa"/>
            <w:vAlign w:val="bottom"/>
            <w:gridSpan w:val="2"/>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860" w:type="dxa"/>
            <w:vAlign w:val="bottom"/>
            <w:gridSpan w:val="2"/>
            <w:shd w:val="clear" w:color="auto" w:fill="CCEEFF"/>
          </w:tcPr>
          <w:p>
            <w:pPr>
              <w:ind w:left="120"/>
              <w:spacing w:after="0"/>
              <w:rPr>
                <w:sz w:val="20"/>
                <w:szCs w:val="20"/>
                <w:color w:val="auto"/>
              </w:rPr>
            </w:pPr>
            <w:r>
              <w:rPr>
                <w:rFonts w:ascii="Arial" w:cs="Arial" w:eastAsia="Arial" w:hAnsi="Arial"/>
                <w:sz w:val="9"/>
                <w:szCs w:val="9"/>
                <w:color w:val="auto"/>
              </w:rPr>
              <w:t>Issuance of tax receivable agreements in</w:t>
            </w:r>
          </w:p>
        </w:tc>
        <w:tc>
          <w:tcPr>
            <w:tcW w:w="600" w:type="dxa"/>
            <w:vAlign w:val="bottom"/>
            <w:vMerge w:val="restart"/>
            <w:shd w:val="clear" w:color="auto" w:fill="CCEEFF"/>
          </w:tcPr>
          <w:p>
            <w:pPr>
              <w:jc w:val="right"/>
              <w:ind w:right="13"/>
              <w:spacing w:after="0"/>
              <w:rPr>
                <w:sz w:val="20"/>
                <w:szCs w:val="20"/>
                <w:color w:val="auto"/>
              </w:rPr>
            </w:pPr>
            <w:r>
              <w:rPr>
                <w:rFonts w:ascii="Arial" w:cs="Arial" w:eastAsia="Arial" w:hAnsi="Arial"/>
                <w:sz w:val="9"/>
                <w:szCs w:val="9"/>
                <w:color w:val="auto"/>
              </w:rPr>
              <w:t>—</w:t>
            </w:r>
          </w:p>
        </w:tc>
        <w:tc>
          <w:tcPr>
            <w:tcW w:w="80" w:type="dxa"/>
            <w:vAlign w:val="bottom"/>
            <w:vMerge w:val="restart"/>
            <w:shd w:val="clear" w:color="auto" w:fill="CCEEFF"/>
          </w:tcPr>
          <w:p>
            <w:pPr>
              <w:spacing w:after="0"/>
              <w:rPr>
                <w:sz w:val="9"/>
                <w:szCs w:val="9"/>
                <w:color w:val="auto"/>
              </w:rPr>
            </w:pPr>
          </w:p>
        </w:tc>
        <w:tc>
          <w:tcPr>
            <w:tcW w:w="580" w:type="dxa"/>
            <w:vAlign w:val="bottom"/>
            <w:vMerge w:val="restart"/>
            <w:shd w:val="clear" w:color="auto" w:fill="CCEEFF"/>
          </w:tcPr>
          <w:p>
            <w:pPr>
              <w:jc w:val="right"/>
              <w:ind w:right="13"/>
              <w:spacing w:after="0"/>
              <w:rPr>
                <w:sz w:val="20"/>
                <w:szCs w:val="20"/>
                <w:color w:val="auto"/>
              </w:rPr>
            </w:pPr>
            <w:r>
              <w:rPr>
                <w:rFonts w:ascii="Arial" w:cs="Arial" w:eastAsia="Arial" w:hAnsi="Arial"/>
                <w:sz w:val="9"/>
                <w:szCs w:val="9"/>
                <w:color w:val="auto"/>
              </w:rPr>
              <w:t>—</w:t>
            </w:r>
          </w:p>
        </w:tc>
        <w:tc>
          <w:tcPr>
            <w:tcW w:w="60" w:type="dxa"/>
            <w:vAlign w:val="bottom"/>
            <w:vMerge w:val="restart"/>
            <w:shd w:val="clear" w:color="auto" w:fill="CCEEFF"/>
          </w:tcPr>
          <w:p>
            <w:pPr>
              <w:spacing w:after="0"/>
              <w:rPr>
                <w:sz w:val="9"/>
                <w:szCs w:val="9"/>
                <w:color w:val="auto"/>
              </w:rPr>
            </w:pPr>
          </w:p>
        </w:tc>
        <w:tc>
          <w:tcPr>
            <w:tcW w:w="580" w:type="dxa"/>
            <w:vAlign w:val="bottom"/>
            <w:vMerge w:val="restart"/>
            <w:shd w:val="clear" w:color="auto" w:fill="CCEEFF"/>
          </w:tcPr>
          <w:p>
            <w:pPr>
              <w:jc w:val="right"/>
              <w:ind w:right="13"/>
              <w:spacing w:after="0"/>
              <w:rPr>
                <w:sz w:val="20"/>
                <w:szCs w:val="20"/>
                <w:color w:val="auto"/>
              </w:rPr>
            </w:pPr>
            <w:r>
              <w:rPr>
                <w:rFonts w:ascii="Arial" w:cs="Arial" w:eastAsia="Arial" w:hAnsi="Arial"/>
                <w:sz w:val="9"/>
                <w:szCs w:val="9"/>
                <w:color w:val="auto"/>
              </w:rPr>
              <w:t>—</w:t>
            </w:r>
          </w:p>
        </w:tc>
        <w:tc>
          <w:tcPr>
            <w:tcW w:w="80" w:type="dxa"/>
            <w:vAlign w:val="bottom"/>
            <w:vMerge w:val="restart"/>
            <w:shd w:val="clear" w:color="auto" w:fill="CCEEFF"/>
          </w:tcPr>
          <w:p>
            <w:pPr>
              <w:spacing w:after="0"/>
              <w:rPr>
                <w:sz w:val="9"/>
                <w:szCs w:val="9"/>
                <w:color w:val="auto"/>
              </w:rPr>
            </w:pPr>
          </w:p>
        </w:tc>
        <w:tc>
          <w:tcPr>
            <w:tcW w:w="580" w:type="dxa"/>
            <w:vAlign w:val="bottom"/>
            <w:vMerge w:val="restart"/>
            <w:shd w:val="clear" w:color="auto" w:fill="CCEEFF"/>
          </w:tcPr>
          <w:p>
            <w:pPr>
              <w:ind w:left="420"/>
              <w:spacing w:after="0"/>
              <w:rPr>
                <w:sz w:val="20"/>
                <w:szCs w:val="20"/>
                <w:color w:val="auto"/>
              </w:rPr>
            </w:pPr>
            <w:r>
              <w:rPr>
                <w:rFonts w:ascii="Arial" w:cs="Arial" w:eastAsia="Arial" w:hAnsi="Arial"/>
                <w:sz w:val="9"/>
                <w:szCs w:val="9"/>
                <w:color w:val="auto"/>
              </w:rPr>
              <w:t>—</w:t>
            </w:r>
          </w:p>
        </w:tc>
        <w:tc>
          <w:tcPr>
            <w:tcW w:w="60" w:type="dxa"/>
            <w:vAlign w:val="bottom"/>
            <w:vMerge w:val="restart"/>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vMerge w:val="restart"/>
            <w:shd w:val="clear" w:color="auto" w:fill="CCEEFF"/>
          </w:tcPr>
          <w:p>
            <w:pPr>
              <w:spacing w:after="0"/>
              <w:rPr>
                <w:sz w:val="9"/>
                <w:szCs w:val="9"/>
                <w:color w:val="auto"/>
              </w:rPr>
            </w:pPr>
          </w:p>
        </w:tc>
        <w:tc>
          <w:tcPr>
            <w:tcW w:w="580" w:type="dxa"/>
            <w:vAlign w:val="bottom"/>
            <w:vMerge w:val="restart"/>
            <w:shd w:val="clear" w:color="auto" w:fill="CCEEFF"/>
          </w:tcPr>
          <w:p>
            <w:pPr>
              <w:jc w:val="right"/>
              <w:ind w:right="13"/>
              <w:spacing w:after="0"/>
              <w:rPr>
                <w:sz w:val="20"/>
                <w:szCs w:val="20"/>
                <w:color w:val="auto"/>
              </w:rPr>
            </w:pPr>
            <w:r>
              <w:rPr>
                <w:rFonts w:ascii="Arial" w:cs="Arial" w:eastAsia="Arial" w:hAnsi="Arial"/>
                <w:sz w:val="9"/>
                <w:szCs w:val="9"/>
                <w:color w:val="auto"/>
              </w:rPr>
              <w:t>—</w:t>
            </w:r>
          </w:p>
        </w:tc>
        <w:tc>
          <w:tcPr>
            <w:tcW w:w="60" w:type="dxa"/>
            <w:vAlign w:val="bottom"/>
            <w:vMerge w:val="restart"/>
            <w:shd w:val="clear" w:color="auto" w:fill="CCEEFF"/>
          </w:tcPr>
          <w:p>
            <w:pPr>
              <w:spacing w:after="0"/>
              <w:rPr>
                <w:sz w:val="9"/>
                <w:szCs w:val="9"/>
                <w:color w:val="auto"/>
              </w:rPr>
            </w:pPr>
          </w:p>
        </w:tc>
        <w:tc>
          <w:tcPr>
            <w:tcW w:w="580" w:type="dxa"/>
            <w:vAlign w:val="bottom"/>
            <w:vMerge w:val="restart"/>
            <w:shd w:val="clear" w:color="auto" w:fill="CCEEFF"/>
          </w:tcPr>
          <w:p>
            <w:pPr>
              <w:ind w:left="420"/>
              <w:spacing w:after="0"/>
              <w:rPr>
                <w:sz w:val="20"/>
                <w:szCs w:val="20"/>
                <w:color w:val="auto"/>
              </w:rPr>
            </w:pPr>
            <w:r>
              <w:rPr>
                <w:rFonts w:ascii="Arial" w:cs="Arial" w:eastAsia="Arial" w:hAnsi="Arial"/>
                <w:sz w:val="9"/>
                <w:szCs w:val="9"/>
                <w:color w:val="auto"/>
              </w:rPr>
              <w:t>—</w:t>
            </w:r>
          </w:p>
        </w:tc>
        <w:tc>
          <w:tcPr>
            <w:tcW w:w="60" w:type="dxa"/>
            <w:vAlign w:val="bottom"/>
            <w:vMerge w:val="restart"/>
            <w:shd w:val="clear" w:color="auto" w:fill="CCEEFF"/>
          </w:tcPr>
          <w:p>
            <w:pPr>
              <w:spacing w:after="0"/>
              <w:rPr>
                <w:sz w:val="9"/>
                <w:szCs w:val="9"/>
                <w:color w:val="auto"/>
              </w:rPr>
            </w:pPr>
          </w:p>
        </w:tc>
        <w:tc>
          <w:tcPr>
            <w:tcW w:w="520" w:type="dxa"/>
            <w:vAlign w:val="bottom"/>
            <w:vMerge w:val="restart"/>
            <w:shd w:val="clear" w:color="auto" w:fill="CCEEFF"/>
          </w:tcPr>
          <w:p>
            <w:pPr>
              <w:ind w:left="360"/>
              <w:spacing w:after="0"/>
              <w:rPr>
                <w:sz w:val="20"/>
                <w:szCs w:val="20"/>
                <w:color w:val="auto"/>
              </w:rPr>
            </w:pPr>
            <w:r>
              <w:rPr>
                <w:rFonts w:ascii="Arial" w:cs="Arial" w:eastAsia="Arial" w:hAnsi="Arial"/>
                <w:sz w:val="9"/>
                <w:szCs w:val="9"/>
                <w:color w:val="auto"/>
              </w:rPr>
              <w:t>—</w:t>
            </w:r>
          </w:p>
        </w:tc>
        <w:tc>
          <w:tcPr>
            <w:tcW w:w="60" w:type="dxa"/>
            <w:vAlign w:val="bottom"/>
            <w:vMerge w:val="restart"/>
            <w:shd w:val="clear" w:color="auto" w:fill="CCEEFF"/>
          </w:tcPr>
          <w:p>
            <w:pPr>
              <w:spacing w:after="0"/>
              <w:rPr>
                <w:sz w:val="9"/>
                <w:szCs w:val="9"/>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vMerge w:val="restart"/>
            <w:shd w:val="clear" w:color="auto" w:fill="CCEEFF"/>
          </w:tcPr>
          <w:p>
            <w:pPr>
              <w:jc w:val="right"/>
              <w:ind w:right="13"/>
              <w:spacing w:after="0"/>
              <w:rPr>
                <w:sz w:val="20"/>
                <w:szCs w:val="20"/>
                <w:color w:val="auto"/>
              </w:rPr>
            </w:pPr>
            <w:r>
              <w:rPr>
                <w:rFonts w:ascii="Arial" w:cs="Arial" w:eastAsia="Arial" w:hAnsi="Arial"/>
                <w:sz w:val="9"/>
                <w:szCs w:val="9"/>
                <w:color w:val="auto"/>
              </w:rPr>
              <w:t>311</w:t>
            </w:r>
          </w:p>
        </w:tc>
        <w:tc>
          <w:tcPr>
            <w:tcW w:w="6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9"/>
                <w:szCs w:val="9"/>
                <w:color w:val="auto"/>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vMerge w:val="restart"/>
            <w:shd w:val="clear" w:color="auto" w:fill="CCEEFF"/>
          </w:tcPr>
          <w:p>
            <w:pPr>
              <w:spacing w:after="0"/>
              <w:rPr>
                <w:sz w:val="9"/>
                <w:szCs w:val="9"/>
                <w:color w:val="auto"/>
              </w:rPr>
            </w:pPr>
          </w:p>
        </w:tc>
        <w:tc>
          <w:tcPr>
            <w:tcW w:w="60" w:type="dxa"/>
            <w:vAlign w:val="bottom"/>
            <w:vMerge w:val="restart"/>
            <w:shd w:val="clear" w:color="auto" w:fill="CCEEFF"/>
          </w:tcPr>
          <w:p>
            <w:pPr>
              <w:spacing w:after="0"/>
              <w:rPr>
                <w:sz w:val="20"/>
                <w:szCs w:val="20"/>
                <w:color w:val="auto"/>
              </w:rPr>
            </w:pPr>
            <w:r>
              <w:rPr>
                <w:rFonts w:ascii="Arial" w:cs="Arial" w:eastAsia="Arial" w:hAnsi="Arial"/>
                <w:sz w:val="9"/>
                <w:szCs w:val="9"/>
                <w:color w:val="auto"/>
                <w:w w:val="78"/>
              </w:rPr>
              <w:t>$</w:t>
            </w:r>
          </w:p>
        </w:tc>
        <w:tc>
          <w:tcPr>
            <w:tcW w:w="600" w:type="dxa"/>
            <w:vAlign w:val="bottom"/>
            <w:vMerge w:val="restart"/>
            <w:shd w:val="clear" w:color="auto" w:fill="CCEEFF"/>
          </w:tcPr>
          <w:p>
            <w:pPr>
              <w:jc w:val="right"/>
              <w:ind w:right="14"/>
              <w:spacing w:after="0"/>
              <w:rPr>
                <w:sz w:val="20"/>
                <w:szCs w:val="20"/>
                <w:color w:val="auto"/>
              </w:rPr>
            </w:pPr>
            <w:r>
              <w:rPr>
                <w:rFonts w:ascii="Arial" w:cs="Arial" w:eastAsia="Arial" w:hAnsi="Arial"/>
                <w:sz w:val="9"/>
                <w:szCs w:val="9"/>
                <w:color w:val="auto"/>
              </w:rPr>
              <w:t>—</w:t>
            </w:r>
          </w:p>
        </w:tc>
        <w:tc>
          <w:tcPr>
            <w:tcW w:w="60" w:type="dxa"/>
            <w:vAlign w:val="bottom"/>
            <w:vMerge w:val="restart"/>
            <w:shd w:val="clear" w:color="auto" w:fill="CCEEFF"/>
          </w:tcPr>
          <w:p>
            <w:pPr>
              <w:spacing w:after="0"/>
              <w:rPr>
                <w:sz w:val="9"/>
                <w:szCs w:val="9"/>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311</w:t>
            </w:r>
          </w:p>
        </w:tc>
        <w:tc>
          <w:tcPr>
            <w:tcW w:w="8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spacing w:after="0"/>
              <w:rPr>
                <w:sz w:val="20"/>
                <w:szCs w:val="20"/>
                <w:color w:val="auto"/>
              </w:rPr>
            </w:pPr>
            <w:r>
              <w:rPr>
                <w:rFonts w:ascii="Arial" w:cs="Arial" w:eastAsia="Arial" w:hAnsi="Arial"/>
                <w:sz w:val="9"/>
                <w:szCs w:val="9"/>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vMerge w:val="restart"/>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vMerge w:val="restart"/>
            <w:shd w:val="clear" w:color="auto" w:fill="CCEEFF"/>
          </w:tcPr>
          <w:p>
            <w:pPr>
              <w:jc w:val="right"/>
              <w:ind w:right="13"/>
              <w:spacing w:after="0"/>
              <w:rPr>
                <w:sz w:val="20"/>
                <w:szCs w:val="20"/>
                <w:color w:val="auto"/>
              </w:rPr>
            </w:pPr>
            <w:r>
              <w:rPr>
                <w:rFonts w:ascii="Arial" w:cs="Arial" w:eastAsia="Arial" w:hAnsi="Arial"/>
                <w:sz w:val="9"/>
                <w:szCs w:val="9"/>
                <w:color w:val="auto"/>
              </w:rPr>
              <w:t>311</w:t>
            </w:r>
          </w:p>
        </w:tc>
        <w:tc>
          <w:tcPr>
            <w:tcW w:w="0" w:type="dxa"/>
            <w:vAlign w:val="bottom"/>
          </w:tcPr>
          <w:p>
            <w:pPr>
              <w:spacing w:after="0"/>
              <w:rPr>
                <w:sz w:val="1"/>
                <w:szCs w:val="1"/>
                <w:color w:val="auto"/>
              </w:rPr>
            </w:pPr>
          </w:p>
        </w:tc>
      </w:tr>
      <w:tr>
        <w:trPr>
          <w:trHeight w:val="132"/>
        </w:trPr>
        <w:tc>
          <w:tcPr>
            <w:tcW w:w="18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9"/>
                <w:szCs w:val="9"/>
                <w:color w:val="auto"/>
              </w:rPr>
              <w:t>connection with employee exchange</w:t>
            </w:r>
          </w:p>
        </w:tc>
        <w:tc>
          <w:tcPr>
            <w:tcW w:w="60" w:type="dxa"/>
            <w:vAlign w:val="bottom"/>
            <w:shd w:val="clear" w:color="auto" w:fill="CCEEFF"/>
          </w:tcPr>
          <w:p>
            <w:pPr>
              <w:spacing w:after="0"/>
              <w:rPr>
                <w:sz w:val="11"/>
                <w:szCs w:val="11"/>
                <w:color w:val="auto"/>
              </w:rPr>
            </w:pPr>
          </w:p>
        </w:tc>
        <w:tc>
          <w:tcPr>
            <w:tcW w:w="600" w:type="dxa"/>
            <w:vAlign w:val="bottom"/>
            <w:tcBorders>
              <w:bottom w:val="single" w:sz="8" w:color="auto"/>
            </w:tcBorders>
            <w:vMerge w:val="continue"/>
            <w:shd w:val="clear" w:color="auto" w:fill="CCEEFF"/>
          </w:tcPr>
          <w:p>
            <w:pPr>
              <w:spacing w:after="0"/>
              <w:rPr>
                <w:sz w:val="11"/>
                <w:szCs w:val="11"/>
                <w:color w:val="auto"/>
              </w:rPr>
            </w:pPr>
          </w:p>
        </w:tc>
        <w:tc>
          <w:tcPr>
            <w:tcW w:w="80" w:type="dxa"/>
            <w:vAlign w:val="bottom"/>
            <w:vMerge w:val="continue"/>
            <w:shd w:val="clear" w:color="auto" w:fill="CCEEFF"/>
          </w:tcPr>
          <w:p>
            <w:pPr>
              <w:spacing w:after="0"/>
              <w:rPr>
                <w:sz w:val="11"/>
                <w:szCs w:val="11"/>
                <w:color w:val="auto"/>
              </w:rPr>
            </w:pPr>
          </w:p>
        </w:tc>
        <w:tc>
          <w:tcPr>
            <w:tcW w:w="580" w:type="dxa"/>
            <w:vAlign w:val="bottom"/>
            <w:tcBorders>
              <w:bottom w:val="single" w:sz="8" w:color="auto"/>
            </w:tcBorders>
            <w:vMerge w:val="continue"/>
            <w:shd w:val="clear" w:color="auto" w:fill="CCEEFF"/>
          </w:tcPr>
          <w:p>
            <w:pPr>
              <w:spacing w:after="0"/>
              <w:rPr>
                <w:sz w:val="11"/>
                <w:szCs w:val="11"/>
                <w:color w:val="auto"/>
              </w:rPr>
            </w:pPr>
          </w:p>
        </w:tc>
        <w:tc>
          <w:tcPr>
            <w:tcW w:w="60" w:type="dxa"/>
            <w:vAlign w:val="bottom"/>
            <w:vMerge w:val="continue"/>
            <w:shd w:val="clear" w:color="auto" w:fill="CCEEFF"/>
          </w:tcPr>
          <w:p>
            <w:pPr>
              <w:spacing w:after="0"/>
              <w:rPr>
                <w:sz w:val="11"/>
                <w:szCs w:val="11"/>
                <w:color w:val="auto"/>
              </w:rPr>
            </w:pPr>
          </w:p>
        </w:tc>
        <w:tc>
          <w:tcPr>
            <w:tcW w:w="580" w:type="dxa"/>
            <w:vAlign w:val="bottom"/>
            <w:tcBorders>
              <w:bottom w:val="single" w:sz="8" w:color="auto"/>
            </w:tcBorders>
            <w:vMerge w:val="continue"/>
            <w:shd w:val="clear" w:color="auto" w:fill="CCEEFF"/>
          </w:tcPr>
          <w:p>
            <w:pPr>
              <w:spacing w:after="0"/>
              <w:rPr>
                <w:sz w:val="11"/>
                <w:szCs w:val="11"/>
                <w:color w:val="auto"/>
              </w:rPr>
            </w:pPr>
          </w:p>
        </w:tc>
        <w:tc>
          <w:tcPr>
            <w:tcW w:w="80" w:type="dxa"/>
            <w:vAlign w:val="bottom"/>
            <w:vMerge w:val="continue"/>
            <w:shd w:val="clear" w:color="auto" w:fill="CCEEFF"/>
          </w:tcPr>
          <w:p>
            <w:pPr>
              <w:spacing w:after="0"/>
              <w:rPr>
                <w:sz w:val="11"/>
                <w:szCs w:val="11"/>
                <w:color w:val="auto"/>
              </w:rPr>
            </w:pPr>
          </w:p>
        </w:tc>
        <w:tc>
          <w:tcPr>
            <w:tcW w:w="580" w:type="dxa"/>
            <w:vAlign w:val="bottom"/>
            <w:tcBorders>
              <w:bottom w:val="single" w:sz="8" w:color="auto"/>
            </w:tcBorders>
            <w:vMerge w:val="continue"/>
            <w:shd w:val="clear" w:color="auto" w:fill="CCEEFF"/>
          </w:tcPr>
          <w:p>
            <w:pPr>
              <w:spacing w:after="0"/>
              <w:rPr>
                <w:sz w:val="11"/>
                <w:szCs w:val="11"/>
                <w:color w:val="auto"/>
              </w:rPr>
            </w:pPr>
          </w:p>
        </w:tc>
        <w:tc>
          <w:tcPr>
            <w:tcW w:w="60" w:type="dxa"/>
            <w:vAlign w:val="bottom"/>
            <w:vMerge w:val="continue"/>
            <w:shd w:val="clear" w:color="auto" w:fill="CCEEFF"/>
          </w:tcPr>
          <w:p>
            <w:pPr>
              <w:spacing w:after="0"/>
              <w:rPr>
                <w:sz w:val="11"/>
                <w:szCs w:val="11"/>
                <w:color w:val="auto"/>
              </w:rPr>
            </w:pPr>
          </w:p>
        </w:tc>
        <w:tc>
          <w:tcPr>
            <w:tcW w:w="580" w:type="dxa"/>
            <w:vAlign w:val="bottom"/>
            <w:tcBorders>
              <w:bottom w:val="single" w:sz="8" w:color="auto"/>
            </w:tcBorders>
            <w:vMerge w:val="continue"/>
            <w:shd w:val="clear" w:color="auto" w:fill="CCEEFF"/>
          </w:tcPr>
          <w:p>
            <w:pPr>
              <w:spacing w:after="0"/>
              <w:rPr>
                <w:sz w:val="11"/>
                <w:szCs w:val="11"/>
                <w:color w:val="auto"/>
              </w:rPr>
            </w:pPr>
          </w:p>
        </w:tc>
        <w:tc>
          <w:tcPr>
            <w:tcW w:w="80" w:type="dxa"/>
            <w:vAlign w:val="bottom"/>
            <w:vMerge w:val="continue"/>
            <w:shd w:val="clear" w:color="auto" w:fill="CCEEFF"/>
          </w:tcPr>
          <w:p>
            <w:pPr>
              <w:spacing w:after="0"/>
              <w:rPr>
                <w:sz w:val="11"/>
                <w:szCs w:val="11"/>
                <w:color w:val="auto"/>
              </w:rPr>
            </w:pPr>
          </w:p>
        </w:tc>
        <w:tc>
          <w:tcPr>
            <w:tcW w:w="580" w:type="dxa"/>
            <w:vAlign w:val="bottom"/>
            <w:tcBorders>
              <w:bottom w:val="single" w:sz="8" w:color="auto"/>
            </w:tcBorders>
            <w:vMerge w:val="continue"/>
            <w:shd w:val="clear" w:color="auto" w:fill="CCEEFF"/>
          </w:tcPr>
          <w:p>
            <w:pPr>
              <w:spacing w:after="0"/>
              <w:rPr>
                <w:sz w:val="11"/>
                <w:szCs w:val="11"/>
                <w:color w:val="auto"/>
              </w:rPr>
            </w:pPr>
          </w:p>
        </w:tc>
        <w:tc>
          <w:tcPr>
            <w:tcW w:w="60" w:type="dxa"/>
            <w:vAlign w:val="bottom"/>
            <w:vMerge w:val="continue"/>
            <w:shd w:val="clear" w:color="auto" w:fill="CCEEFF"/>
          </w:tcPr>
          <w:p>
            <w:pPr>
              <w:spacing w:after="0"/>
              <w:rPr>
                <w:sz w:val="11"/>
                <w:szCs w:val="11"/>
                <w:color w:val="auto"/>
              </w:rPr>
            </w:pPr>
          </w:p>
        </w:tc>
        <w:tc>
          <w:tcPr>
            <w:tcW w:w="580" w:type="dxa"/>
            <w:vAlign w:val="bottom"/>
            <w:tcBorders>
              <w:bottom w:val="single" w:sz="8" w:color="auto"/>
            </w:tcBorders>
            <w:vMerge w:val="continue"/>
            <w:shd w:val="clear" w:color="auto" w:fill="CCEEFF"/>
          </w:tcPr>
          <w:p>
            <w:pPr>
              <w:spacing w:after="0"/>
              <w:rPr>
                <w:sz w:val="11"/>
                <w:szCs w:val="11"/>
                <w:color w:val="auto"/>
              </w:rPr>
            </w:pPr>
          </w:p>
        </w:tc>
        <w:tc>
          <w:tcPr>
            <w:tcW w:w="60" w:type="dxa"/>
            <w:vAlign w:val="bottom"/>
            <w:vMerge w:val="continue"/>
            <w:shd w:val="clear" w:color="auto" w:fill="CCEEFF"/>
          </w:tcPr>
          <w:p>
            <w:pPr>
              <w:spacing w:after="0"/>
              <w:rPr>
                <w:sz w:val="11"/>
                <w:szCs w:val="11"/>
                <w:color w:val="auto"/>
              </w:rPr>
            </w:pPr>
          </w:p>
        </w:tc>
        <w:tc>
          <w:tcPr>
            <w:tcW w:w="520" w:type="dxa"/>
            <w:vAlign w:val="bottom"/>
            <w:tcBorders>
              <w:bottom w:val="single" w:sz="8" w:color="auto"/>
            </w:tcBorders>
            <w:vMerge w:val="continue"/>
            <w:shd w:val="clear" w:color="auto" w:fill="CCEEFF"/>
          </w:tcPr>
          <w:p>
            <w:pPr>
              <w:spacing w:after="0"/>
              <w:rPr>
                <w:sz w:val="11"/>
                <w:szCs w:val="11"/>
                <w:color w:val="auto"/>
              </w:rPr>
            </w:pPr>
          </w:p>
        </w:tc>
        <w:tc>
          <w:tcPr>
            <w:tcW w:w="60" w:type="dxa"/>
            <w:vAlign w:val="bottom"/>
            <w:vMerge w:val="continue"/>
            <w:shd w:val="clear" w:color="auto" w:fill="CCEEFF"/>
          </w:tcPr>
          <w:p>
            <w:pPr>
              <w:spacing w:after="0"/>
              <w:rPr>
                <w:sz w:val="11"/>
                <w:szCs w:val="11"/>
                <w:color w:val="auto"/>
              </w:rPr>
            </w:pPr>
          </w:p>
        </w:tc>
        <w:tc>
          <w:tcPr>
            <w:tcW w:w="80" w:type="dxa"/>
            <w:vAlign w:val="bottom"/>
            <w:tcBorders>
              <w:bottom w:val="single" w:sz="8" w:color="auto"/>
            </w:tcBorders>
            <w:vMerge w:val="continue"/>
            <w:shd w:val="clear" w:color="auto" w:fill="CCEEFF"/>
          </w:tcPr>
          <w:p>
            <w:pPr>
              <w:spacing w:after="0"/>
              <w:rPr>
                <w:sz w:val="11"/>
                <w:szCs w:val="11"/>
                <w:color w:val="auto"/>
              </w:rPr>
            </w:pPr>
          </w:p>
        </w:tc>
        <w:tc>
          <w:tcPr>
            <w:tcW w:w="520" w:type="dxa"/>
            <w:vAlign w:val="bottom"/>
            <w:tcBorders>
              <w:bottom w:val="single" w:sz="8" w:color="auto"/>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tcBorders>
              <w:bottom w:val="single" w:sz="8" w:color="auto"/>
            </w:tcBorders>
            <w:vMerge w:val="continue"/>
            <w:shd w:val="clear" w:color="auto" w:fill="CCEEFF"/>
          </w:tcPr>
          <w:p>
            <w:pPr>
              <w:spacing w:after="0"/>
              <w:rPr>
                <w:sz w:val="11"/>
                <w:szCs w:val="11"/>
                <w:color w:val="auto"/>
              </w:rPr>
            </w:pPr>
          </w:p>
        </w:tc>
        <w:tc>
          <w:tcPr>
            <w:tcW w:w="520" w:type="dxa"/>
            <w:vAlign w:val="bottom"/>
            <w:tcBorders>
              <w:bottom w:val="single" w:sz="8" w:color="auto"/>
            </w:tcBorders>
            <w:vMerge w:val="continue"/>
            <w:shd w:val="clear" w:color="auto" w:fill="CCEEFF"/>
          </w:tcPr>
          <w:p>
            <w:pPr>
              <w:spacing w:after="0"/>
              <w:rPr>
                <w:sz w:val="11"/>
                <w:szCs w:val="11"/>
                <w:color w:val="auto"/>
              </w:rPr>
            </w:pPr>
          </w:p>
        </w:tc>
        <w:tc>
          <w:tcPr>
            <w:tcW w:w="80" w:type="dxa"/>
            <w:vAlign w:val="bottom"/>
            <w:vMerge w:val="continue"/>
            <w:shd w:val="clear" w:color="auto" w:fill="CCEEFF"/>
          </w:tcPr>
          <w:p>
            <w:pPr>
              <w:spacing w:after="0"/>
              <w:rPr>
                <w:sz w:val="11"/>
                <w:szCs w:val="11"/>
                <w:color w:val="auto"/>
              </w:rPr>
            </w:pPr>
          </w:p>
        </w:tc>
        <w:tc>
          <w:tcPr>
            <w:tcW w:w="60" w:type="dxa"/>
            <w:vAlign w:val="bottom"/>
            <w:tcBorders>
              <w:bottom w:val="single" w:sz="8" w:color="auto"/>
            </w:tcBorders>
            <w:vMerge w:val="continue"/>
            <w:shd w:val="clear" w:color="auto" w:fill="CCEEFF"/>
          </w:tcPr>
          <w:p>
            <w:pPr>
              <w:spacing w:after="0"/>
              <w:rPr>
                <w:sz w:val="11"/>
                <w:szCs w:val="11"/>
                <w:color w:val="auto"/>
              </w:rPr>
            </w:pPr>
          </w:p>
        </w:tc>
        <w:tc>
          <w:tcPr>
            <w:tcW w:w="600" w:type="dxa"/>
            <w:vAlign w:val="bottom"/>
            <w:tcBorders>
              <w:bottom w:val="single" w:sz="8" w:color="auto"/>
            </w:tcBorders>
            <w:vMerge w:val="continue"/>
            <w:shd w:val="clear" w:color="auto" w:fill="CCEEFF"/>
          </w:tcPr>
          <w:p>
            <w:pPr>
              <w:spacing w:after="0"/>
              <w:rPr>
                <w:sz w:val="11"/>
                <w:szCs w:val="11"/>
                <w:color w:val="auto"/>
              </w:rPr>
            </w:pPr>
          </w:p>
        </w:tc>
        <w:tc>
          <w:tcPr>
            <w:tcW w:w="60" w:type="dxa"/>
            <w:vAlign w:val="bottom"/>
            <w:vMerge w:val="continue"/>
            <w:shd w:val="clear" w:color="auto" w:fill="CCEEFF"/>
          </w:tcPr>
          <w:p>
            <w:pPr>
              <w:spacing w:after="0"/>
              <w:rPr>
                <w:sz w:val="11"/>
                <w:szCs w:val="11"/>
                <w:color w:val="auto"/>
              </w:rPr>
            </w:pPr>
          </w:p>
        </w:tc>
        <w:tc>
          <w:tcPr>
            <w:tcW w:w="80" w:type="dxa"/>
            <w:vAlign w:val="bottom"/>
            <w:tcBorders>
              <w:bottom w:val="single" w:sz="8" w:color="auto"/>
            </w:tcBorders>
            <w:vMerge w:val="continue"/>
            <w:shd w:val="clear" w:color="auto" w:fill="CCEEFF"/>
          </w:tcPr>
          <w:p>
            <w:pPr>
              <w:spacing w:after="0"/>
              <w:rPr>
                <w:sz w:val="11"/>
                <w:szCs w:val="11"/>
                <w:color w:val="auto"/>
              </w:rPr>
            </w:pPr>
          </w:p>
        </w:tc>
        <w:tc>
          <w:tcPr>
            <w:tcW w:w="540" w:type="dxa"/>
            <w:vAlign w:val="bottom"/>
            <w:tcBorders>
              <w:bottom w:val="single" w:sz="8" w:color="auto"/>
            </w:tcBorders>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bottom w:val="single" w:sz="8" w:color="auto"/>
            </w:tcBorders>
            <w:vMerge w:val="continue"/>
            <w:shd w:val="clear" w:color="auto" w:fill="CCEEFF"/>
          </w:tcPr>
          <w:p>
            <w:pPr>
              <w:spacing w:after="0"/>
              <w:rPr>
                <w:sz w:val="11"/>
                <w:szCs w:val="11"/>
                <w:color w:val="auto"/>
              </w:rPr>
            </w:pPr>
          </w:p>
        </w:tc>
        <w:tc>
          <w:tcPr>
            <w:tcW w:w="540" w:type="dxa"/>
            <w:vAlign w:val="bottom"/>
            <w:tcBorders>
              <w:bottom w:val="single" w:sz="8" w:color="auto"/>
            </w:tcBorders>
            <w:vMerge w:val="continue"/>
            <w:shd w:val="clear" w:color="auto" w:fill="CCEEFF"/>
          </w:tcPr>
          <w:p>
            <w:pPr>
              <w:spacing w:after="0"/>
              <w:rPr>
                <w:sz w:val="11"/>
                <w:szCs w:val="11"/>
                <w:color w:val="auto"/>
              </w:rPr>
            </w:pPr>
          </w:p>
        </w:tc>
        <w:tc>
          <w:tcPr>
            <w:tcW w:w="80" w:type="dxa"/>
            <w:vAlign w:val="bottom"/>
            <w:vMerge w:val="continue"/>
            <w:shd w:val="clear" w:color="auto" w:fill="CCEEFF"/>
          </w:tcPr>
          <w:p>
            <w:pPr>
              <w:spacing w:after="0"/>
              <w:rPr>
                <w:sz w:val="11"/>
                <w:szCs w:val="11"/>
                <w:color w:val="auto"/>
              </w:rPr>
            </w:pPr>
          </w:p>
        </w:tc>
        <w:tc>
          <w:tcPr>
            <w:tcW w:w="100" w:type="dxa"/>
            <w:vAlign w:val="bottom"/>
            <w:tcBorders>
              <w:bottom w:val="single" w:sz="8" w:color="auto"/>
            </w:tcBorders>
            <w:vMerge w:val="continue"/>
            <w:shd w:val="clear" w:color="auto" w:fill="CCEEFF"/>
          </w:tcPr>
          <w:p>
            <w:pPr>
              <w:spacing w:after="0"/>
              <w:rPr>
                <w:sz w:val="11"/>
                <w:szCs w:val="11"/>
                <w:color w:val="auto"/>
              </w:rPr>
            </w:pPr>
          </w:p>
        </w:tc>
        <w:tc>
          <w:tcPr>
            <w:tcW w:w="500" w:type="dxa"/>
            <w:vAlign w:val="bottom"/>
            <w:tcBorders>
              <w:bottom w:val="single" w:sz="8" w:color="auto"/>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860" w:type="dxa"/>
            <w:vAlign w:val="bottom"/>
            <w:gridSpan w:val="2"/>
          </w:tcPr>
          <w:p>
            <w:pPr>
              <w:ind w:left="20"/>
              <w:spacing w:after="0"/>
              <w:rPr>
                <w:sz w:val="20"/>
                <w:szCs w:val="20"/>
                <w:color w:val="auto"/>
              </w:rPr>
            </w:pPr>
            <w:r>
              <w:rPr>
                <w:rFonts w:ascii="Arial" w:cs="Arial" w:eastAsia="Arial" w:hAnsi="Arial"/>
                <w:sz w:val="9"/>
                <w:szCs w:val="9"/>
                <w:color w:val="auto"/>
              </w:rPr>
              <w:t>Balance at December 31, 2021</w:t>
            </w:r>
          </w:p>
        </w:tc>
        <w:tc>
          <w:tcPr>
            <w:tcW w:w="600" w:type="dxa"/>
            <w:vAlign w:val="bottom"/>
          </w:tcPr>
          <w:p>
            <w:pPr>
              <w:jc w:val="right"/>
              <w:ind w:right="13"/>
              <w:spacing w:after="0"/>
              <w:rPr>
                <w:sz w:val="20"/>
                <w:szCs w:val="20"/>
                <w:color w:val="auto"/>
              </w:rPr>
            </w:pPr>
            <w:r>
              <w:rPr>
                <w:rFonts w:ascii="Arial" w:cs="Arial" w:eastAsia="Arial" w:hAnsi="Arial"/>
                <w:sz w:val="9"/>
                <w:szCs w:val="9"/>
                <w:color w:val="auto"/>
              </w:rPr>
              <w:t>131,497,645</w:t>
            </w:r>
          </w:p>
        </w:tc>
        <w:tc>
          <w:tcPr>
            <w:tcW w:w="80" w:type="dxa"/>
            <w:vAlign w:val="bottom"/>
          </w:tcPr>
          <w:p>
            <w:pPr>
              <w:spacing w:after="0"/>
              <w:rPr>
                <w:sz w:val="11"/>
                <w:szCs w:val="11"/>
                <w:color w:val="auto"/>
              </w:rPr>
            </w:pPr>
          </w:p>
        </w:tc>
        <w:tc>
          <w:tcPr>
            <w:tcW w:w="580" w:type="dxa"/>
            <w:vAlign w:val="bottom"/>
          </w:tcPr>
          <w:p>
            <w:pPr>
              <w:jc w:val="right"/>
              <w:ind w:right="13"/>
              <w:spacing w:after="0"/>
              <w:rPr>
                <w:sz w:val="20"/>
                <w:szCs w:val="20"/>
                <w:color w:val="auto"/>
              </w:rPr>
            </w:pPr>
            <w:r>
              <w:rPr>
                <w:rFonts w:ascii="Arial" w:cs="Arial" w:eastAsia="Arial" w:hAnsi="Arial"/>
                <w:sz w:val="9"/>
                <w:szCs w:val="9"/>
                <w:color w:val="auto"/>
              </w:rPr>
              <w:t>1</w:t>
            </w:r>
          </w:p>
        </w:tc>
        <w:tc>
          <w:tcPr>
            <w:tcW w:w="60" w:type="dxa"/>
            <w:vAlign w:val="bottom"/>
          </w:tcPr>
          <w:p>
            <w:pPr>
              <w:spacing w:after="0"/>
              <w:rPr>
                <w:sz w:val="11"/>
                <w:szCs w:val="11"/>
                <w:color w:val="auto"/>
              </w:rPr>
            </w:pPr>
          </w:p>
        </w:tc>
        <w:tc>
          <w:tcPr>
            <w:tcW w:w="580" w:type="dxa"/>
            <w:vAlign w:val="bottom"/>
          </w:tcPr>
          <w:p>
            <w:pPr>
              <w:jc w:val="right"/>
              <w:ind w:right="13"/>
              <w:spacing w:after="0"/>
              <w:rPr>
                <w:sz w:val="20"/>
                <w:szCs w:val="20"/>
                <w:color w:val="auto"/>
              </w:rPr>
            </w:pPr>
            <w:r>
              <w:rPr>
                <w:rFonts w:ascii="Arial" w:cs="Arial" w:eastAsia="Arial" w:hAnsi="Arial"/>
                <w:sz w:val="9"/>
                <w:szCs w:val="9"/>
                <w:color w:val="auto"/>
              </w:rPr>
              <w:t>9,359,065</w:t>
            </w:r>
          </w:p>
        </w:tc>
        <w:tc>
          <w:tcPr>
            <w:tcW w:w="80" w:type="dxa"/>
            <w:vAlign w:val="bottom"/>
          </w:tcPr>
          <w:p>
            <w:pPr>
              <w:spacing w:after="0"/>
              <w:rPr>
                <w:sz w:val="11"/>
                <w:szCs w:val="11"/>
                <w:color w:val="auto"/>
              </w:rPr>
            </w:pPr>
          </w:p>
        </w:tc>
        <w:tc>
          <w:tcPr>
            <w:tcW w:w="640" w:type="dxa"/>
            <w:vAlign w:val="bottom"/>
            <w:gridSpan w:val="2"/>
          </w:tcPr>
          <w:p>
            <w:pPr>
              <w:ind w:left="420"/>
              <w:spacing w:after="0"/>
              <w:rPr>
                <w:sz w:val="20"/>
                <w:szCs w:val="20"/>
                <w:color w:val="auto"/>
              </w:rPr>
            </w:pPr>
            <w:r>
              <w:rPr>
                <w:rFonts w:ascii="Arial" w:cs="Arial" w:eastAsia="Arial" w:hAnsi="Arial"/>
                <w:sz w:val="9"/>
                <w:szCs w:val="9"/>
                <w:color w:val="auto"/>
              </w:rPr>
              <w:t>—</w:t>
            </w:r>
          </w:p>
        </w:tc>
        <w:tc>
          <w:tcPr>
            <w:tcW w:w="580" w:type="dxa"/>
            <w:vAlign w:val="bottom"/>
          </w:tcPr>
          <w:p>
            <w:pPr>
              <w:jc w:val="right"/>
              <w:spacing w:after="0"/>
              <w:rPr>
                <w:sz w:val="20"/>
                <w:szCs w:val="20"/>
                <w:color w:val="auto"/>
              </w:rPr>
            </w:pPr>
            <w:r>
              <w:rPr>
                <w:rFonts w:ascii="Arial" w:cs="Arial" w:eastAsia="Arial" w:hAnsi="Arial"/>
                <w:sz w:val="9"/>
                <w:szCs w:val="9"/>
                <w:color w:val="auto"/>
              </w:rPr>
              <w:t>60,091,740</w:t>
            </w:r>
          </w:p>
        </w:tc>
        <w:tc>
          <w:tcPr>
            <w:tcW w:w="80" w:type="dxa"/>
            <w:vAlign w:val="bottom"/>
          </w:tcPr>
          <w:p>
            <w:pPr>
              <w:spacing w:after="0"/>
              <w:rPr>
                <w:sz w:val="11"/>
                <w:szCs w:val="11"/>
                <w:color w:val="auto"/>
              </w:rPr>
            </w:pPr>
          </w:p>
        </w:tc>
        <w:tc>
          <w:tcPr>
            <w:tcW w:w="580" w:type="dxa"/>
            <w:vAlign w:val="bottom"/>
          </w:tcPr>
          <w:p>
            <w:pPr>
              <w:jc w:val="right"/>
              <w:ind w:right="13"/>
              <w:spacing w:after="0"/>
              <w:rPr>
                <w:sz w:val="20"/>
                <w:szCs w:val="20"/>
                <w:color w:val="auto"/>
              </w:rPr>
            </w:pPr>
            <w:r>
              <w:rPr>
                <w:rFonts w:ascii="Arial" w:cs="Arial" w:eastAsia="Arial" w:hAnsi="Arial"/>
                <w:sz w:val="9"/>
                <w:szCs w:val="9"/>
                <w:color w:val="auto"/>
              </w:rPr>
              <w:t>1</w:t>
            </w:r>
          </w:p>
        </w:tc>
        <w:tc>
          <w:tcPr>
            <w:tcW w:w="60" w:type="dxa"/>
            <w:vAlign w:val="bottom"/>
          </w:tcPr>
          <w:p>
            <w:pPr>
              <w:spacing w:after="0"/>
              <w:rPr>
                <w:sz w:val="11"/>
                <w:szCs w:val="11"/>
                <w:color w:val="auto"/>
              </w:rPr>
            </w:pPr>
          </w:p>
        </w:tc>
        <w:tc>
          <w:tcPr>
            <w:tcW w:w="580" w:type="dxa"/>
            <w:vAlign w:val="bottom"/>
          </w:tcPr>
          <w:p>
            <w:pPr>
              <w:ind w:left="60"/>
              <w:spacing w:after="0"/>
              <w:rPr>
                <w:sz w:val="20"/>
                <w:szCs w:val="20"/>
                <w:color w:val="auto"/>
              </w:rPr>
            </w:pPr>
            <w:r>
              <w:rPr>
                <w:rFonts w:ascii="Arial" w:cs="Arial" w:eastAsia="Arial" w:hAnsi="Arial"/>
                <w:sz w:val="9"/>
                <w:szCs w:val="9"/>
                <w:color w:val="auto"/>
                <w:w w:val="97"/>
              </w:rPr>
              <w:t>(18,326,863)</w:t>
            </w:r>
          </w:p>
        </w:tc>
        <w:tc>
          <w:tcPr>
            <w:tcW w:w="60" w:type="dxa"/>
            <w:vAlign w:val="bottom"/>
          </w:tcPr>
          <w:p>
            <w:pPr>
              <w:spacing w:after="0"/>
              <w:rPr>
                <w:sz w:val="11"/>
                <w:szCs w:val="11"/>
                <w:color w:val="auto"/>
              </w:rPr>
            </w:pPr>
          </w:p>
        </w:tc>
        <w:tc>
          <w:tcPr>
            <w:tcW w:w="520" w:type="dxa"/>
            <w:vAlign w:val="bottom"/>
          </w:tcPr>
          <w:p>
            <w:pPr>
              <w:ind w:left="120"/>
              <w:spacing w:after="0"/>
              <w:rPr>
                <w:sz w:val="20"/>
                <w:szCs w:val="20"/>
                <w:color w:val="auto"/>
              </w:rPr>
            </w:pPr>
            <w:r>
              <w:rPr>
                <w:rFonts w:ascii="Arial" w:cs="Arial" w:eastAsia="Arial" w:hAnsi="Arial"/>
                <w:sz w:val="9"/>
                <w:szCs w:val="9"/>
                <w:color w:val="auto"/>
                <w:w w:val="98"/>
              </w:rPr>
              <w:t>(494,075)</w:t>
            </w:r>
          </w:p>
        </w:tc>
        <w:tc>
          <w:tcPr>
            <w:tcW w:w="6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tcPr>
          <w:p>
            <w:pPr>
              <w:jc w:val="right"/>
              <w:ind w:right="13"/>
              <w:spacing w:after="0"/>
              <w:rPr>
                <w:sz w:val="20"/>
                <w:szCs w:val="20"/>
                <w:color w:val="auto"/>
              </w:rPr>
            </w:pPr>
            <w:r>
              <w:rPr>
                <w:rFonts w:ascii="Arial" w:cs="Arial" w:eastAsia="Arial" w:hAnsi="Arial"/>
                <w:sz w:val="9"/>
                <w:szCs w:val="9"/>
                <w:color w:val="auto"/>
              </w:rPr>
              <w:t>1,223,119</w:t>
            </w:r>
          </w:p>
        </w:tc>
        <w:tc>
          <w:tcPr>
            <w:tcW w:w="60" w:type="dxa"/>
            <w:vAlign w:val="bottom"/>
          </w:tcPr>
          <w:p>
            <w:pPr>
              <w:spacing w:after="0"/>
              <w:rPr>
                <w:sz w:val="11"/>
                <w:szCs w:val="11"/>
                <w:color w:val="auto"/>
              </w:rPr>
            </w:pPr>
          </w:p>
        </w:tc>
        <w:tc>
          <w:tcPr>
            <w:tcW w:w="100" w:type="dxa"/>
            <w:vAlign w:val="bottom"/>
          </w:tcPr>
          <w:p>
            <w:pPr>
              <w:ind w:left="20"/>
              <w:spacing w:after="0"/>
              <w:rPr>
                <w:sz w:val="20"/>
                <w:szCs w:val="20"/>
                <w:color w:val="auto"/>
              </w:rPr>
            </w:pPr>
            <w:r>
              <w:rPr>
                <w:rFonts w:ascii="Arial" w:cs="Arial" w:eastAsia="Arial" w:hAnsi="Arial"/>
                <w:sz w:val="9"/>
                <w:szCs w:val="9"/>
                <w:color w:val="auto"/>
              </w:rPr>
              <w:t>$</w:t>
            </w:r>
          </w:p>
        </w:tc>
        <w:tc>
          <w:tcPr>
            <w:tcW w:w="520" w:type="dxa"/>
            <w:vAlign w:val="bottom"/>
          </w:tcPr>
          <w:p>
            <w:pPr>
              <w:jc w:val="right"/>
              <w:spacing w:after="0"/>
              <w:rPr>
                <w:sz w:val="20"/>
                <w:szCs w:val="20"/>
                <w:color w:val="auto"/>
              </w:rPr>
            </w:pPr>
            <w:r>
              <w:rPr>
                <w:rFonts w:ascii="Arial" w:cs="Arial" w:eastAsia="Arial" w:hAnsi="Arial"/>
                <w:sz w:val="9"/>
                <w:szCs w:val="9"/>
                <w:color w:val="auto"/>
              </w:rPr>
              <w:t>830,538</w:t>
            </w:r>
          </w:p>
        </w:tc>
        <w:tc>
          <w:tcPr>
            <w:tcW w:w="80" w:type="dxa"/>
            <w:vAlign w:val="bottom"/>
          </w:tcPr>
          <w:p>
            <w:pPr>
              <w:spacing w:after="0"/>
              <w:rPr>
                <w:sz w:val="11"/>
                <w:szCs w:val="11"/>
                <w:color w:val="auto"/>
              </w:rPr>
            </w:pPr>
          </w:p>
        </w:tc>
        <w:tc>
          <w:tcPr>
            <w:tcW w:w="60" w:type="dxa"/>
            <w:vAlign w:val="bottom"/>
          </w:tcPr>
          <w:p>
            <w:pPr>
              <w:spacing w:after="0"/>
              <w:rPr>
                <w:sz w:val="20"/>
                <w:szCs w:val="20"/>
                <w:color w:val="auto"/>
              </w:rPr>
            </w:pPr>
            <w:r>
              <w:rPr>
                <w:rFonts w:ascii="Arial" w:cs="Arial" w:eastAsia="Arial" w:hAnsi="Arial"/>
                <w:sz w:val="9"/>
                <w:szCs w:val="9"/>
                <w:color w:val="auto"/>
                <w:w w:val="78"/>
              </w:rPr>
              <w:t>$</w:t>
            </w:r>
          </w:p>
        </w:tc>
        <w:tc>
          <w:tcPr>
            <w:tcW w:w="600" w:type="dxa"/>
            <w:vAlign w:val="bottom"/>
          </w:tcPr>
          <w:p>
            <w:pPr>
              <w:jc w:val="right"/>
              <w:spacing w:after="0"/>
              <w:rPr>
                <w:sz w:val="20"/>
                <w:szCs w:val="20"/>
                <w:color w:val="auto"/>
              </w:rPr>
            </w:pPr>
            <w:r>
              <w:rPr>
                <w:rFonts w:ascii="Arial" w:cs="Arial" w:eastAsia="Arial" w:hAnsi="Arial"/>
                <w:sz w:val="9"/>
                <w:szCs w:val="9"/>
                <w:color w:val="auto"/>
              </w:rPr>
              <w:t>(10,196)</w:t>
            </w:r>
          </w:p>
        </w:tc>
        <w:tc>
          <w:tcPr>
            <w:tcW w:w="6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tcPr>
          <w:p>
            <w:pPr>
              <w:jc w:val="right"/>
              <w:spacing w:after="0"/>
              <w:rPr>
                <w:sz w:val="20"/>
                <w:szCs w:val="20"/>
                <w:color w:val="auto"/>
              </w:rPr>
            </w:pPr>
            <w:r>
              <w:rPr>
                <w:rFonts w:ascii="Arial" w:cs="Arial" w:eastAsia="Arial" w:hAnsi="Arial"/>
                <w:sz w:val="9"/>
                <w:szCs w:val="9"/>
                <w:color w:val="auto"/>
              </w:rPr>
              <w:t>1,549,388</w:t>
            </w:r>
          </w:p>
        </w:tc>
        <w:tc>
          <w:tcPr>
            <w:tcW w:w="80" w:type="dxa"/>
            <w:vAlign w:val="bottom"/>
          </w:tcPr>
          <w:p>
            <w:pPr>
              <w:spacing w:after="0"/>
              <w:rPr>
                <w:sz w:val="11"/>
                <w:szCs w:val="11"/>
                <w:color w:val="auto"/>
              </w:rPr>
            </w:pPr>
          </w:p>
        </w:tc>
        <w:tc>
          <w:tcPr>
            <w:tcW w:w="100" w:type="dxa"/>
            <w:vAlign w:val="bottom"/>
          </w:tcPr>
          <w:p>
            <w:pPr>
              <w:spacing w:after="0"/>
              <w:rPr>
                <w:sz w:val="20"/>
                <w:szCs w:val="20"/>
                <w:color w:val="auto"/>
              </w:rPr>
            </w:pPr>
            <w:r>
              <w:rPr>
                <w:rFonts w:ascii="Arial" w:cs="Arial" w:eastAsia="Arial" w:hAnsi="Arial"/>
                <w:sz w:val="9"/>
                <w:szCs w:val="9"/>
                <w:color w:val="auto"/>
              </w:rPr>
              <w:t>$</w:t>
            </w:r>
          </w:p>
        </w:tc>
        <w:tc>
          <w:tcPr>
            <w:tcW w:w="540" w:type="dxa"/>
            <w:vAlign w:val="bottom"/>
          </w:tcPr>
          <w:p>
            <w:pPr>
              <w:jc w:val="right"/>
              <w:spacing w:after="0"/>
              <w:rPr>
                <w:sz w:val="20"/>
                <w:szCs w:val="20"/>
                <w:color w:val="auto"/>
              </w:rPr>
            </w:pPr>
            <w:r>
              <w:rPr>
                <w:rFonts w:ascii="Arial" w:cs="Arial" w:eastAsia="Arial" w:hAnsi="Arial"/>
                <w:sz w:val="9"/>
                <w:szCs w:val="9"/>
                <w:color w:val="auto"/>
              </w:rPr>
              <w:t>314,230</w:t>
            </w:r>
          </w:p>
        </w:tc>
        <w:tc>
          <w:tcPr>
            <w:tcW w:w="8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tcPr>
          <w:p>
            <w:pPr>
              <w:jc w:val="right"/>
              <w:ind w:right="13"/>
              <w:spacing w:after="0"/>
              <w:rPr>
                <w:sz w:val="20"/>
                <w:szCs w:val="20"/>
                <w:color w:val="auto"/>
              </w:rPr>
            </w:pPr>
            <w:r>
              <w:rPr>
                <w:rFonts w:ascii="Arial" w:cs="Arial" w:eastAsia="Arial" w:hAnsi="Arial"/>
                <w:sz w:val="9"/>
                <w:szCs w:val="9"/>
                <w:color w:val="auto"/>
              </w:rPr>
              <w:t>1,863,618</w:t>
            </w:r>
          </w:p>
        </w:tc>
        <w:tc>
          <w:tcPr>
            <w:tcW w:w="0" w:type="dxa"/>
            <w:vAlign w:val="bottom"/>
          </w:tcPr>
          <w:p>
            <w:pPr>
              <w:spacing w:after="0"/>
              <w:rPr>
                <w:sz w:val="1"/>
                <w:szCs w:val="1"/>
                <w:color w:val="auto"/>
              </w:rPr>
            </w:pPr>
          </w:p>
        </w:tc>
      </w:tr>
      <w:tr>
        <w:trPr>
          <w:trHeight w:val="24"/>
        </w:trPr>
        <w:tc>
          <w:tcPr>
            <w:tcW w:w="180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52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5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See accompanying Notes to the Consolidated Financial Statements.</w:t>
      </w:r>
    </w:p>
    <w:p>
      <w:pPr>
        <w:spacing w:after="0" w:line="200" w:lineRule="exact"/>
        <w:rPr>
          <w:sz w:val="20"/>
          <w:szCs w:val="20"/>
          <w:color w:val="auto"/>
        </w:rPr>
      </w:pPr>
    </w:p>
    <w:p>
      <w:pPr>
        <w:spacing w:after="0" w:line="32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81" w:name="page82"/>
    <w:bookmarkEnd w:id="8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Virtu Financial, Inc. and Subsidiaries</w:t>
      </w:r>
    </w:p>
    <w:p>
      <w:pPr>
        <w:spacing w:after="0" w:line="5"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307" w:lineRule="exact"/>
        <w:rPr>
          <w:sz w:val="20"/>
          <w:szCs w:val="20"/>
          <w:color w:val="auto"/>
        </w:rPr>
      </w:pPr>
    </w:p>
    <w:tbl>
      <w:tblPr>
        <w:tblLayout w:type="fixed"/>
        <w:tblInd w:w="160" w:type="dxa"/>
        <w:tblCellMar>
          <w:top w:w="0" w:type="dxa"/>
          <w:left w:w="0" w:type="dxa"/>
          <w:bottom w:w="0" w:type="dxa"/>
          <w:right w:w="0" w:type="dxa"/>
        </w:tblCellMar>
      </w:tblPr>
      <w:tr>
        <w:trPr>
          <w:trHeight w:val="166"/>
        </w:trPr>
        <w:tc>
          <w:tcPr>
            <w:tcW w:w="6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5"/>
          </w:tcPr>
          <w:p>
            <w:pPr>
              <w:jc w:val="right"/>
              <w:ind w:right="157"/>
              <w:spacing w:after="0"/>
              <w:rPr>
                <w:sz w:val="20"/>
                <w:szCs w:val="20"/>
                <w:color w:val="auto"/>
              </w:rPr>
            </w:pPr>
            <w:r>
              <w:rPr>
                <w:rFonts w:ascii="Arial" w:cs="Arial" w:eastAsia="Arial" w:hAnsi="Arial"/>
                <w:sz w:val="13"/>
                <w:szCs w:val="13"/>
                <w:b w:val="1"/>
                <w:bCs w:val="1"/>
                <w:color w:val="auto"/>
                <w:w w:val="86"/>
              </w:rPr>
              <w:t>Years Ended December 31,</w:t>
            </w:r>
          </w:p>
        </w:tc>
        <w:tc>
          <w:tcPr>
            <w:tcW w:w="960" w:type="dxa"/>
            <w:vAlign w:val="bottom"/>
            <w:tcBorders>
              <w:bottom w:val="single" w:sz="8" w:color="auto"/>
            </w:tcBorders>
          </w:tcPr>
          <w:p>
            <w:pPr>
              <w:spacing w:after="0"/>
              <w:rPr>
                <w:sz w:val="14"/>
                <w:szCs w:val="14"/>
                <w:color w:val="auto"/>
              </w:rPr>
            </w:pPr>
          </w:p>
        </w:tc>
      </w:tr>
      <w:tr>
        <w:trPr>
          <w:trHeight w:val="165"/>
        </w:trPr>
        <w:tc>
          <w:tcPr>
            <w:tcW w:w="7100" w:type="dxa"/>
            <w:vAlign w:val="bottom"/>
            <w:gridSpan w:val="2"/>
          </w:tcPr>
          <w:p>
            <w:pPr>
              <w:ind w:left="20"/>
              <w:spacing w:after="0"/>
              <w:rPr>
                <w:sz w:val="20"/>
                <w:szCs w:val="20"/>
                <w:color w:val="auto"/>
              </w:rPr>
            </w:pPr>
            <w:r>
              <w:rPr>
                <w:rFonts w:ascii="Arial" w:cs="Arial" w:eastAsia="Arial" w:hAnsi="Arial"/>
                <w:sz w:val="13"/>
                <w:szCs w:val="13"/>
                <w:b w:val="1"/>
                <w:bCs w:val="1"/>
                <w:color w:val="auto"/>
              </w:rPr>
              <w:t>(in thousands)</w:t>
            </w:r>
          </w:p>
        </w:tc>
        <w:tc>
          <w:tcPr>
            <w:tcW w:w="260" w:type="dxa"/>
            <w:vAlign w:val="bottom"/>
          </w:tcPr>
          <w:p>
            <w:pPr>
              <w:spacing w:after="0"/>
              <w:rPr>
                <w:sz w:val="14"/>
                <w:szCs w:val="14"/>
                <w:color w:val="auto"/>
              </w:rPr>
            </w:pPr>
          </w:p>
        </w:tc>
        <w:tc>
          <w:tcPr>
            <w:tcW w:w="920" w:type="dxa"/>
            <w:vAlign w:val="bottom"/>
          </w:tcPr>
          <w:p>
            <w:pPr>
              <w:jc w:val="right"/>
              <w:ind w:right="397"/>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ind w:right="397"/>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437"/>
              <w:spacing w:after="0"/>
              <w:rPr>
                <w:sz w:val="20"/>
                <w:szCs w:val="20"/>
                <w:color w:val="auto"/>
              </w:rPr>
            </w:pPr>
            <w:r>
              <w:rPr>
                <w:rFonts w:ascii="Arial" w:cs="Arial" w:eastAsia="Arial" w:hAnsi="Arial"/>
                <w:sz w:val="13"/>
                <w:szCs w:val="13"/>
                <w:b w:val="1"/>
                <w:bCs w:val="1"/>
                <w:color w:val="auto"/>
              </w:rPr>
              <w:t>2019</w:t>
            </w:r>
          </w:p>
        </w:tc>
      </w:tr>
      <w:tr>
        <w:trPr>
          <w:trHeight w:val="158"/>
        </w:trPr>
        <w:tc>
          <w:tcPr>
            <w:tcW w:w="6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Cash flows from operating activities</w:t>
            </w:r>
          </w:p>
        </w:tc>
        <w:tc>
          <w:tcPr>
            <w:tcW w:w="16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r>
      <w:tr>
        <w:trPr>
          <w:trHeight w:val="163"/>
        </w:trPr>
        <w:tc>
          <w:tcPr>
            <w:tcW w:w="7100" w:type="dxa"/>
            <w:vAlign w:val="bottom"/>
            <w:gridSpan w:val="2"/>
          </w:tcPr>
          <w:p>
            <w:pPr>
              <w:ind w:left="120"/>
              <w:spacing w:after="0"/>
              <w:rPr>
                <w:sz w:val="20"/>
                <w:szCs w:val="20"/>
                <w:color w:val="auto"/>
              </w:rPr>
            </w:pPr>
            <w:r>
              <w:rPr>
                <w:rFonts w:ascii="Arial" w:cs="Arial" w:eastAsia="Arial" w:hAnsi="Arial"/>
                <w:sz w:val="13"/>
                <w:szCs w:val="13"/>
                <w:color w:val="auto"/>
              </w:rPr>
              <w:t>Net income (loss)</w:t>
            </w:r>
          </w:p>
        </w:tc>
        <w:tc>
          <w:tcPr>
            <w:tcW w:w="260" w:type="dxa"/>
            <w:vAlign w:val="bottom"/>
          </w:tcPr>
          <w:p>
            <w:pPr>
              <w:jc w:val="right"/>
              <w:ind w:right="117"/>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827,234</w:t>
            </w:r>
          </w:p>
        </w:tc>
        <w:tc>
          <w:tcPr>
            <w:tcW w:w="3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1,120,913</w:t>
            </w:r>
          </w:p>
        </w:tc>
        <w:tc>
          <w:tcPr>
            <w:tcW w:w="120" w:type="dxa"/>
            <w:vAlign w:val="bottom"/>
          </w:tcPr>
          <w:p>
            <w:pPr>
              <w:spacing w:after="0"/>
              <w:rPr>
                <w:sz w:val="14"/>
                <w:szCs w:val="14"/>
                <w:color w:val="auto"/>
              </w:rPr>
            </w:pPr>
          </w:p>
        </w:tc>
        <w:tc>
          <w:tcPr>
            <w:tcW w:w="280" w:type="dxa"/>
            <w:vAlign w:val="bottom"/>
          </w:tcPr>
          <w:p>
            <w:pPr>
              <w:jc w:val="right"/>
              <w:ind w:right="137"/>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(103,705)</w:t>
            </w:r>
          </w:p>
        </w:tc>
      </w:tr>
      <w:tr>
        <w:trPr>
          <w:trHeight w:val="192"/>
        </w:trPr>
        <w:tc>
          <w:tcPr>
            <w:tcW w:w="6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63"/>
        </w:trPr>
        <w:tc>
          <w:tcPr>
            <w:tcW w:w="7100" w:type="dxa"/>
            <w:vAlign w:val="bottom"/>
            <w:gridSpan w:val="2"/>
          </w:tcPr>
          <w:p>
            <w:pPr>
              <w:ind w:left="120"/>
              <w:spacing w:after="0"/>
              <w:rPr>
                <w:sz w:val="20"/>
                <w:szCs w:val="20"/>
                <w:color w:val="auto"/>
              </w:rPr>
            </w:pPr>
            <w:r>
              <w:rPr>
                <w:rFonts w:ascii="Arial" w:cs="Arial" w:eastAsia="Arial" w:hAnsi="Arial"/>
                <w:sz w:val="13"/>
                <w:szCs w:val="13"/>
                <w:color w:val="auto"/>
              </w:rPr>
              <w:t>Adjustments to reconcile net income to net cash provided by operating activities:</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710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Depreciation and amortization</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67,816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66,741</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65,644</w:t>
            </w:r>
          </w:p>
        </w:tc>
      </w:tr>
      <w:tr>
        <w:trPr>
          <w:trHeight w:val="163"/>
        </w:trPr>
        <w:tc>
          <w:tcPr>
            <w:tcW w:w="7100" w:type="dxa"/>
            <w:vAlign w:val="bottom"/>
            <w:gridSpan w:val="2"/>
          </w:tcPr>
          <w:p>
            <w:pPr>
              <w:ind w:left="200"/>
              <w:spacing w:after="0"/>
              <w:rPr>
                <w:sz w:val="20"/>
                <w:szCs w:val="20"/>
                <w:color w:val="auto"/>
              </w:rPr>
            </w:pPr>
            <w:r>
              <w:rPr>
                <w:rFonts w:ascii="Arial" w:cs="Arial" w:eastAsia="Arial" w:hAnsi="Arial"/>
                <w:sz w:val="13"/>
                <w:szCs w:val="13"/>
                <w:color w:val="auto"/>
              </w:rPr>
              <w:t>Amortization of purchased intangibles and acquired capitalized software</w:t>
            </w: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69,668</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74,254</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70,595</w:t>
            </w:r>
          </w:p>
        </w:tc>
      </w:tr>
      <w:tr>
        <w:trPr>
          <w:trHeight w:val="168"/>
        </w:trPr>
        <w:tc>
          <w:tcPr>
            <w:tcW w:w="710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Debt issue cost related to debt refinancing and prepayment</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7,555</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41,134</w:t>
            </w:r>
          </w:p>
        </w:tc>
      </w:tr>
      <w:tr>
        <w:trPr>
          <w:trHeight w:val="163"/>
        </w:trPr>
        <w:tc>
          <w:tcPr>
            <w:tcW w:w="7100" w:type="dxa"/>
            <w:vAlign w:val="bottom"/>
            <w:gridSpan w:val="2"/>
          </w:tcPr>
          <w:p>
            <w:pPr>
              <w:ind w:left="200"/>
              <w:spacing w:after="0"/>
              <w:rPr>
                <w:sz w:val="20"/>
                <w:szCs w:val="20"/>
                <w:color w:val="auto"/>
              </w:rPr>
            </w:pPr>
            <w:r>
              <w:rPr>
                <w:rFonts w:ascii="Arial" w:cs="Arial" w:eastAsia="Arial" w:hAnsi="Arial"/>
                <w:sz w:val="13"/>
                <w:szCs w:val="13"/>
                <w:color w:val="auto"/>
              </w:rPr>
              <w:t>Amortization of debt issuance costs and deferred financing fees</w:t>
            </w: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6,939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26,148</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11,720</w:t>
            </w:r>
          </w:p>
        </w:tc>
      </w:tr>
      <w:tr>
        <w:trPr>
          <w:trHeight w:val="168"/>
        </w:trPr>
        <w:tc>
          <w:tcPr>
            <w:tcW w:w="710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Termination of office leases</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28,138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9,608</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66,452</w:t>
            </w:r>
          </w:p>
        </w:tc>
      </w:tr>
      <w:tr>
        <w:trPr>
          <w:trHeight w:val="163"/>
        </w:trPr>
        <w:tc>
          <w:tcPr>
            <w:tcW w:w="7100" w:type="dxa"/>
            <w:vAlign w:val="bottom"/>
            <w:gridSpan w:val="2"/>
          </w:tcPr>
          <w:p>
            <w:pPr>
              <w:ind w:left="200"/>
              <w:spacing w:after="0"/>
              <w:rPr>
                <w:sz w:val="20"/>
                <w:szCs w:val="20"/>
                <w:color w:val="auto"/>
              </w:rPr>
            </w:pPr>
            <w:r>
              <w:rPr>
                <w:rFonts w:ascii="Arial" w:cs="Arial" w:eastAsia="Arial" w:hAnsi="Arial"/>
                <w:sz w:val="13"/>
                <w:szCs w:val="13"/>
                <w:color w:val="auto"/>
              </w:rPr>
              <w:t>Share-based compensation</w:t>
            </w: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55,751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59,838</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71,728</w:t>
            </w:r>
          </w:p>
        </w:tc>
      </w:tr>
      <w:tr>
        <w:trPr>
          <w:trHeight w:val="168"/>
        </w:trPr>
        <w:tc>
          <w:tcPr>
            <w:tcW w:w="710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Deferred taxes</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34,617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21,601</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(18,691)</w:t>
            </w:r>
          </w:p>
        </w:tc>
      </w:tr>
      <w:tr>
        <w:trPr>
          <w:trHeight w:val="163"/>
        </w:trPr>
        <w:tc>
          <w:tcPr>
            <w:tcW w:w="7100" w:type="dxa"/>
            <w:vAlign w:val="bottom"/>
            <w:gridSpan w:val="2"/>
          </w:tcPr>
          <w:p>
            <w:pPr>
              <w:ind w:left="200"/>
              <w:spacing w:after="0"/>
              <w:rPr>
                <w:sz w:val="20"/>
                <w:szCs w:val="20"/>
                <w:color w:val="auto"/>
              </w:rPr>
            </w:pPr>
            <w:r>
              <w:rPr>
                <w:rFonts w:ascii="Arial" w:cs="Arial" w:eastAsia="Arial" w:hAnsi="Arial"/>
                <w:sz w:val="13"/>
                <w:szCs w:val="13"/>
                <w:color w:val="auto"/>
              </w:rPr>
              <w:t>Gain on sale of MATCHNow</w:t>
            </w: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(58,652)</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710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Other</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(5,556)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(1,926)</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(23,446)</w:t>
            </w:r>
          </w:p>
        </w:tc>
      </w:tr>
      <w:tr>
        <w:trPr>
          <w:trHeight w:val="163"/>
        </w:trPr>
        <w:tc>
          <w:tcPr>
            <w:tcW w:w="7100" w:type="dxa"/>
            <w:vAlign w:val="bottom"/>
            <w:gridSpan w:val="2"/>
          </w:tcPr>
          <w:p>
            <w:pPr>
              <w:ind w:left="200"/>
              <w:spacing w:after="0"/>
              <w:rPr>
                <w:sz w:val="20"/>
                <w:szCs w:val="20"/>
                <w:color w:val="auto"/>
              </w:rPr>
            </w:pPr>
            <w:r>
              <w:rPr>
                <w:rFonts w:ascii="Arial" w:cs="Arial" w:eastAsia="Arial" w:hAnsi="Arial"/>
                <w:sz w:val="13"/>
                <w:szCs w:val="13"/>
                <w:color w:val="auto"/>
              </w:rPr>
              <w:t>Changes in operating assets and liabilities:</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710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Securities borrowed</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75,694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503,747</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(515,897)</w:t>
            </w:r>
          </w:p>
        </w:tc>
      </w:tr>
      <w:tr>
        <w:trPr>
          <w:trHeight w:val="163"/>
        </w:trPr>
        <w:tc>
          <w:tcPr>
            <w:tcW w:w="7100" w:type="dxa"/>
            <w:vAlign w:val="bottom"/>
            <w:gridSpan w:val="2"/>
          </w:tcPr>
          <w:p>
            <w:pPr>
              <w:ind w:left="300"/>
              <w:spacing w:after="0"/>
              <w:rPr>
                <w:sz w:val="20"/>
                <w:szCs w:val="20"/>
                <w:color w:val="auto"/>
              </w:rPr>
            </w:pPr>
            <w:r>
              <w:rPr>
                <w:rFonts w:ascii="Arial" w:cs="Arial" w:eastAsia="Arial" w:hAnsi="Arial"/>
                <w:sz w:val="13"/>
                <w:szCs w:val="13"/>
                <w:color w:val="auto"/>
              </w:rPr>
              <w:t>Securities purchased under agreements to resell</w:t>
            </w: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(96,587)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120,166</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(127,557)</w:t>
            </w:r>
          </w:p>
        </w:tc>
      </w:tr>
      <w:tr>
        <w:trPr>
          <w:trHeight w:val="168"/>
        </w:trPr>
        <w:tc>
          <w:tcPr>
            <w:tcW w:w="710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Receivables from broker-dealers and clearing organizations</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657,199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(365,422)</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110,977</w:t>
            </w:r>
          </w:p>
        </w:tc>
      </w:tr>
      <w:tr>
        <w:trPr>
          <w:trHeight w:val="163"/>
        </w:trPr>
        <w:tc>
          <w:tcPr>
            <w:tcW w:w="7100" w:type="dxa"/>
            <w:vAlign w:val="bottom"/>
            <w:gridSpan w:val="2"/>
          </w:tcPr>
          <w:p>
            <w:pPr>
              <w:ind w:left="300"/>
              <w:spacing w:after="0"/>
              <w:rPr>
                <w:sz w:val="20"/>
                <w:szCs w:val="20"/>
                <w:color w:val="auto"/>
              </w:rPr>
            </w:pPr>
            <w:r>
              <w:rPr>
                <w:rFonts w:ascii="Arial" w:cs="Arial" w:eastAsia="Arial" w:hAnsi="Arial"/>
                <w:sz w:val="13"/>
                <w:szCs w:val="13"/>
                <w:color w:val="auto"/>
              </w:rPr>
              <w:t>Trading assets, at fair value</w:t>
            </w: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(1,141,224)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(350,041)</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(125,246)</w:t>
            </w:r>
          </w:p>
        </w:tc>
      </w:tr>
      <w:tr>
        <w:trPr>
          <w:trHeight w:val="168"/>
        </w:trPr>
        <w:tc>
          <w:tcPr>
            <w:tcW w:w="710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Receivables from customers</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68,002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(110,947)</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29,733</w:t>
            </w:r>
          </w:p>
        </w:tc>
      </w:tr>
      <w:tr>
        <w:trPr>
          <w:trHeight w:val="163"/>
        </w:trPr>
        <w:tc>
          <w:tcPr>
            <w:tcW w:w="7100" w:type="dxa"/>
            <w:vAlign w:val="bottom"/>
            <w:gridSpan w:val="2"/>
          </w:tcPr>
          <w:p>
            <w:pPr>
              <w:ind w:left="300"/>
              <w:spacing w:after="0"/>
              <w:rPr>
                <w:sz w:val="20"/>
                <w:szCs w:val="20"/>
                <w:color w:val="auto"/>
              </w:rPr>
            </w:pPr>
            <w:r>
              <w:rPr>
                <w:rFonts w:ascii="Arial" w:cs="Arial" w:eastAsia="Arial" w:hAnsi="Arial"/>
                <w:sz w:val="13"/>
                <w:szCs w:val="13"/>
                <w:color w:val="auto"/>
              </w:rPr>
              <w:t>Operating lease right-of-use assets</w:t>
            </w: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33,930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39,659</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(241,345)</w:t>
            </w:r>
          </w:p>
        </w:tc>
      </w:tr>
      <w:tr>
        <w:trPr>
          <w:trHeight w:val="168"/>
        </w:trPr>
        <w:tc>
          <w:tcPr>
            <w:tcW w:w="710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Other assets</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59,209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(48,472)</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25,133</w:t>
            </w:r>
          </w:p>
        </w:tc>
      </w:tr>
      <w:tr>
        <w:trPr>
          <w:trHeight w:val="163"/>
        </w:trPr>
        <w:tc>
          <w:tcPr>
            <w:tcW w:w="7100" w:type="dxa"/>
            <w:vAlign w:val="bottom"/>
            <w:gridSpan w:val="2"/>
          </w:tcPr>
          <w:p>
            <w:pPr>
              <w:ind w:left="300"/>
              <w:spacing w:after="0"/>
              <w:rPr>
                <w:sz w:val="20"/>
                <w:szCs w:val="20"/>
                <w:color w:val="auto"/>
              </w:rPr>
            </w:pPr>
            <w:r>
              <w:rPr>
                <w:rFonts w:ascii="Arial" w:cs="Arial" w:eastAsia="Arial" w:hAnsi="Arial"/>
                <w:sz w:val="13"/>
                <w:szCs w:val="13"/>
                <w:color w:val="auto"/>
              </w:rPr>
              <w:t>Securities loaned</w:t>
            </w: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193,792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(651,843)</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452,397</w:t>
            </w:r>
          </w:p>
        </w:tc>
      </w:tr>
      <w:tr>
        <w:trPr>
          <w:trHeight w:val="168"/>
        </w:trPr>
        <w:tc>
          <w:tcPr>
            <w:tcW w:w="710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Securities sold under agreements to repurchase</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53,090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120,493</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58,881</w:t>
            </w:r>
          </w:p>
        </w:tc>
      </w:tr>
      <w:tr>
        <w:trPr>
          <w:trHeight w:val="163"/>
        </w:trPr>
        <w:tc>
          <w:tcPr>
            <w:tcW w:w="7100" w:type="dxa"/>
            <w:vAlign w:val="bottom"/>
            <w:gridSpan w:val="2"/>
          </w:tcPr>
          <w:p>
            <w:pPr>
              <w:ind w:left="300"/>
              <w:spacing w:after="0"/>
              <w:rPr>
                <w:sz w:val="20"/>
                <w:szCs w:val="20"/>
                <w:color w:val="auto"/>
              </w:rPr>
            </w:pPr>
            <w:r>
              <w:rPr>
                <w:rFonts w:ascii="Arial" w:cs="Arial" w:eastAsia="Arial" w:hAnsi="Arial"/>
                <w:sz w:val="13"/>
                <w:szCs w:val="13"/>
                <w:color w:val="auto"/>
              </w:rPr>
              <w:t>Payables to broker-dealers and clearing organizations</w:t>
            </w: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(267,126)</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(9,323)</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107,266</w:t>
            </w:r>
          </w:p>
        </w:tc>
      </w:tr>
      <w:tr>
        <w:trPr>
          <w:trHeight w:val="168"/>
        </w:trPr>
        <w:tc>
          <w:tcPr>
            <w:tcW w:w="710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Payables to customers</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(63,827)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29,107</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(37,560)</w:t>
            </w:r>
          </w:p>
        </w:tc>
      </w:tr>
      <w:tr>
        <w:trPr>
          <w:trHeight w:val="163"/>
        </w:trPr>
        <w:tc>
          <w:tcPr>
            <w:tcW w:w="7100" w:type="dxa"/>
            <w:vAlign w:val="bottom"/>
            <w:gridSpan w:val="2"/>
          </w:tcPr>
          <w:p>
            <w:pPr>
              <w:ind w:left="300"/>
              <w:spacing w:after="0"/>
              <w:rPr>
                <w:sz w:val="20"/>
                <w:szCs w:val="20"/>
                <w:color w:val="auto"/>
              </w:rPr>
            </w:pPr>
            <w:r>
              <w:rPr>
                <w:rFonts w:ascii="Arial" w:cs="Arial" w:eastAsia="Arial" w:hAnsi="Arial"/>
                <w:sz w:val="13"/>
                <w:szCs w:val="13"/>
                <w:color w:val="auto"/>
              </w:rPr>
              <w:t>Trading liabilities, at fair value</w:t>
            </w: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587,071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425,750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22,552</w:t>
            </w:r>
          </w:p>
        </w:tc>
      </w:tr>
      <w:tr>
        <w:trPr>
          <w:trHeight w:val="168"/>
        </w:trPr>
        <w:tc>
          <w:tcPr>
            <w:tcW w:w="710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Operating lease liabilities</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(36,595)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(50,024)</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265,671</w:t>
            </w:r>
          </w:p>
        </w:tc>
      </w:tr>
      <w:tr>
        <w:trPr>
          <w:trHeight w:val="163"/>
        </w:trPr>
        <w:tc>
          <w:tcPr>
            <w:tcW w:w="7100" w:type="dxa"/>
            <w:vAlign w:val="bottom"/>
            <w:tcBorders>
              <w:bottom w:val="single" w:sz="8" w:color="CCEEFF"/>
            </w:tcBorders>
            <w:gridSpan w:val="2"/>
          </w:tcPr>
          <w:p>
            <w:pPr>
              <w:ind w:left="300"/>
              <w:spacing w:after="0"/>
              <w:rPr>
                <w:sz w:val="20"/>
                <w:szCs w:val="20"/>
                <w:color w:val="auto"/>
              </w:rPr>
            </w:pPr>
            <w:r>
              <w:rPr>
                <w:rFonts w:ascii="Arial" w:cs="Arial" w:eastAsia="Arial" w:hAnsi="Arial"/>
                <w:sz w:val="13"/>
                <w:szCs w:val="13"/>
                <w:color w:val="auto"/>
              </w:rPr>
              <w:t>Accounts payable, accrued expenses and other liabilities</w:t>
            </w: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(36,258)</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81,954</w:t>
            </w: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(37,665)</w:t>
            </w:r>
          </w:p>
        </w:tc>
      </w:tr>
      <w:tr>
        <w:trPr>
          <w:trHeight w:val="160"/>
        </w:trPr>
        <w:tc>
          <w:tcPr>
            <w:tcW w:w="710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Net cash provided by operating activities</w:t>
            </w: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1,171,626</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1,060,884</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168,771</w:t>
            </w:r>
          </w:p>
        </w:tc>
      </w:tr>
      <w:tr>
        <w:trPr>
          <w:trHeight w:val="189"/>
        </w:trPr>
        <w:tc>
          <w:tcPr>
            <w:tcW w:w="6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66"/>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Cash flows from investing activities</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63"/>
        </w:trPr>
        <w:tc>
          <w:tcPr>
            <w:tcW w:w="7100" w:type="dxa"/>
            <w:vAlign w:val="bottom"/>
            <w:gridSpan w:val="2"/>
          </w:tcPr>
          <w:p>
            <w:pPr>
              <w:ind w:left="120"/>
              <w:spacing w:after="0"/>
              <w:rPr>
                <w:sz w:val="20"/>
                <w:szCs w:val="20"/>
                <w:color w:val="auto"/>
              </w:rPr>
            </w:pPr>
            <w:r>
              <w:rPr>
                <w:rFonts w:ascii="Arial" w:cs="Arial" w:eastAsia="Arial" w:hAnsi="Arial"/>
                <w:sz w:val="13"/>
                <w:szCs w:val="13"/>
                <w:color w:val="auto"/>
              </w:rPr>
              <w:t>Development of capitalized software</w:t>
            </w: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(35,508)</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(31,471)</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(48,492)</w:t>
            </w:r>
          </w:p>
        </w:tc>
      </w:tr>
      <w:tr>
        <w:trPr>
          <w:trHeight w:val="168"/>
        </w:trPr>
        <w:tc>
          <w:tcPr>
            <w:tcW w:w="71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Acquisition of property and equipment</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(24,562)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(28,888)</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(9,320)</w:t>
            </w:r>
          </w:p>
        </w:tc>
      </w:tr>
      <w:tr>
        <w:trPr>
          <w:trHeight w:val="163"/>
        </w:trPr>
        <w:tc>
          <w:tcPr>
            <w:tcW w:w="7100" w:type="dxa"/>
            <w:vAlign w:val="bottom"/>
            <w:gridSpan w:val="2"/>
          </w:tcPr>
          <w:p>
            <w:pPr>
              <w:ind w:left="120"/>
              <w:spacing w:after="0"/>
              <w:rPr>
                <w:sz w:val="20"/>
                <w:szCs w:val="20"/>
                <w:color w:val="auto"/>
              </w:rPr>
            </w:pPr>
            <w:r>
              <w:rPr>
                <w:rFonts w:ascii="Arial" w:cs="Arial" w:eastAsia="Arial" w:hAnsi="Arial"/>
                <w:sz w:val="13"/>
                <w:szCs w:val="13"/>
                <w:color w:val="auto"/>
              </w:rPr>
              <w:t>Proceeds from sale of investments</w:t>
            </w: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7,620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71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Proceeds from sale of MATCHNow</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60,592</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3"/>
        </w:trPr>
        <w:tc>
          <w:tcPr>
            <w:tcW w:w="7100" w:type="dxa"/>
            <w:vAlign w:val="bottom"/>
            <w:gridSpan w:val="2"/>
          </w:tcPr>
          <w:p>
            <w:pPr>
              <w:ind w:left="120"/>
              <w:spacing w:after="0"/>
              <w:rPr>
                <w:sz w:val="20"/>
                <w:szCs w:val="20"/>
                <w:color w:val="auto"/>
              </w:rPr>
            </w:pPr>
            <w:r>
              <w:rPr>
                <w:rFonts w:ascii="Arial" w:cs="Arial" w:eastAsia="Arial" w:hAnsi="Arial"/>
                <w:sz w:val="13"/>
                <w:szCs w:val="13"/>
                <w:color w:val="auto"/>
              </w:rPr>
              <w:t>ITG Acquisition, net of cash acquired, described in Note 3</w:t>
            </w: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(835,581)</w:t>
            </w:r>
          </w:p>
        </w:tc>
      </w:tr>
      <w:tr>
        <w:trPr>
          <w:trHeight w:val="168"/>
        </w:trPr>
        <w:tc>
          <w:tcPr>
            <w:tcW w:w="71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Other investing activities</w:t>
            </w:r>
          </w:p>
        </w:tc>
        <w:tc>
          <w:tcPr>
            <w:tcW w:w="2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(27,279)</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(10,412)</w:t>
            </w:r>
          </w:p>
        </w:tc>
        <w:tc>
          <w:tcPr>
            <w:tcW w:w="12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(6,250)</w:t>
            </w:r>
          </w:p>
        </w:tc>
      </w:tr>
      <w:tr>
        <w:trPr>
          <w:trHeight w:val="155"/>
        </w:trPr>
        <w:tc>
          <w:tcPr>
            <w:tcW w:w="7100" w:type="dxa"/>
            <w:vAlign w:val="bottom"/>
            <w:gridSpan w:val="2"/>
          </w:tcPr>
          <w:p>
            <w:pPr>
              <w:ind w:left="400"/>
              <w:spacing w:after="0" w:line="148" w:lineRule="exact"/>
              <w:rPr>
                <w:sz w:val="20"/>
                <w:szCs w:val="20"/>
                <w:color w:val="auto"/>
              </w:rPr>
            </w:pPr>
            <w:r>
              <w:rPr>
                <w:rFonts w:ascii="Arial" w:cs="Arial" w:eastAsia="Arial" w:hAnsi="Arial"/>
                <w:sz w:val="13"/>
                <w:szCs w:val="13"/>
                <w:color w:val="auto"/>
              </w:rPr>
              <w:t>Net cash used in investing activities</w:t>
            </w:r>
          </w:p>
        </w:tc>
        <w:tc>
          <w:tcPr>
            <w:tcW w:w="2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(87,349)</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(2,559)</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(899,643)</w:t>
            </w:r>
          </w:p>
        </w:tc>
      </w:tr>
      <w:tr>
        <w:trPr>
          <w:trHeight w:val="192"/>
        </w:trPr>
        <w:tc>
          <w:tcPr>
            <w:tcW w:w="6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65"/>
        </w:trPr>
        <w:tc>
          <w:tcPr>
            <w:tcW w:w="7100" w:type="dxa"/>
            <w:vAlign w:val="bottom"/>
            <w:gridSpan w:val="2"/>
          </w:tcPr>
          <w:p>
            <w:pPr>
              <w:ind w:left="20"/>
              <w:spacing w:after="0"/>
              <w:rPr>
                <w:sz w:val="20"/>
                <w:szCs w:val="20"/>
                <w:color w:val="auto"/>
              </w:rPr>
            </w:pPr>
            <w:r>
              <w:rPr>
                <w:rFonts w:ascii="Arial" w:cs="Arial" w:eastAsia="Arial" w:hAnsi="Arial"/>
                <w:sz w:val="13"/>
                <w:szCs w:val="13"/>
                <w:b w:val="1"/>
                <w:bCs w:val="1"/>
                <w:color w:val="auto"/>
              </w:rPr>
              <w:t>Cash flows from financing activities</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71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Dividends to stockholders and distributions from Virtu Financial to noncontrolling interest</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(548,017)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(484,415)</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(211,635)</w:t>
            </w:r>
          </w:p>
        </w:tc>
      </w:tr>
      <w:tr>
        <w:trPr>
          <w:trHeight w:val="163"/>
        </w:trPr>
        <w:tc>
          <w:tcPr>
            <w:tcW w:w="7100" w:type="dxa"/>
            <w:vAlign w:val="bottom"/>
            <w:gridSpan w:val="2"/>
          </w:tcPr>
          <w:p>
            <w:pPr>
              <w:ind w:left="120"/>
              <w:spacing w:after="0"/>
              <w:rPr>
                <w:sz w:val="20"/>
                <w:szCs w:val="20"/>
                <w:color w:val="auto"/>
              </w:rPr>
            </w:pPr>
            <w:r>
              <w:rPr>
                <w:rFonts w:ascii="Arial" w:cs="Arial" w:eastAsia="Arial" w:hAnsi="Arial"/>
                <w:sz w:val="13"/>
                <w:szCs w:val="13"/>
                <w:color w:val="auto"/>
              </w:rPr>
              <w:t>Repurchase of Class C common stock</w:t>
            </w: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(3,454)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(196)</w:t>
            </w:r>
          </w:p>
        </w:tc>
      </w:tr>
      <w:tr>
        <w:trPr>
          <w:trHeight w:val="168"/>
        </w:trPr>
        <w:tc>
          <w:tcPr>
            <w:tcW w:w="71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Purchase of treasury stock</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(427,453)</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(49,864)</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(15,878)</w:t>
            </w:r>
          </w:p>
        </w:tc>
      </w:tr>
      <w:tr>
        <w:trPr>
          <w:trHeight w:val="163"/>
        </w:trPr>
        <w:tc>
          <w:tcPr>
            <w:tcW w:w="7100" w:type="dxa"/>
            <w:vAlign w:val="bottom"/>
            <w:gridSpan w:val="2"/>
          </w:tcPr>
          <w:p>
            <w:pPr>
              <w:ind w:left="120"/>
              <w:spacing w:after="0"/>
              <w:rPr>
                <w:sz w:val="20"/>
                <w:szCs w:val="20"/>
                <w:color w:val="auto"/>
              </w:rPr>
            </w:pPr>
            <w:r>
              <w:rPr>
                <w:rFonts w:ascii="Arial" w:cs="Arial" w:eastAsia="Arial" w:hAnsi="Arial"/>
                <w:sz w:val="13"/>
                <w:szCs w:val="13"/>
                <w:color w:val="auto"/>
              </w:rPr>
              <w:t>Stock options exercised</w:t>
            </w: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10,042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16,440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931</w:t>
            </w:r>
          </w:p>
        </w:tc>
      </w:tr>
      <w:tr>
        <w:trPr>
          <w:trHeight w:val="168"/>
        </w:trPr>
        <w:tc>
          <w:tcPr>
            <w:tcW w:w="71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Short-term borrowings, net</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(10,514)</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39,935</w:t>
            </w:r>
          </w:p>
        </w:tc>
      </w:tr>
      <w:tr>
        <w:trPr>
          <w:trHeight w:val="163"/>
        </w:trPr>
        <w:tc>
          <w:tcPr>
            <w:tcW w:w="7100" w:type="dxa"/>
            <w:vAlign w:val="bottom"/>
            <w:gridSpan w:val="2"/>
          </w:tcPr>
          <w:p>
            <w:pPr>
              <w:ind w:left="120"/>
              <w:spacing w:after="0"/>
              <w:rPr>
                <w:sz w:val="20"/>
                <w:szCs w:val="20"/>
                <w:color w:val="auto"/>
              </w:rPr>
            </w:pPr>
            <w:r>
              <w:rPr>
                <w:rFonts w:ascii="Arial" w:cs="Arial" w:eastAsia="Arial" w:hAnsi="Arial"/>
                <w:sz w:val="13"/>
                <w:szCs w:val="13"/>
                <w:color w:val="auto"/>
              </w:rPr>
              <w:t>Proceeds from long-term borrowings</w:t>
            </w: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1,492,500</w:t>
            </w:r>
          </w:p>
        </w:tc>
      </w:tr>
      <w:tr>
        <w:trPr>
          <w:trHeight w:val="168"/>
        </w:trPr>
        <w:tc>
          <w:tcPr>
            <w:tcW w:w="71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Repayment of long term borrowings</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(36,737)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(288,500)</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(500,000)</w:t>
            </w:r>
          </w:p>
        </w:tc>
      </w:tr>
      <w:tr>
        <w:trPr>
          <w:trHeight w:val="163"/>
        </w:trPr>
        <w:tc>
          <w:tcPr>
            <w:tcW w:w="7100" w:type="dxa"/>
            <w:vAlign w:val="bottom"/>
            <w:gridSpan w:val="2"/>
          </w:tcPr>
          <w:p>
            <w:pPr>
              <w:ind w:left="120"/>
              <w:spacing w:after="0"/>
              <w:rPr>
                <w:sz w:val="20"/>
                <w:szCs w:val="20"/>
                <w:color w:val="auto"/>
              </w:rPr>
            </w:pPr>
            <w:r>
              <w:rPr>
                <w:rFonts w:ascii="Arial" w:cs="Arial" w:eastAsia="Arial" w:hAnsi="Arial"/>
                <w:sz w:val="13"/>
                <w:szCs w:val="13"/>
                <w:color w:val="auto"/>
              </w:rPr>
              <w:t>Tax receivable agreement obligations</w:t>
            </w: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(16,505)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(13,286)</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71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Debt issuance costs</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(2,658)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(9,779)</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(35,702)</w:t>
            </w:r>
          </w:p>
        </w:tc>
      </w:tr>
      <w:tr>
        <w:trPr>
          <w:trHeight w:val="163"/>
        </w:trPr>
        <w:tc>
          <w:tcPr>
            <w:tcW w:w="7100" w:type="dxa"/>
            <w:vAlign w:val="bottom"/>
            <w:gridSpan w:val="2"/>
          </w:tcPr>
          <w:p>
            <w:pPr>
              <w:ind w:left="120"/>
              <w:spacing w:after="0"/>
              <w:rPr>
                <w:sz w:val="20"/>
                <w:szCs w:val="20"/>
                <w:color w:val="auto"/>
              </w:rPr>
            </w:pPr>
            <w:r>
              <w:rPr>
                <w:rFonts w:ascii="Arial" w:cs="Arial" w:eastAsia="Arial" w:hAnsi="Arial"/>
                <w:sz w:val="13"/>
                <w:szCs w:val="13"/>
                <w:color w:val="auto"/>
              </w:rPr>
              <w:t>Warrants exercised</w:t>
            </w: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68,940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71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Issuance of common stock in connection with secondary offering, net of offering costs</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(375)</w:t>
            </w:r>
          </w:p>
        </w:tc>
      </w:tr>
      <w:tr>
        <w:trPr>
          <w:trHeight w:val="155"/>
        </w:trPr>
        <w:tc>
          <w:tcPr>
            <w:tcW w:w="7100" w:type="dxa"/>
            <w:vAlign w:val="bottom"/>
            <w:gridSpan w:val="2"/>
          </w:tcPr>
          <w:p>
            <w:pPr>
              <w:ind w:left="400"/>
              <w:spacing w:after="0" w:line="148" w:lineRule="exact"/>
              <w:rPr>
                <w:sz w:val="20"/>
                <w:szCs w:val="20"/>
                <w:color w:val="auto"/>
              </w:rPr>
            </w:pPr>
            <w:r>
              <w:rPr>
                <w:rFonts w:ascii="Arial" w:cs="Arial" w:eastAsia="Arial" w:hAnsi="Arial"/>
                <w:sz w:val="13"/>
                <w:szCs w:val="13"/>
                <w:color w:val="auto"/>
              </w:rPr>
              <w:t>Net cash provided by (used in) financing activities</w:t>
            </w: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(957,859)</w:t>
            </w: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(839,918)</w:t>
            </w:r>
          </w:p>
        </w:tc>
        <w:tc>
          <w:tcPr>
            <w:tcW w:w="1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769,580</w:t>
            </w:r>
          </w:p>
        </w:tc>
      </w:tr>
      <w:tr>
        <w:trPr>
          <w:trHeight w:val="192"/>
        </w:trPr>
        <w:tc>
          <w:tcPr>
            <w:tcW w:w="6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63"/>
        </w:trPr>
        <w:tc>
          <w:tcPr>
            <w:tcW w:w="7100" w:type="dxa"/>
            <w:vAlign w:val="bottom"/>
            <w:gridSpan w:val="2"/>
          </w:tcPr>
          <w:p>
            <w:pPr>
              <w:ind w:left="20"/>
              <w:spacing w:after="0"/>
              <w:rPr>
                <w:sz w:val="20"/>
                <w:szCs w:val="20"/>
                <w:color w:val="auto"/>
              </w:rPr>
            </w:pPr>
            <w:r>
              <w:rPr>
                <w:rFonts w:ascii="Arial" w:cs="Arial" w:eastAsia="Arial" w:hAnsi="Arial"/>
                <w:sz w:val="13"/>
                <w:szCs w:val="13"/>
                <w:color w:val="auto"/>
              </w:rPr>
              <w:t>Effect of exchange rate changes on cash and cash equivalents</w:t>
            </w: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(12,470)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15,318</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(1,475)</w:t>
            </w:r>
          </w:p>
        </w:tc>
      </w:tr>
      <w:tr>
        <w:trPr>
          <w:trHeight w:val="192"/>
        </w:trPr>
        <w:tc>
          <w:tcPr>
            <w:tcW w:w="6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bl>
    <w:p>
      <w:pPr>
        <w:spacing w:after="0" w:line="200" w:lineRule="exact"/>
        <w:rPr>
          <w:sz w:val="20"/>
          <w:szCs w:val="20"/>
          <w:color w:val="auto"/>
        </w:rPr>
      </w:pPr>
    </w:p>
    <w:p>
      <w:pPr>
        <w:spacing w:after="0" w:line="391"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080"/>
          </w:cols>
          <w:pgMar w:left="320" w:top="127" w:right="499" w:bottom="1440" w:gutter="0" w:footer="0" w:header="0"/>
        </w:sectPr>
      </w:pPr>
    </w:p>
    <w:bookmarkStart w:id="82" w:name="page83"/>
    <w:bookmarkEnd w:id="8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160" w:type="dxa"/>
        <w:tblCellMar>
          <w:top w:w="0" w:type="dxa"/>
          <w:left w:w="0" w:type="dxa"/>
          <w:bottom w:w="0" w:type="dxa"/>
          <w:right w:w="0" w:type="dxa"/>
        </w:tblCellMar>
      </w:tblPr>
      <w:tr>
        <w:trPr>
          <w:trHeight w:val="166"/>
        </w:trPr>
        <w:tc>
          <w:tcPr>
            <w:tcW w:w="6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5"/>
          </w:tcPr>
          <w:p>
            <w:pPr>
              <w:jc w:val="right"/>
              <w:ind w:right="157"/>
              <w:spacing w:after="0"/>
              <w:rPr>
                <w:sz w:val="20"/>
                <w:szCs w:val="20"/>
                <w:color w:val="auto"/>
              </w:rPr>
            </w:pPr>
            <w:r>
              <w:rPr>
                <w:rFonts w:ascii="Arial" w:cs="Arial" w:eastAsia="Arial" w:hAnsi="Arial"/>
                <w:sz w:val="13"/>
                <w:szCs w:val="13"/>
                <w:b w:val="1"/>
                <w:bCs w:val="1"/>
                <w:color w:val="auto"/>
                <w:w w:val="86"/>
              </w:rPr>
              <w:t>Years Ended December 31,</w:t>
            </w:r>
          </w:p>
        </w:tc>
        <w:tc>
          <w:tcPr>
            <w:tcW w:w="960" w:type="dxa"/>
            <w:vAlign w:val="bottom"/>
            <w:tcBorders>
              <w:bottom w:val="single" w:sz="8" w:color="auto"/>
            </w:tcBorders>
          </w:tcPr>
          <w:p>
            <w:pPr>
              <w:spacing w:after="0"/>
              <w:rPr>
                <w:sz w:val="14"/>
                <w:szCs w:val="14"/>
                <w:color w:val="auto"/>
              </w:rPr>
            </w:pPr>
          </w:p>
        </w:tc>
      </w:tr>
      <w:tr>
        <w:trPr>
          <w:trHeight w:val="165"/>
        </w:trPr>
        <w:tc>
          <w:tcPr>
            <w:tcW w:w="7100" w:type="dxa"/>
            <w:vAlign w:val="bottom"/>
            <w:gridSpan w:val="2"/>
          </w:tcPr>
          <w:p>
            <w:pPr>
              <w:ind w:left="20"/>
              <w:spacing w:after="0"/>
              <w:rPr>
                <w:sz w:val="20"/>
                <w:szCs w:val="20"/>
                <w:color w:val="auto"/>
              </w:rPr>
            </w:pPr>
            <w:r>
              <w:rPr>
                <w:rFonts w:ascii="Arial" w:cs="Arial" w:eastAsia="Arial" w:hAnsi="Arial"/>
                <w:sz w:val="13"/>
                <w:szCs w:val="13"/>
                <w:b w:val="1"/>
                <w:bCs w:val="1"/>
                <w:color w:val="auto"/>
              </w:rPr>
              <w:t>(in thousands)</w:t>
            </w:r>
          </w:p>
        </w:tc>
        <w:tc>
          <w:tcPr>
            <w:tcW w:w="260" w:type="dxa"/>
            <w:vAlign w:val="bottom"/>
          </w:tcPr>
          <w:p>
            <w:pPr>
              <w:spacing w:after="0"/>
              <w:rPr>
                <w:sz w:val="14"/>
                <w:szCs w:val="14"/>
                <w:color w:val="auto"/>
              </w:rPr>
            </w:pPr>
          </w:p>
        </w:tc>
        <w:tc>
          <w:tcPr>
            <w:tcW w:w="920" w:type="dxa"/>
            <w:vAlign w:val="bottom"/>
          </w:tcPr>
          <w:p>
            <w:pPr>
              <w:jc w:val="right"/>
              <w:ind w:right="397"/>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ind w:right="397"/>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437"/>
              <w:spacing w:after="0"/>
              <w:rPr>
                <w:sz w:val="20"/>
                <w:szCs w:val="20"/>
                <w:color w:val="auto"/>
              </w:rPr>
            </w:pPr>
            <w:r>
              <w:rPr>
                <w:rFonts w:ascii="Arial" w:cs="Arial" w:eastAsia="Arial" w:hAnsi="Arial"/>
                <w:sz w:val="13"/>
                <w:szCs w:val="13"/>
                <w:b w:val="1"/>
                <w:bCs w:val="1"/>
                <w:color w:val="auto"/>
              </w:rPr>
              <w:t>2019</w:t>
            </w:r>
          </w:p>
        </w:tc>
      </w:tr>
      <w:tr>
        <w:trPr>
          <w:trHeight w:val="156"/>
        </w:trPr>
        <w:tc>
          <w:tcPr>
            <w:tcW w:w="698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Net increase in cash and cash equivalents</w:t>
            </w:r>
          </w:p>
        </w:tc>
        <w:tc>
          <w:tcPr>
            <w:tcW w:w="1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113,948</w:t>
            </w: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233,725</w:t>
            </w:r>
          </w:p>
        </w:tc>
        <w:tc>
          <w:tcPr>
            <w:tcW w:w="1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37,233</w:t>
            </w:r>
          </w:p>
        </w:tc>
      </w:tr>
      <w:tr>
        <w:trPr>
          <w:trHeight w:val="168"/>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Cash, cash equivalents, and restricted or segregated cash, beginning of period</w:t>
            </w:r>
          </w:p>
        </w:tc>
        <w:tc>
          <w:tcPr>
            <w:tcW w:w="2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1,007,005</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773,280</w:t>
            </w:r>
          </w:p>
        </w:tc>
        <w:tc>
          <w:tcPr>
            <w:tcW w:w="12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736,047</w:t>
            </w:r>
          </w:p>
        </w:tc>
      </w:tr>
      <w:tr>
        <w:trPr>
          <w:trHeight w:val="158"/>
        </w:trPr>
        <w:tc>
          <w:tcPr>
            <w:tcW w:w="7100" w:type="dxa"/>
            <w:vAlign w:val="bottom"/>
            <w:gridSpan w:val="2"/>
          </w:tcPr>
          <w:p>
            <w:pPr>
              <w:ind w:left="20"/>
              <w:spacing w:after="0"/>
              <w:rPr>
                <w:sz w:val="20"/>
                <w:szCs w:val="20"/>
                <w:color w:val="auto"/>
              </w:rPr>
            </w:pPr>
            <w:r>
              <w:rPr>
                <w:rFonts w:ascii="Arial" w:cs="Arial" w:eastAsia="Arial" w:hAnsi="Arial"/>
                <w:sz w:val="13"/>
                <w:szCs w:val="13"/>
                <w:color w:val="auto"/>
              </w:rPr>
              <w:t>Cash, cash equivalents, and restricted or segregated cash, end of period</w:t>
            </w:r>
          </w:p>
        </w:tc>
        <w:tc>
          <w:tcPr>
            <w:tcW w:w="2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1,120,953</w:t>
            </w:r>
          </w:p>
        </w:tc>
        <w:tc>
          <w:tcPr>
            <w:tcW w:w="100" w:type="dxa"/>
            <w:vAlign w:val="bottom"/>
          </w:tcPr>
          <w:p>
            <w:pPr>
              <w:spacing w:after="0"/>
              <w:rPr>
                <w:sz w:val="13"/>
                <w:szCs w:val="13"/>
                <w:color w:val="auto"/>
              </w:rPr>
            </w:pPr>
          </w:p>
        </w:tc>
        <w:tc>
          <w:tcPr>
            <w:tcW w:w="2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1,007,005</w:t>
            </w:r>
          </w:p>
        </w:tc>
        <w:tc>
          <w:tcPr>
            <w:tcW w:w="120" w:type="dxa"/>
            <w:vAlign w:val="bottom"/>
          </w:tcPr>
          <w:p>
            <w:pPr>
              <w:spacing w:after="0"/>
              <w:rPr>
                <w:sz w:val="13"/>
                <w:szCs w:val="13"/>
                <w:color w:val="auto"/>
              </w:rPr>
            </w:pPr>
          </w:p>
        </w:tc>
        <w:tc>
          <w:tcPr>
            <w:tcW w:w="2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773,280</w:t>
            </w: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53"/>
        </w:trPr>
        <w:tc>
          <w:tcPr>
            <w:tcW w:w="6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r>
        <w:trPr>
          <w:trHeight w:val="165"/>
        </w:trPr>
        <w:tc>
          <w:tcPr>
            <w:tcW w:w="7100" w:type="dxa"/>
            <w:vAlign w:val="bottom"/>
            <w:gridSpan w:val="2"/>
          </w:tcPr>
          <w:p>
            <w:pPr>
              <w:ind w:left="20"/>
              <w:spacing w:after="0"/>
              <w:rPr>
                <w:sz w:val="20"/>
                <w:szCs w:val="20"/>
                <w:color w:val="auto"/>
              </w:rPr>
            </w:pPr>
            <w:r>
              <w:rPr>
                <w:rFonts w:ascii="Arial" w:cs="Arial" w:eastAsia="Arial" w:hAnsi="Arial"/>
                <w:sz w:val="13"/>
                <w:szCs w:val="13"/>
                <w:b w:val="1"/>
                <w:bCs w:val="1"/>
                <w:color w:val="auto"/>
              </w:rPr>
              <w:t>Supplementary disclosure of cash flow information</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71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Cash paid for interest</w:t>
            </w:r>
          </w:p>
        </w:tc>
        <w:tc>
          <w:tcPr>
            <w:tcW w:w="2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159,864</w:t>
            </w:r>
          </w:p>
        </w:tc>
        <w:tc>
          <w:tcPr>
            <w:tcW w:w="380" w:type="dxa"/>
            <w:vAlign w:val="bottom"/>
            <w:gridSpan w:val="2"/>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173,645</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205,433</w:t>
            </w:r>
          </w:p>
        </w:tc>
      </w:tr>
      <w:tr>
        <w:trPr>
          <w:trHeight w:val="163"/>
        </w:trPr>
        <w:tc>
          <w:tcPr>
            <w:tcW w:w="7100" w:type="dxa"/>
            <w:vAlign w:val="bottom"/>
            <w:gridSpan w:val="2"/>
          </w:tcPr>
          <w:p>
            <w:pPr>
              <w:ind w:left="120"/>
              <w:spacing w:after="0"/>
              <w:rPr>
                <w:sz w:val="20"/>
                <w:szCs w:val="20"/>
                <w:color w:val="auto"/>
              </w:rPr>
            </w:pPr>
            <w:r>
              <w:rPr>
                <w:rFonts w:ascii="Arial" w:cs="Arial" w:eastAsia="Arial" w:hAnsi="Arial"/>
                <w:sz w:val="13"/>
                <w:szCs w:val="13"/>
                <w:color w:val="auto"/>
              </w:rPr>
              <w:t>Cash paid for taxes</w:t>
            </w: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134,878</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248,532</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12,273</w:t>
            </w:r>
          </w:p>
        </w:tc>
      </w:tr>
      <w:tr>
        <w:trPr>
          <w:trHeight w:val="192"/>
        </w:trPr>
        <w:tc>
          <w:tcPr>
            <w:tcW w:w="6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65"/>
        </w:trPr>
        <w:tc>
          <w:tcPr>
            <w:tcW w:w="7100" w:type="dxa"/>
            <w:vAlign w:val="bottom"/>
            <w:gridSpan w:val="2"/>
          </w:tcPr>
          <w:p>
            <w:pPr>
              <w:ind w:left="20"/>
              <w:spacing w:after="0"/>
              <w:rPr>
                <w:sz w:val="20"/>
                <w:szCs w:val="20"/>
                <w:color w:val="auto"/>
              </w:rPr>
            </w:pPr>
            <w:r>
              <w:rPr>
                <w:rFonts w:ascii="Arial" w:cs="Arial" w:eastAsia="Arial" w:hAnsi="Arial"/>
                <w:sz w:val="13"/>
                <w:szCs w:val="13"/>
                <w:b w:val="1"/>
                <w:bCs w:val="1"/>
                <w:color w:val="auto"/>
              </w:rPr>
              <w:t>Non-cash investing activities</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71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Share-based and accrued incentive compensation to developers relating to capitalized software</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17,239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14,773</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2,135</w:t>
            </w:r>
          </w:p>
        </w:tc>
      </w:tr>
      <w:tr>
        <w:trPr>
          <w:trHeight w:val="189"/>
        </w:trPr>
        <w:tc>
          <w:tcPr>
            <w:tcW w:w="6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66"/>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Non-cash financing activities</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60"/>
        </w:trPr>
        <w:tc>
          <w:tcPr>
            <w:tcW w:w="7100" w:type="dxa"/>
            <w:vAlign w:val="bottom"/>
            <w:gridSpan w:val="2"/>
          </w:tcPr>
          <w:p>
            <w:pPr>
              <w:ind w:left="120"/>
              <w:spacing w:after="0"/>
              <w:rPr>
                <w:sz w:val="20"/>
                <w:szCs w:val="20"/>
                <w:color w:val="auto"/>
              </w:rPr>
            </w:pPr>
            <w:r>
              <w:rPr>
                <w:rFonts w:ascii="Arial" w:cs="Arial" w:eastAsia="Arial" w:hAnsi="Arial"/>
                <w:sz w:val="13"/>
                <w:szCs w:val="13"/>
                <w:color w:val="auto"/>
              </w:rPr>
              <w:t>Tax receivable agreement described in Note 6</w:t>
            </w:r>
          </w:p>
        </w:tc>
        <w:tc>
          <w:tcPr>
            <w:tcW w:w="2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311</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(1,388)</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(5,811)</w:t>
            </w:r>
          </w:p>
        </w:tc>
      </w:tr>
    </w:tbl>
    <w:p>
      <w:pPr>
        <w:spacing w:after="0" w:line="218" w:lineRule="exact"/>
        <w:rPr>
          <w:sz w:val="20"/>
          <w:szCs w:val="20"/>
          <w:color w:val="auto"/>
        </w:rPr>
      </w:pPr>
    </w:p>
    <w:p>
      <w:pPr>
        <w:ind w:left="3700"/>
        <w:spacing w:after="0"/>
        <w:rPr>
          <w:sz w:val="20"/>
          <w:szCs w:val="20"/>
          <w:color w:val="auto"/>
        </w:rPr>
      </w:pPr>
      <w:r>
        <w:rPr>
          <w:rFonts w:ascii="Arial" w:cs="Arial" w:eastAsia="Arial" w:hAnsi="Arial"/>
          <w:sz w:val="16"/>
          <w:szCs w:val="16"/>
          <w:color w:val="auto"/>
        </w:rPr>
        <w:t>See accompanying Notes to the Consolidated Financial Statements.</w:t>
      </w:r>
    </w:p>
    <w:p>
      <w:pPr>
        <w:spacing w:after="0" w:line="200" w:lineRule="exact"/>
        <w:rPr>
          <w:sz w:val="20"/>
          <w:szCs w:val="20"/>
          <w:color w:val="auto"/>
        </w:rPr>
      </w:pPr>
    </w:p>
    <w:p>
      <w:pPr>
        <w:spacing w:after="0" w:line="326"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080"/>
          </w:cols>
          <w:pgMar w:left="320" w:top="127" w:right="499" w:bottom="1440" w:gutter="0" w:footer="0" w:header="0"/>
        </w:sectPr>
      </w:pPr>
    </w:p>
    <w:bookmarkStart w:id="83" w:name="page84"/>
    <w:bookmarkEnd w:id="8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Virtu Financial,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the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thousands, except shares and per share amounts, unless otherwise noted)</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Organization and Basis of Presentation</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Organization</w:t>
      </w:r>
    </w:p>
    <w:p>
      <w:pPr>
        <w:spacing w:after="0" w:line="219" w:lineRule="exact"/>
        <w:rPr>
          <w:sz w:val="20"/>
          <w:szCs w:val="20"/>
          <w:color w:val="auto"/>
        </w:rPr>
      </w:pPr>
    </w:p>
    <w:p>
      <w:pPr>
        <w:ind w:right="20" w:firstLine="568"/>
        <w:spacing w:after="0" w:line="254" w:lineRule="auto"/>
        <w:rPr>
          <w:sz w:val="20"/>
          <w:szCs w:val="20"/>
          <w:color w:val="auto"/>
        </w:rPr>
      </w:pPr>
      <w:r>
        <w:rPr>
          <w:rFonts w:ascii="Arial" w:cs="Arial" w:eastAsia="Arial" w:hAnsi="Arial"/>
          <w:sz w:val="16"/>
          <w:szCs w:val="16"/>
          <w:color w:val="auto"/>
        </w:rPr>
        <w:t>The accompanying consolidated financial statements include the accounts and operations of Virtu Financial, Inc. (“VFI” or, collectively with its wholly owned or controlled subsidiaries, “Virtu” or the “Company”). VFI is a Delaware corporation whose primary asset is its ownership interest in Virtu Financial LLC (“Virtu Financial”). As of December 31, 2021, VFI owned approximately 62.7% of the membership interests of Virtu Financial. VFI is the sole managing member of Virtu Financial and operates and controls all of the businesses and affairs of Virtu Financial and its subsidiaries (the “Group”).</w:t>
      </w:r>
    </w:p>
    <w:p>
      <w:pPr>
        <w:spacing w:after="0" w:line="192" w:lineRule="exact"/>
        <w:rPr>
          <w:sz w:val="20"/>
          <w:szCs w:val="20"/>
          <w:color w:val="auto"/>
        </w:rPr>
      </w:pPr>
    </w:p>
    <w:p>
      <w:pPr>
        <w:ind w:right="60" w:firstLine="568"/>
        <w:spacing w:after="0" w:line="270" w:lineRule="auto"/>
        <w:rPr>
          <w:sz w:val="20"/>
          <w:szCs w:val="20"/>
          <w:color w:val="auto"/>
        </w:rPr>
      </w:pPr>
      <w:r>
        <w:rPr>
          <w:rFonts w:ascii="Arial" w:cs="Arial" w:eastAsia="Arial" w:hAnsi="Arial"/>
          <w:sz w:val="15"/>
          <w:szCs w:val="15"/>
          <w:color w:val="auto"/>
        </w:rPr>
        <w:t>The Company is a leading financial firm that leverages cutting edge technology to deliver liquidity to the global markets and innovative, transparent trading solutions to its clients. The Company provides deep liquidity in over 25,000 financial instruments, on over 235 venues, in 36 countries worldwide to help create more efficient markets. Leveraging its global market structure expertise and scaled, multi-asset infrastructure, the Company provides its clients with a robust product suite including offerings in execution, liquidity sourcing, analytics and broker-neutral, multi-dealer platforms in workflow technology. The Company’s product offerings allow its clients to trade on hundreds of venues in over 50 countries and across multiple asset classes, including global equities, Exchange-Traded Funds ("ETFs"), foreign exchange, futures, fixed income and other commodities. The Company’s integrated, multi-asset analytics platform provides a range of pre- and post-trade services, data products and compliance tools that its clients rely upon to invest, trade and manage risk across global markets.</w:t>
      </w:r>
    </w:p>
    <w:p>
      <w:pPr>
        <w:spacing w:after="0" w:line="181" w:lineRule="exact"/>
        <w:rPr>
          <w:sz w:val="20"/>
          <w:szCs w:val="20"/>
          <w:color w:val="auto"/>
        </w:rPr>
      </w:pPr>
    </w:p>
    <w:p>
      <w:pPr>
        <w:ind w:right="40" w:firstLine="568"/>
        <w:spacing w:after="0" w:line="302" w:lineRule="auto"/>
        <w:rPr>
          <w:sz w:val="20"/>
          <w:szCs w:val="20"/>
          <w:color w:val="auto"/>
        </w:rPr>
      </w:pPr>
      <w:r>
        <w:rPr>
          <w:rFonts w:ascii="Arial" w:cs="Arial" w:eastAsia="Arial" w:hAnsi="Arial"/>
          <w:sz w:val="14"/>
          <w:szCs w:val="14"/>
          <w:color w:val="auto"/>
        </w:rPr>
        <w:t>The Company has completed two significant acquisitions over the past five years that have expanded and complemented Virtu Financial's original electronic trading and marking making business. On July 20, 2017 (the “KCG Closing Date”), the Company completed the all-cash acquisition of KCG Holdings, Inc. (“KCG”) (the “Acquisition of KCG”). On March 1, 2019 (the “ITG Closing Date”), the Company completed the acquisition of Investment Technology Group, Inc. and its subsidiaries (“ITG”) in an all-cash transaction (the “ITG Acquisition”). ITG's business contributes to the Company's Execution Services segment. See Note 3 "ITG Acquisition" for further details.</w:t>
      </w:r>
    </w:p>
    <w:p>
      <w:pPr>
        <w:spacing w:after="0" w:line="160" w:lineRule="exact"/>
        <w:rPr>
          <w:sz w:val="20"/>
          <w:szCs w:val="20"/>
          <w:color w:val="auto"/>
        </w:rPr>
      </w:pPr>
    </w:p>
    <w:p>
      <w:pPr>
        <w:ind w:firstLine="568"/>
        <w:spacing w:after="0" w:line="270" w:lineRule="auto"/>
        <w:rPr>
          <w:sz w:val="20"/>
          <w:szCs w:val="20"/>
          <w:color w:val="auto"/>
        </w:rPr>
      </w:pPr>
      <w:r>
        <w:rPr>
          <w:rFonts w:ascii="Arial" w:cs="Arial" w:eastAsia="Arial" w:hAnsi="Arial"/>
          <w:sz w:val="15"/>
          <w:szCs w:val="15"/>
          <w:color w:val="auto"/>
        </w:rPr>
        <w:t>Virtu Financial’s principal United States ("U.S.") subsidiary is Virtu Americas LLC (“VAL”), which is a U.S. broker-dealer. Other principal U.S. subsidiaries include Virtu Financial Global Markets LLC, a U.S. trading entity focused on futures and currencies; Virtu ITG Analytics LLC, a provider of pre- and post-trade analysis, fair value, and trade optimization services; and Virtu ITG Platforms LLC, a provider of workflow technology solutions and network connectivity services. Principal foreign subsidiaries include Virtu Financial Ireland Limited ("VFIL") and Virtu ITG Europe Limited ("VIEL"), each formed in Ireland; Virtu ITG UK Limited ("VIUK"), formed in the United Kingdom; Virtu ITG Canada Corp. and Virtu Financial Canada ULC, each formed in Canada; Virtu Financial Asia Pty Ltd. and Virtu ITG Australia Limited, each formed in Australia; Virtu ITG Hong Kong Limited, formed in Hong Kong; and Virtu Financial Singapore Pte. Ltd. and Virtu ITG Singapore Pte. Ltd., each formed in Singapore, all of which are trading entities focused on asset classes in their respective geographic regions.</w:t>
      </w:r>
    </w:p>
    <w:p>
      <w:pPr>
        <w:spacing w:after="0" w:line="181" w:lineRule="exact"/>
        <w:rPr>
          <w:sz w:val="20"/>
          <w:szCs w:val="20"/>
          <w:color w:val="auto"/>
        </w:rPr>
      </w:pPr>
    </w:p>
    <w:p>
      <w:pPr>
        <w:ind w:right="500" w:firstLine="568"/>
        <w:spacing w:after="0" w:line="268" w:lineRule="auto"/>
        <w:rPr>
          <w:sz w:val="20"/>
          <w:szCs w:val="20"/>
          <w:color w:val="auto"/>
        </w:rPr>
      </w:pPr>
      <w:r>
        <w:rPr>
          <w:rFonts w:ascii="Arial" w:cs="Arial" w:eastAsia="Arial" w:hAnsi="Arial"/>
          <w:sz w:val="16"/>
          <w:szCs w:val="16"/>
          <w:color w:val="auto"/>
        </w:rPr>
        <w:t>The Company has two operating segments: (i) Market Making and (ii) Execution Services; and one non-operating segment: Corporate. See Note 23 "Geographic Information and Business Segments" for a further discussion of the Company’s segments.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of Consolidation and Form of Presentation</w:t>
      </w:r>
    </w:p>
    <w:p>
      <w:pPr>
        <w:spacing w:after="0" w:line="219" w:lineRule="exact"/>
        <w:rPr>
          <w:sz w:val="20"/>
          <w:szCs w:val="20"/>
          <w:color w:val="auto"/>
        </w:rPr>
      </w:pPr>
    </w:p>
    <w:p>
      <w:pPr>
        <w:ind w:right="20" w:firstLine="568"/>
        <w:spacing w:after="0" w:line="270" w:lineRule="auto"/>
        <w:rPr>
          <w:sz w:val="20"/>
          <w:szCs w:val="20"/>
          <w:color w:val="auto"/>
        </w:rPr>
      </w:pPr>
      <w:r>
        <w:rPr>
          <w:rFonts w:ascii="Arial" w:cs="Arial" w:eastAsia="Arial" w:hAnsi="Arial"/>
          <w:sz w:val="15"/>
          <w:szCs w:val="15"/>
          <w:color w:val="auto"/>
        </w:rPr>
        <w:t>These consolidated financial statements are presented in U.S. dollars, have been prepared pursuant to the rules and regulations of the U.S. Securities and Exchange Commission (“SEC”) regarding financial reporting with respect to Form 10-K and accounting standards generally accepted in the United States of America (“U.S. GAAP”) promulgated by the Financial Accounting Standards Board (“FASB”) in the Accounting Standards Codification (“ASC” or the “Codification”), and reflect all adjustments that, in the opinion of management, are normal and recurring, and that are necessary for a fair statement of the results for the periods presented. The consolidated financial statements of the Company include its equity interests in Virtu Financial and its subsidiaries. As sole managing member of Virtu Financial, the Company exerts control over the Group’s operations. The Company consolidates Virtu Financial and its subsidiaries’ financial statements and records the interests in Virtu Financial that the Company does not own as noncontrolling interests. All intercompany accounts and transactions have been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4" w:name="page85"/>
    <w:bookmarkEnd w:id="8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ind w:right="20" w:firstLine="568"/>
        <w:spacing w:after="0" w:line="257" w:lineRule="auto"/>
        <w:rPr>
          <w:sz w:val="20"/>
          <w:szCs w:val="20"/>
          <w:color w:val="auto"/>
        </w:rPr>
      </w:pPr>
      <w:r>
        <w:rPr>
          <w:rFonts w:ascii="Arial" w:cs="Arial" w:eastAsia="Arial" w:hAnsi="Arial"/>
          <w:sz w:val="16"/>
          <w:szCs w:val="16"/>
          <w:color w:val="auto"/>
        </w:rPr>
        <w:t>Certain reclassifications have been made to the prior periods' consolidated financial statements in order to conform to the current period presentation. Such reclassifications are immaterial, individually and in the aggregate, to both current and all previously issued financial statements taken as a whole and have no effect on previously reported consolidated net income available to common stockholders.</w:t>
      </w:r>
    </w:p>
    <w:p>
      <w:pPr>
        <w:spacing w:after="0" w:line="190" w:lineRule="exact"/>
        <w:rPr>
          <w:sz w:val="20"/>
          <w:szCs w:val="20"/>
          <w:color w:val="auto"/>
        </w:rPr>
      </w:pPr>
    </w:p>
    <w:p>
      <w:pPr>
        <w:ind w:right="400" w:firstLine="568"/>
        <w:spacing w:after="0" w:line="279" w:lineRule="auto"/>
        <w:rPr>
          <w:sz w:val="20"/>
          <w:szCs w:val="20"/>
          <w:color w:val="auto"/>
        </w:rPr>
      </w:pPr>
      <w:r>
        <w:rPr>
          <w:rFonts w:ascii="Arial" w:cs="Arial" w:eastAsia="Arial" w:hAnsi="Arial"/>
          <w:sz w:val="14"/>
          <w:szCs w:val="14"/>
          <w:color w:val="auto"/>
        </w:rPr>
        <w:t>Effective for the quarter ended March 31, 2021, the Company changed the presentation of its Consolidated Statements of Changes in Equity and Consolidated Statements of Cash Flows. Specifically, the Company combined $120.5 million of Dividends to stockholders and $363.9 million of Distribution from Virtu Financial to noncontrolling interest, and $112.4 million of Dividends to stockholders and $99.2 million of Distribution from Virtu Financial to noncontrolling interest into Dividends to stockholders and distribution from Virtu Financial to noncontrolling interest for the years ended December 31, 2020 and December 31, 2019, respectively. Dividends to stockholders and distributions from Virtu Financial to noncontrolling interest both represent cash payments by the Company to its equity owners which reduce Total equity.</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Summary of Significant Accounting Policies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Use of Estimates</w:t>
      </w:r>
    </w:p>
    <w:p>
      <w:pPr>
        <w:spacing w:after="0" w:line="219" w:lineRule="exact"/>
        <w:rPr>
          <w:sz w:val="20"/>
          <w:szCs w:val="20"/>
          <w:color w:val="auto"/>
        </w:rPr>
      </w:pPr>
    </w:p>
    <w:p>
      <w:pPr>
        <w:ind w:right="40" w:firstLine="568"/>
        <w:spacing w:after="0" w:line="252" w:lineRule="auto"/>
        <w:rPr>
          <w:sz w:val="20"/>
          <w:szCs w:val="20"/>
          <w:color w:val="auto"/>
        </w:rPr>
      </w:pPr>
      <w:r>
        <w:rPr>
          <w:rFonts w:ascii="Arial" w:cs="Arial" w:eastAsia="Arial" w:hAnsi="Arial"/>
          <w:sz w:val="16"/>
          <w:szCs w:val="16"/>
          <w:color w:val="auto"/>
        </w:rPr>
        <w:t>The Company's consolidated financial statements are prepared in conformity with U.S. GAAP, which require management to make estimates and assumptions regarding measurements including the fair value of trading assets and liabilities, allowance for doubtful accounts, goodwill and intangibles, compensation accruals, capitalized software, income tax, tax receivable agreements, leases, litigation accruals, and other matters that affect the reported amounts of assets and liabilities and disclosure of contingent assets and liabilities at the date of the consolidated financial statements and the reported amounts of revenue and expenses during the reporting period. Accordingly, actual results could differ materially from those estimates.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Earnings Per Share</w:t>
      </w:r>
    </w:p>
    <w:p>
      <w:pPr>
        <w:spacing w:after="0" w:line="219" w:lineRule="exact"/>
        <w:rPr>
          <w:sz w:val="20"/>
          <w:szCs w:val="20"/>
          <w:color w:val="auto"/>
        </w:rPr>
      </w:pPr>
    </w:p>
    <w:p>
      <w:pPr>
        <w:ind w:right="320" w:firstLine="568"/>
        <w:spacing w:after="0" w:line="254" w:lineRule="auto"/>
        <w:rPr>
          <w:sz w:val="20"/>
          <w:szCs w:val="20"/>
          <w:color w:val="auto"/>
        </w:rPr>
      </w:pPr>
      <w:r>
        <w:rPr>
          <w:rFonts w:ascii="Arial" w:cs="Arial" w:eastAsia="Arial" w:hAnsi="Arial"/>
          <w:sz w:val="16"/>
          <w:szCs w:val="16"/>
          <w:color w:val="auto"/>
        </w:rPr>
        <w:t>Earnings per share (“EPS”) is calculated on both a basic and diluted basis. Basic EPS excludes dilution and is calculated by dividing income available to common stockholders by the weighted-average number of common shares outstanding for the period. Diluted EPS is calculated by dividing the net income available for common stockholders by the diluted weighted average shares outstanding for that period. Diluted EPS includes the determinants of the basic EPS and, in addition, reflects the dilutive effect of shares of common stock estimated to be distributed in the future.</w:t>
      </w:r>
    </w:p>
    <w:p>
      <w:pPr>
        <w:spacing w:after="0" w:line="192" w:lineRule="exact"/>
        <w:rPr>
          <w:sz w:val="20"/>
          <w:szCs w:val="20"/>
          <w:color w:val="auto"/>
        </w:rPr>
      </w:pPr>
    </w:p>
    <w:p>
      <w:pPr>
        <w:jc w:val="both"/>
        <w:ind w:right="20" w:firstLine="568"/>
        <w:spacing w:after="0" w:line="273" w:lineRule="auto"/>
        <w:rPr>
          <w:sz w:val="20"/>
          <w:szCs w:val="20"/>
          <w:color w:val="auto"/>
        </w:rPr>
      </w:pPr>
      <w:r>
        <w:rPr>
          <w:rFonts w:ascii="Arial" w:cs="Arial" w:eastAsia="Arial" w:hAnsi="Arial"/>
          <w:sz w:val="15"/>
          <w:szCs w:val="15"/>
          <w:color w:val="auto"/>
        </w:rPr>
        <w:t>The Company grants restricted stock awards ("RSAs") and restricted stock units (“RSUs”), certain of which entitle recipients to receive non-forfeitable dividends during the vesting period on a basis equivalent to the dividends paid to holders of common stock. As a result, the unvested RSAs and participating unvested RSUs meet the definition of a participating security requiring the application of the two-class method. Under the two-class method, earnings available to common shareholders, including both distributed and undistributed earnings, are allocated to each class of common stock and participating securities according to dividends declared and participating rights in undistributed earnings, which may cause diluted EPS to be more dilutive than the calculation using the treasury stock method.</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and Cash Equivalents</w:t>
      </w:r>
    </w:p>
    <w:p>
      <w:pPr>
        <w:spacing w:after="0" w:line="219" w:lineRule="exact"/>
        <w:rPr>
          <w:sz w:val="20"/>
          <w:szCs w:val="20"/>
          <w:color w:val="auto"/>
        </w:rPr>
      </w:pPr>
    </w:p>
    <w:p>
      <w:pPr>
        <w:ind w:firstLine="568"/>
        <w:spacing w:after="0" w:line="257" w:lineRule="auto"/>
        <w:rPr>
          <w:sz w:val="20"/>
          <w:szCs w:val="20"/>
          <w:color w:val="auto"/>
        </w:rPr>
      </w:pPr>
      <w:r>
        <w:rPr>
          <w:rFonts w:ascii="Arial" w:cs="Arial" w:eastAsia="Arial" w:hAnsi="Arial"/>
          <w:sz w:val="16"/>
          <w:szCs w:val="16"/>
          <w:color w:val="auto"/>
        </w:rPr>
        <w:t>Cash and cash equivalents include money market accounts, which are payable on demand, and short-term investments with an original maturity of less than 90 days. The Company maintains cash in bank deposit accounts that, at times, may exceed federally insured limits. The Company manages this risk by selecting financial institutions deemed highly creditworthy to minimize the risk.</w:t>
      </w:r>
    </w:p>
    <w:p>
      <w:pPr>
        <w:spacing w:after="0" w:line="178" w:lineRule="exact"/>
        <w:rPr>
          <w:sz w:val="20"/>
          <w:szCs w:val="20"/>
          <w:color w:val="auto"/>
        </w:rPr>
      </w:pPr>
    </w:p>
    <w:p>
      <w:pPr>
        <w:ind w:firstLine="568"/>
        <w:spacing w:after="0" w:line="225" w:lineRule="auto"/>
        <w:rPr>
          <w:sz w:val="20"/>
          <w:szCs w:val="20"/>
          <w:color w:val="auto"/>
        </w:rPr>
      </w:pPr>
      <w:r>
        <w:rPr>
          <w:rFonts w:ascii="Arial" w:cs="Arial" w:eastAsia="Arial" w:hAnsi="Arial"/>
          <w:sz w:val="16"/>
          <w:szCs w:val="16"/>
          <w:color w:val="auto"/>
        </w:rPr>
        <w:t>Cash restricted or segregated under regulations and other represents (i) special reserve bank accounts for the exclusive benefit of customers (“Special Reserve Bank Account”) maintained by VAL in accordance with Rule 15c3-3 of the Securities Exchange Act of 1934, as amended (“Customer Protection Rule”), and special reserve accounts for the exclusive benefit of proprietary accounts of broker-dealers, (ii) funds on deposit for Canadian and European trade clearing and settlement activity, (iii) segregated balances under a collateral account control agreement for the benefit of certain customers in Hong Kong, and (iv) funds relating to the securitization of bank guarantees supporting certain of the Company’s foreign leases.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5" w:name="page86"/>
    <w:bookmarkEnd w:id="8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Securities Borrowed and Securities Loaned</w:t>
      </w:r>
    </w:p>
    <w:p>
      <w:pPr>
        <w:spacing w:after="0" w:line="219" w:lineRule="exact"/>
        <w:rPr>
          <w:sz w:val="20"/>
          <w:szCs w:val="20"/>
          <w:color w:val="auto"/>
        </w:rPr>
      </w:pPr>
    </w:p>
    <w:p>
      <w:pPr>
        <w:ind w:right="20" w:firstLine="568"/>
        <w:spacing w:after="0" w:line="270" w:lineRule="auto"/>
        <w:rPr>
          <w:sz w:val="20"/>
          <w:szCs w:val="20"/>
          <w:color w:val="auto"/>
        </w:rPr>
      </w:pPr>
      <w:r>
        <w:rPr>
          <w:rFonts w:ascii="Arial" w:cs="Arial" w:eastAsia="Arial" w:hAnsi="Arial"/>
          <w:sz w:val="15"/>
          <w:szCs w:val="15"/>
          <w:color w:val="auto"/>
        </w:rPr>
        <w:t>The Company conducts securities borrowing and lending activities with external counterparties. In connection with these transactions, the Company receives or posts collateral, which comprises cash and/or securities. In accordance with substantially all of its securities borrow agreements, the Company is permitted to sell or repledge the securities received. Securities borrowed or loaned are recorded based on the amount of cash collateral advanced or received. The initial cash collateral advanced or received generally approximates or is greater than 102% of the fair value of the underlying securities borrowed or loaned. The Company monitors the fair value of securities borrowed and loaned, and delivers or obtains additional collateral as appropriate. Receivables and payables with the same counterparty are not offset in the Consolidated Statements of Financial Condition. Interest received or paid by the Company for these transactions is recorded gross on an accrual basis under Interest and dividends income or Interest and dividends expense in the Consolidated Statements of Comprehensive Income.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Securities Purchased Under Agreements to Resell and Securities Sold Under Agreements to Repurchase</w:t>
      </w:r>
    </w:p>
    <w:p>
      <w:pPr>
        <w:spacing w:after="0" w:line="219" w:lineRule="exact"/>
        <w:rPr>
          <w:sz w:val="20"/>
          <w:szCs w:val="20"/>
          <w:color w:val="auto"/>
        </w:rPr>
      </w:pPr>
    </w:p>
    <w:p>
      <w:pPr>
        <w:ind w:firstLine="568"/>
        <w:spacing w:after="0" w:line="250" w:lineRule="auto"/>
        <w:rPr>
          <w:sz w:val="20"/>
          <w:szCs w:val="20"/>
          <w:color w:val="auto"/>
        </w:rPr>
      </w:pPr>
      <w:r>
        <w:rPr>
          <w:rFonts w:ascii="Arial" w:cs="Arial" w:eastAsia="Arial" w:hAnsi="Arial"/>
          <w:sz w:val="16"/>
          <w:szCs w:val="16"/>
          <w:color w:val="auto"/>
        </w:rPr>
        <w:t>In a repurchase agreement, securities sold under agreements to repurchase are treated as collateralized financing transactions and are recorded at contract value, plus accrued interest, which approximates fair value. It is the Company's policy that its custodian take possession of the underlying collateral securities with a fair value approximately equal to the principal amount of the repurchase transaction, including accrued interest. For reverse repurchase agreements, the Company typically requires delivery of collateral with a fair value approximately equal to the carrying value of the relevant assets in the Consolidated Statements of Financial Condition. To ensure that the fair value of the underlying collateral remains sufficient, the collateral is valued daily with additional collateral obtained or excess collateral returned, as permitted under contractual provisions. The Company does not net securities purchased under agreements to resell transactions with securities sold under agreements to repurchase transactions entered into with the same counterparty.</w:t>
      </w:r>
    </w:p>
    <w:p>
      <w:pPr>
        <w:spacing w:after="0" w:line="197" w:lineRule="exact"/>
        <w:rPr>
          <w:sz w:val="20"/>
          <w:szCs w:val="20"/>
          <w:color w:val="auto"/>
        </w:rPr>
      </w:pPr>
    </w:p>
    <w:p>
      <w:pPr>
        <w:ind w:firstLine="568"/>
        <w:spacing w:after="0" w:line="273" w:lineRule="auto"/>
        <w:rPr>
          <w:sz w:val="20"/>
          <w:szCs w:val="20"/>
          <w:color w:val="auto"/>
        </w:rPr>
      </w:pPr>
      <w:r>
        <w:rPr>
          <w:rFonts w:ascii="Arial" w:cs="Arial" w:eastAsia="Arial" w:hAnsi="Arial"/>
          <w:sz w:val="15"/>
          <w:szCs w:val="15"/>
          <w:color w:val="auto"/>
        </w:rPr>
        <w:t>The Company has entered into bilateral and tri-party term and overnight repurchase and other collateralized financing agreements which bear interest at negotiated rates. The Company receives cash and makes delivery of financial instruments to a custodian who monitors the market value of these instruments on a daily basis. The market value of the instruments delivered must be equal to or in excess of the principal amount loaned under the repurchase agreements plus the agreed upon margin requirement. The custodian may request additional collateral, if appropriate. Interest received or paid by the Company for these transactions is recorded gross on an accrual basis under Interest and dividends income or Interest and dividends expense in the Consolidated Statements of Comprehensive Income.</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Receivables from/Payables to Broker-dealers and Clearing Organizations</w:t>
      </w:r>
    </w:p>
    <w:p>
      <w:pPr>
        <w:spacing w:after="0" w:line="219" w:lineRule="exact"/>
        <w:rPr>
          <w:sz w:val="20"/>
          <w:szCs w:val="20"/>
          <w:color w:val="auto"/>
        </w:rPr>
      </w:pPr>
    </w:p>
    <w:p>
      <w:pPr>
        <w:ind w:right="140" w:firstLine="568"/>
        <w:spacing w:after="0" w:line="273" w:lineRule="auto"/>
        <w:rPr>
          <w:sz w:val="20"/>
          <w:szCs w:val="20"/>
          <w:color w:val="auto"/>
        </w:rPr>
      </w:pPr>
      <w:r>
        <w:rPr>
          <w:rFonts w:ascii="Arial" w:cs="Arial" w:eastAsia="Arial" w:hAnsi="Arial"/>
          <w:sz w:val="15"/>
          <w:szCs w:val="15"/>
          <w:color w:val="auto"/>
        </w:rPr>
        <w:t>Receivables from and payables to broker-dealers and clearing organizations primarily represent amounts due for unsettled trades, open equity in futures transactions, securities failed to deliver or failed to receive, deposits with clearing organizations or exchanges, and balances due from or due to prime brokers in relation to the Company’s trading. Amounts receivable from broker-dealers and clearing organizations may be restricted to the extent that they serve as deposits for securities sold, not yet purchased. The Company presents its balances, including outstanding principal balances on all broker credit facilities, on a net-by-counterparty basis within receivables from and payables to broker-dealers and clearing organizations when the criteria for offsetting are met.</w:t>
      </w:r>
    </w:p>
    <w:p>
      <w:pPr>
        <w:spacing w:after="0" w:line="179" w:lineRule="exact"/>
        <w:rPr>
          <w:sz w:val="20"/>
          <w:szCs w:val="20"/>
          <w:color w:val="auto"/>
        </w:rPr>
      </w:pPr>
    </w:p>
    <w:p>
      <w:pPr>
        <w:ind w:right="40" w:firstLine="568"/>
        <w:spacing w:after="0" w:line="283" w:lineRule="auto"/>
        <w:rPr>
          <w:sz w:val="20"/>
          <w:szCs w:val="20"/>
          <w:color w:val="auto"/>
        </w:rPr>
      </w:pPr>
      <w:r>
        <w:rPr>
          <w:rFonts w:ascii="Arial" w:cs="Arial" w:eastAsia="Arial" w:hAnsi="Arial"/>
          <w:sz w:val="15"/>
          <w:szCs w:val="15"/>
          <w:color w:val="auto"/>
        </w:rPr>
        <w:t>In the normal course of business, a significant portion of the Company’s securities transactions, money balances, and security positions are transacted with several third-party brokers. The Company is subject to credit risk to the extent any broker with whom it conducts business is unable to fulfill contractual obligations on its behalf. The Company monitors the financial condition of such brokers to minimize the risk of any losses from these counterparties.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Financial Instruments Owned Including Those Pledged as Collateral and Financial Instruments Sold, Not Yet Purchased</w:t>
      </w:r>
    </w:p>
    <w:p>
      <w:pPr>
        <w:spacing w:after="0" w:line="219" w:lineRule="exact"/>
        <w:rPr>
          <w:sz w:val="20"/>
          <w:szCs w:val="20"/>
          <w:color w:val="auto"/>
        </w:rPr>
      </w:pPr>
    </w:p>
    <w:p>
      <w:pPr>
        <w:ind w:right="520" w:firstLine="568"/>
        <w:spacing w:after="0" w:line="268" w:lineRule="auto"/>
        <w:rPr>
          <w:sz w:val="20"/>
          <w:szCs w:val="20"/>
          <w:color w:val="auto"/>
        </w:rPr>
      </w:pPr>
      <w:r>
        <w:rPr>
          <w:rFonts w:ascii="Arial" w:cs="Arial" w:eastAsia="Arial" w:hAnsi="Arial"/>
          <w:sz w:val="16"/>
          <w:szCs w:val="16"/>
          <w:color w:val="auto"/>
        </w:rPr>
        <w:t>Financial instruments owned and Financial instruments sold, not yet purchased relate to market making and trading activities, and include listed and other equity securities, listed equity options and fixed income securities.</w:t>
      </w:r>
    </w:p>
    <w:p>
      <w:pPr>
        <w:spacing w:after="0" w:line="181" w:lineRule="exact"/>
        <w:rPr>
          <w:sz w:val="20"/>
          <w:szCs w:val="20"/>
          <w:color w:val="auto"/>
        </w:rPr>
      </w:pPr>
    </w:p>
    <w:p>
      <w:pPr>
        <w:ind w:firstLine="568"/>
        <w:spacing w:after="0" w:line="341" w:lineRule="auto"/>
        <w:rPr>
          <w:sz w:val="20"/>
          <w:szCs w:val="20"/>
          <w:color w:val="auto"/>
        </w:rPr>
      </w:pPr>
      <w:r>
        <w:rPr>
          <w:rFonts w:ascii="Arial" w:cs="Arial" w:eastAsia="Arial" w:hAnsi="Arial"/>
          <w:sz w:val="14"/>
          <w:szCs w:val="14"/>
          <w:color w:val="auto"/>
        </w:rPr>
        <w:t>The Company records Financial instruments owned, Financial instruments owned and pledged, and Financial instruments sold, not yet purchased at fair value. Gains and losses arising from financial instrument transactions are recorded net on a trade-date basis in Trading income, net, in the Consolidated Statements of Comprehensive Income.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6" w:name="page87"/>
    <w:bookmarkEnd w:id="8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Fair Value Measurements</w:t>
      </w:r>
    </w:p>
    <w:p>
      <w:pPr>
        <w:spacing w:after="0" w:line="219" w:lineRule="exact"/>
        <w:rPr>
          <w:sz w:val="20"/>
          <w:szCs w:val="20"/>
          <w:color w:val="auto"/>
        </w:rPr>
      </w:pPr>
    </w:p>
    <w:p>
      <w:pPr>
        <w:ind w:right="80" w:firstLine="568"/>
        <w:spacing w:after="0" w:line="270" w:lineRule="auto"/>
        <w:rPr>
          <w:sz w:val="20"/>
          <w:szCs w:val="20"/>
          <w:color w:val="auto"/>
        </w:rPr>
      </w:pPr>
      <w:r>
        <w:rPr>
          <w:rFonts w:ascii="Arial" w:cs="Arial" w:eastAsia="Arial" w:hAnsi="Arial"/>
          <w:sz w:val="15"/>
          <w:szCs w:val="15"/>
          <w:color w:val="auto"/>
        </w:rPr>
        <w:t>Fair value is defined as the price that would be received to sell an asset or would be paid to transfer a liability (i.e., the exit price) in an orderly transaction between market participants at the measurement date. Fair value measurements are not adjusted for transaction costs. The recognition of “block discounts” for large holdings of unrestricted financial instruments where quoted prices are readily and regularly available in an active market is prohibited. The Company categorizes its financial instruments into a three level hierarchy which prioritizes the inputs to valuation techniques used to measure fair value. The hierarchy level assigned to each financial instrument is based on the assessment of the transparency and reliability of the inputs used in the valuation of such financial instruments at the measurement date based on the lowest level of input that is significant to the fair value measurement. The hierarchy gives the highest priority to unadjusted quoted prices in active markets for identical assets or liabilities (Level 1 measurement) and the lowest priority to unobservable inputs (Level 3 measurements).</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Financial instruments measured and reported at fair value are classified and disclosed in one of the following categories based on inputs:</w:t>
      </w:r>
    </w:p>
    <w:p>
      <w:pPr>
        <w:spacing w:after="0" w:line="21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Level 1 — Unadjusted quoted prices in active markets that are accessible at the measurement date for identical, unrestricted assets or liabilities;</w:t>
      </w:r>
    </w:p>
    <w:p>
      <w:pPr>
        <w:spacing w:after="0" w:line="219" w:lineRule="exact"/>
        <w:rPr>
          <w:sz w:val="20"/>
          <w:szCs w:val="20"/>
          <w:color w:val="auto"/>
        </w:rPr>
      </w:pPr>
    </w:p>
    <w:p>
      <w:pPr>
        <w:ind w:left="560"/>
        <w:spacing w:after="0"/>
        <w:rPr>
          <w:sz w:val="20"/>
          <w:szCs w:val="20"/>
          <w:color w:val="auto"/>
        </w:rPr>
      </w:pPr>
      <w:r>
        <w:rPr>
          <w:rFonts w:ascii="Arial" w:cs="Arial" w:eastAsia="Arial" w:hAnsi="Arial"/>
          <w:sz w:val="15"/>
          <w:szCs w:val="15"/>
          <w:color w:val="auto"/>
        </w:rPr>
        <w:t>Level 2 — Quoted prices in markets that are not active and financial instruments for which all significant inputs are observable, either directly or indirectly; or</w:t>
      </w:r>
    </w:p>
    <w:p>
      <w:pPr>
        <w:spacing w:after="0" w:line="23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Level 3 — Prices or valuations that require inputs that are both significant to the fair value measurement and unobservable.</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Fair Value Option</w:t>
      </w:r>
    </w:p>
    <w:p>
      <w:pPr>
        <w:spacing w:after="0" w:line="219" w:lineRule="exact"/>
        <w:rPr>
          <w:sz w:val="20"/>
          <w:szCs w:val="20"/>
          <w:color w:val="auto"/>
        </w:rPr>
      </w:pPr>
    </w:p>
    <w:p>
      <w:pPr>
        <w:ind w:right="140" w:firstLine="568"/>
        <w:spacing w:after="0" w:line="254" w:lineRule="auto"/>
        <w:rPr>
          <w:sz w:val="20"/>
          <w:szCs w:val="20"/>
          <w:color w:val="auto"/>
        </w:rPr>
      </w:pPr>
      <w:r>
        <w:rPr>
          <w:rFonts w:ascii="Arial" w:cs="Arial" w:eastAsia="Arial" w:hAnsi="Arial"/>
          <w:sz w:val="16"/>
          <w:szCs w:val="16"/>
          <w:color w:val="auto"/>
        </w:rPr>
        <w:t>The fair value option election allows entities to make an irrevocable election of fair value as the initial and subsequent measurement attribute for certain eligible financial assets and liabilities. Unrealized gains and losses on items for which the fair value option has been elected are recorded in other, net in the Consolidated Statements of Comprehensive Income. The decision to elect the fair value option is determined on an instrument by instrument basis, which must be applied to an entire instrument and is irrevocable once elected.</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Derivative Instruments - Trading</w:t>
      </w:r>
    </w:p>
    <w:p>
      <w:pPr>
        <w:spacing w:after="0" w:line="219" w:lineRule="exact"/>
        <w:rPr>
          <w:sz w:val="20"/>
          <w:szCs w:val="20"/>
          <w:color w:val="auto"/>
        </w:rPr>
      </w:pPr>
    </w:p>
    <w:p>
      <w:pPr>
        <w:ind w:right="40" w:firstLine="568"/>
        <w:spacing w:after="0" w:line="302" w:lineRule="auto"/>
        <w:rPr>
          <w:sz w:val="20"/>
          <w:szCs w:val="20"/>
          <w:color w:val="auto"/>
        </w:rPr>
      </w:pPr>
      <w:r>
        <w:rPr>
          <w:rFonts w:ascii="Arial" w:cs="Arial" w:eastAsia="Arial" w:hAnsi="Arial"/>
          <w:sz w:val="14"/>
          <w:szCs w:val="14"/>
          <w:color w:val="auto"/>
        </w:rPr>
        <w:t>Derivative instruments are used for trading purposes, including economic hedges of trading instruments, are carried at fair value, and include futures, forward contracts, and options. Gains or losses on these derivative instruments are recognized currently within Trading income, net in the Consolidated Statements of Comprehensive Income. Fair values for exchange-traded derivatives, principally futures, are based on quoted market prices. Fair values for over-the-counter derivative instruments, principally forward contracts, are based on the values of the underlying financial instruments within the contract. The underlying instruments are currencies, which are actively traded.</w:t>
      </w:r>
    </w:p>
    <w:p>
      <w:pPr>
        <w:spacing w:after="0" w:line="160" w:lineRule="exact"/>
        <w:rPr>
          <w:sz w:val="20"/>
          <w:szCs w:val="20"/>
          <w:color w:val="auto"/>
        </w:rPr>
      </w:pPr>
    </w:p>
    <w:p>
      <w:pPr>
        <w:ind w:firstLine="568"/>
        <w:spacing w:after="0" w:line="268" w:lineRule="auto"/>
        <w:rPr>
          <w:sz w:val="20"/>
          <w:szCs w:val="20"/>
          <w:color w:val="auto"/>
        </w:rPr>
      </w:pPr>
      <w:r>
        <w:rPr>
          <w:rFonts w:ascii="Arial" w:cs="Arial" w:eastAsia="Arial" w:hAnsi="Arial"/>
          <w:sz w:val="16"/>
          <w:szCs w:val="16"/>
          <w:color w:val="auto"/>
        </w:rPr>
        <w:t>The Company presents its trading derivatives balances on a net-by-counterparty basis when the criteria for offsetting are met. Cash flows associated with such derivative activities are included in cash flows from operating activities on the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87" w:name="page88"/>
    <w:bookmarkEnd w:id="8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Derivative Instruments - Hedging</w:t>
      </w:r>
    </w:p>
    <w:p>
      <w:pPr>
        <w:spacing w:after="0" w:line="219" w:lineRule="exact"/>
        <w:rPr>
          <w:sz w:val="20"/>
          <w:szCs w:val="20"/>
          <w:color w:val="auto"/>
        </w:rPr>
      </w:pPr>
    </w:p>
    <w:p>
      <w:pPr>
        <w:ind w:right="20" w:firstLine="568"/>
        <w:spacing w:after="0" w:line="289" w:lineRule="auto"/>
        <w:rPr>
          <w:sz w:val="20"/>
          <w:szCs w:val="20"/>
          <w:color w:val="auto"/>
        </w:rPr>
      </w:pPr>
      <w:r>
        <w:rPr>
          <w:rFonts w:ascii="Arial" w:cs="Arial" w:eastAsia="Arial" w:hAnsi="Arial"/>
          <w:sz w:val="14"/>
          <w:szCs w:val="14"/>
          <w:color w:val="auto"/>
        </w:rPr>
        <w:t>The Company may use derivative instruments for risk management purposes, including cash flow hedges used to manage interest rate risk on long-term borrowings and net investment hedges used to manage foreign exchange risk. The Company has entered into floating-to-fixed interest rate swap agreements in order to manage interest rate risk associated with its long-term debt obligations. Additionally, the Company may seek to reduce the impact of fluctuations in foreign exchange rates on its net investment in certain non-U.S. operations through the use of foreign currency forward contracts. For interest rate swap agreements and foreign currency forward contracts designated as hedges, the Company assesses its risk management objectives and strategy, including identification of the hedging instrument, the hedged item and the risk exposure and how effectiveness is to be assessed prospectively and retrospectively. The effectiveness of the hedge is assessed based on the overall changes in the fair value of the interest rate swaps or forward contracts. For instruments that meet the criteria to be considered hedging instruments under ASC 815, any gains or losses, to the extent effective, are included in Accumulated other comprehensive income on the Consolidated Statements of Financial Condition and Other comprehensive income on the Consolidated Statements of Comprehensive Income. The ineffective portion, if any, is recorded in Other, net on the Consolidated Statements of Comprehensive Income.</w:t>
      </w:r>
    </w:p>
    <w:p>
      <w:pPr>
        <w:spacing w:after="0" w:line="173" w:lineRule="exact"/>
        <w:rPr>
          <w:sz w:val="20"/>
          <w:szCs w:val="20"/>
          <w:color w:val="auto"/>
        </w:rPr>
      </w:pPr>
    </w:p>
    <w:p>
      <w:pPr>
        <w:ind w:right="440" w:firstLine="568"/>
        <w:spacing w:after="0" w:line="283" w:lineRule="auto"/>
        <w:rPr>
          <w:sz w:val="20"/>
          <w:szCs w:val="20"/>
          <w:color w:val="auto"/>
        </w:rPr>
      </w:pPr>
      <w:r>
        <w:rPr>
          <w:rFonts w:ascii="Arial" w:cs="Arial" w:eastAsia="Arial" w:hAnsi="Arial"/>
          <w:sz w:val="15"/>
          <w:szCs w:val="15"/>
          <w:color w:val="auto"/>
        </w:rPr>
        <w:t>The Company presents its hedging derivatives balances on a net-by-counterparty basis when the criteria for offsetting are met. Balances associated with hedging derivatives are recorded within Receivables from/Payables to broker-dealers and clearing organizations on the Consolidated Statements of Financial Condition. Cash flows associated with such derivative activities are included in cash flows from operating activities on the Consolidated Statements of Cash Flows.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Property and Equipment</w:t>
      </w:r>
    </w:p>
    <w:p>
      <w:pPr>
        <w:spacing w:after="0" w:line="219" w:lineRule="exact"/>
        <w:rPr>
          <w:sz w:val="20"/>
          <w:szCs w:val="20"/>
          <w:color w:val="auto"/>
        </w:rPr>
      </w:pPr>
    </w:p>
    <w:p>
      <w:pPr>
        <w:ind w:right="40" w:firstLine="568"/>
        <w:spacing w:after="0" w:line="250" w:lineRule="auto"/>
        <w:rPr>
          <w:sz w:val="20"/>
          <w:szCs w:val="20"/>
          <w:color w:val="auto"/>
        </w:rPr>
      </w:pPr>
      <w:r>
        <w:rPr>
          <w:rFonts w:ascii="Arial" w:cs="Arial" w:eastAsia="Arial" w:hAnsi="Arial"/>
          <w:sz w:val="16"/>
          <w:szCs w:val="16"/>
          <w:color w:val="auto"/>
        </w:rPr>
        <w:t>Property and equipment are carried at cost, less accumulated depreciation, except for the assets acquired in connection with acquisitions using the purchase accounting method, which were recorded at fair value on date of acquisition. Depreciation is provided using the straight-line method over estimated useful lives of the underlying assets. Routine maintenance, repairs and replacement costs are expensed as incurred and improvements that appreciably extend the useful life of the assets are capitalized. When property and equipment are sold or otherwise disposed of, the cost and related accumulated depreciation are removed from the accounts and any resulting gain or loss is recognized in income. Property and equipment are reviewed for impairment whenever events or changes in circumstances indicate that the related carrying amount may not be recoverable. Furniture, fixtures, and equipment are depreciated over three to seven years. Leasehold improvements are amortized over the lesser of the life of the improvement or the term of the lease.</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Capitalized Software</w:t>
      </w:r>
    </w:p>
    <w:p>
      <w:pPr>
        <w:spacing w:after="0" w:line="219" w:lineRule="exact"/>
        <w:rPr>
          <w:sz w:val="20"/>
          <w:szCs w:val="20"/>
          <w:color w:val="auto"/>
        </w:rPr>
      </w:pPr>
    </w:p>
    <w:p>
      <w:pPr>
        <w:ind w:firstLine="568"/>
        <w:spacing w:after="0" w:line="268" w:lineRule="auto"/>
        <w:rPr>
          <w:sz w:val="20"/>
          <w:szCs w:val="20"/>
          <w:color w:val="auto"/>
        </w:rPr>
      </w:pPr>
      <w:r>
        <w:rPr>
          <w:rFonts w:ascii="Arial" w:cs="Arial" w:eastAsia="Arial" w:hAnsi="Arial"/>
          <w:sz w:val="16"/>
          <w:szCs w:val="16"/>
          <w:color w:val="auto"/>
        </w:rPr>
        <w:t>The Company capitalizes costs of materials, consultants, and payroll and payroll-related costs for employees incurred in developing internal-use software. Costs incurred during the preliminary project and post-implementation stages are charged to expense.</w:t>
      </w:r>
    </w:p>
    <w:p>
      <w:pPr>
        <w:spacing w:after="0" w:line="181" w:lineRule="exact"/>
        <w:rPr>
          <w:sz w:val="20"/>
          <w:szCs w:val="20"/>
          <w:color w:val="auto"/>
        </w:rPr>
      </w:pPr>
    </w:p>
    <w:p>
      <w:pPr>
        <w:ind w:right="60" w:firstLine="568"/>
        <w:spacing w:after="0" w:line="268" w:lineRule="auto"/>
        <w:rPr>
          <w:sz w:val="20"/>
          <w:szCs w:val="20"/>
          <w:color w:val="auto"/>
        </w:rPr>
      </w:pPr>
      <w:r>
        <w:rPr>
          <w:rFonts w:ascii="Arial" w:cs="Arial" w:eastAsia="Arial" w:hAnsi="Arial"/>
          <w:sz w:val="16"/>
          <w:szCs w:val="16"/>
          <w:color w:val="auto"/>
        </w:rPr>
        <w:t>Management’s judgment is required in determining the point at which various projects enter the stages at which costs may be capitalized, in assessing the ongoing value of the capitalized costs, and in determining the estimated useful lives over which the costs are amortized.</w:t>
      </w:r>
    </w:p>
    <w:p>
      <w:pPr>
        <w:spacing w:after="0" w:line="181" w:lineRule="exact"/>
        <w:rPr>
          <w:sz w:val="20"/>
          <w:szCs w:val="20"/>
          <w:color w:val="auto"/>
        </w:rPr>
      </w:pPr>
    </w:p>
    <w:p>
      <w:pPr>
        <w:jc w:val="both"/>
        <w:ind w:right="540" w:firstLine="568"/>
        <w:spacing w:after="0" w:line="341" w:lineRule="auto"/>
        <w:rPr>
          <w:sz w:val="20"/>
          <w:szCs w:val="20"/>
          <w:color w:val="auto"/>
        </w:rPr>
      </w:pPr>
      <w:r>
        <w:rPr>
          <w:rFonts w:ascii="Arial" w:cs="Arial" w:eastAsia="Arial" w:hAnsi="Arial"/>
          <w:sz w:val="14"/>
          <w:szCs w:val="14"/>
          <w:color w:val="auto"/>
        </w:rPr>
        <w:t>Capitalized software development costs and related accumulated amortization are included in Property, equipment and capitalized software in the accompanying Consolidated Statements of Financial Condition and are amortized over a period of 1.5 to 3 years, which represents the estimated useful lives of the underlying software.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8" w:name="page89"/>
    <w:bookmarkEnd w:id="8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Leases</w:t>
      </w:r>
    </w:p>
    <w:p>
      <w:pPr>
        <w:spacing w:after="0" w:line="219" w:lineRule="exact"/>
        <w:rPr>
          <w:sz w:val="20"/>
          <w:szCs w:val="20"/>
          <w:color w:val="auto"/>
        </w:rPr>
      </w:pPr>
    </w:p>
    <w:p>
      <w:pPr>
        <w:ind w:firstLine="568"/>
        <w:spacing w:after="0" w:line="287" w:lineRule="auto"/>
        <w:rPr>
          <w:sz w:val="20"/>
          <w:szCs w:val="20"/>
          <w:color w:val="auto"/>
        </w:rPr>
      </w:pPr>
      <w:r>
        <w:rPr>
          <w:rFonts w:ascii="Arial" w:cs="Arial" w:eastAsia="Arial" w:hAnsi="Arial"/>
          <w:sz w:val="14"/>
          <w:szCs w:val="14"/>
          <w:color w:val="auto"/>
        </w:rPr>
        <w:t>The Company determines if an arrangement is a lease at the inception of the arrangement. Operating leases are included in Operating lease right-of-use ("ROU") assets and Operating lease liabilities on the Consolidated Statements of Financial Condition. Operating lease ROU assets are assets that represent the lessee’s right to use, or control the use of, a specified asset for the lease term. Finance leases consist primarily of leases for technology and equipment and are included in Property, equipment, and capitalized software and Accounts payable, accrued expenses and other liabilities on the Consolidated Statements of Financial Condition. ROU assets and lease liabilities are recognized based on the present value of the future minimum lease payments over the lease term at the commencement date. The Company uses its incremental borrowing rate, based on the information available at the commencement date of the lease, in determining the present value of future payments. The ROU assets are reduced by lease incentives and initial direct costs incurred. The Company's lease terms may include options to extend or terminate the lease when it is reasonably certain that the Company will exercise that option. Lease expense for operating leases and amortization of the finance lease ROU asset is recognized on a straight-line basis over the lease term. Lease expense related to the leasing of corporate office space is recorded in Operations and Administrative expenses on the Consolidated Statements of Comprehensive Income. Lease expense related to the leasing of data centers and other technology is recorded in Communication and Data Processing on the Consolidated Statements of Comprehensive Income. Certain of the Company's lease agreements contain fixed lease payments that contain lease and non-lease components; for such leases, the Company accounts for the lease and non-lease components as a single lease component. The Company nets its sublease income against corresponding lease expenses within Operations and Administrative expenses on the Consolidated Statements of Comprehensive Income.</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Goodwill</w:t>
      </w:r>
    </w:p>
    <w:p>
      <w:pPr>
        <w:spacing w:after="0" w:line="219" w:lineRule="exact"/>
        <w:rPr>
          <w:sz w:val="20"/>
          <w:szCs w:val="20"/>
          <w:color w:val="auto"/>
        </w:rPr>
      </w:pPr>
    </w:p>
    <w:p>
      <w:pPr>
        <w:ind w:firstLine="568"/>
        <w:spacing w:after="0" w:line="283" w:lineRule="auto"/>
        <w:rPr>
          <w:sz w:val="20"/>
          <w:szCs w:val="20"/>
          <w:color w:val="auto"/>
        </w:rPr>
      </w:pPr>
      <w:r>
        <w:rPr>
          <w:rFonts w:ascii="Arial" w:cs="Arial" w:eastAsia="Arial" w:hAnsi="Arial"/>
          <w:sz w:val="15"/>
          <w:szCs w:val="15"/>
          <w:color w:val="auto"/>
        </w:rPr>
        <w:t>Goodwill represents the excess of the purchase price over the underlying net tangible and intangible assets of the Company’s acquisitions. Goodwill is not amortized but is assessed for impairment on an annual basis and between annual assessments whenever events or changes in circumstances indicate that the carrying amount may not be recoverable. Goodwill is assessed at the reporting unit level, which is defined as an operating segment or one level below the operating segment.</w:t>
      </w:r>
    </w:p>
    <w:p>
      <w:pPr>
        <w:spacing w:after="0" w:line="171" w:lineRule="exact"/>
        <w:rPr>
          <w:sz w:val="20"/>
          <w:szCs w:val="20"/>
          <w:color w:val="auto"/>
        </w:rPr>
      </w:pPr>
    </w:p>
    <w:p>
      <w:pPr>
        <w:jc w:val="both"/>
        <w:ind w:right="240" w:firstLine="568"/>
        <w:spacing w:after="0" w:line="257" w:lineRule="auto"/>
        <w:rPr>
          <w:sz w:val="20"/>
          <w:szCs w:val="20"/>
          <w:color w:val="auto"/>
        </w:rPr>
      </w:pPr>
      <w:r>
        <w:rPr>
          <w:rFonts w:ascii="Arial" w:cs="Arial" w:eastAsia="Arial" w:hAnsi="Arial"/>
          <w:sz w:val="16"/>
          <w:szCs w:val="16"/>
          <w:color w:val="auto"/>
        </w:rPr>
        <w:t>The Company assesses goodwill for impairment on an annual basis on July 1 and on an interim basis when certain events occur or certain circumstances exist. In the impairment assessment as of July 1, 2021, the Company assessed qualitative factors as described in ASC 350-20 for each of its reporting units for any indicators that the fair values of the reporting units were less than their carrying values. No impairment was identified.</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Intangible Assets</w:t>
      </w:r>
    </w:p>
    <w:p>
      <w:pPr>
        <w:spacing w:after="0" w:line="219" w:lineRule="exact"/>
        <w:rPr>
          <w:sz w:val="20"/>
          <w:szCs w:val="20"/>
          <w:color w:val="auto"/>
        </w:rPr>
      </w:pPr>
    </w:p>
    <w:p>
      <w:pPr>
        <w:ind w:right="540" w:firstLine="568"/>
        <w:spacing w:after="0" w:line="268" w:lineRule="auto"/>
        <w:rPr>
          <w:sz w:val="20"/>
          <w:szCs w:val="20"/>
          <w:color w:val="auto"/>
        </w:rPr>
      </w:pPr>
      <w:r>
        <w:rPr>
          <w:rFonts w:ascii="Arial" w:cs="Arial" w:eastAsia="Arial" w:hAnsi="Arial"/>
          <w:sz w:val="16"/>
          <w:szCs w:val="16"/>
          <w:color w:val="auto"/>
        </w:rPr>
        <w:t>The Company amortizes finite-lived intangible assets over their estimated useful lives. Finite-lived intangible assets are tested for impairment when impairment indicators are present, and if impaired, they are written down to fair value.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Exchange Memberships and Stock</w:t>
      </w:r>
    </w:p>
    <w:p>
      <w:pPr>
        <w:spacing w:after="0" w:line="219" w:lineRule="exact"/>
        <w:rPr>
          <w:sz w:val="20"/>
          <w:szCs w:val="20"/>
          <w:color w:val="auto"/>
        </w:rPr>
      </w:pPr>
    </w:p>
    <w:p>
      <w:pPr>
        <w:ind w:right="340" w:firstLine="568"/>
        <w:spacing w:after="0" w:line="268" w:lineRule="auto"/>
        <w:rPr>
          <w:sz w:val="20"/>
          <w:szCs w:val="20"/>
          <w:color w:val="auto"/>
        </w:rPr>
      </w:pPr>
      <w:r>
        <w:rPr>
          <w:rFonts w:ascii="Arial" w:cs="Arial" w:eastAsia="Arial" w:hAnsi="Arial"/>
          <w:sz w:val="16"/>
          <w:szCs w:val="16"/>
          <w:color w:val="auto"/>
        </w:rPr>
        <w:t>Exchange memberships are recorded at cost or, if any other than temporary impairment in value has occurred, at a value that reflects management’s estimate of fair value. Exchange stock includes shares that entitle the Company to certain trading privileges.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Trading Income, net</w:t>
      </w:r>
    </w:p>
    <w:p>
      <w:pPr>
        <w:spacing w:after="0" w:line="219" w:lineRule="exact"/>
        <w:rPr>
          <w:sz w:val="20"/>
          <w:szCs w:val="20"/>
          <w:color w:val="auto"/>
        </w:rPr>
      </w:pPr>
    </w:p>
    <w:p>
      <w:pPr>
        <w:jc w:val="both"/>
        <w:ind w:right="120" w:firstLine="568"/>
        <w:spacing w:after="0" w:line="257" w:lineRule="auto"/>
        <w:rPr>
          <w:sz w:val="20"/>
          <w:szCs w:val="20"/>
          <w:color w:val="auto"/>
        </w:rPr>
      </w:pPr>
      <w:r>
        <w:rPr>
          <w:rFonts w:ascii="Arial" w:cs="Arial" w:eastAsia="Arial" w:hAnsi="Arial"/>
          <w:sz w:val="16"/>
          <w:szCs w:val="16"/>
          <w:color w:val="auto"/>
        </w:rPr>
        <w:t>Trading income, net is composed of changes in the fair value of trading assets and liabilities (i.e., unrealized gains and losses) and realized gains and losses on trading assets and liabilities. Trading gains and losses on financial instruments owned and financial instruments sold, not yet purchased are recorded on the trade date and reported on a net basis in the Consolidated Statements of Comprehensive Income.</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Commissions, net and Technology Services</w:t>
      </w:r>
    </w:p>
    <w:p>
      <w:pPr>
        <w:spacing w:after="0" w:line="219" w:lineRule="exact"/>
        <w:rPr>
          <w:sz w:val="20"/>
          <w:szCs w:val="20"/>
          <w:color w:val="auto"/>
        </w:rPr>
      </w:pPr>
    </w:p>
    <w:p>
      <w:pPr>
        <w:ind w:right="20" w:firstLine="568"/>
        <w:spacing w:after="0" w:line="254" w:lineRule="auto"/>
        <w:rPr>
          <w:sz w:val="20"/>
          <w:szCs w:val="20"/>
          <w:color w:val="auto"/>
        </w:rPr>
      </w:pPr>
      <w:r>
        <w:rPr>
          <w:rFonts w:ascii="Arial" w:cs="Arial" w:eastAsia="Arial" w:hAnsi="Arial"/>
          <w:sz w:val="16"/>
          <w:szCs w:val="16"/>
          <w:color w:val="auto"/>
        </w:rPr>
        <w:t>Commissions, net, which primarily comprise commissions and commission equivalents earned on institutional client orders, are recorded on a trade date basis. Under a commission management program, the Company allows institutional clients to allocate a portion of their gross commissions to pay for research and other services provided by third parties. As the Company acts as an agent in these transactions, it records such expenses on a net basis within Commissions, net and technology services in the Consolidated Statements of Comprehensive Income.</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89" w:name="page90"/>
    <w:bookmarkEnd w:id="8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ind w:right="40" w:firstLine="568"/>
        <w:spacing w:after="0" w:line="254" w:lineRule="auto"/>
        <w:rPr>
          <w:sz w:val="20"/>
          <w:szCs w:val="20"/>
          <w:color w:val="auto"/>
        </w:rPr>
      </w:pPr>
      <w:r>
        <w:rPr>
          <w:rFonts w:ascii="Arial" w:cs="Arial" w:eastAsia="Arial" w:hAnsi="Arial"/>
          <w:sz w:val="16"/>
          <w:szCs w:val="16"/>
          <w:color w:val="auto"/>
        </w:rPr>
        <w:t>The Company provides order management software (“OMS”) and related software products and connectivity services to customers and recognizes license fee revenues and monthly connectivity fees. License fee revenues, generated for the use of the Company’s OMS and other software products, is fixed and recognized at the point in time at which the customer is able to use and benefit from the license. Connectivity revenue is variable in nature, based on the number of live connections, and is recognized over time on a monthly basis using a time-based measure of progress.</w:t>
      </w:r>
    </w:p>
    <w:p>
      <w:pPr>
        <w:spacing w:after="0" w:line="192" w:lineRule="exact"/>
        <w:rPr>
          <w:sz w:val="20"/>
          <w:szCs w:val="20"/>
          <w:color w:val="auto"/>
        </w:rPr>
      </w:pPr>
    </w:p>
    <w:p>
      <w:pPr>
        <w:jc w:val="both"/>
        <w:ind w:right="280" w:firstLine="568"/>
        <w:spacing w:after="0" w:line="257" w:lineRule="auto"/>
        <w:rPr>
          <w:sz w:val="20"/>
          <w:szCs w:val="20"/>
          <w:color w:val="auto"/>
        </w:rPr>
      </w:pPr>
      <w:r>
        <w:rPr>
          <w:rFonts w:ascii="Arial" w:cs="Arial" w:eastAsia="Arial" w:hAnsi="Arial"/>
          <w:sz w:val="16"/>
          <w:szCs w:val="16"/>
          <w:color w:val="auto"/>
        </w:rPr>
        <w:t>The Company also provides analytics products and services to customers and recognizes subscription fees, which are fixed for the contract term, based on when the products and services are delivered. Analytics products and services may be bundled with trade execution services, in which case commissions are allocated to the analytics performance obligations using an allocation methodology.</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and Dividends Income/Interest and Dividends Expense</w:t>
      </w:r>
    </w:p>
    <w:p>
      <w:pPr>
        <w:spacing w:after="0" w:line="219" w:lineRule="exact"/>
        <w:rPr>
          <w:sz w:val="20"/>
          <w:szCs w:val="20"/>
          <w:color w:val="auto"/>
        </w:rPr>
      </w:pPr>
    </w:p>
    <w:p>
      <w:pPr>
        <w:ind w:right="100" w:firstLine="568"/>
        <w:spacing w:after="0" w:line="254" w:lineRule="auto"/>
        <w:rPr>
          <w:sz w:val="20"/>
          <w:szCs w:val="20"/>
          <w:color w:val="auto"/>
        </w:rPr>
      </w:pPr>
      <w:r>
        <w:rPr>
          <w:rFonts w:ascii="Arial" w:cs="Arial" w:eastAsia="Arial" w:hAnsi="Arial"/>
          <w:sz w:val="16"/>
          <w:szCs w:val="16"/>
          <w:color w:val="auto"/>
        </w:rPr>
        <w:t>Interest income and interest expense are accrued in accordance with contractual rates. Interest income consists of interest earned on collateralized financing arrangements and on cash held by brokers. Interest expense includes interest expense from collateralized transactions, margin and related lines of credit. Dividends on financial instruments owned including those pledged as collateral and financial instruments sold, not yet purchased are recorded on the ex-dividend date and interest is recognized on an accrual basis.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Brokerage, Exchange, Clearance Fees and Payments for Order Flow, Net</w:t>
      </w:r>
    </w:p>
    <w:p>
      <w:pPr>
        <w:spacing w:after="0" w:line="219" w:lineRule="exact"/>
        <w:rPr>
          <w:sz w:val="20"/>
          <w:szCs w:val="20"/>
          <w:color w:val="auto"/>
        </w:rPr>
      </w:pPr>
    </w:p>
    <w:p>
      <w:pPr>
        <w:ind w:right="180" w:firstLine="568"/>
        <w:spacing w:after="0" w:line="302" w:lineRule="auto"/>
        <w:rPr>
          <w:sz w:val="20"/>
          <w:szCs w:val="20"/>
          <w:color w:val="auto"/>
        </w:rPr>
      </w:pPr>
      <w:r>
        <w:rPr>
          <w:rFonts w:ascii="Arial" w:cs="Arial" w:eastAsia="Arial" w:hAnsi="Arial"/>
          <w:sz w:val="14"/>
          <w:szCs w:val="14"/>
          <w:color w:val="auto"/>
        </w:rPr>
        <w:t>Brokerage, exchange, clearance fees and payments for order flow, net, comprise the costs of executing and clearing trades and are accrued on a trade date basis in the Consolidated Statements of Comprehensive Income. These costs are net of rebates, which consist of volume discounts, credits or payments received from exchanges or other marketplaces related to the placement and/or removal of liquidity from the order flow in the marketplace. Rebates are recorded on an accrual basis. Payments for order flow represent payments to broker-dealer clients, in the normal course of business, for directing their order flow in U.S. equities to the Company.</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Taxes</w:t>
      </w:r>
    </w:p>
    <w:p>
      <w:pPr>
        <w:spacing w:after="0" w:line="219" w:lineRule="exact"/>
        <w:rPr>
          <w:sz w:val="20"/>
          <w:szCs w:val="20"/>
          <w:color w:val="auto"/>
        </w:rPr>
      </w:pPr>
    </w:p>
    <w:p>
      <w:pPr>
        <w:ind w:right="220" w:firstLine="568"/>
        <w:spacing w:after="0" w:line="268" w:lineRule="auto"/>
        <w:rPr>
          <w:sz w:val="20"/>
          <w:szCs w:val="20"/>
          <w:color w:val="auto"/>
        </w:rPr>
      </w:pPr>
      <w:r>
        <w:rPr>
          <w:rFonts w:ascii="Arial" w:cs="Arial" w:eastAsia="Arial" w:hAnsi="Arial"/>
          <w:sz w:val="16"/>
          <w:szCs w:val="16"/>
          <w:color w:val="auto"/>
        </w:rPr>
        <w:t>The Company is subject to U.S. federal, state and local income taxes on its taxable income. The Company's subsidiaries are subject to income taxes in the respective jurisdictions (including foreign jurisdictions) in which they operate.</w:t>
      </w:r>
    </w:p>
    <w:p>
      <w:pPr>
        <w:spacing w:after="0" w:line="181" w:lineRule="exact"/>
        <w:rPr>
          <w:sz w:val="20"/>
          <w:szCs w:val="20"/>
          <w:color w:val="auto"/>
        </w:rPr>
      </w:pPr>
    </w:p>
    <w:p>
      <w:pPr>
        <w:ind w:right="100" w:firstLine="568"/>
        <w:spacing w:after="0" w:line="257" w:lineRule="auto"/>
        <w:rPr>
          <w:sz w:val="20"/>
          <w:szCs w:val="20"/>
          <w:color w:val="auto"/>
        </w:rPr>
      </w:pPr>
      <w:r>
        <w:rPr>
          <w:rFonts w:ascii="Arial" w:cs="Arial" w:eastAsia="Arial" w:hAnsi="Arial"/>
          <w:sz w:val="16"/>
          <w:szCs w:val="16"/>
          <w:color w:val="auto"/>
        </w:rPr>
        <w:t>The provision for income tax comprises current tax and deferred tax. Current tax represents the tax on current year tax returns, using tax rates enacted at the balance sheet date. Deferred tax assets are recognized in full and then reduced by a valuation allowance if it is more likely than not that some or all of the deferred tax assets will not be recognized.</w:t>
      </w:r>
    </w:p>
    <w:p>
      <w:pPr>
        <w:spacing w:after="0" w:line="190" w:lineRule="exact"/>
        <w:rPr>
          <w:sz w:val="20"/>
          <w:szCs w:val="20"/>
          <w:color w:val="auto"/>
        </w:rPr>
      </w:pPr>
    </w:p>
    <w:p>
      <w:pPr>
        <w:ind w:right="40" w:firstLine="568"/>
        <w:spacing w:after="0" w:line="294" w:lineRule="auto"/>
        <w:rPr>
          <w:sz w:val="20"/>
          <w:szCs w:val="20"/>
          <w:color w:val="auto"/>
        </w:rPr>
      </w:pPr>
      <w:r>
        <w:rPr>
          <w:rFonts w:ascii="Arial" w:cs="Arial" w:eastAsia="Arial" w:hAnsi="Arial"/>
          <w:sz w:val="14"/>
          <w:szCs w:val="14"/>
          <w:color w:val="auto"/>
        </w:rPr>
        <w:t>The Company recognizes the tax benefit from an uncertain tax position only if it is more likely than not that the tax position will be sustained on examination by the applicable taxing authority, including resolution of the appeals or litigation processes, based on the technical merits of the position. The tax benefits recognized in the consolidated financial statements from such a position are measured based on the largest benefit for each such position that has a greater than fifty percent likelihood of being realized upon ultimate resolution. Many factors are considered when evaluating and estimating the tax positions and tax benefits. Such estimates involve interpretations of regulations, rulings, case law, etc. and are inherently complex. The Company’s estimates may require periodic adjustments and may not accurately anticipate actual outcomes as resolution of income tax treatments in individual jurisdictions typically would not be known for several years after completion of any fiscal year.</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Comprehensive Income</w:t>
      </w:r>
    </w:p>
    <w:p>
      <w:pPr>
        <w:spacing w:after="0" w:line="219" w:lineRule="exact"/>
        <w:rPr>
          <w:sz w:val="20"/>
          <w:szCs w:val="20"/>
          <w:color w:val="auto"/>
        </w:rPr>
      </w:pPr>
    </w:p>
    <w:p>
      <w:pPr>
        <w:ind w:firstLine="568"/>
        <w:spacing w:after="0" w:line="302" w:lineRule="auto"/>
        <w:rPr>
          <w:sz w:val="20"/>
          <w:szCs w:val="20"/>
          <w:color w:val="auto"/>
        </w:rPr>
      </w:pPr>
      <w:r>
        <w:rPr>
          <w:rFonts w:ascii="Arial" w:cs="Arial" w:eastAsia="Arial" w:hAnsi="Arial"/>
          <w:sz w:val="15"/>
          <w:szCs w:val="15"/>
          <w:color w:val="auto"/>
        </w:rPr>
        <w:t>Comprehensive income consists of two components: net income and other comprehensive income (“OCI”). The Company’s OCI comprises foreign currency translation adjustments and mark-to-market gains and losses on the Company's derivative instruments designated as hedging instruments under ASC 815.</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90" w:name="page91"/>
    <w:bookmarkEnd w:id="9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ind w:right="100" w:firstLine="568"/>
        <w:spacing w:after="0" w:line="297" w:lineRule="auto"/>
        <w:rPr>
          <w:sz w:val="20"/>
          <w:szCs w:val="20"/>
          <w:color w:val="auto"/>
        </w:rPr>
      </w:pPr>
      <w:r>
        <w:rPr>
          <w:rFonts w:ascii="Arial" w:cs="Arial" w:eastAsia="Arial" w:hAnsi="Arial"/>
          <w:sz w:val="14"/>
          <w:szCs w:val="14"/>
          <w:color w:val="auto"/>
        </w:rPr>
        <w:t>Assets and liabilities of operations having non-U.S. dollar functional currencies are translated at period-end exchange rates, and revenues and expenses are translated at weighted average exchange rates for the period. Gains and losses resulting from translating foreign currency financial statements, net of related tax effects, are reflected in Accumulated OCI, a component of stockholders’ equity. While certain of the Company's foreign subsidiaries use the U.S. dollar as their functional currency, the Company also has subsidiaries that utilize a functional currency other than the U.S. dollar, primarily comprising its subsidiaries domiciled in Ireland, which utilize the Euro and Pound Sterling as the functional currency, and subsidiaries domiciled in Canada, which utilize the Canadian dollar as the functional currency.</w:t>
      </w:r>
    </w:p>
    <w:p>
      <w:pPr>
        <w:spacing w:after="0" w:line="164" w:lineRule="exact"/>
        <w:rPr>
          <w:sz w:val="20"/>
          <w:szCs w:val="20"/>
          <w:color w:val="auto"/>
        </w:rPr>
      </w:pPr>
    </w:p>
    <w:p>
      <w:pPr>
        <w:jc w:val="both"/>
        <w:ind w:right="60" w:firstLine="568"/>
        <w:spacing w:after="0" w:line="254" w:lineRule="auto"/>
        <w:rPr>
          <w:sz w:val="20"/>
          <w:szCs w:val="20"/>
          <w:color w:val="auto"/>
        </w:rPr>
      </w:pPr>
      <w:r>
        <w:rPr>
          <w:rFonts w:ascii="Arial" w:cs="Arial" w:eastAsia="Arial" w:hAnsi="Arial"/>
          <w:sz w:val="16"/>
          <w:szCs w:val="16"/>
          <w:color w:val="auto"/>
        </w:rPr>
        <w:t>The Company may use derivative instruments for risk management purposes, including cash flow hedges used to manage interest rate risk on long-term borrowings and net investment hedges used to manage foreign exchange risk. For instruments that meet the criteria to be considered hedging instruments under ASC 815, any gains or losses are initially included in Accumulated OCI on the Consolidated Statements of Financial Condition and OCI on the Consolidated Statements of Comprehensive Income, as the hedged item affects earnings.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Share-Based Compensation</w:t>
      </w:r>
    </w:p>
    <w:p>
      <w:pPr>
        <w:spacing w:after="0" w:line="219" w:lineRule="exact"/>
        <w:rPr>
          <w:sz w:val="20"/>
          <w:szCs w:val="20"/>
          <w:color w:val="auto"/>
        </w:rPr>
      </w:pPr>
    </w:p>
    <w:p>
      <w:pPr>
        <w:ind w:left="560"/>
        <w:spacing w:after="0"/>
        <w:rPr>
          <w:sz w:val="20"/>
          <w:szCs w:val="20"/>
          <w:color w:val="auto"/>
        </w:rPr>
      </w:pPr>
      <w:r>
        <w:rPr>
          <w:rFonts w:ascii="Arial" w:cs="Arial" w:eastAsia="Arial" w:hAnsi="Arial"/>
          <w:sz w:val="15"/>
          <w:szCs w:val="15"/>
          <w:color w:val="auto"/>
        </w:rPr>
        <w:t>Share-based awards issued for compensation in connection with or subsequent to the Company's initial public offering in April 2015 (the “IPO”) and certain</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reorganization transactions consummated in connection with the IPO (the “Reorganization Transactions”) pursuant to the Virtu Financial, Inc. 2015 Management Incentive Plan</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(as amended, the “Amended and Restated 2015 Management Incentive Plan”) and pursuant to the Amended and Restated Investment Technology Group, Inc. 2007 Omnibus</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Equity Compensation Plan, dated as of June 8, 2017 (the “Amended and Restated ITG 2007 Equity Plan”), are in the form of stock options, Class A common stock, par value</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$0.00001 per share (the “Class A Common Stock”), RSAs and RSUs, as applicable. The fair values of the Class A Common Stock and RSUs are determined based on the volume</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weighted average price for the three days preceding the grant. With respect to the RSUs, forfeitures are accounted for as they occur. The fair value of RSAs is determined based</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on the closing price as of the grant date. The fair value of share-based awards granted to employees is expensed based on the vesting conditions and is recognized on a straight-</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line basis over the vesting period, or, in the case of RSAs subject to performance conditions, from the date that achievement of the performance target becomes probable through</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the remainder of the vesting period. The Company records as treasury stock shares repurchased from its employees for the purpose of settling tax liabilities incurred upon the</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issuance of Class A Common Stock, the vesting of RSUs or the exercise of stock options.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Variable Interest Entities</w:t>
      </w:r>
    </w:p>
    <w:p>
      <w:pPr>
        <w:spacing w:after="0" w:line="219" w:lineRule="exact"/>
        <w:rPr>
          <w:sz w:val="20"/>
          <w:szCs w:val="20"/>
          <w:color w:val="auto"/>
        </w:rPr>
      </w:pPr>
    </w:p>
    <w:p>
      <w:pPr>
        <w:ind w:firstLine="568"/>
        <w:spacing w:after="0" w:line="257" w:lineRule="auto"/>
        <w:rPr>
          <w:sz w:val="20"/>
          <w:szCs w:val="20"/>
          <w:color w:val="auto"/>
        </w:rPr>
      </w:pPr>
      <w:r>
        <w:rPr>
          <w:rFonts w:ascii="Arial" w:cs="Arial" w:eastAsia="Arial" w:hAnsi="Arial"/>
          <w:sz w:val="16"/>
          <w:szCs w:val="16"/>
          <w:color w:val="auto"/>
        </w:rPr>
        <w:t>A variable interest entity (“VIE”) is an entity that lacks one or more of the following characteristics: (i) the total equity investment at risk is sufficient to enable the entity to finance its activities independently and (ii) the equity holders have the power to direct the activities of the entity that most significantly impact its economic performance, the obligation to absorb the losses of the entity and the right to receive the residual returns of the entity.</w:t>
      </w:r>
    </w:p>
    <w:p>
      <w:pPr>
        <w:spacing w:after="0" w:line="190" w:lineRule="exact"/>
        <w:rPr>
          <w:sz w:val="20"/>
          <w:szCs w:val="20"/>
          <w:color w:val="auto"/>
        </w:rPr>
      </w:pPr>
    </w:p>
    <w:p>
      <w:pPr>
        <w:ind w:firstLine="568"/>
        <w:spacing w:after="0" w:line="257" w:lineRule="auto"/>
        <w:rPr>
          <w:sz w:val="20"/>
          <w:szCs w:val="20"/>
          <w:color w:val="auto"/>
        </w:rPr>
      </w:pPr>
      <w:r>
        <w:rPr>
          <w:rFonts w:ascii="Arial" w:cs="Arial" w:eastAsia="Arial" w:hAnsi="Arial"/>
          <w:sz w:val="16"/>
          <w:szCs w:val="16"/>
          <w:color w:val="auto"/>
        </w:rPr>
        <w:t>The Company will be considered to have a controlling financial interest and will consolidate a VIE if it has both (i) the power to direct the activities of the VIE that most significantly impact the VIE’s economic performance and (ii) the obligation to absorb losses of the VIE or the right to receive benefits from the VIE that could potentially be significant to the VIE.</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Accounting Pronouncements, Recently Adopted</w:t>
      </w:r>
    </w:p>
    <w:p>
      <w:pPr>
        <w:spacing w:after="0" w:line="223" w:lineRule="exact"/>
        <w:rPr>
          <w:sz w:val="20"/>
          <w:szCs w:val="20"/>
          <w:color w:val="auto"/>
        </w:rPr>
      </w:pPr>
    </w:p>
    <w:p>
      <w:pPr>
        <w:ind w:right="20" w:firstLine="568"/>
        <w:spacing w:after="0" w:line="273" w:lineRule="auto"/>
        <w:rPr>
          <w:sz w:val="20"/>
          <w:szCs w:val="20"/>
          <w:color w:val="auto"/>
        </w:rPr>
      </w:pPr>
      <w:r>
        <w:rPr>
          <w:rFonts w:ascii="Arial" w:cs="Arial" w:eastAsia="Arial" w:hAnsi="Arial"/>
          <w:sz w:val="15"/>
          <w:szCs w:val="15"/>
          <w:b w:val="1"/>
          <w:bCs w:val="1"/>
          <w:i w:val="1"/>
          <w:iCs w:val="1"/>
          <w:color w:val="auto"/>
        </w:rPr>
        <w:t xml:space="preserve">Income Taxes </w:t>
      </w:r>
      <w:r>
        <w:rPr>
          <w:rFonts w:ascii="Arial" w:cs="Arial" w:eastAsia="Arial" w:hAnsi="Arial"/>
          <w:sz w:val="15"/>
          <w:szCs w:val="15"/>
          <w:color w:val="auto"/>
        </w:rPr>
        <w:t>- In December 2019, the FASB issued Accounting Standards Update ("ASU") 2019-12,</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Income Taxes (Topic 740): Simplifying the Accounting for Income</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 xml:space="preserve">Taxes. </w:t>
      </w:r>
      <w:r>
        <w:rPr>
          <w:rFonts w:ascii="Arial" w:cs="Arial" w:eastAsia="Arial" w:hAnsi="Arial"/>
          <w:sz w:val="15"/>
          <w:szCs w:val="15"/>
          <w:color w:val="auto"/>
        </w:rPr>
        <w:t>The ASU removes certain exceptions related to the approach for intraperiod tax allocation, the methodology for calculating income taxes in an interim period, and the</w:t>
      </w:r>
      <w:r>
        <w:rPr>
          <w:rFonts w:ascii="Arial" w:cs="Arial" w:eastAsia="Arial" w:hAnsi="Arial"/>
          <w:sz w:val="15"/>
          <w:szCs w:val="15"/>
          <w:i w:val="1"/>
          <w:iCs w:val="1"/>
          <w:color w:val="auto"/>
        </w:rPr>
        <w:t xml:space="preserve"> </w:t>
      </w:r>
      <w:r>
        <w:rPr>
          <w:rFonts w:ascii="Arial" w:cs="Arial" w:eastAsia="Arial" w:hAnsi="Arial"/>
          <w:sz w:val="15"/>
          <w:szCs w:val="15"/>
          <w:color w:val="auto"/>
        </w:rPr>
        <w:t>recognition of deferred tax liabilities for outside basis differences. The ASU also amends other aspects of the guidance relating to the accounting for franchise taxes, enacted changes in tax laws or rates, the accounting for transactions that result in a step-up in the tax basis of goodwill, and other tax-related items. The Company adopted this ASU on January 1, 2021 and it did not have a material impact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1" w:name="page92"/>
    <w:bookmarkEnd w:id="9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Accounting Pronouncements, Not Yet Adopted as of December 31, 2021</w:t>
      </w:r>
    </w:p>
    <w:p>
      <w:pPr>
        <w:spacing w:after="0" w:line="211" w:lineRule="exact"/>
        <w:rPr>
          <w:sz w:val="20"/>
          <w:szCs w:val="20"/>
          <w:color w:val="auto"/>
        </w:rPr>
      </w:pPr>
    </w:p>
    <w:p>
      <w:pPr>
        <w:ind w:right="60" w:firstLine="568"/>
        <w:spacing w:after="0" w:line="237" w:lineRule="auto"/>
        <w:rPr>
          <w:sz w:val="20"/>
          <w:szCs w:val="20"/>
          <w:color w:val="auto"/>
        </w:rPr>
      </w:pPr>
      <w:r>
        <w:rPr>
          <w:rFonts w:ascii="Arial" w:cs="Arial" w:eastAsia="Arial" w:hAnsi="Arial"/>
          <w:sz w:val="15"/>
          <w:szCs w:val="15"/>
          <w:b w:val="1"/>
          <w:bCs w:val="1"/>
          <w:i w:val="1"/>
          <w:iCs w:val="1"/>
          <w:color w:val="auto"/>
        </w:rPr>
        <w:t xml:space="preserve">Reference Rate Reform </w:t>
      </w:r>
      <w:r>
        <w:rPr>
          <w:rFonts w:ascii="Arial" w:cs="Arial" w:eastAsia="Arial" w:hAnsi="Arial"/>
          <w:sz w:val="15"/>
          <w:szCs w:val="15"/>
          <w:color w:val="auto"/>
        </w:rPr>
        <w:t>- In March 2020, the FASB issued ASU 2020-04,</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Reference Rate Reform (Topic 848): Facilitation of the Effects of Reference Rate Reform on</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Financial Reporting</w:t>
      </w:r>
      <w:r>
        <w:rPr>
          <w:rFonts w:ascii="Arial" w:cs="Arial" w:eastAsia="Arial" w:hAnsi="Arial"/>
          <w:sz w:val="15"/>
          <w:szCs w:val="15"/>
          <w:color w:val="auto"/>
        </w:rPr>
        <w:t>, and in January 2021, the FASB issued ASU 2021-01 —Reference Rate Reform (Topic 848): Scope, both of which are designed to ease the potential burden</w:t>
      </w:r>
      <w:r>
        <w:rPr>
          <w:rFonts w:ascii="Arial" w:cs="Arial" w:eastAsia="Arial" w:hAnsi="Arial"/>
          <w:sz w:val="15"/>
          <w:szCs w:val="15"/>
          <w:i w:val="1"/>
          <w:iCs w:val="1"/>
          <w:color w:val="auto"/>
        </w:rPr>
        <w:t xml:space="preserve"> </w:t>
      </w:r>
      <w:r>
        <w:rPr>
          <w:rFonts w:ascii="Arial" w:cs="Arial" w:eastAsia="Arial" w:hAnsi="Arial"/>
          <w:sz w:val="15"/>
          <w:szCs w:val="15"/>
          <w:color w:val="auto"/>
        </w:rPr>
        <w:t>in accounting for the transition away from LIBOR. The ASUs apply to contracts, hedging relationships, and other transactions that reference LIBOR or another reference rate expected to be discontinued and replaced with alternative reference rates as a result of reference rate reform. The ASUs provide optional expedients and exceptions for applying U.S. GAAP to contracts, hedging relationships, and other transactions affected by reference rate reform if certain criteria are met. The transition period for adopting these ASUs is March 12, 2020 through December 31, 2022. The Company is evaluating the impact of the ASUs, but does not expect them to have a material impact on its Consolidated Financial Statements and related disclosures.</w:t>
      </w:r>
    </w:p>
    <w:p>
      <w:pPr>
        <w:spacing w:after="0" w:line="193" w:lineRule="exact"/>
        <w:rPr>
          <w:sz w:val="20"/>
          <w:szCs w:val="20"/>
          <w:color w:val="auto"/>
        </w:rPr>
      </w:pPr>
    </w:p>
    <w:p>
      <w:pPr>
        <w:ind w:left="560"/>
        <w:spacing w:after="0"/>
        <w:rPr>
          <w:sz w:val="20"/>
          <w:szCs w:val="20"/>
          <w:color w:val="auto"/>
        </w:rPr>
      </w:pPr>
      <w:r>
        <w:rPr>
          <w:rFonts w:ascii="Arial" w:cs="Arial" w:eastAsia="Arial" w:hAnsi="Arial"/>
          <w:sz w:val="14"/>
          <w:szCs w:val="14"/>
          <w:b w:val="1"/>
          <w:bCs w:val="1"/>
          <w:i w:val="1"/>
          <w:iCs w:val="1"/>
          <w:color w:val="auto"/>
        </w:rPr>
        <w:t xml:space="preserve">Convertible Instruments </w:t>
      </w:r>
      <w:r>
        <w:rPr>
          <w:rFonts w:ascii="Arial" w:cs="Arial" w:eastAsia="Arial" w:hAnsi="Arial"/>
          <w:sz w:val="14"/>
          <w:szCs w:val="14"/>
          <w:color w:val="auto"/>
        </w:rPr>
        <w:t>- In August 2020, the FASB issued ASU 2020-06,</w:t>
      </w:r>
      <w:r>
        <w:rPr>
          <w:rFonts w:ascii="Arial" w:cs="Arial" w:eastAsia="Arial" w:hAnsi="Arial"/>
          <w:sz w:val="14"/>
          <w:szCs w:val="14"/>
          <w:b w:val="1"/>
          <w:bCs w:val="1"/>
          <w:i w:val="1"/>
          <w:iCs w:val="1"/>
          <w:color w:val="auto"/>
        </w:rPr>
        <w:t xml:space="preserve"> </w:t>
      </w:r>
      <w:r>
        <w:rPr>
          <w:rFonts w:ascii="Arial" w:cs="Arial" w:eastAsia="Arial" w:hAnsi="Arial"/>
          <w:sz w:val="14"/>
          <w:szCs w:val="14"/>
          <w:i w:val="1"/>
          <w:iCs w:val="1"/>
          <w:color w:val="auto"/>
        </w:rPr>
        <w:t>Debt - Debt with Conversion and Other Options (Subtopic 470-20) and Derivatives and</w:t>
      </w:r>
    </w:p>
    <w:p>
      <w:pPr>
        <w:spacing w:after="0" w:line="40" w:lineRule="exact"/>
        <w:rPr>
          <w:sz w:val="20"/>
          <w:szCs w:val="20"/>
          <w:color w:val="auto"/>
        </w:rPr>
      </w:pPr>
    </w:p>
    <w:p>
      <w:pPr>
        <w:jc w:val="both"/>
        <w:ind w:right="340"/>
        <w:spacing w:after="0" w:line="249" w:lineRule="auto"/>
        <w:rPr>
          <w:sz w:val="20"/>
          <w:szCs w:val="20"/>
          <w:color w:val="auto"/>
        </w:rPr>
      </w:pPr>
      <w:r>
        <w:rPr>
          <w:rFonts w:ascii="Arial" w:cs="Arial" w:eastAsia="Arial" w:hAnsi="Arial"/>
          <w:sz w:val="16"/>
          <w:szCs w:val="16"/>
          <w:i w:val="1"/>
          <w:iCs w:val="1"/>
          <w:color w:val="auto"/>
        </w:rPr>
        <w:t xml:space="preserve">Hedging - Contracts in Entity's Own Equity (Subtopic 815-40). </w:t>
      </w:r>
      <w:r>
        <w:rPr>
          <w:rFonts w:ascii="Arial" w:cs="Arial" w:eastAsia="Arial" w:hAnsi="Arial"/>
          <w:sz w:val="16"/>
          <w:szCs w:val="16"/>
          <w:color w:val="auto"/>
        </w:rPr>
        <w:t>The ASU simplifies accounting for certain financial instruments with characteristics of liabilities and equity,</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convertible instruments and contracts in an entity's own equity and updates selected EPS guidance. The ASU is effective for periods beginning after December 15, 2021. The Company is currently evaluating the impact of the new standard on its Consolidated Financial Statements and related disclosures, but does not expect it to have a material impact on its Consolidated Financial Statements and related disclosures.</w:t>
      </w: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ITG Acquisition</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Background</w:t>
      </w:r>
    </w:p>
    <w:p>
      <w:pPr>
        <w:spacing w:after="0" w:line="219" w:lineRule="exact"/>
        <w:rPr>
          <w:sz w:val="20"/>
          <w:szCs w:val="20"/>
          <w:color w:val="auto"/>
        </w:rPr>
      </w:pPr>
    </w:p>
    <w:p>
      <w:pPr>
        <w:ind w:right="60" w:firstLine="568"/>
        <w:spacing w:after="0" w:line="288" w:lineRule="auto"/>
        <w:rPr>
          <w:sz w:val="20"/>
          <w:szCs w:val="20"/>
          <w:color w:val="auto"/>
        </w:rPr>
      </w:pPr>
      <w:r>
        <w:rPr>
          <w:rFonts w:ascii="Arial" w:cs="Arial" w:eastAsia="Arial" w:hAnsi="Arial"/>
          <w:sz w:val="14"/>
          <w:szCs w:val="14"/>
          <w:color w:val="auto"/>
        </w:rPr>
        <w:t>On the ITG Closing Date, the Company completed the ITG Acquisition. In connection with the ITG Acquisition, Virtu Financial, VFH Parent LLC, a Delaware limited liability company and a subsidiary of Virtu Financial (“VFH”) and Impala Borrower LLC (the “Acquisition Borrower”), a subsidiary of the Company, entered into a Credit Agreement dated as of March 1, 2019 (as amended from time to time, the “Acquisition Credit Agreement”), with the lenders party thereto, Jefferies Finance LLC, as administrative agent and Jefferies Finance LLC and RBC Capital Markets, as joint lead arrangers and joint bookrunners. The Acquisition Credit Agreement provided (i) a senior secured first lien term loan in an aggregate principal amount of $1,500.0 million, drawn in its entirety on the ITG Closing Date, with approximately $404.5 million borrowed by VFH to repay all amounts outstanding under its existing term loan facility and the remaining approximately $1,095.0 million borrowed by the Acquisition Borrower to finance the consideration and fees and expenses paid in connection with the ITG Acquisition, and (ii) a $50.0 million senior secured first lien revolving facility to VFH, with a $5.0 million letter of credit subfacility and a $5.0 million swingline subfacility. After the closing of the ITG Acquisition, VFH assumed the obligations of the Acquisition Borrower in respect of the acquisition term loans. The Acquisition Credit Agreement was subsequently amended as described further in Note 10 "Borrowings". Additionally, on the ITG Closing Date, the Company’s fourth amended and restated credit agreement (as amended on January 2, 2018 and September 19, 2018, the “Fourth Amended and Restated Credit Agreement”) with the lenders party thereto and JPMorgan Chase Bank, N.A., as administrative agent, sole lead arranger and bookrunner, was terminated.</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Accounting treatment of the ITG Acquisition</w:t>
      </w:r>
    </w:p>
    <w:p>
      <w:pPr>
        <w:spacing w:after="0" w:line="219" w:lineRule="exact"/>
        <w:rPr>
          <w:sz w:val="20"/>
          <w:szCs w:val="20"/>
          <w:color w:val="auto"/>
        </w:rPr>
      </w:pPr>
    </w:p>
    <w:p>
      <w:pPr>
        <w:ind w:right="40" w:firstLine="568"/>
        <w:spacing w:after="0" w:line="271" w:lineRule="auto"/>
        <w:rPr>
          <w:sz w:val="20"/>
          <w:szCs w:val="20"/>
          <w:color w:val="auto"/>
        </w:rPr>
      </w:pPr>
      <w:r>
        <w:rPr>
          <w:rFonts w:ascii="Arial" w:cs="Arial" w:eastAsia="Arial" w:hAnsi="Arial"/>
          <w:sz w:val="15"/>
          <w:szCs w:val="15"/>
          <w:color w:val="auto"/>
        </w:rPr>
        <w:t xml:space="preserve">The ITG Acquisition has been accounted for as a business combination pursuant to ASC 805, </w:t>
      </w:r>
      <w:r>
        <w:rPr>
          <w:rFonts w:ascii="Arial" w:cs="Arial" w:eastAsia="Arial" w:hAnsi="Arial"/>
          <w:sz w:val="15"/>
          <w:szCs w:val="15"/>
          <w:i w:val="1"/>
          <w:iCs w:val="1"/>
          <w:color w:val="auto"/>
        </w:rPr>
        <w:t>Business Combinations</w:t>
      </w:r>
      <w:r>
        <w:rPr>
          <w:rFonts w:ascii="Arial" w:cs="Arial" w:eastAsia="Arial" w:hAnsi="Arial"/>
          <w:sz w:val="15"/>
          <w:szCs w:val="15"/>
          <w:color w:val="auto"/>
        </w:rPr>
        <w:t xml:space="preserve"> by the Company using the acquisition method of accounting. Under the acquisition method, the assets and liabilities of ITG, as of the ITG Closing Date, were recorded at their respective fair values and added to the carrying value of the Company's existing assets and liabilities. The reported financial condition and results of operations of the Company for the periods following the ITG Closing Date reflect ITG's and the Company's balances and reflect the impact of purchase accounting adjustments. As the Company is the accounting acquirer, the financial results for the year ended December 31, 2019 comprise the results of the Company for the entire applicable period and the results of ITG from the ITG Closing Date through December 31, 2019. All periods prior to the ITG Closing Date comprise solely the results of the Company.</w:t>
      </w:r>
    </w:p>
    <w:p>
      <w:pPr>
        <w:spacing w:after="0" w:line="181" w:lineRule="exact"/>
        <w:rPr>
          <w:sz w:val="20"/>
          <w:szCs w:val="20"/>
          <w:color w:val="auto"/>
        </w:rPr>
      </w:pPr>
    </w:p>
    <w:p>
      <w:pPr>
        <w:ind w:firstLine="568"/>
        <w:spacing w:after="0" w:line="257" w:lineRule="auto"/>
        <w:rPr>
          <w:sz w:val="20"/>
          <w:szCs w:val="20"/>
          <w:color w:val="auto"/>
        </w:rPr>
      </w:pPr>
      <w:r>
        <w:rPr>
          <w:rFonts w:ascii="Arial" w:cs="Arial" w:eastAsia="Arial" w:hAnsi="Arial"/>
          <w:sz w:val="16"/>
          <w:szCs w:val="16"/>
          <w:color w:val="auto"/>
        </w:rPr>
        <w:t>Certain former ITG management employees were terminated upon the ITG Acquisition, and as a result were paid an aggregate of $17.6 million pursuant to their existing employment contracts and arrangements. This amount has been recognized as an expense by the Company and is included in Employee compensation and payroll taxes in the Consolidated Statements of Comprehensive Income for the year ended December 31, 2019.</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2" w:name="page93"/>
    <w:bookmarkEnd w:id="9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Purchase price and goodwill</w:t>
      </w:r>
    </w:p>
    <w:p>
      <w:pPr>
        <w:spacing w:after="0" w:line="219" w:lineRule="exact"/>
        <w:rPr>
          <w:sz w:val="20"/>
          <w:szCs w:val="20"/>
          <w:color w:val="auto"/>
        </w:rPr>
      </w:pPr>
    </w:p>
    <w:p>
      <w:pPr>
        <w:ind w:right="340" w:firstLine="568"/>
        <w:spacing w:after="0" w:line="341" w:lineRule="auto"/>
        <w:rPr>
          <w:sz w:val="20"/>
          <w:szCs w:val="20"/>
          <w:color w:val="auto"/>
        </w:rPr>
      </w:pPr>
      <w:r>
        <w:rPr>
          <w:rFonts w:ascii="Arial" w:cs="Arial" w:eastAsia="Arial" w:hAnsi="Arial"/>
          <w:sz w:val="14"/>
          <w:szCs w:val="14"/>
          <w:color w:val="auto"/>
        </w:rPr>
        <w:t>The aggregate cash purchase price of approximately $1.0 billion was determined as the sum of the fair value, at $30.30 per share, of ITG shares outstanding held by former ITG stockholders at closing and the fair value of certain ITG employee stock-based awards that were outstanding, and which vested at the ITG Closing Date.</w:t>
      </w:r>
    </w:p>
    <w:p>
      <w:pPr>
        <w:spacing w:after="0" w:line="13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purchase price was allocated to the assets acquired and liabilities assumed using their fair values at the ITG Closing Date, as follows:</w:t>
      </w:r>
    </w:p>
    <w:p>
      <w:pPr>
        <w:spacing w:after="0" w:line="247" w:lineRule="exact"/>
        <w:rPr>
          <w:sz w:val="20"/>
          <w:szCs w:val="20"/>
          <w:color w:val="auto"/>
        </w:rPr>
      </w:pPr>
    </w:p>
    <w:tbl>
      <w:tblPr>
        <w:tblLayout w:type="fixed"/>
        <w:tblInd w:w="2720" w:type="dxa"/>
        <w:tblCellMar>
          <w:top w:w="0" w:type="dxa"/>
          <w:left w:w="0" w:type="dxa"/>
          <w:bottom w:w="0" w:type="dxa"/>
          <w:right w:w="0" w:type="dxa"/>
        </w:tblCellMar>
      </w:tblPr>
      <w:tr>
        <w:trPr>
          <w:trHeight w:val="169"/>
        </w:trPr>
        <w:tc>
          <w:tcPr>
            <w:tcW w:w="3940" w:type="dxa"/>
            <w:vAlign w:val="bottom"/>
            <w:gridSpan w:val="2"/>
          </w:tcPr>
          <w:p>
            <w:pPr>
              <w:ind w:left="580"/>
              <w:spacing w:after="0"/>
              <w:rPr>
                <w:sz w:val="20"/>
                <w:szCs w:val="20"/>
                <w:color w:val="auto"/>
              </w:rPr>
            </w:pPr>
            <w:r>
              <w:rPr>
                <w:rFonts w:ascii="Arial" w:cs="Arial" w:eastAsia="Arial" w:hAnsi="Arial"/>
                <w:sz w:val="13"/>
                <w:szCs w:val="13"/>
                <w:b w:val="1"/>
                <w:bCs w:val="1"/>
                <w:color w:val="auto"/>
              </w:rPr>
              <w:t>(in thousands)</w:t>
            </w:r>
          </w:p>
        </w:tc>
        <w:tc>
          <w:tcPr>
            <w:tcW w:w="740" w:type="dxa"/>
            <w:vAlign w:val="bottom"/>
          </w:tcPr>
          <w:p>
            <w:pPr>
              <w:spacing w:after="0"/>
              <w:rPr>
                <w:sz w:val="14"/>
                <w:szCs w:val="14"/>
                <w:color w:val="auto"/>
              </w:rPr>
            </w:pPr>
          </w:p>
        </w:tc>
        <w:tc>
          <w:tcPr>
            <w:tcW w:w="1700" w:type="dxa"/>
            <w:vAlign w:val="bottom"/>
          </w:tcPr>
          <w:p>
            <w:pPr>
              <w:jc w:val="right"/>
              <w:ind w:right="217"/>
              <w:spacing w:after="0"/>
              <w:rPr>
                <w:sz w:val="20"/>
                <w:szCs w:val="20"/>
                <w:color w:val="auto"/>
              </w:rPr>
            </w:pPr>
            <w:r>
              <w:rPr>
                <w:rFonts w:ascii="Arial" w:cs="Arial" w:eastAsia="Arial" w:hAnsi="Arial"/>
                <w:sz w:val="13"/>
                <w:szCs w:val="13"/>
                <w:b w:val="1"/>
                <w:bCs w:val="1"/>
                <w:color w:val="auto"/>
                <w:w w:val="91"/>
              </w:rPr>
              <w:t>Adjusted Purchase Price</w:t>
            </w:r>
          </w:p>
        </w:tc>
      </w:tr>
      <w:tr>
        <w:trPr>
          <w:trHeight w:val="162"/>
        </w:trPr>
        <w:tc>
          <w:tcPr>
            <w:tcW w:w="384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3"/>
                <w:szCs w:val="13"/>
                <w:color w:val="auto"/>
              </w:rPr>
              <w:t>Cash and equivalents</w:t>
            </w:r>
          </w:p>
        </w:tc>
        <w:tc>
          <w:tcPr>
            <w:tcW w:w="10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197,072</w:t>
            </w:r>
          </w:p>
        </w:tc>
      </w:tr>
      <w:tr>
        <w:trPr>
          <w:trHeight w:val="163"/>
        </w:trPr>
        <w:tc>
          <w:tcPr>
            <w:tcW w:w="3940" w:type="dxa"/>
            <w:vAlign w:val="bottom"/>
            <w:gridSpan w:val="2"/>
          </w:tcPr>
          <w:p>
            <w:pPr>
              <w:ind w:left="580"/>
              <w:spacing w:after="0"/>
              <w:rPr>
                <w:sz w:val="20"/>
                <w:szCs w:val="20"/>
                <w:color w:val="auto"/>
              </w:rPr>
            </w:pPr>
            <w:r>
              <w:rPr>
                <w:rFonts w:ascii="Arial" w:cs="Arial" w:eastAsia="Arial" w:hAnsi="Arial"/>
                <w:sz w:val="13"/>
                <w:szCs w:val="13"/>
                <w:color w:val="auto"/>
              </w:rPr>
              <w:t>Cash and securities segregated under federal regulations</w:t>
            </w:r>
          </w:p>
        </w:tc>
        <w:tc>
          <w:tcPr>
            <w:tcW w:w="74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14,232</w:t>
            </w:r>
          </w:p>
        </w:tc>
      </w:tr>
      <w:tr>
        <w:trPr>
          <w:trHeight w:val="168"/>
        </w:trPr>
        <w:tc>
          <w:tcPr>
            <w:tcW w:w="394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Securities borrowed</w:t>
            </w:r>
          </w:p>
        </w:tc>
        <w:tc>
          <w:tcPr>
            <w:tcW w:w="7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13,182</w:t>
            </w:r>
          </w:p>
        </w:tc>
      </w:tr>
      <w:tr>
        <w:trPr>
          <w:trHeight w:val="163"/>
        </w:trPr>
        <w:tc>
          <w:tcPr>
            <w:tcW w:w="3940" w:type="dxa"/>
            <w:vAlign w:val="bottom"/>
            <w:gridSpan w:val="2"/>
          </w:tcPr>
          <w:p>
            <w:pPr>
              <w:ind w:left="580"/>
              <w:spacing w:after="0"/>
              <w:rPr>
                <w:sz w:val="20"/>
                <w:szCs w:val="20"/>
                <w:color w:val="auto"/>
              </w:rPr>
            </w:pPr>
            <w:r>
              <w:rPr>
                <w:rFonts w:ascii="Arial" w:cs="Arial" w:eastAsia="Arial" w:hAnsi="Arial"/>
                <w:sz w:val="13"/>
                <w:szCs w:val="13"/>
                <w:color w:val="auto"/>
                <w:w w:val="97"/>
              </w:rPr>
              <w:t>Receivables from broker dealers and clearing organizations</w:t>
            </w:r>
          </w:p>
        </w:tc>
        <w:tc>
          <w:tcPr>
            <w:tcW w:w="74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328,112</w:t>
            </w:r>
          </w:p>
        </w:tc>
      </w:tr>
      <w:tr>
        <w:trPr>
          <w:trHeight w:val="168"/>
        </w:trPr>
        <w:tc>
          <w:tcPr>
            <w:tcW w:w="394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Financial instruments owned, at fair value</w:t>
            </w:r>
          </w:p>
        </w:tc>
        <w:tc>
          <w:tcPr>
            <w:tcW w:w="7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523</w:t>
            </w:r>
          </w:p>
        </w:tc>
      </w:tr>
      <w:tr>
        <w:trPr>
          <w:trHeight w:val="163"/>
        </w:trPr>
        <w:tc>
          <w:tcPr>
            <w:tcW w:w="3940" w:type="dxa"/>
            <w:vAlign w:val="bottom"/>
            <w:gridSpan w:val="2"/>
          </w:tcPr>
          <w:p>
            <w:pPr>
              <w:ind w:left="580"/>
              <w:spacing w:after="0"/>
              <w:rPr>
                <w:sz w:val="20"/>
                <w:szCs w:val="20"/>
                <w:color w:val="auto"/>
              </w:rPr>
            </w:pPr>
            <w:r>
              <w:rPr>
                <w:rFonts w:ascii="Arial" w:cs="Arial" w:eastAsia="Arial" w:hAnsi="Arial"/>
                <w:sz w:val="13"/>
                <w:szCs w:val="13"/>
                <w:color w:val="auto"/>
              </w:rPr>
              <w:t>Receivables from customers</w:t>
            </w:r>
          </w:p>
        </w:tc>
        <w:tc>
          <w:tcPr>
            <w:tcW w:w="74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122,697</w:t>
            </w:r>
          </w:p>
        </w:tc>
      </w:tr>
      <w:tr>
        <w:trPr>
          <w:trHeight w:val="168"/>
        </w:trPr>
        <w:tc>
          <w:tcPr>
            <w:tcW w:w="394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Property, equipment and capitalized software (net)</w:t>
            </w:r>
          </w:p>
        </w:tc>
        <w:tc>
          <w:tcPr>
            <w:tcW w:w="7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46,408</w:t>
            </w:r>
          </w:p>
        </w:tc>
      </w:tr>
      <w:tr>
        <w:trPr>
          <w:trHeight w:val="163"/>
        </w:trPr>
        <w:tc>
          <w:tcPr>
            <w:tcW w:w="3940" w:type="dxa"/>
            <w:vAlign w:val="bottom"/>
            <w:gridSpan w:val="2"/>
          </w:tcPr>
          <w:p>
            <w:pPr>
              <w:ind w:left="580"/>
              <w:spacing w:after="0"/>
              <w:rPr>
                <w:sz w:val="20"/>
                <w:szCs w:val="20"/>
                <w:color w:val="auto"/>
              </w:rPr>
            </w:pPr>
            <w:r>
              <w:rPr>
                <w:rFonts w:ascii="Arial" w:cs="Arial" w:eastAsia="Arial" w:hAnsi="Arial"/>
                <w:sz w:val="13"/>
                <w:szCs w:val="13"/>
                <w:color w:val="auto"/>
              </w:rPr>
              <w:t>Intangibles</w:t>
            </w:r>
          </w:p>
        </w:tc>
        <w:tc>
          <w:tcPr>
            <w:tcW w:w="74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517,200</w:t>
            </w:r>
          </w:p>
        </w:tc>
      </w:tr>
      <w:tr>
        <w:trPr>
          <w:trHeight w:val="168"/>
        </w:trPr>
        <w:tc>
          <w:tcPr>
            <w:tcW w:w="394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Deferred tax assets</w:t>
            </w:r>
          </w:p>
        </w:tc>
        <w:tc>
          <w:tcPr>
            <w:tcW w:w="7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17,605</w:t>
            </w:r>
          </w:p>
        </w:tc>
      </w:tr>
      <w:tr>
        <w:trPr>
          <w:trHeight w:val="163"/>
        </w:trPr>
        <w:tc>
          <w:tcPr>
            <w:tcW w:w="3940" w:type="dxa"/>
            <w:vAlign w:val="bottom"/>
            <w:gridSpan w:val="2"/>
          </w:tcPr>
          <w:p>
            <w:pPr>
              <w:ind w:left="580"/>
              <w:spacing w:after="0"/>
              <w:rPr>
                <w:sz w:val="20"/>
                <w:szCs w:val="20"/>
                <w:color w:val="auto"/>
              </w:rPr>
            </w:pPr>
            <w:r>
              <w:rPr>
                <w:rFonts w:ascii="Arial" w:cs="Arial" w:eastAsia="Arial" w:hAnsi="Arial"/>
                <w:sz w:val="13"/>
                <w:szCs w:val="13"/>
                <w:color w:val="auto"/>
              </w:rPr>
              <w:t>Operating lease right-of-use assets</w:t>
            </w:r>
          </w:p>
        </w:tc>
        <w:tc>
          <w:tcPr>
            <w:tcW w:w="74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100,285</w:t>
            </w:r>
          </w:p>
        </w:tc>
      </w:tr>
      <w:tr>
        <w:trPr>
          <w:trHeight w:val="168"/>
        </w:trPr>
        <w:tc>
          <w:tcPr>
            <w:tcW w:w="394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Other assets</w:t>
            </w:r>
          </w:p>
        </w:tc>
        <w:tc>
          <w:tcPr>
            <w:tcW w:w="740" w:type="dxa"/>
            <w:vAlign w:val="bottom"/>
            <w:tcBorders>
              <w:bottom w:val="single" w:sz="8" w:color="auto"/>
            </w:tcBorders>
            <w:shd w:val="clear" w:color="auto" w:fill="CCEEFF"/>
          </w:tcPr>
          <w:p>
            <w:pPr>
              <w:spacing w:after="0"/>
              <w:rPr>
                <w:sz w:val="14"/>
                <w:szCs w:val="14"/>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31,652</w:t>
            </w:r>
          </w:p>
        </w:tc>
      </w:tr>
      <w:tr>
        <w:trPr>
          <w:trHeight w:val="155"/>
        </w:trPr>
        <w:tc>
          <w:tcPr>
            <w:tcW w:w="3940" w:type="dxa"/>
            <w:vAlign w:val="bottom"/>
            <w:gridSpan w:val="2"/>
          </w:tcPr>
          <w:p>
            <w:pPr>
              <w:ind w:left="780"/>
              <w:spacing w:after="0" w:line="148" w:lineRule="exact"/>
              <w:rPr>
                <w:sz w:val="20"/>
                <w:szCs w:val="20"/>
                <w:color w:val="auto"/>
              </w:rPr>
            </w:pPr>
            <w:r>
              <w:rPr>
                <w:rFonts w:ascii="Arial" w:cs="Arial" w:eastAsia="Arial" w:hAnsi="Arial"/>
                <w:sz w:val="13"/>
                <w:szCs w:val="13"/>
                <w:color w:val="auto"/>
              </w:rPr>
              <w:t>Total Assets</w:t>
            </w:r>
          </w:p>
        </w:tc>
        <w:tc>
          <w:tcPr>
            <w:tcW w:w="74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1,388,968</w:t>
            </w:r>
          </w:p>
        </w:tc>
      </w:tr>
      <w:tr>
        <w:trPr>
          <w:trHeight w:val="192"/>
        </w:trPr>
        <w:tc>
          <w:tcPr>
            <w:tcW w:w="3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r>
      <w:tr>
        <w:trPr>
          <w:trHeight w:val="163"/>
        </w:trPr>
        <w:tc>
          <w:tcPr>
            <w:tcW w:w="3940" w:type="dxa"/>
            <w:vAlign w:val="bottom"/>
            <w:gridSpan w:val="2"/>
          </w:tcPr>
          <w:p>
            <w:pPr>
              <w:ind w:left="580"/>
              <w:spacing w:after="0"/>
              <w:rPr>
                <w:sz w:val="20"/>
                <w:szCs w:val="20"/>
                <w:color w:val="auto"/>
              </w:rPr>
            </w:pPr>
            <w:r>
              <w:rPr>
                <w:rFonts w:ascii="Arial" w:cs="Arial" w:eastAsia="Arial" w:hAnsi="Arial"/>
                <w:sz w:val="13"/>
                <w:szCs w:val="13"/>
                <w:color w:val="auto"/>
              </w:rPr>
              <w:t>Short-term borrowings</w:t>
            </w:r>
          </w:p>
        </w:tc>
        <w:tc>
          <w:tcPr>
            <w:tcW w:w="74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18,651</w:t>
            </w:r>
          </w:p>
        </w:tc>
      </w:tr>
      <w:tr>
        <w:trPr>
          <w:trHeight w:val="168"/>
        </w:trPr>
        <w:tc>
          <w:tcPr>
            <w:tcW w:w="394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Securities loaned</w:t>
            </w:r>
          </w:p>
        </w:tc>
        <w:tc>
          <w:tcPr>
            <w:tcW w:w="7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17,663</w:t>
            </w:r>
          </w:p>
        </w:tc>
      </w:tr>
      <w:tr>
        <w:trPr>
          <w:trHeight w:val="163"/>
        </w:trPr>
        <w:tc>
          <w:tcPr>
            <w:tcW w:w="3940" w:type="dxa"/>
            <w:vAlign w:val="bottom"/>
            <w:gridSpan w:val="2"/>
          </w:tcPr>
          <w:p>
            <w:pPr>
              <w:ind w:left="580"/>
              <w:spacing w:after="0"/>
              <w:rPr>
                <w:sz w:val="20"/>
                <w:szCs w:val="20"/>
                <w:color w:val="auto"/>
              </w:rPr>
            </w:pPr>
            <w:r>
              <w:rPr>
                <w:rFonts w:ascii="Arial" w:cs="Arial" w:eastAsia="Arial" w:hAnsi="Arial"/>
                <w:sz w:val="13"/>
                <w:szCs w:val="13"/>
                <w:color w:val="auto"/>
              </w:rPr>
              <w:t>Payables to broker dealers and clearing organizations</w:t>
            </w:r>
          </w:p>
        </w:tc>
        <w:tc>
          <w:tcPr>
            <w:tcW w:w="74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152,043</w:t>
            </w:r>
          </w:p>
        </w:tc>
      </w:tr>
      <w:tr>
        <w:trPr>
          <w:trHeight w:val="168"/>
        </w:trPr>
        <w:tc>
          <w:tcPr>
            <w:tcW w:w="394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Payables to customers</w:t>
            </w:r>
          </w:p>
        </w:tc>
        <w:tc>
          <w:tcPr>
            <w:tcW w:w="7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116,419</w:t>
            </w:r>
          </w:p>
        </w:tc>
      </w:tr>
      <w:tr>
        <w:trPr>
          <w:trHeight w:val="163"/>
        </w:trPr>
        <w:tc>
          <w:tcPr>
            <w:tcW w:w="3940" w:type="dxa"/>
            <w:vAlign w:val="bottom"/>
            <w:gridSpan w:val="2"/>
          </w:tcPr>
          <w:p>
            <w:pPr>
              <w:ind w:left="580"/>
              <w:spacing w:after="0"/>
              <w:rPr>
                <w:sz w:val="20"/>
                <w:szCs w:val="20"/>
                <w:color w:val="auto"/>
              </w:rPr>
            </w:pPr>
            <w:r>
              <w:rPr>
                <w:rFonts w:ascii="Arial" w:cs="Arial" w:eastAsia="Arial" w:hAnsi="Arial"/>
                <w:sz w:val="13"/>
                <w:szCs w:val="13"/>
                <w:color w:val="auto"/>
                <w:w w:val="99"/>
              </w:rPr>
              <w:t>Financial instruments sold, not yet purchased, at fair value</w:t>
            </w:r>
          </w:p>
        </w:tc>
        <w:tc>
          <w:tcPr>
            <w:tcW w:w="74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11</w:t>
            </w:r>
          </w:p>
        </w:tc>
      </w:tr>
      <w:tr>
        <w:trPr>
          <w:trHeight w:val="168"/>
        </w:trPr>
        <w:tc>
          <w:tcPr>
            <w:tcW w:w="394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w w:val="95"/>
              </w:rPr>
              <w:t>Accounts payable and accrued expenses and other liabilities</w:t>
            </w:r>
          </w:p>
        </w:tc>
        <w:tc>
          <w:tcPr>
            <w:tcW w:w="7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178,893</w:t>
            </w:r>
          </w:p>
        </w:tc>
      </w:tr>
      <w:tr>
        <w:trPr>
          <w:trHeight w:val="163"/>
        </w:trPr>
        <w:tc>
          <w:tcPr>
            <w:tcW w:w="3940" w:type="dxa"/>
            <w:vAlign w:val="bottom"/>
            <w:gridSpan w:val="2"/>
          </w:tcPr>
          <w:p>
            <w:pPr>
              <w:ind w:left="580"/>
              <w:spacing w:after="0"/>
              <w:rPr>
                <w:sz w:val="20"/>
                <w:szCs w:val="20"/>
                <w:color w:val="auto"/>
              </w:rPr>
            </w:pPr>
            <w:r>
              <w:rPr>
                <w:rFonts w:ascii="Arial" w:cs="Arial" w:eastAsia="Arial" w:hAnsi="Arial"/>
                <w:sz w:val="13"/>
                <w:szCs w:val="13"/>
                <w:color w:val="auto"/>
              </w:rPr>
              <w:t>Operating lease liabilities</w:t>
            </w:r>
          </w:p>
        </w:tc>
        <w:tc>
          <w:tcPr>
            <w:tcW w:w="74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99,693</w:t>
            </w:r>
          </w:p>
        </w:tc>
      </w:tr>
      <w:tr>
        <w:trPr>
          <w:trHeight w:val="168"/>
        </w:trPr>
        <w:tc>
          <w:tcPr>
            <w:tcW w:w="394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Deferred tax liabilities</w:t>
            </w:r>
          </w:p>
        </w:tc>
        <w:tc>
          <w:tcPr>
            <w:tcW w:w="740" w:type="dxa"/>
            <w:vAlign w:val="bottom"/>
            <w:tcBorders>
              <w:bottom w:val="single" w:sz="8" w:color="auto"/>
            </w:tcBorders>
            <w:shd w:val="clear" w:color="auto" w:fill="CCEEFF"/>
          </w:tcPr>
          <w:p>
            <w:pPr>
              <w:spacing w:after="0"/>
              <w:rPr>
                <w:sz w:val="14"/>
                <w:szCs w:val="14"/>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71,053</w:t>
            </w:r>
          </w:p>
        </w:tc>
      </w:tr>
      <w:tr>
        <w:trPr>
          <w:trHeight w:val="155"/>
        </w:trPr>
        <w:tc>
          <w:tcPr>
            <w:tcW w:w="3940" w:type="dxa"/>
            <w:vAlign w:val="bottom"/>
            <w:gridSpan w:val="2"/>
          </w:tcPr>
          <w:p>
            <w:pPr>
              <w:ind w:left="780"/>
              <w:spacing w:after="0" w:line="141" w:lineRule="exact"/>
              <w:rPr>
                <w:sz w:val="20"/>
                <w:szCs w:val="20"/>
                <w:color w:val="auto"/>
              </w:rPr>
            </w:pPr>
            <w:r>
              <w:rPr>
                <w:rFonts w:ascii="Arial" w:cs="Arial" w:eastAsia="Arial" w:hAnsi="Arial"/>
                <w:sz w:val="13"/>
                <w:szCs w:val="13"/>
                <w:color w:val="auto"/>
              </w:rPr>
              <w:t>Total Liabilities</w:t>
            </w:r>
          </w:p>
        </w:tc>
        <w:tc>
          <w:tcPr>
            <w:tcW w:w="74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654,426</w:t>
            </w:r>
          </w:p>
        </w:tc>
      </w:tr>
      <w:tr>
        <w:trPr>
          <w:trHeight w:val="192"/>
        </w:trPr>
        <w:tc>
          <w:tcPr>
            <w:tcW w:w="3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spacing w:after="0"/>
              <w:rPr>
                <w:sz w:val="16"/>
                <w:szCs w:val="16"/>
                <w:color w:val="auto"/>
              </w:rPr>
            </w:pPr>
          </w:p>
        </w:tc>
        <w:tc>
          <w:tcPr>
            <w:tcW w:w="1700" w:type="dxa"/>
            <w:vAlign w:val="bottom"/>
            <w:tcBorders>
              <w:bottom w:val="single" w:sz="8" w:color="auto"/>
            </w:tcBorders>
            <w:shd w:val="clear" w:color="auto" w:fill="CCEEFF"/>
          </w:tcPr>
          <w:p>
            <w:pPr>
              <w:spacing w:after="0"/>
              <w:rPr>
                <w:sz w:val="16"/>
                <w:szCs w:val="16"/>
                <w:color w:val="auto"/>
              </w:rPr>
            </w:pPr>
          </w:p>
        </w:tc>
      </w:tr>
      <w:tr>
        <w:trPr>
          <w:trHeight w:val="155"/>
        </w:trPr>
        <w:tc>
          <w:tcPr>
            <w:tcW w:w="3940" w:type="dxa"/>
            <w:vAlign w:val="bottom"/>
            <w:gridSpan w:val="2"/>
          </w:tcPr>
          <w:p>
            <w:pPr>
              <w:ind w:left="580"/>
              <w:spacing w:after="0" w:line="141" w:lineRule="exact"/>
              <w:rPr>
                <w:sz w:val="20"/>
                <w:szCs w:val="20"/>
                <w:color w:val="auto"/>
              </w:rPr>
            </w:pPr>
            <w:r>
              <w:rPr>
                <w:rFonts w:ascii="Arial" w:cs="Arial" w:eastAsia="Arial" w:hAnsi="Arial"/>
                <w:sz w:val="13"/>
                <w:szCs w:val="13"/>
                <w:color w:val="auto"/>
              </w:rPr>
              <w:t>Total identified assets acquired, net of assumed liabilities</w:t>
            </w:r>
          </w:p>
        </w:tc>
        <w:tc>
          <w:tcPr>
            <w:tcW w:w="74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734,542</w:t>
            </w:r>
          </w:p>
        </w:tc>
      </w:tr>
      <w:tr>
        <w:trPr>
          <w:trHeight w:val="192"/>
        </w:trPr>
        <w:tc>
          <w:tcPr>
            <w:tcW w:w="3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r>
      <w:tr>
        <w:trPr>
          <w:trHeight w:val="163"/>
        </w:trPr>
        <w:tc>
          <w:tcPr>
            <w:tcW w:w="3940" w:type="dxa"/>
            <w:vAlign w:val="bottom"/>
            <w:gridSpan w:val="2"/>
          </w:tcPr>
          <w:p>
            <w:pPr>
              <w:ind w:left="580"/>
              <w:spacing w:after="0"/>
              <w:rPr>
                <w:sz w:val="20"/>
                <w:szCs w:val="20"/>
                <w:color w:val="auto"/>
              </w:rPr>
            </w:pPr>
            <w:r>
              <w:rPr>
                <w:rFonts w:ascii="Arial" w:cs="Arial" w:eastAsia="Arial" w:hAnsi="Arial"/>
                <w:sz w:val="13"/>
                <w:szCs w:val="13"/>
                <w:color w:val="auto"/>
              </w:rPr>
              <w:t>Goodwill</w:t>
            </w:r>
          </w:p>
        </w:tc>
        <w:tc>
          <w:tcPr>
            <w:tcW w:w="74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312,343</w:t>
            </w:r>
          </w:p>
        </w:tc>
      </w:tr>
      <w:tr>
        <w:trPr>
          <w:trHeight w:val="192"/>
        </w:trPr>
        <w:tc>
          <w:tcPr>
            <w:tcW w:w="3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spacing w:after="0"/>
              <w:rPr>
                <w:sz w:val="16"/>
                <w:szCs w:val="16"/>
                <w:color w:val="auto"/>
              </w:rPr>
            </w:pPr>
          </w:p>
        </w:tc>
        <w:tc>
          <w:tcPr>
            <w:tcW w:w="1700" w:type="dxa"/>
            <w:vAlign w:val="bottom"/>
            <w:tcBorders>
              <w:bottom w:val="single" w:sz="8" w:color="auto"/>
            </w:tcBorders>
            <w:shd w:val="clear" w:color="auto" w:fill="CCEEFF"/>
          </w:tcPr>
          <w:p>
            <w:pPr>
              <w:spacing w:after="0"/>
              <w:rPr>
                <w:sz w:val="16"/>
                <w:szCs w:val="16"/>
                <w:color w:val="auto"/>
              </w:rPr>
            </w:pPr>
          </w:p>
        </w:tc>
      </w:tr>
      <w:tr>
        <w:trPr>
          <w:trHeight w:val="158"/>
        </w:trPr>
        <w:tc>
          <w:tcPr>
            <w:tcW w:w="3940" w:type="dxa"/>
            <w:vAlign w:val="bottom"/>
            <w:gridSpan w:val="2"/>
          </w:tcPr>
          <w:p>
            <w:pPr>
              <w:ind w:left="580"/>
              <w:spacing w:after="0"/>
              <w:rPr>
                <w:sz w:val="20"/>
                <w:szCs w:val="20"/>
                <w:color w:val="auto"/>
              </w:rPr>
            </w:pPr>
            <w:r>
              <w:rPr>
                <w:rFonts w:ascii="Arial" w:cs="Arial" w:eastAsia="Arial" w:hAnsi="Arial"/>
                <w:sz w:val="13"/>
                <w:szCs w:val="13"/>
                <w:color w:val="auto"/>
              </w:rPr>
              <w:t>Total Purchase Price</w:t>
            </w:r>
          </w:p>
        </w:tc>
        <w:tc>
          <w:tcPr>
            <w:tcW w:w="7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1,046,885</w:t>
            </w:r>
          </w:p>
        </w:tc>
      </w:tr>
      <w:tr>
        <w:trPr>
          <w:trHeight w:val="20"/>
        </w:trPr>
        <w:tc>
          <w:tcPr>
            <w:tcW w:w="3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Amounts allocated to intangible assets, the amortization period and goodwill were as follows:</w:t>
      </w:r>
    </w:p>
    <w:p>
      <w:pPr>
        <w:spacing w:after="0" w:line="11" w:lineRule="exact"/>
        <w:rPr>
          <w:sz w:val="20"/>
          <w:szCs w:val="20"/>
          <w:color w:val="auto"/>
        </w:rPr>
      </w:pPr>
    </w:p>
    <w:tbl>
      <w:tblPr>
        <w:tblLayout w:type="fixed"/>
        <w:tblInd w:w="2560" w:type="dxa"/>
        <w:tblCellMar>
          <w:top w:w="0" w:type="dxa"/>
          <w:left w:w="0" w:type="dxa"/>
          <w:bottom w:w="0" w:type="dxa"/>
          <w:right w:w="0" w:type="dxa"/>
        </w:tblCellMar>
      </w:tblPr>
      <w:tr>
        <w:trPr>
          <w:trHeight w:val="149"/>
        </w:trPr>
        <w:tc>
          <w:tcPr>
            <w:tcW w:w="27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(in thousands)</w:t>
            </w:r>
          </w:p>
        </w:tc>
        <w:tc>
          <w:tcPr>
            <w:tcW w:w="320" w:type="dxa"/>
            <w:vAlign w:val="bottom"/>
          </w:tcPr>
          <w:p>
            <w:pPr>
              <w:spacing w:after="0"/>
              <w:rPr>
                <w:sz w:val="12"/>
                <w:szCs w:val="12"/>
                <w:color w:val="auto"/>
              </w:rPr>
            </w:pPr>
          </w:p>
        </w:tc>
        <w:tc>
          <w:tcPr>
            <w:tcW w:w="1300" w:type="dxa"/>
            <w:vAlign w:val="bottom"/>
            <w:vMerge w:val="restart"/>
          </w:tcPr>
          <w:p>
            <w:pPr>
              <w:jc w:val="right"/>
              <w:ind w:right="537"/>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2"/>
                <w:szCs w:val="12"/>
                <w:color w:val="auto"/>
              </w:rPr>
            </w:pPr>
          </w:p>
        </w:tc>
        <w:tc>
          <w:tcPr>
            <w:tcW w:w="1660" w:type="dxa"/>
            <w:vAlign w:val="bottom"/>
          </w:tcPr>
          <w:p>
            <w:pPr>
              <w:jc w:val="center"/>
              <w:spacing w:after="0"/>
              <w:rPr>
                <w:sz w:val="20"/>
                <w:szCs w:val="20"/>
                <w:color w:val="auto"/>
              </w:rPr>
            </w:pPr>
            <w:r>
              <w:rPr>
                <w:rFonts w:ascii="Arial" w:cs="Arial" w:eastAsia="Arial" w:hAnsi="Arial"/>
                <w:sz w:val="13"/>
                <w:szCs w:val="13"/>
                <w:b w:val="1"/>
                <w:bCs w:val="1"/>
                <w:color w:val="auto"/>
                <w:w w:val="90"/>
              </w:rPr>
              <w:t>Amortization</w:t>
            </w:r>
          </w:p>
        </w:tc>
        <w:tc>
          <w:tcPr>
            <w:tcW w:w="0" w:type="dxa"/>
            <w:vAlign w:val="bottom"/>
          </w:tcPr>
          <w:p>
            <w:pPr>
              <w:spacing w:after="0"/>
              <w:rPr>
                <w:sz w:val="1"/>
                <w:szCs w:val="1"/>
                <w:color w:val="auto"/>
              </w:rPr>
            </w:pPr>
          </w:p>
        </w:tc>
      </w:tr>
      <w:tr>
        <w:trPr>
          <w:trHeight w:val="165"/>
        </w:trPr>
        <w:tc>
          <w:tcPr>
            <w:tcW w:w="27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3"/>
                <w:szCs w:val="13"/>
                <w:b w:val="1"/>
                <w:bCs w:val="1"/>
                <w:color w:val="auto"/>
                <w:w w:val="84"/>
              </w:rPr>
              <w:t>Years</w:t>
            </w:r>
          </w:p>
        </w:tc>
        <w:tc>
          <w:tcPr>
            <w:tcW w:w="0" w:type="dxa"/>
            <w:vAlign w:val="bottom"/>
          </w:tcPr>
          <w:p>
            <w:pPr>
              <w:spacing w:after="0"/>
              <w:rPr>
                <w:sz w:val="1"/>
                <w:szCs w:val="1"/>
                <w:color w:val="auto"/>
              </w:rPr>
            </w:pPr>
          </w:p>
        </w:tc>
      </w:tr>
      <w:tr>
        <w:trPr>
          <w:trHeight w:val="158"/>
        </w:trPr>
        <w:tc>
          <w:tcPr>
            <w:tcW w:w="266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3"/>
                <w:szCs w:val="13"/>
                <w:color w:val="auto"/>
              </w:rPr>
              <w:t>Technology</w:t>
            </w: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jc w:val="right"/>
              <w:ind w:right="177"/>
              <w:spacing w:after="0"/>
              <w:rPr>
                <w:sz w:val="20"/>
                <w:szCs w:val="20"/>
                <w:color w:val="auto"/>
              </w:rPr>
            </w:pPr>
            <w:r>
              <w:rPr>
                <w:rFonts w:ascii="Arial" w:cs="Arial" w:eastAsia="Arial" w:hAnsi="Arial"/>
                <w:sz w:val="13"/>
                <w:szCs w:val="13"/>
                <w:color w:val="auto"/>
                <w:w w:val="82"/>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76,000</w:t>
            </w:r>
          </w:p>
        </w:tc>
        <w:tc>
          <w:tcPr>
            <w:tcW w:w="100" w:type="dxa"/>
            <w:vAlign w:val="bottom"/>
            <w:tcBorders>
              <w:top w:val="single" w:sz="8" w:color="CCEEFF"/>
            </w:tcBorders>
            <w:shd w:val="clear" w:color="auto" w:fill="CCEEFF"/>
          </w:tcPr>
          <w:p>
            <w:pPr>
              <w:spacing w:after="0"/>
              <w:rPr>
                <w:sz w:val="13"/>
                <w:szCs w:val="13"/>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63"/>
        </w:trPr>
        <w:tc>
          <w:tcPr>
            <w:tcW w:w="2760" w:type="dxa"/>
            <w:vAlign w:val="bottom"/>
            <w:gridSpan w:val="2"/>
          </w:tcPr>
          <w:p>
            <w:pPr>
              <w:ind w:left="120"/>
              <w:spacing w:after="0"/>
              <w:rPr>
                <w:sz w:val="20"/>
                <w:szCs w:val="20"/>
                <w:color w:val="auto"/>
              </w:rPr>
            </w:pPr>
            <w:r>
              <w:rPr>
                <w:rFonts w:ascii="Arial" w:cs="Arial" w:eastAsia="Arial" w:hAnsi="Arial"/>
                <w:sz w:val="13"/>
                <w:szCs w:val="13"/>
                <w:color w:val="auto"/>
              </w:rPr>
              <w:t>Customer relationships</w:t>
            </w:r>
          </w:p>
        </w:tc>
        <w:tc>
          <w:tcPr>
            <w:tcW w:w="3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437,600</w:t>
            </w:r>
          </w:p>
        </w:tc>
        <w:tc>
          <w:tcPr>
            <w:tcW w:w="1760" w:type="dxa"/>
            <w:vAlign w:val="bottom"/>
            <w:gridSpan w:val="2"/>
          </w:tcPr>
          <w:p>
            <w:pPr>
              <w:jc w:val="center"/>
              <w:ind w:left="17"/>
              <w:spacing w:after="0"/>
              <w:rPr>
                <w:sz w:val="20"/>
                <w:szCs w:val="20"/>
                <w:color w:val="auto"/>
              </w:rPr>
            </w:pPr>
            <w:r>
              <w:rPr>
                <w:rFonts w:ascii="Arial" w:cs="Arial" w:eastAsia="Arial" w:hAnsi="Arial"/>
                <w:sz w:val="13"/>
                <w:szCs w:val="13"/>
                <w:color w:val="auto"/>
                <w:w w:val="82"/>
              </w:rPr>
              <w:t>10</w:t>
            </w:r>
          </w:p>
        </w:tc>
        <w:tc>
          <w:tcPr>
            <w:tcW w:w="0" w:type="dxa"/>
            <w:vAlign w:val="bottom"/>
          </w:tcPr>
          <w:p>
            <w:pPr>
              <w:spacing w:after="0"/>
              <w:rPr>
                <w:sz w:val="1"/>
                <w:szCs w:val="1"/>
                <w:color w:val="auto"/>
              </w:rPr>
            </w:pPr>
          </w:p>
        </w:tc>
      </w:tr>
      <w:tr>
        <w:trPr>
          <w:trHeight w:val="168"/>
        </w:trPr>
        <w:tc>
          <w:tcPr>
            <w:tcW w:w="27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Trade names</w:t>
            </w:r>
          </w:p>
        </w:tc>
        <w:tc>
          <w:tcPr>
            <w:tcW w:w="32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3,600</w:t>
            </w:r>
          </w:p>
        </w:tc>
        <w:tc>
          <w:tcPr>
            <w:tcW w:w="1760" w:type="dxa"/>
            <w:vAlign w:val="bottom"/>
            <w:gridSpan w:val="2"/>
            <w:shd w:val="clear" w:color="auto" w:fill="CCEEFF"/>
          </w:tcPr>
          <w:p>
            <w:pPr>
              <w:jc w:val="center"/>
              <w:ind w:left="17"/>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55"/>
        </w:trPr>
        <w:tc>
          <w:tcPr>
            <w:tcW w:w="2760" w:type="dxa"/>
            <w:vAlign w:val="bottom"/>
            <w:gridSpan w:val="2"/>
          </w:tcPr>
          <w:p>
            <w:pPr>
              <w:ind w:left="200"/>
              <w:spacing w:after="0" w:line="148" w:lineRule="exact"/>
              <w:rPr>
                <w:sz w:val="20"/>
                <w:szCs w:val="20"/>
                <w:color w:val="auto"/>
              </w:rPr>
            </w:pPr>
            <w:r>
              <w:rPr>
                <w:rFonts w:ascii="Arial" w:cs="Arial" w:eastAsia="Arial" w:hAnsi="Arial"/>
                <w:sz w:val="13"/>
                <w:szCs w:val="13"/>
                <w:color w:val="auto"/>
              </w:rPr>
              <w:t>Intangible assets</w:t>
            </w:r>
          </w:p>
        </w:tc>
        <w:tc>
          <w:tcPr>
            <w:tcW w:w="3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517,200</w:t>
            </w:r>
          </w:p>
        </w:tc>
        <w:tc>
          <w:tcPr>
            <w:tcW w:w="1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7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Goodwill</w:t>
            </w:r>
          </w:p>
        </w:tc>
        <w:tc>
          <w:tcPr>
            <w:tcW w:w="32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312,343</w:t>
            </w:r>
          </w:p>
        </w:tc>
        <w:tc>
          <w:tcPr>
            <w:tcW w:w="1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760" w:type="dxa"/>
            <w:vAlign w:val="bottom"/>
            <w:gridSpan w:val="2"/>
          </w:tcPr>
          <w:p>
            <w:pPr>
              <w:ind w:left="200"/>
              <w:spacing w:after="0"/>
              <w:rPr>
                <w:sz w:val="20"/>
                <w:szCs w:val="20"/>
                <w:color w:val="auto"/>
              </w:rPr>
            </w:pPr>
            <w:r>
              <w:rPr>
                <w:rFonts w:ascii="Arial" w:cs="Arial" w:eastAsia="Arial" w:hAnsi="Arial"/>
                <w:sz w:val="13"/>
                <w:szCs w:val="13"/>
                <w:color w:val="auto"/>
              </w:rPr>
              <w:t>Total</w:t>
            </w:r>
          </w:p>
        </w:tc>
        <w:tc>
          <w:tcPr>
            <w:tcW w:w="32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w w:val="82"/>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829,543</w:t>
            </w:r>
          </w:p>
        </w:tc>
        <w:tc>
          <w:tcPr>
            <w:tcW w:w="1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5" w:lineRule="exact"/>
        <w:rPr>
          <w:sz w:val="20"/>
          <w:szCs w:val="20"/>
          <w:color w:val="auto"/>
        </w:rPr>
      </w:pPr>
    </w:p>
    <w:p>
      <w:pPr>
        <w:ind w:firstLine="568"/>
        <w:spacing w:after="0" w:line="254" w:lineRule="auto"/>
        <w:rPr>
          <w:sz w:val="20"/>
          <w:szCs w:val="20"/>
          <w:color w:val="auto"/>
        </w:rPr>
      </w:pPr>
      <w:r>
        <w:rPr>
          <w:rFonts w:ascii="Arial" w:cs="Arial" w:eastAsia="Arial" w:hAnsi="Arial"/>
          <w:sz w:val="16"/>
          <w:szCs w:val="16"/>
          <w:color w:val="auto"/>
        </w:rPr>
        <w:t>The Company estimated the fair value of the intangible assets, which involved the use of significant estimates and assumptions with respect to the timing and amounts of revenue growth rates, customer attrition rates, future tax rates, royalty rates, contributory asset charges, discount rate and the resulting cash flows. The total goodwill of $312.3 million was assigned to the Execution Services segment. Such goodwill is attributable to the expansion of product offerings and expected synergies of the combined workforce, products and technologies of the Company and ITG.</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93" w:name="page94"/>
    <w:bookmarkEnd w:id="9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Assumption of Equity Compensation Plan</w:t>
      </w:r>
    </w:p>
    <w:p>
      <w:pPr>
        <w:spacing w:after="0" w:line="219" w:lineRule="exact"/>
        <w:rPr>
          <w:sz w:val="20"/>
          <w:szCs w:val="20"/>
          <w:color w:val="auto"/>
        </w:rPr>
      </w:pPr>
    </w:p>
    <w:p>
      <w:pPr>
        <w:ind w:firstLine="568"/>
        <w:spacing w:after="0" w:line="267" w:lineRule="auto"/>
        <w:rPr>
          <w:sz w:val="20"/>
          <w:szCs w:val="20"/>
          <w:color w:val="auto"/>
        </w:rPr>
      </w:pPr>
      <w:r>
        <w:rPr>
          <w:rFonts w:ascii="Arial" w:cs="Arial" w:eastAsia="Arial" w:hAnsi="Arial"/>
          <w:sz w:val="15"/>
          <w:szCs w:val="15"/>
          <w:color w:val="auto"/>
        </w:rPr>
        <w:t>On the ITG Closing Date, the Company assumed the Amended and Restated ITG 2007 Equity Plan and certain stock option awards, restricted stock unit awards, deferred stock unit awards and performance stock unit awards granted under the Amended and Restated ITG 2007 Equity Plan (the “Assumed Awards”). The Assumed Awards are subject to the same terms and conditions that were applicable to them under the Amended and Restated ITG 2007 Equity Plan, except that (i) the Assumed Awards relate to shares of the Company’s Class A Common Stock, (ii) the number of shares of Class A Common Stock subject to the Assumed Awards was the result of an adjustment based upon an Exchange Ratio (as defined in the Agreement and Plan of Merger by and between the Company, Impala Merger Sub, Inc., a Delaware corporation and an indirect wholly owned subsidiary of the Company, and ITG, dated as of November 6, 2018, the “ITG Merger Agreement”) and (iii) the performance share unit awards were converted into service-based vesting restricted stock unit awards that were no longer subject to any performance-based vesting conditions. As of the ITG Closing Date, the aggregate number of shares of Class A Common Stock subject to such Assumed Awards was 2,497,028 and the aggregate number of shares of Class A Common Stock that remained issuable pursuant to the Amended and Restated ITG 2007 Equity Plan was 1,230,406. The Company filed with the SEC a Registration Statement on Form S-8 on the ITG Closing Date to register such shares of Class A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Tax treatment of the ITG Acquisition</w:t>
      </w:r>
    </w:p>
    <w:p>
      <w:pPr>
        <w:spacing w:after="0" w:line="219" w:lineRule="exact"/>
        <w:rPr>
          <w:sz w:val="20"/>
          <w:szCs w:val="20"/>
          <w:color w:val="auto"/>
        </w:rPr>
      </w:pPr>
    </w:p>
    <w:p>
      <w:pPr>
        <w:ind w:right="460" w:firstLine="568"/>
        <w:spacing w:after="0" w:line="302" w:lineRule="auto"/>
        <w:rPr>
          <w:sz w:val="20"/>
          <w:szCs w:val="20"/>
          <w:color w:val="auto"/>
        </w:rPr>
      </w:pPr>
      <w:r>
        <w:rPr>
          <w:rFonts w:ascii="Arial" w:cs="Arial" w:eastAsia="Arial" w:hAnsi="Arial"/>
          <w:sz w:val="15"/>
          <w:szCs w:val="15"/>
          <w:color w:val="auto"/>
        </w:rPr>
        <w:t>The ITG Acquisition is being treated as a tax-free transaction as described in Section 351 of the Internal Revenue Code. ITG’s tax basis in its assets and liabilities therefore generally carried over to the Company following the ITG Acquisition. None of the goodwill is expected to be deductible for tax purposes.</w:t>
      </w:r>
    </w:p>
    <w:p>
      <w:pPr>
        <w:spacing w:after="0" w:line="158" w:lineRule="exact"/>
        <w:rPr>
          <w:sz w:val="20"/>
          <w:szCs w:val="20"/>
          <w:color w:val="auto"/>
        </w:rPr>
      </w:pPr>
    </w:p>
    <w:p>
      <w:pPr>
        <w:ind w:right="220" w:firstLine="568"/>
        <w:spacing w:after="0" w:line="257" w:lineRule="auto"/>
        <w:rPr>
          <w:sz w:val="20"/>
          <w:szCs w:val="20"/>
          <w:color w:val="auto"/>
        </w:rPr>
      </w:pPr>
      <w:r>
        <w:rPr>
          <w:rFonts w:ascii="Arial" w:cs="Arial" w:eastAsia="Arial" w:hAnsi="Arial"/>
          <w:sz w:val="16"/>
          <w:szCs w:val="16"/>
          <w:color w:val="auto"/>
        </w:rPr>
        <w:t>The Company recorded deferred tax assets of $17.6 million and deferred tax liabilities of $71.1 million with respect to recording ITG’s assets and liabilities under the purchase method of accounting as described above as well as recording the value of other tax attributes acquired as a result of the ITG Acquisition, as described in Note 15 "Income Taxes".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 forma results</w:t>
      </w:r>
    </w:p>
    <w:p>
      <w:pPr>
        <w:spacing w:after="0" w:line="219" w:lineRule="exact"/>
        <w:rPr>
          <w:sz w:val="20"/>
          <w:szCs w:val="20"/>
          <w:color w:val="auto"/>
        </w:rPr>
      </w:pPr>
    </w:p>
    <w:p>
      <w:pPr>
        <w:ind w:right="3360" w:firstLine="568"/>
        <w:spacing w:after="0" w:line="268" w:lineRule="auto"/>
        <w:rPr>
          <w:sz w:val="20"/>
          <w:szCs w:val="20"/>
          <w:color w:val="auto"/>
        </w:rPr>
      </w:pPr>
      <w:r>
        <w:rPr>
          <w:rFonts w:ascii="Arial" w:cs="Arial" w:eastAsia="Arial" w:hAnsi="Arial"/>
          <w:sz w:val="16"/>
          <w:szCs w:val="16"/>
          <w:color w:val="auto"/>
        </w:rPr>
        <w:t>Included in the Company’s results for the year ended December 31, 2019 are results from the business acquired as a result of the ITG Acquisition, from the ITG Closing Date through December 31, 2019 as follows:</w:t>
      </w:r>
    </w:p>
    <w:p>
      <w:pPr>
        <w:spacing w:after="0" w:line="209" w:lineRule="exact"/>
        <w:rPr>
          <w:sz w:val="20"/>
          <w:szCs w:val="20"/>
          <w:color w:val="auto"/>
        </w:rPr>
      </w:pPr>
    </w:p>
    <w:tbl>
      <w:tblPr>
        <w:tblLayout w:type="fixed"/>
        <w:tblInd w:w="3300" w:type="dxa"/>
        <w:tblCellMar>
          <w:top w:w="0" w:type="dxa"/>
          <w:left w:w="0" w:type="dxa"/>
          <w:bottom w:w="0" w:type="dxa"/>
          <w:right w:w="0" w:type="dxa"/>
        </w:tblCellMar>
      </w:tblPr>
      <w:tr>
        <w:trPr>
          <w:trHeight w:val="169"/>
        </w:trPr>
        <w:tc>
          <w:tcPr>
            <w:tcW w:w="3260" w:type="dxa"/>
            <w:vAlign w:val="bottom"/>
            <w:gridSpan w:val="2"/>
          </w:tcPr>
          <w:p>
            <w:pPr>
              <w:ind w:left="20"/>
              <w:spacing w:after="0"/>
              <w:rPr>
                <w:sz w:val="20"/>
                <w:szCs w:val="20"/>
                <w:color w:val="auto"/>
              </w:rPr>
            </w:pPr>
            <w:r>
              <w:rPr>
                <w:rFonts w:ascii="Arial" w:cs="Arial" w:eastAsia="Arial" w:hAnsi="Arial"/>
                <w:sz w:val="13"/>
                <w:szCs w:val="13"/>
                <w:b w:val="1"/>
                <w:bCs w:val="1"/>
                <w:color w:val="auto"/>
              </w:rPr>
              <w:t>(in thousands)</w:t>
            </w:r>
          </w:p>
        </w:tc>
        <w:tc>
          <w:tcPr>
            <w:tcW w:w="5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2"/>
        </w:trPr>
        <w:tc>
          <w:tcPr>
            <w:tcW w:w="3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Revenues</w:t>
            </w:r>
          </w:p>
        </w:tc>
        <w:tc>
          <w:tcPr>
            <w:tcW w:w="10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ind w:right="357"/>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3"/>
                <w:szCs w:val="13"/>
                <w:color w:val="auto"/>
                <w:w w:val="97"/>
              </w:rPr>
              <w:t>347,859</w:t>
            </w:r>
          </w:p>
        </w:tc>
      </w:tr>
      <w:tr>
        <w:trPr>
          <w:trHeight w:val="160"/>
        </w:trPr>
        <w:tc>
          <w:tcPr>
            <w:tcW w:w="3260" w:type="dxa"/>
            <w:vAlign w:val="bottom"/>
            <w:gridSpan w:val="2"/>
          </w:tcPr>
          <w:p>
            <w:pPr>
              <w:ind w:left="20"/>
              <w:spacing w:after="0"/>
              <w:rPr>
                <w:sz w:val="20"/>
                <w:szCs w:val="20"/>
                <w:color w:val="auto"/>
              </w:rPr>
            </w:pPr>
            <w:r>
              <w:rPr>
                <w:rFonts w:ascii="Arial" w:cs="Arial" w:eastAsia="Arial" w:hAnsi="Arial"/>
                <w:sz w:val="13"/>
                <w:szCs w:val="13"/>
                <w:color w:val="auto"/>
              </w:rPr>
              <w:t>Income (loss) before income taxes</w:t>
            </w:r>
          </w:p>
        </w:tc>
        <w:tc>
          <w:tcPr>
            <w:tcW w:w="500" w:type="dxa"/>
            <w:vAlign w:val="bottom"/>
          </w:tcPr>
          <w:p>
            <w:pPr>
              <w:jc w:val="right"/>
              <w:ind w:right="357"/>
              <w:spacing w:after="0"/>
              <w:rPr>
                <w:sz w:val="20"/>
                <w:szCs w:val="20"/>
                <w:color w:val="auto"/>
              </w:rPr>
            </w:pPr>
            <w:r>
              <w:rPr>
                <w:rFonts w:ascii="Arial" w:cs="Arial" w:eastAsia="Arial" w:hAnsi="Arial"/>
                <w:sz w:val="13"/>
                <w:szCs w:val="13"/>
                <w:color w:val="auto"/>
                <w:w w:val="82"/>
              </w:rPr>
              <w:t>$</w:t>
            </w:r>
          </w:p>
        </w:tc>
        <w:tc>
          <w:tcPr>
            <w:tcW w:w="900" w:type="dxa"/>
            <w:vAlign w:val="bottom"/>
          </w:tcPr>
          <w:p>
            <w:pPr>
              <w:ind w:left="440"/>
              <w:spacing w:after="0"/>
              <w:rPr>
                <w:sz w:val="20"/>
                <w:szCs w:val="20"/>
                <w:color w:val="auto"/>
              </w:rPr>
            </w:pPr>
            <w:r>
              <w:rPr>
                <w:rFonts w:ascii="Arial" w:cs="Arial" w:eastAsia="Arial" w:hAnsi="Arial"/>
                <w:sz w:val="13"/>
                <w:szCs w:val="13"/>
                <w:color w:val="auto"/>
                <w:w w:val="90"/>
              </w:rPr>
              <w:t>(64,917)</w:t>
            </w:r>
          </w:p>
        </w:tc>
      </w:tr>
    </w:tbl>
    <w:p>
      <w:pPr>
        <w:spacing w:after="0" w:line="289" w:lineRule="exact"/>
        <w:rPr>
          <w:sz w:val="20"/>
          <w:szCs w:val="20"/>
          <w:color w:val="auto"/>
        </w:rPr>
      </w:pPr>
    </w:p>
    <w:p>
      <w:pPr>
        <w:jc w:val="both"/>
        <w:ind w:right="120" w:firstLine="568"/>
        <w:spacing w:after="0" w:line="287" w:lineRule="auto"/>
        <w:rPr>
          <w:sz w:val="20"/>
          <w:szCs w:val="20"/>
          <w:color w:val="auto"/>
        </w:rPr>
      </w:pPr>
      <w:r>
        <w:rPr>
          <w:rFonts w:ascii="Arial" w:cs="Arial" w:eastAsia="Arial" w:hAnsi="Arial"/>
          <w:sz w:val="14"/>
          <w:szCs w:val="14"/>
          <w:color w:val="auto"/>
        </w:rPr>
        <w:t>The financial information in the table below summarizes the combined pro forma results of operations of the Company and ITG, based on adding the pre-tax historical results of ITG and the Company, and adjusting primarily for amortization of intangibles created in the ITG Acquisition, debt raised in conjunction with the ITG Acquisition and nonrecurring costs associated with the ITG Acquisition, which comprise advisory and other professional fees incurred by the Company and ITG of $15.1 million and</w:t>
      </w:r>
    </w:p>
    <w:p>
      <w:pPr>
        <w:spacing w:after="0" w:line="2"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$18.2 million, respectively. The pro forma data assumes all of ITG’s issued and outstanding shares of common stock, par value $0.01 per share, were cancelled and extinguished and converted into the right to receive $30.30 in cash, without interest, less any applicable withholding taxes on January 1, 2018 and does not include adjustments to reflect the Company's operating costs or expected differences in the way funds generated by the Company are invested.</w:t>
      </w:r>
    </w:p>
    <w:p>
      <w:pPr>
        <w:spacing w:after="0" w:line="195" w:lineRule="exact"/>
        <w:rPr>
          <w:sz w:val="20"/>
          <w:szCs w:val="20"/>
          <w:color w:val="auto"/>
        </w:rPr>
      </w:pPr>
    </w:p>
    <w:p>
      <w:pPr>
        <w:ind w:right="140" w:firstLine="568"/>
        <w:spacing w:after="0" w:line="254" w:lineRule="auto"/>
        <w:rPr>
          <w:sz w:val="20"/>
          <w:szCs w:val="20"/>
          <w:color w:val="auto"/>
        </w:rPr>
      </w:pPr>
      <w:r>
        <w:rPr>
          <w:rFonts w:ascii="Arial" w:cs="Arial" w:eastAsia="Arial" w:hAnsi="Arial"/>
          <w:sz w:val="16"/>
          <w:szCs w:val="16"/>
          <w:color w:val="auto"/>
        </w:rPr>
        <w:t>This pro forma financial information is based on estimates and assumptions that have been made solely for purposes of developing such pro forma information, including, without limitation, preliminary purchase accounting adjustments. The pro forma financial information does not reflect any synergies or operating cost reductions that may be achieved from the combined operations. The pro forma financial information combines the historical results for the Company and ITG for the year ended December 31, 2019:</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4" w:name="page95"/>
    <w:bookmarkEnd w:id="9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96" w:lineRule="exact"/>
        <w:rPr>
          <w:sz w:val="20"/>
          <w:szCs w:val="20"/>
          <w:color w:val="auto"/>
        </w:rPr>
      </w:pPr>
    </w:p>
    <w:tbl>
      <w:tblPr>
        <w:tblLayout w:type="fixed"/>
        <w:tblInd w:w="2920" w:type="dxa"/>
        <w:tblCellMar>
          <w:top w:w="0" w:type="dxa"/>
          <w:left w:w="0" w:type="dxa"/>
          <w:bottom w:w="0" w:type="dxa"/>
          <w:right w:w="0" w:type="dxa"/>
        </w:tblCellMar>
      </w:tblPr>
      <w:tr>
        <w:trPr>
          <w:trHeight w:val="149"/>
        </w:trPr>
        <w:tc>
          <w:tcPr>
            <w:tcW w:w="3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jc w:val="right"/>
              <w:ind w:right="17"/>
              <w:spacing w:after="0"/>
              <w:rPr>
                <w:sz w:val="20"/>
                <w:szCs w:val="20"/>
                <w:color w:val="auto"/>
              </w:rPr>
            </w:pPr>
            <w:r>
              <w:rPr>
                <w:rFonts w:ascii="Arial" w:cs="Arial" w:eastAsia="Arial" w:hAnsi="Arial"/>
                <w:sz w:val="13"/>
                <w:szCs w:val="13"/>
                <w:b w:val="1"/>
                <w:bCs w:val="1"/>
                <w:color w:val="auto"/>
                <w:w w:val="88"/>
              </w:rPr>
              <w:t>Year Ended December</w:t>
            </w:r>
          </w:p>
        </w:tc>
      </w:tr>
      <w:tr>
        <w:trPr>
          <w:trHeight w:val="164"/>
        </w:trPr>
        <w:tc>
          <w:tcPr>
            <w:tcW w:w="3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417"/>
              <w:spacing w:after="0"/>
              <w:rPr>
                <w:sz w:val="20"/>
                <w:szCs w:val="20"/>
                <w:color w:val="auto"/>
              </w:rPr>
            </w:pPr>
            <w:r>
              <w:rPr>
                <w:rFonts w:ascii="Arial" w:cs="Arial" w:eastAsia="Arial" w:hAnsi="Arial"/>
                <w:sz w:val="13"/>
                <w:szCs w:val="13"/>
                <w:b w:val="1"/>
                <w:bCs w:val="1"/>
                <w:color w:val="auto"/>
              </w:rPr>
              <w:t>31, 2019</w:t>
            </w:r>
          </w:p>
        </w:tc>
      </w:tr>
      <w:tr>
        <w:trPr>
          <w:trHeight w:val="158"/>
        </w:trPr>
        <w:tc>
          <w:tcPr>
            <w:tcW w:w="4000" w:type="dxa"/>
            <w:vAlign w:val="bottom"/>
            <w:gridSpan w:val="2"/>
          </w:tcPr>
          <w:p>
            <w:pPr>
              <w:ind w:left="20"/>
              <w:spacing w:after="0"/>
              <w:rPr>
                <w:sz w:val="20"/>
                <w:szCs w:val="20"/>
                <w:color w:val="auto"/>
              </w:rPr>
            </w:pPr>
            <w:r>
              <w:rPr>
                <w:rFonts w:ascii="Arial" w:cs="Arial" w:eastAsia="Arial" w:hAnsi="Arial"/>
                <w:sz w:val="13"/>
                <w:szCs w:val="13"/>
                <w:b w:val="1"/>
                <w:bCs w:val="1"/>
                <w:color w:val="auto"/>
              </w:rPr>
              <w:t>(in thousands)</w:t>
            </w:r>
          </w:p>
        </w:tc>
        <w:tc>
          <w:tcPr>
            <w:tcW w:w="80" w:type="dxa"/>
            <w:vAlign w:val="bottom"/>
          </w:tcPr>
          <w:p>
            <w:pPr>
              <w:spacing w:after="0"/>
              <w:rPr>
                <w:sz w:val="13"/>
                <w:szCs w:val="13"/>
                <w:color w:val="auto"/>
              </w:rPr>
            </w:pPr>
          </w:p>
        </w:tc>
        <w:tc>
          <w:tcPr>
            <w:tcW w:w="1320" w:type="dxa"/>
            <w:vAlign w:val="bottom"/>
          </w:tcPr>
          <w:p>
            <w:pPr>
              <w:jc w:val="right"/>
              <w:ind w:right="497"/>
              <w:spacing w:after="0"/>
              <w:rPr>
                <w:sz w:val="20"/>
                <w:szCs w:val="20"/>
                <w:color w:val="auto"/>
              </w:rPr>
            </w:pPr>
            <w:r>
              <w:rPr>
                <w:rFonts w:ascii="Arial" w:cs="Arial" w:eastAsia="Arial" w:hAnsi="Arial"/>
                <w:sz w:val="13"/>
                <w:szCs w:val="13"/>
                <w:b w:val="1"/>
                <w:bCs w:val="1"/>
                <w:color w:val="auto"/>
              </w:rPr>
              <w:t>2019</w:t>
            </w:r>
          </w:p>
        </w:tc>
      </w:tr>
      <w:tr>
        <w:trPr>
          <w:trHeight w:val="158"/>
        </w:trPr>
        <w:tc>
          <w:tcPr>
            <w:tcW w:w="3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Revenue</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1,605,340</w:t>
            </w:r>
          </w:p>
        </w:tc>
      </w:tr>
      <w:tr>
        <w:trPr>
          <w:trHeight w:val="189"/>
        </w:trPr>
        <w:tc>
          <w:tcPr>
            <w:tcW w:w="3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66"/>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Net income (loss)</w:t>
            </w:r>
          </w:p>
        </w:tc>
        <w:tc>
          <w:tcPr>
            <w:tcW w:w="8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(94,233)</w:t>
            </w:r>
          </w:p>
        </w:tc>
      </w:tr>
      <w:tr>
        <w:trPr>
          <w:trHeight w:val="189"/>
        </w:trPr>
        <w:tc>
          <w:tcPr>
            <w:tcW w:w="3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66"/>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Net income (loss) available for common stockholders</w:t>
            </w:r>
          </w:p>
        </w:tc>
        <w:tc>
          <w:tcPr>
            <w:tcW w:w="8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(53,243)</w:t>
            </w:r>
          </w:p>
        </w:tc>
      </w:tr>
    </w:tbl>
    <w:p>
      <w:pPr>
        <w:spacing w:after="0" w:line="3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Sale of MATCHNow</w:t>
      </w:r>
    </w:p>
    <w:p>
      <w:pPr>
        <w:spacing w:after="0" w:line="104" w:lineRule="exact"/>
        <w:rPr>
          <w:sz w:val="20"/>
          <w:szCs w:val="20"/>
          <w:color w:val="auto"/>
        </w:rPr>
      </w:pPr>
    </w:p>
    <w:p>
      <w:pPr>
        <w:jc w:val="both"/>
        <w:ind w:firstLine="568"/>
        <w:spacing w:after="0" w:line="254" w:lineRule="auto"/>
        <w:rPr>
          <w:sz w:val="20"/>
          <w:szCs w:val="20"/>
          <w:color w:val="auto"/>
        </w:rPr>
      </w:pPr>
      <w:r>
        <w:rPr>
          <w:rFonts w:ascii="Arial" w:cs="Arial" w:eastAsia="Arial" w:hAnsi="Arial"/>
          <w:sz w:val="16"/>
          <w:szCs w:val="16"/>
          <w:color w:val="auto"/>
        </w:rPr>
        <w:t>In May 2020, the Company entered into a Securities Purchase Agreement ("SPA") with Cboe Global Markets, Inc. (“CBOE”) pursuant to which the Company agreed to sell 100% of the outstanding interests in TriAct Canada Marketplace LP and TCM Corp., which operate an equities alternative trading system (“MATCHNow”) in Canada. Pursuant to the terms of the SPA, the Company also agreed to enter into a licensing agreement for the licensing of certain software and intellectual property used in support of MATCHNow.</w:t>
      </w:r>
    </w:p>
    <w:p>
      <w:pPr>
        <w:spacing w:after="0" w:line="192" w:lineRule="exact"/>
        <w:rPr>
          <w:sz w:val="20"/>
          <w:szCs w:val="20"/>
          <w:color w:val="auto"/>
        </w:rPr>
      </w:pPr>
    </w:p>
    <w:p>
      <w:pPr>
        <w:ind w:right="20" w:firstLine="568"/>
        <w:spacing w:after="0" w:line="302" w:lineRule="auto"/>
        <w:rPr>
          <w:sz w:val="20"/>
          <w:szCs w:val="20"/>
          <w:color w:val="auto"/>
        </w:rPr>
      </w:pPr>
      <w:r>
        <w:rPr>
          <w:rFonts w:ascii="Arial" w:cs="Arial" w:eastAsia="Arial" w:hAnsi="Arial"/>
          <w:sz w:val="14"/>
          <w:szCs w:val="14"/>
          <w:color w:val="auto"/>
        </w:rPr>
        <w:t>On August 4, 2020 (the "MATCHNow Closing Date"), the Company completed the sale of MATCHNow to CBOE for total gross proceeds of $60.6 million in cash, with additional contingent consideration of up to approximately $23.0 million. The Company incurred one-time transaction costs including professional fees related to the sale of $2.5 million, which were recorded in Transaction advisory fees and expenses on the Consolidated Statements of Comprehensive Income. The Company recognized a gain on sale of $58.7 million, which was recorded in Other, net on the Consolidated Statements of Comprehensive Income for the year ended December 31, 2020.</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 summary of the carrying value of MATCHNow and gain on sale of MATCHNow is as follows:</w:t>
      </w:r>
    </w:p>
    <w:p>
      <w:pPr>
        <w:spacing w:after="0" w:line="254" w:lineRule="exact"/>
        <w:rPr>
          <w:sz w:val="20"/>
          <w:szCs w:val="20"/>
          <w:color w:val="auto"/>
        </w:rPr>
      </w:pPr>
    </w:p>
    <w:p>
      <w:pPr>
        <w:ind w:left="3280"/>
        <w:spacing w:after="0"/>
        <w:rPr>
          <w:sz w:val="20"/>
          <w:szCs w:val="20"/>
          <w:color w:val="auto"/>
        </w:rPr>
      </w:pPr>
      <w:r>
        <w:rPr>
          <w:rFonts w:ascii="Arial" w:cs="Arial" w:eastAsia="Arial" w:hAnsi="Arial"/>
          <w:sz w:val="14"/>
          <w:szCs w:val="14"/>
          <w:b w:val="1"/>
          <w:bCs w:val="1"/>
          <w:color w:val="auto"/>
        </w:rPr>
        <w:t>(in thousands)</w:t>
      </w:r>
    </w:p>
    <w:p>
      <w:pPr>
        <w:spacing w:after="0" w:line="24" w:lineRule="exact"/>
        <w:rPr>
          <w:sz w:val="20"/>
          <w:szCs w:val="20"/>
          <w:color w:val="auto"/>
        </w:rPr>
      </w:pPr>
    </w:p>
    <w:tbl>
      <w:tblPr>
        <w:tblLayout w:type="fixed"/>
        <w:tblInd w:w="2700" w:type="dxa"/>
        <w:tblCellMar>
          <w:top w:w="0" w:type="dxa"/>
          <w:left w:w="0" w:type="dxa"/>
          <w:bottom w:w="0" w:type="dxa"/>
          <w:right w:w="0" w:type="dxa"/>
        </w:tblCellMar>
      </w:tblPr>
      <w:tr>
        <w:trPr>
          <w:trHeight w:val="187"/>
        </w:trPr>
        <w:tc>
          <w:tcPr>
            <w:tcW w:w="386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4"/>
                <w:szCs w:val="14"/>
                <w:color w:val="auto"/>
              </w:rPr>
              <w:t>Total sale proceeds received</w:t>
            </w:r>
          </w:p>
        </w:tc>
        <w:tc>
          <w:tcPr>
            <w:tcW w:w="1380" w:type="dxa"/>
            <w:vAlign w:val="bottom"/>
            <w:tcBorders>
              <w:top w:val="single" w:sz="8" w:color="auto"/>
            </w:tcBorders>
            <w:shd w:val="clear" w:color="auto" w:fill="CCEEFF"/>
          </w:tcPr>
          <w:p>
            <w:pPr>
              <w:jc w:val="right"/>
              <w:ind w:right="669"/>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4"/>
                <w:szCs w:val="14"/>
                <w:color w:val="auto"/>
                <w:w w:val="97"/>
              </w:rPr>
              <w:t>60,592</w:t>
            </w:r>
          </w:p>
        </w:tc>
        <w:tc>
          <w:tcPr>
            <w:tcW w:w="0" w:type="dxa"/>
            <w:vAlign w:val="bottom"/>
          </w:tcPr>
          <w:p>
            <w:pPr>
              <w:spacing w:after="0"/>
              <w:rPr>
                <w:sz w:val="1"/>
                <w:szCs w:val="1"/>
                <w:color w:val="auto"/>
              </w:rPr>
            </w:pPr>
          </w:p>
        </w:tc>
      </w:tr>
      <w:tr>
        <w:trPr>
          <w:trHeight w:val="146"/>
        </w:trPr>
        <w:tc>
          <w:tcPr>
            <w:tcW w:w="3860" w:type="dxa"/>
            <w:vAlign w:val="bottom"/>
          </w:tcPr>
          <w:p>
            <w:pPr>
              <w:ind w:left="580"/>
              <w:spacing w:after="0" w:line="145" w:lineRule="exact"/>
              <w:rPr>
                <w:sz w:val="20"/>
                <w:szCs w:val="20"/>
                <w:color w:val="auto"/>
              </w:rPr>
            </w:pPr>
            <w:r>
              <w:rPr>
                <w:rFonts w:ascii="Arial" w:cs="Arial" w:eastAsia="Arial" w:hAnsi="Arial"/>
                <w:sz w:val="14"/>
                <w:szCs w:val="14"/>
                <w:color w:val="auto"/>
              </w:rPr>
              <w:t>Total carrying value of MATCHNow as of</w:t>
            </w:r>
          </w:p>
        </w:tc>
        <w:tc>
          <w:tcPr>
            <w:tcW w:w="1380" w:type="dxa"/>
            <w:vAlign w:val="bottom"/>
          </w:tcPr>
          <w:p>
            <w:pPr>
              <w:spacing w:after="0"/>
              <w:rPr>
                <w:sz w:val="12"/>
                <w:szCs w:val="12"/>
                <w:color w:val="auto"/>
              </w:rPr>
            </w:pPr>
          </w:p>
        </w:tc>
        <w:tc>
          <w:tcPr>
            <w:tcW w:w="1180" w:type="dxa"/>
            <w:vAlign w:val="bottom"/>
            <w:vMerge w:val="restart"/>
          </w:tcPr>
          <w:p>
            <w:pPr>
              <w:ind w:left="740"/>
              <w:spacing w:after="0"/>
              <w:rPr>
                <w:sz w:val="20"/>
                <w:szCs w:val="20"/>
                <w:color w:val="auto"/>
              </w:rPr>
            </w:pPr>
            <w:r>
              <w:rPr>
                <w:rFonts w:ascii="Arial" w:cs="Arial" w:eastAsia="Arial" w:hAnsi="Arial"/>
                <w:sz w:val="14"/>
                <w:szCs w:val="14"/>
                <w:color w:val="auto"/>
                <w:w w:val="94"/>
              </w:rPr>
              <w:t>(1,940)</w:t>
            </w:r>
          </w:p>
        </w:tc>
        <w:tc>
          <w:tcPr>
            <w:tcW w:w="0" w:type="dxa"/>
            <w:vAlign w:val="bottom"/>
          </w:tcPr>
          <w:p>
            <w:pPr>
              <w:spacing w:after="0"/>
              <w:rPr>
                <w:sz w:val="1"/>
                <w:szCs w:val="1"/>
                <w:color w:val="auto"/>
              </w:rPr>
            </w:pPr>
          </w:p>
        </w:tc>
      </w:tr>
      <w:tr>
        <w:trPr>
          <w:trHeight w:val="183"/>
        </w:trPr>
        <w:tc>
          <w:tcPr>
            <w:tcW w:w="38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MATCHNow Closing Date</w:t>
            </w:r>
          </w:p>
        </w:tc>
        <w:tc>
          <w:tcPr>
            <w:tcW w:w="1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860" w:type="dxa"/>
            <w:vAlign w:val="bottom"/>
            <w:shd w:val="clear" w:color="auto" w:fill="CCEEFF"/>
          </w:tcPr>
          <w:p>
            <w:pPr>
              <w:ind w:left="580"/>
              <w:spacing w:after="0"/>
              <w:rPr>
                <w:sz w:val="20"/>
                <w:szCs w:val="20"/>
                <w:color w:val="auto"/>
              </w:rPr>
            </w:pPr>
            <w:r>
              <w:rPr>
                <w:rFonts w:ascii="Arial" w:cs="Arial" w:eastAsia="Arial" w:hAnsi="Arial"/>
                <w:sz w:val="14"/>
                <w:szCs w:val="14"/>
                <w:color w:val="auto"/>
              </w:rPr>
              <w:t>Gain on sale of MATCHNow</w:t>
            </w:r>
          </w:p>
        </w:tc>
        <w:tc>
          <w:tcPr>
            <w:tcW w:w="1380" w:type="dxa"/>
            <w:vAlign w:val="bottom"/>
            <w:shd w:val="clear" w:color="auto" w:fill="CCEEFF"/>
          </w:tcPr>
          <w:p>
            <w:pPr>
              <w:spacing w:after="0"/>
              <w:rPr>
                <w:sz w:val="15"/>
                <w:szCs w:val="15"/>
                <w:color w:val="auto"/>
              </w:rPr>
            </w:pPr>
          </w:p>
        </w:tc>
        <w:tc>
          <w:tcPr>
            <w:tcW w:w="1180" w:type="dxa"/>
            <w:vAlign w:val="bottom"/>
            <w:shd w:val="clear" w:color="auto" w:fill="CCEEFF"/>
          </w:tcPr>
          <w:p>
            <w:pPr>
              <w:ind w:left="740"/>
              <w:spacing w:after="0"/>
              <w:rPr>
                <w:sz w:val="20"/>
                <w:szCs w:val="20"/>
                <w:color w:val="auto"/>
              </w:rPr>
            </w:pPr>
            <w:r>
              <w:rPr>
                <w:rFonts w:ascii="Arial" w:cs="Arial" w:eastAsia="Arial" w:hAnsi="Arial"/>
                <w:sz w:val="14"/>
                <w:szCs w:val="14"/>
                <w:color w:val="auto"/>
                <w:w w:val="97"/>
              </w:rPr>
              <w:t>58,652</w:t>
            </w:r>
          </w:p>
        </w:tc>
        <w:tc>
          <w:tcPr>
            <w:tcW w:w="0" w:type="dxa"/>
            <w:vAlign w:val="bottom"/>
          </w:tcPr>
          <w:p>
            <w:pPr>
              <w:spacing w:after="0"/>
              <w:rPr>
                <w:sz w:val="1"/>
                <w:szCs w:val="1"/>
                <w:color w:val="auto"/>
              </w:rPr>
            </w:pPr>
          </w:p>
        </w:tc>
      </w:tr>
      <w:tr>
        <w:trPr>
          <w:trHeight w:val="187"/>
        </w:trPr>
        <w:tc>
          <w:tcPr>
            <w:tcW w:w="3860" w:type="dxa"/>
            <w:vAlign w:val="bottom"/>
            <w:tcBorders>
              <w:bottom w:val="single" w:sz="8" w:color="CCEEFF"/>
            </w:tcBorders>
          </w:tcPr>
          <w:p>
            <w:pPr>
              <w:ind w:left="680"/>
              <w:spacing w:after="0"/>
              <w:rPr>
                <w:sz w:val="20"/>
                <w:szCs w:val="20"/>
                <w:color w:val="auto"/>
              </w:rPr>
            </w:pPr>
            <w:r>
              <w:rPr>
                <w:rFonts w:ascii="Arial" w:cs="Arial" w:eastAsia="Arial" w:hAnsi="Arial"/>
                <w:sz w:val="14"/>
                <w:szCs w:val="14"/>
                <w:color w:val="auto"/>
              </w:rPr>
              <w:t>Transaction costs</w:t>
            </w:r>
          </w:p>
        </w:tc>
        <w:tc>
          <w:tcPr>
            <w:tcW w:w="1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ind w:left="740"/>
              <w:spacing w:after="0"/>
              <w:rPr>
                <w:sz w:val="20"/>
                <w:szCs w:val="20"/>
                <w:color w:val="auto"/>
              </w:rPr>
            </w:pPr>
            <w:r>
              <w:rPr>
                <w:rFonts w:ascii="Arial" w:cs="Arial" w:eastAsia="Arial" w:hAnsi="Arial"/>
                <w:sz w:val="14"/>
                <w:szCs w:val="14"/>
                <w:color w:val="auto"/>
                <w:w w:val="94"/>
              </w:rPr>
              <w:t>(2,453)</w:t>
            </w:r>
          </w:p>
        </w:tc>
        <w:tc>
          <w:tcPr>
            <w:tcW w:w="0" w:type="dxa"/>
            <w:vAlign w:val="bottom"/>
          </w:tcPr>
          <w:p>
            <w:pPr>
              <w:spacing w:after="0"/>
              <w:rPr>
                <w:sz w:val="1"/>
                <w:szCs w:val="1"/>
                <w:color w:val="auto"/>
              </w:rPr>
            </w:pPr>
          </w:p>
        </w:tc>
      </w:tr>
      <w:tr>
        <w:trPr>
          <w:trHeight w:val="209"/>
        </w:trPr>
        <w:tc>
          <w:tcPr>
            <w:tcW w:w="386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4"/>
                <w:szCs w:val="14"/>
                <w:color w:val="auto"/>
                <w:w w:val="99"/>
              </w:rPr>
              <w:t>Gain on sale of MATCHNow, net of transaction costs</w:t>
            </w:r>
          </w:p>
        </w:tc>
        <w:tc>
          <w:tcPr>
            <w:tcW w:w="1380" w:type="dxa"/>
            <w:vAlign w:val="bottom"/>
            <w:tcBorders>
              <w:bottom w:val="single" w:sz="8" w:color="auto"/>
            </w:tcBorders>
            <w:shd w:val="clear" w:color="auto" w:fill="CCEEFF"/>
          </w:tcPr>
          <w:p>
            <w:pPr>
              <w:jc w:val="right"/>
              <w:ind w:right="669"/>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4"/>
                <w:szCs w:val="14"/>
                <w:color w:val="auto"/>
                <w:w w:val="97"/>
              </w:rPr>
              <w:t>56,199</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2" w:lineRule="exact"/>
        <w:rPr>
          <w:sz w:val="20"/>
          <w:szCs w:val="20"/>
          <w:color w:val="auto"/>
        </w:rPr>
      </w:pPr>
    </w:p>
    <w:p>
      <w:pPr>
        <w:jc w:val="both"/>
        <w:ind w:right="20" w:firstLine="568"/>
        <w:spacing w:after="0" w:line="266" w:lineRule="auto"/>
        <w:rPr>
          <w:sz w:val="20"/>
          <w:szCs w:val="20"/>
          <w:color w:val="auto"/>
        </w:rPr>
      </w:pPr>
      <w:r>
        <w:rPr>
          <w:rFonts w:ascii="Arial" w:cs="Arial" w:eastAsia="Arial" w:hAnsi="Arial"/>
          <w:sz w:val="15"/>
          <w:szCs w:val="15"/>
          <w:color w:val="auto"/>
        </w:rPr>
        <w:t>Contingent consideration may be earned based on the future performance of MATCHNow following the MATCHNow Closing Date. Deferred payments will be assessed quarterly until December 31, 2022 and recorded in Other, net on the Consolidated Statements of Comprehensive Income when the contingency is resolved and payments become payable by CBOE. As of December 31, 2021, no payments have been made regarding the contingent consideration.</w:t>
      </w:r>
    </w:p>
    <w:p>
      <w:pPr>
        <w:spacing w:after="0" w:line="172" w:lineRule="exact"/>
        <w:rPr>
          <w:sz w:val="20"/>
          <w:szCs w:val="20"/>
          <w:color w:val="auto"/>
        </w:rPr>
      </w:pPr>
    </w:p>
    <w:p>
      <w:pPr>
        <w:ind w:right="320" w:firstLine="568"/>
        <w:spacing w:after="0" w:line="242" w:lineRule="auto"/>
        <w:rPr>
          <w:sz w:val="20"/>
          <w:szCs w:val="20"/>
          <w:color w:val="auto"/>
        </w:rPr>
      </w:pPr>
      <w:r>
        <w:rPr>
          <w:rFonts w:ascii="Arial" w:cs="Arial" w:eastAsia="Arial" w:hAnsi="Arial"/>
          <w:sz w:val="16"/>
          <w:szCs w:val="16"/>
          <w:color w:val="auto"/>
        </w:rPr>
        <w:t>In addition, the Company entered into a Transition Services Agreement ("TSA") with CBOE, pursuant to which the Company agreed to provide certain telecom and general and administrative services for a defined period. Income from performing services under the TSA are recorded in Other, net on the Consolidated Statements of Comprehensive Income.</w:t>
      </w:r>
    </w:p>
    <w:p>
      <w:pPr>
        <w:spacing w:after="0" w:line="71" w:lineRule="exact"/>
        <w:rPr>
          <w:sz w:val="20"/>
          <w:szCs w:val="20"/>
          <w:color w:val="auto"/>
        </w:rPr>
      </w:pPr>
    </w:p>
    <w:p>
      <w:pPr>
        <w:jc w:val="both"/>
        <w:ind w:firstLine="568"/>
        <w:spacing w:after="0" w:line="257" w:lineRule="auto"/>
        <w:rPr>
          <w:sz w:val="20"/>
          <w:szCs w:val="20"/>
          <w:color w:val="auto"/>
        </w:rPr>
      </w:pPr>
      <w:r>
        <w:rPr>
          <w:rFonts w:ascii="Arial" w:cs="Arial" w:eastAsia="Arial" w:hAnsi="Arial"/>
          <w:sz w:val="16"/>
          <w:szCs w:val="16"/>
          <w:color w:val="auto"/>
        </w:rPr>
        <w:t>With the licensing of certain software and intellectual property associated with MATCHNow, the Company performed an assessment of impairment of long-lived intangible assets acquired in connection with the ITG acquisition, of which MATCHNow technology was a component. No impairment was recognized for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95" w:name="page96"/>
    <w:bookmarkEnd w:id="95"/>
    <w:p>
      <w:pPr>
        <w:ind w:left="5"/>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5. Earnings per Share</w:t>
      </w:r>
    </w:p>
    <w:p>
      <w:pPr>
        <w:spacing w:after="0" w:line="223" w:lineRule="exact"/>
        <w:rPr>
          <w:sz w:val="20"/>
          <w:szCs w:val="20"/>
          <w:color w:val="auto"/>
        </w:rPr>
      </w:pPr>
    </w:p>
    <w:p>
      <w:pPr>
        <w:ind w:left="565"/>
        <w:spacing w:after="0"/>
        <w:rPr>
          <w:sz w:val="20"/>
          <w:szCs w:val="20"/>
          <w:color w:val="auto"/>
        </w:rPr>
      </w:pPr>
      <w:r>
        <w:rPr>
          <w:rFonts w:ascii="Arial" w:cs="Arial" w:eastAsia="Arial" w:hAnsi="Arial"/>
          <w:sz w:val="14"/>
          <w:szCs w:val="14"/>
          <w:color w:val="auto"/>
        </w:rPr>
        <w:t>The below table contains a reconciliation of Net income (loss) before income taxes and noncontrolling interest to Net income (loss) available for common stockholders:</w:t>
      </w:r>
    </w:p>
    <w:p>
      <w:pPr>
        <w:spacing w:after="0" w:line="57" w:lineRule="exact"/>
        <w:rPr>
          <w:sz w:val="20"/>
          <w:szCs w:val="20"/>
          <w:color w:val="auto"/>
        </w:rPr>
      </w:pPr>
    </w:p>
    <w:tbl>
      <w:tblPr>
        <w:tblLayout w:type="fixed"/>
        <w:tblInd w:w="565" w:type="dxa"/>
        <w:tblCellMar>
          <w:top w:w="0" w:type="dxa"/>
          <w:left w:w="0" w:type="dxa"/>
          <w:bottom w:w="0" w:type="dxa"/>
          <w:right w:w="0" w:type="dxa"/>
        </w:tblCellMar>
      </w:tblPr>
      <w:tr>
        <w:trPr>
          <w:trHeight w:val="166"/>
        </w:trPr>
        <w:tc>
          <w:tcPr>
            <w:tcW w:w="16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10"/>
          </w:tcPr>
          <w:p>
            <w:pPr>
              <w:jc w:val="right"/>
              <w:ind w:right="177"/>
              <w:spacing w:after="0"/>
              <w:rPr>
                <w:sz w:val="20"/>
                <w:szCs w:val="20"/>
                <w:color w:val="auto"/>
              </w:rPr>
            </w:pPr>
            <w:r>
              <w:rPr>
                <w:rFonts w:ascii="Arial" w:cs="Arial" w:eastAsia="Arial" w:hAnsi="Arial"/>
                <w:sz w:val="13"/>
                <w:szCs w:val="13"/>
                <w:b w:val="1"/>
                <w:bCs w:val="1"/>
                <w:color w:val="auto"/>
              </w:rPr>
              <w:t>Years Ended December 31,</w:t>
            </w:r>
          </w:p>
        </w:tc>
        <w:tc>
          <w:tcPr>
            <w:tcW w:w="8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60" w:type="dxa"/>
            <w:vAlign w:val="bottom"/>
          </w:tcPr>
          <w:p>
            <w:pPr>
              <w:spacing w:after="0"/>
              <w:rPr>
                <w:sz w:val="14"/>
                <w:szCs w:val="14"/>
                <w:color w:val="auto"/>
              </w:rPr>
            </w:pPr>
          </w:p>
        </w:tc>
        <w:tc>
          <w:tcPr>
            <w:tcW w:w="6100" w:type="dxa"/>
            <w:vAlign w:val="bottom"/>
            <w:gridSpan w:val="2"/>
          </w:tcPr>
          <w:p>
            <w:pPr>
              <w:ind w:left="20"/>
              <w:spacing w:after="0"/>
              <w:rPr>
                <w:sz w:val="20"/>
                <w:szCs w:val="20"/>
                <w:color w:val="auto"/>
              </w:rPr>
            </w:pPr>
            <w:r>
              <w:rPr>
                <w:rFonts w:ascii="Arial" w:cs="Arial" w:eastAsia="Arial" w:hAnsi="Arial"/>
                <w:sz w:val="13"/>
                <w:szCs w:val="13"/>
                <w:b w:val="1"/>
                <w:bCs w:val="1"/>
                <w:color w:val="auto"/>
              </w:rPr>
              <w:t>(in thousands)</w:t>
            </w:r>
          </w:p>
        </w:tc>
        <w:tc>
          <w:tcPr>
            <w:tcW w:w="260" w:type="dxa"/>
            <w:vAlign w:val="bottom"/>
          </w:tcPr>
          <w:p>
            <w:pPr>
              <w:spacing w:after="0"/>
              <w:rPr>
                <w:sz w:val="14"/>
                <w:szCs w:val="14"/>
                <w:color w:val="auto"/>
              </w:rPr>
            </w:pPr>
          </w:p>
        </w:tc>
        <w:tc>
          <w:tcPr>
            <w:tcW w:w="880" w:type="dxa"/>
            <w:vAlign w:val="bottom"/>
          </w:tcPr>
          <w:p>
            <w:pPr>
              <w:jc w:val="right"/>
              <w:ind w:right="397"/>
              <w:spacing w:after="0"/>
              <w:rPr>
                <w:sz w:val="20"/>
                <w:szCs w:val="20"/>
                <w:color w:val="auto"/>
              </w:rPr>
            </w:pPr>
            <w:r>
              <w:rPr>
                <w:rFonts w:ascii="Arial" w:cs="Arial" w:eastAsia="Arial" w:hAnsi="Arial"/>
                <w:sz w:val="13"/>
                <w:szCs w:val="13"/>
                <w:b w:val="1"/>
                <w:bCs w:val="1"/>
                <w:color w:val="auto"/>
              </w:rPr>
              <w:t>2021</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ind w:right="417"/>
              <w:spacing w:after="0"/>
              <w:rPr>
                <w:sz w:val="20"/>
                <w:szCs w:val="20"/>
                <w:color w:val="auto"/>
              </w:rPr>
            </w:pPr>
            <w:r>
              <w:rPr>
                <w:rFonts w:ascii="Arial" w:cs="Arial" w:eastAsia="Arial" w:hAnsi="Arial"/>
                <w:sz w:val="13"/>
                <w:szCs w:val="13"/>
                <w:b w:val="1"/>
                <w:bCs w:val="1"/>
                <w:color w:val="auto"/>
              </w:rPr>
              <w:t>2020</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ind w:right="396"/>
              <w:spacing w:after="0"/>
              <w:rPr>
                <w:sz w:val="20"/>
                <w:szCs w:val="20"/>
                <w:color w:val="auto"/>
              </w:rPr>
            </w:pPr>
            <w:r>
              <w:rPr>
                <w:rFonts w:ascii="Arial" w:cs="Arial" w:eastAsia="Arial" w:hAnsi="Arial"/>
                <w:sz w:val="13"/>
                <w:szCs w:val="13"/>
                <w:b w:val="1"/>
                <w:bCs w:val="1"/>
                <w:color w:val="auto"/>
              </w:rPr>
              <w:t>2019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60" w:type="dxa"/>
            <w:vAlign w:val="bottom"/>
          </w:tcPr>
          <w:p>
            <w:pPr>
              <w:spacing w:after="0"/>
              <w:rPr>
                <w:sz w:val="13"/>
                <w:szCs w:val="13"/>
                <w:color w:val="auto"/>
              </w:rPr>
            </w:pPr>
          </w:p>
        </w:tc>
        <w:tc>
          <w:tcPr>
            <w:tcW w:w="6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Income (loss) before income taxes and noncontrolling interest</w:t>
            </w: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996,904</w:t>
            </w:r>
          </w:p>
        </w:tc>
        <w:tc>
          <w:tcPr>
            <w:tcW w:w="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gridSpan w:val="2"/>
            <w:shd w:val="clear" w:color="auto" w:fill="CCEEFF"/>
          </w:tcPr>
          <w:p>
            <w:pPr>
              <w:jc w:val="right"/>
              <w:ind w:right="177"/>
              <w:spacing w:after="0"/>
              <w:rPr>
                <w:sz w:val="20"/>
                <w:szCs w:val="20"/>
                <w:color w:val="auto"/>
              </w:rPr>
            </w:pPr>
            <w:r>
              <w:rPr>
                <w:rFonts w:ascii="Arial" w:cs="Arial" w:eastAsia="Arial" w:hAnsi="Arial"/>
                <w:sz w:val="9"/>
                <w:szCs w:val="9"/>
                <w:color w:val="auto"/>
                <w:w w:val="7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1,382,837</w:t>
            </w:r>
          </w:p>
        </w:tc>
        <w:tc>
          <w:tcPr>
            <w:tcW w:w="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gridSpan w:val="2"/>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(115,982)</w:t>
            </w:r>
          </w:p>
        </w:tc>
        <w:tc>
          <w:tcPr>
            <w:tcW w:w="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60" w:type="dxa"/>
            <w:vAlign w:val="bottom"/>
          </w:tcPr>
          <w:p>
            <w:pPr>
              <w:spacing w:after="0"/>
              <w:rPr>
                <w:sz w:val="14"/>
                <w:szCs w:val="14"/>
                <w:color w:val="auto"/>
              </w:rPr>
            </w:pPr>
          </w:p>
        </w:tc>
        <w:tc>
          <w:tcPr>
            <w:tcW w:w="610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Provision for (benefit from) income taxes</w:t>
            </w: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169,670</w:t>
            </w: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261,924</w:t>
            </w: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(12,277)</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60" w:type="dxa"/>
            <w:vAlign w:val="bottom"/>
          </w:tcPr>
          <w:p>
            <w:pPr>
              <w:spacing w:after="0"/>
              <w:rPr>
                <w:sz w:val="13"/>
                <w:szCs w:val="13"/>
                <w:color w:val="auto"/>
              </w:rPr>
            </w:pPr>
          </w:p>
        </w:tc>
        <w:tc>
          <w:tcPr>
            <w:tcW w:w="61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Net income (loss)</w:t>
            </w: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827,234</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1,120,913</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(103,705)</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60" w:type="dxa"/>
            <w:vAlign w:val="bottom"/>
          </w:tcPr>
          <w:p>
            <w:pPr>
              <w:spacing w:after="0"/>
              <w:rPr>
                <w:sz w:val="16"/>
                <w:szCs w:val="16"/>
                <w:color w:val="auto"/>
              </w:rPr>
            </w:pPr>
          </w:p>
        </w:tc>
        <w:tc>
          <w:tcPr>
            <w:tcW w:w="6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160" w:type="dxa"/>
            <w:vAlign w:val="bottom"/>
          </w:tcPr>
          <w:p>
            <w:pPr>
              <w:spacing w:after="0"/>
              <w:rPr>
                <w:sz w:val="14"/>
                <w:szCs w:val="14"/>
                <w:color w:val="auto"/>
              </w:rPr>
            </w:pPr>
          </w:p>
        </w:tc>
        <w:tc>
          <w:tcPr>
            <w:tcW w:w="61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Noncontrolling interest</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(350,356)</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(471,716)</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45,110</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60" w:type="dxa"/>
            <w:vAlign w:val="bottom"/>
          </w:tcPr>
          <w:p>
            <w:pPr>
              <w:spacing w:after="0"/>
              <w:rPr>
                <w:sz w:val="16"/>
                <w:szCs w:val="16"/>
                <w:color w:val="auto"/>
              </w:rPr>
            </w:pPr>
          </w:p>
        </w:tc>
        <w:tc>
          <w:tcPr>
            <w:tcW w:w="60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60" w:type="dxa"/>
            <w:vAlign w:val="bottom"/>
          </w:tcPr>
          <w:p>
            <w:pPr>
              <w:spacing w:after="0"/>
              <w:rPr>
                <w:sz w:val="13"/>
                <w:szCs w:val="13"/>
                <w:color w:val="auto"/>
              </w:rPr>
            </w:pPr>
          </w:p>
        </w:tc>
        <w:tc>
          <w:tcPr>
            <w:tcW w:w="6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Net income (loss) available for common stockholders</w:t>
            </w:r>
          </w:p>
        </w:tc>
        <w:tc>
          <w:tcPr>
            <w:tcW w:w="26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476,878</w:t>
            </w:r>
          </w:p>
        </w:tc>
        <w:tc>
          <w:tcPr>
            <w:tcW w:w="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auto"/>
            </w:tcBorders>
            <w:gridSpan w:val="2"/>
            <w:shd w:val="clear" w:color="auto" w:fill="CCEEFF"/>
          </w:tcPr>
          <w:p>
            <w:pPr>
              <w:jc w:val="right"/>
              <w:ind w:right="177"/>
              <w:spacing w:after="0"/>
              <w:rPr>
                <w:sz w:val="20"/>
                <w:szCs w:val="20"/>
                <w:color w:val="auto"/>
              </w:rPr>
            </w:pPr>
            <w:r>
              <w:rPr>
                <w:rFonts w:ascii="Arial" w:cs="Arial" w:eastAsia="Arial" w:hAnsi="Arial"/>
                <w:sz w:val="9"/>
                <w:szCs w:val="9"/>
                <w:color w:val="auto"/>
                <w:w w:val="7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649,197</w:t>
            </w:r>
          </w:p>
        </w:tc>
        <w:tc>
          <w:tcPr>
            <w:tcW w:w="6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auto"/>
            </w:tcBorders>
            <w:gridSpan w:val="2"/>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(58,595)</w:t>
            </w:r>
          </w:p>
        </w:tc>
        <w:tc>
          <w:tcPr>
            <w:tcW w:w="2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60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260" w:type="dxa"/>
            <w:vAlign w:val="bottom"/>
            <w:gridSpan w:val="3"/>
            <w:vMerge w:val="restart"/>
          </w:tcPr>
          <w:p>
            <w:pPr>
              <w:spacing w:after="0"/>
              <w:rPr>
                <w:sz w:val="20"/>
                <w:szCs w:val="20"/>
                <w:color w:val="auto"/>
              </w:rPr>
            </w:pPr>
            <w:r>
              <w:rPr>
                <w:rFonts w:ascii="Arial" w:cs="Arial" w:eastAsia="Arial" w:hAnsi="Arial"/>
                <w:sz w:val="16"/>
                <w:szCs w:val="16"/>
                <w:color w:val="auto"/>
              </w:rPr>
              <w:t>The calculation of basic and diluted earnings per share is presented below:</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60" w:type="dxa"/>
            <w:vAlign w:val="bottom"/>
            <w:gridSpan w:val="3"/>
            <w:vMerge w:val="continue"/>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160" w:type="dxa"/>
            <w:vAlign w:val="bottom"/>
          </w:tcPr>
          <w:p>
            <w:pPr>
              <w:spacing w:after="0"/>
              <w:rPr>
                <w:sz w:val="15"/>
                <w:szCs w:val="15"/>
                <w:color w:val="auto"/>
              </w:rPr>
            </w:pPr>
          </w:p>
        </w:tc>
        <w:tc>
          <w:tcPr>
            <w:tcW w:w="6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10"/>
          </w:tcPr>
          <w:p>
            <w:pPr>
              <w:jc w:val="right"/>
              <w:ind w:right="177"/>
              <w:spacing w:after="0"/>
              <w:rPr>
                <w:sz w:val="20"/>
                <w:szCs w:val="20"/>
                <w:color w:val="auto"/>
              </w:rPr>
            </w:pPr>
            <w:r>
              <w:rPr>
                <w:rFonts w:ascii="Arial" w:cs="Arial" w:eastAsia="Arial" w:hAnsi="Arial"/>
                <w:sz w:val="13"/>
                <w:szCs w:val="13"/>
                <w:b w:val="1"/>
                <w:bCs w:val="1"/>
                <w:color w:val="auto"/>
              </w:rPr>
              <w:t>Years Ended December 31,</w:t>
            </w:r>
          </w:p>
        </w:tc>
        <w:tc>
          <w:tcPr>
            <w:tcW w:w="8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60" w:type="dxa"/>
            <w:vAlign w:val="bottom"/>
          </w:tcPr>
          <w:p>
            <w:pPr>
              <w:spacing w:after="0"/>
              <w:rPr>
                <w:sz w:val="14"/>
                <w:szCs w:val="14"/>
                <w:color w:val="auto"/>
              </w:rPr>
            </w:pPr>
          </w:p>
        </w:tc>
        <w:tc>
          <w:tcPr>
            <w:tcW w:w="6100" w:type="dxa"/>
            <w:vAlign w:val="bottom"/>
            <w:gridSpan w:val="2"/>
          </w:tcPr>
          <w:p>
            <w:pPr>
              <w:ind w:left="20"/>
              <w:spacing w:after="0" w:line="145" w:lineRule="exact"/>
              <w:rPr>
                <w:sz w:val="20"/>
                <w:szCs w:val="20"/>
                <w:color w:val="auto"/>
              </w:rPr>
            </w:pPr>
            <w:r>
              <w:rPr>
                <w:rFonts w:ascii="Arial" w:cs="Arial" w:eastAsia="Arial" w:hAnsi="Arial"/>
                <w:sz w:val="13"/>
                <w:szCs w:val="13"/>
                <w:b w:val="1"/>
                <w:bCs w:val="1"/>
                <w:color w:val="auto"/>
              </w:rPr>
              <w:t>(in thousands, except for share or per share data)</w:t>
            </w:r>
          </w:p>
        </w:tc>
        <w:tc>
          <w:tcPr>
            <w:tcW w:w="260" w:type="dxa"/>
            <w:vAlign w:val="bottom"/>
          </w:tcPr>
          <w:p>
            <w:pPr>
              <w:spacing w:after="0"/>
              <w:rPr>
                <w:sz w:val="14"/>
                <w:szCs w:val="14"/>
                <w:color w:val="auto"/>
              </w:rPr>
            </w:pPr>
          </w:p>
        </w:tc>
        <w:tc>
          <w:tcPr>
            <w:tcW w:w="880" w:type="dxa"/>
            <w:vAlign w:val="bottom"/>
          </w:tcPr>
          <w:p>
            <w:pPr>
              <w:jc w:val="right"/>
              <w:ind w:right="357"/>
              <w:spacing w:after="0"/>
              <w:rPr>
                <w:sz w:val="20"/>
                <w:szCs w:val="20"/>
                <w:color w:val="auto"/>
              </w:rPr>
            </w:pPr>
            <w:r>
              <w:rPr>
                <w:rFonts w:ascii="Arial" w:cs="Arial" w:eastAsia="Arial" w:hAnsi="Arial"/>
                <w:sz w:val="13"/>
                <w:szCs w:val="13"/>
                <w:b w:val="1"/>
                <w:bCs w:val="1"/>
                <w:color w:val="auto"/>
              </w:rPr>
              <w:t>2021</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ind w:right="337"/>
              <w:spacing w:after="0"/>
              <w:rPr>
                <w:sz w:val="20"/>
                <w:szCs w:val="20"/>
                <w:color w:val="auto"/>
              </w:rPr>
            </w:pPr>
            <w:r>
              <w:rPr>
                <w:rFonts w:ascii="Arial" w:cs="Arial" w:eastAsia="Arial" w:hAnsi="Arial"/>
                <w:sz w:val="13"/>
                <w:szCs w:val="13"/>
                <w:b w:val="1"/>
                <w:bCs w:val="1"/>
                <w:color w:val="auto"/>
              </w:rPr>
              <w:t>2020</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ind w:right="376"/>
              <w:spacing w:after="0"/>
              <w:rPr>
                <w:sz w:val="20"/>
                <w:szCs w:val="20"/>
                <w:color w:val="auto"/>
              </w:rPr>
            </w:pPr>
            <w:r>
              <w:rPr>
                <w:rFonts w:ascii="Arial" w:cs="Arial" w:eastAsia="Arial" w:hAnsi="Arial"/>
                <w:sz w:val="13"/>
                <w:szCs w:val="13"/>
                <w:b w:val="1"/>
                <w:bCs w:val="1"/>
                <w:color w:val="auto"/>
              </w:rPr>
              <w:t>2019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60" w:type="dxa"/>
            <w:vAlign w:val="bottom"/>
          </w:tcPr>
          <w:p>
            <w:pPr>
              <w:spacing w:after="0"/>
              <w:rPr>
                <w:sz w:val="13"/>
                <w:szCs w:val="13"/>
                <w:color w:val="auto"/>
              </w:rPr>
            </w:pPr>
          </w:p>
        </w:tc>
        <w:tc>
          <w:tcPr>
            <w:tcW w:w="6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Basic earnings (loss) per share:</w:t>
            </w: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60" w:type="dxa"/>
            <w:vAlign w:val="bottom"/>
          </w:tcPr>
          <w:p>
            <w:pPr>
              <w:spacing w:after="0"/>
              <w:rPr>
                <w:sz w:val="14"/>
                <w:szCs w:val="14"/>
                <w:color w:val="auto"/>
              </w:rPr>
            </w:pPr>
          </w:p>
        </w:tc>
        <w:tc>
          <w:tcPr>
            <w:tcW w:w="6100" w:type="dxa"/>
            <w:vAlign w:val="bottom"/>
            <w:gridSpan w:val="2"/>
          </w:tcPr>
          <w:p>
            <w:pPr>
              <w:ind w:left="20"/>
              <w:spacing w:after="0"/>
              <w:rPr>
                <w:sz w:val="20"/>
                <w:szCs w:val="20"/>
                <w:color w:val="auto"/>
              </w:rPr>
            </w:pPr>
            <w:r>
              <w:rPr>
                <w:rFonts w:ascii="Arial" w:cs="Arial" w:eastAsia="Arial" w:hAnsi="Arial"/>
                <w:sz w:val="13"/>
                <w:szCs w:val="13"/>
                <w:color w:val="auto"/>
              </w:rPr>
              <w:t>Net income (loss) available for common stockholders</w:t>
            </w:r>
          </w:p>
        </w:tc>
        <w:tc>
          <w:tcPr>
            <w:tcW w:w="260" w:type="dxa"/>
            <w:vAlign w:val="bottom"/>
          </w:tcPr>
          <w:p>
            <w:pPr>
              <w:jc w:val="right"/>
              <w:ind w:right="117"/>
              <w:spacing w:after="0"/>
              <w:rPr>
                <w:sz w:val="20"/>
                <w:szCs w:val="20"/>
                <w:color w:val="auto"/>
              </w:rPr>
            </w:pPr>
            <w:r>
              <w:rPr>
                <w:rFonts w:ascii="Arial" w:cs="Arial" w:eastAsia="Arial" w:hAnsi="Arial"/>
                <w:sz w:val="13"/>
                <w:szCs w:val="13"/>
                <w:color w:val="auto"/>
                <w:w w:val="82"/>
              </w:rPr>
              <w:t>$</w:t>
            </w:r>
          </w:p>
        </w:tc>
        <w:tc>
          <w:tcPr>
            <w:tcW w:w="920" w:type="dxa"/>
            <w:vAlign w:val="bottom"/>
            <w:gridSpan w:val="2"/>
          </w:tcPr>
          <w:p>
            <w:pPr>
              <w:jc w:val="right"/>
              <w:ind w:right="40"/>
              <w:spacing w:after="0"/>
              <w:rPr>
                <w:sz w:val="20"/>
                <w:szCs w:val="20"/>
                <w:color w:val="auto"/>
              </w:rPr>
            </w:pPr>
            <w:r>
              <w:rPr>
                <w:rFonts w:ascii="Arial" w:cs="Arial" w:eastAsia="Arial" w:hAnsi="Arial"/>
                <w:sz w:val="13"/>
                <w:szCs w:val="13"/>
                <w:color w:val="auto"/>
              </w:rPr>
              <w:t>476,878</w:t>
            </w:r>
          </w:p>
        </w:tc>
        <w:tc>
          <w:tcPr>
            <w:tcW w:w="60" w:type="dxa"/>
            <w:vAlign w:val="bottom"/>
          </w:tcPr>
          <w:p>
            <w:pPr>
              <w:spacing w:after="0"/>
              <w:rPr>
                <w:sz w:val="14"/>
                <w:szCs w:val="14"/>
                <w:color w:val="auto"/>
              </w:rPr>
            </w:pPr>
          </w:p>
        </w:tc>
        <w:tc>
          <w:tcPr>
            <w:tcW w:w="300" w:type="dxa"/>
            <w:vAlign w:val="bottom"/>
            <w:gridSpan w:val="2"/>
          </w:tcPr>
          <w:p>
            <w:pPr>
              <w:jc w:val="right"/>
              <w:ind w:right="97"/>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3"/>
                <w:szCs w:val="13"/>
                <w:color w:val="auto"/>
              </w:rPr>
              <w:t>649,197</w:t>
            </w:r>
          </w:p>
        </w:tc>
        <w:tc>
          <w:tcPr>
            <w:tcW w:w="40" w:type="dxa"/>
            <w:vAlign w:val="bottom"/>
          </w:tcPr>
          <w:p>
            <w:pPr>
              <w:spacing w:after="0"/>
              <w:rPr>
                <w:sz w:val="14"/>
                <w:szCs w:val="14"/>
                <w:color w:val="auto"/>
              </w:rPr>
            </w:pPr>
          </w:p>
        </w:tc>
        <w:tc>
          <w:tcPr>
            <w:tcW w:w="300" w:type="dxa"/>
            <w:vAlign w:val="bottom"/>
            <w:gridSpan w:val="2"/>
          </w:tcPr>
          <w:p>
            <w:pPr>
              <w:jc w:val="right"/>
              <w:ind w:right="97"/>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(58,595)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60" w:type="dxa"/>
            <w:vAlign w:val="bottom"/>
          </w:tcPr>
          <w:p>
            <w:pPr>
              <w:spacing w:after="0"/>
              <w:rPr>
                <w:sz w:val="14"/>
                <w:szCs w:val="14"/>
                <w:color w:val="auto"/>
              </w:rPr>
            </w:pPr>
          </w:p>
        </w:tc>
        <w:tc>
          <w:tcPr>
            <w:tcW w:w="61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Less: Dividends and undistributed earnings allocated to participating securities</w:t>
            </w:r>
          </w:p>
        </w:tc>
        <w:tc>
          <w:tcPr>
            <w:tcW w:w="2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(13,674)</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(17,383)</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(1,926)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8"/>
        </w:trPr>
        <w:tc>
          <w:tcPr>
            <w:tcW w:w="160" w:type="dxa"/>
            <w:vAlign w:val="bottom"/>
          </w:tcPr>
          <w:p>
            <w:pPr>
              <w:spacing w:after="0"/>
              <w:rPr>
                <w:sz w:val="8"/>
                <w:szCs w:val="8"/>
                <w:color w:val="auto"/>
              </w:rPr>
            </w:pPr>
          </w:p>
        </w:tc>
        <w:tc>
          <w:tcPr>
            <w:tcW w:w="6100" w:type="dxa"/>
            <w:vAlign w:val="bottom"/>
            <w:gridSpan w:val="2"/>
          </w:tcPr>
          <w:p>
            <w:pPr>
              <w:ind w:left="20"/>
              <w:spacing w:after="0" w:line="99" w:lineRule="exact"/>
              <w:rPr>
                <w:sz w:val="20"/>
                <w:szCs w:val="20"/>
                <w:color w:val="auto"/>
              </w:rPr>
            </w:pPr>
            <w:r>
              <w:rPr>
                <w:rFonts w:ascii="Arial" w:cs="Arial" w:eastAsia="Arial" w:hAnsi="Arial"/>
                <w:sz w:val="11"/>
                <w:szCs w:val="11"/>
                <w:color w:val="auto"/>
              </w:rPr>
              <w:t>Net income (loss) available for common stockholders, net of dividends and undistributed earnings allocated to</w:t>
            </w:r>
          </w:p>
        </w:tc>
        <w:tc>
          <w:tcPr>
            <w:tcW w:w="260" w:type="dxa"/>
            <w:vAlign w:val="bottom"/>
          </w:tcPr>
          <w:p>
            <w:pPr>
              <w:spacing w:after="0"/>
              <w:rPr>
                <w:sz w:val="8"/>
                <w:szCs w:val="8"/>
                <w:color w:val="auto"/>
              </w:rPr>
            </w:pPr>
          </w:p>
        </w:tc>
        <w:tc>
          <w:tcPr>
            <w:tcW w:w="92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463,204</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631,814</w:t>
            </w: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(60,521)</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160" w:type="dxa"/>
            <w:vAlign w:val="bottom"/>
          </w:tcPr>
          <w:p>
            <w:pPr>
              <w:spacing w:after="0"/>
              <w:rPr>
                <w:sz w:val="14"/>
                <w:szCs w:val="14"/>
                <w:color w:val="auto"/>
              </w:rPr>
            </w:pPr>
          </w:p>
        </w:tc>
        <w:tc>
          <w:tcPr>
            <w:tcW w:w="6100" w:type="dxa"/>
            <w:vAlign w:val="bottom"/>
            <w:gridSpan w:val="2"/>
          </w:tcPr>
          <w:p>
            <w:pPr>
              <w:ind w:left="20"/>
              <w:spacing w:after="0"/>
              <w:rPr>
                <w:sz w:val="20"/>
                <w:szCs w:val="20"/>
                <w:color w:val="auto"/>
              </w:rPr>
            </w:pPr>
            <w:r>
              <w:rPr>
                <w:rFonts w:ascii="Arial" w:cs="Arial" w:eastAsia="Arial" w:hAnsi="Arial"/>
                <w:sz w:val="13"/>
                <w:szCs w:val="13"/>
                <w:color w:val="auto"/>
              </w:rPr>
              <w:t>participating securities</w:t>
            </w:r>
          </w:p>
        </w:tc>
        <w:tc>
          <w:tcPr>
            <w:tcW w:w="2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6100" w:type="dxa"/>
            <w:vAlign w:val="bottom"/>
            <w:gridSpan w:val="2"/>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60" w:type="dxa"/>
            <w:vAlign w:val="bottom"/>
          </w:tcPr>
          <w:p>
            <w:pPr>
              <w:spacing w:after="0"/>
              <w:rPr>
                <w:sz w:val="14"/>
                <w:szCs w:val="14"/>
                <w:color w:val="auto"/>
              </w:rPr>
            </w:pPr>
          </w:p>
        </w:tc>
        <w:tc>
          <w:tcPr>
            <w:tcW w:w="6100" w:type="dxa"/>
            <w:vAlign w:val="bottom"/>
            <w:gridSpan w:val="2"/>
          </w:tcPr>
          <w:p>
            <w:pPr>
              <w:ind w:left="20"/>
              <w:spacing w:after="0"/>
              <w:rPr>
                <w:sz w:val="20"/>
                <w:szCs w:val="20"/>
                <w:color w:val="auto"/>
              </w:rPr>
            </w:pPr>
            <w:r>
              <w:rPr>
                <w:rFonts w:ascii="Arial" w:cs="Arial" w:eastAsia="Arial" w:hAnsi="Arial"/>
                <w:sz w:val="13"/>
                <w:szCs w:val="13"/>
                <w:color w:val="auto"/>
              </w:rPr>
              <w:t>Weighted average shares of common stock outstanding:</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60" w:type="dxa"/>
            <w:vAlign w:val="bottom"/>
          </w:tcPr>
          <w:p>
            <w:pPr>
              <w:spacing w:after="0"/>
              <w:rPr>
                <w:sz w:val="14"/>
                <w:szCs w:val="14"/>
                <w:color w:val="auto"/>
              </w:rPr>
            </w:pPr>
          </w:p>
        </w:tc>
        <w:tc>
          <w:tcPr>
            <w:tcW w:w="610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Class A</w:t>
            </w:r>
          </w:p>
        </w:tc>
        <w:tc>
          <w:tcPr>
            <w:tcW w:w="2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117,339,539</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121,692,443</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113,918,103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60" w:type="dxa"/>
            <w:vAlign w:val="bottom"/>
          </w:tcPr>
          <w:p>
            <w:pPr>
              <w:spacing w:after="0"/>
              <w:rPr>
                <w:sz w:val="16"/>
                <w:szCs w:val="16"/>
                <w:color w:val="auto"/>
              </w:rPr>
            </w:pPr>
          </w:p>
        </w:tc>
        <w:tc>
          <w:tcPr>
            <w:tcW w:w="6100" w:type="dxa"/>
            <w:vAlign w:val="bottom"/>
            <w:tcBorders>
              <w:bottom w:val="single" w:sz="8" w:color="CCEEFF"/>
            </w:tcBorders>
            <w:gridSpan w:val="2"/>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6100" w:type="dxa"/>
            <w:vAlign w:val="bottom"/>
            <w:tcBorders>
              <w:bottom w:val="single" w:sz="8" w:color="CCEEFF"/>
            </w:tcBorders>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Basic earnings (loss) per share</w:t>
            </w:r>
          </w:p>
        </w:tc>
        <w:tc>
          <w:tcPr>
            <w:tcW w:w="26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3.95</w:t>
            </w:r>
          </w:p>
        </w:tc>
        <w:tc>
          <w:tcPr>
            <w:tcW w:w="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5.19</w:t>
            </w:r>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(0.53)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6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118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6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10"/>
          </w:tcPr>
          <w:p>
            <w:pPr>
              <w:jc w:val="right"/>
              <w:ind w:right="177"/>
              <w:spacing w:after="0"/>
              <w:rPr>
                <w:sz w:val="20"/>
                <w:szCs w:val="20"/>
                <w:color w:val="auto"/>
              </w:rPr>
            </w:pPr>
            <w:r>
              <w:rPr>
                <w:rFonts w:ascii="Arial" w:cs="Arial" w:eastAsia="Arial" w:hAnsi="Arial"/>
                <w:sz w:val="13"/>
                <w:szCs w:val="13"/>
                <w:b w:val="1"/>
                <w:bCs w:val="1"/>
                <w:color w:val="auto"/>
              </w:rPr>
              <w:t>Years Ended December 31,</w:t>
            </w:r>
          </w:p>
        </w:tc>
        <w:tc>
          <w:tcPr>
            <w:tcW w:w="8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160" w:type="dxa"/>
            <w:vAlign w:val="bottom"/>
          </w:tcPr>
          <w:p>
            <w:pPr>
              <w:spacing w:after="0"/>
              <w:rPr>
                <w:sz w:val="14"/>
                <w:szCs w:val="14"/>
                <w:color w:val="auto"/>
              </w:rPr>
            </w:pPr>
          </w:p>
        </w:tc>
        <w:tc>
          <w:tcPr>
            <w:tcW w:w="6100" w:type="dxa"/>
            <w:vAlign w:val="bottom"/>
            <w:gridSpan w:val="2"/>
          </w:tcPr>
          <w:p>
            <w:pPr>
              <w:ind w:left="20"/>
              <w:spacing w:after="0" w:line="145" w:lineRule="exact"/>
              <w:rPr>
                <w:sz w:val="20"/>
                <w:szCs w:val="20"/>
                <w:color w:val="auto"/>
              </w:rPr>
            </w:pPr>
            <w:r>
              <w:rPr>
                <w:rFonts w:ascii="Arial" w:cs="Arial" w:eastAsia="Arial" w:hAnsi="Arial"/>
                <w:sz w:val="13"/>
                <w:szCs w:val="13"/>
                <w:b w:val="1"/>
                <w:bCs w:val="1"/>
                <w:color w:val="auto"/>
              </w:rPr>
              <w:t>(in thousands, except for share or per share data)</w:t>
            </w:r>
          </w:p>
        </w:tc>
        <w:tc>
          <w:tcPr>
            <w:tcW w:w="260" w:type="dxa"/>
            <w:vAlign w:val="bottom"/>
          </w:tcPr>
          <w:p>
            <w:pPr>
              <w:spacing w:after="0"/>
              <w:rPr>
                <w:sz w:val="14"/>
                <w:szCs w:val="14"/>
                <w:color w:val="auto"/>
              </w:rPr>
            </w:pPr>
          </w:p>
        </w:tc>
        <w:tc>
          <w:tcPr>
            <w:tcW w:w="880" w:type="dxa"/>
            <w:vAlign w:val="bottom"/>
          </w:tcPr>
          <w:p>
            <w:pPr>
              <w:jc w:val="right"/>
              <w:ind w:right="397"/>
              <w:spacing w:after="0"/>
              <w:rPr>
                <w:sz w:val="20"/>
                <w:szCs w:val="20"/>
                <w:color w:val="auto"/>
              </w:rPr>
            </w:pPr>
            <w:r>
              <w:rPr>
                <w:rFonts w:ascii="Arial" w:cs="Arial" w:eastAsia="Arial" w:hAnsi="Arial"/>
                <w:sz w:val="13"/>
                <w:szCs w:val="13"/>
                <w:b w:val="1"/>
                <w:bCs w:val="1"/>
                <w:color w:val="auto"/>
              </w:rPr>
              <w:t>2021</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ind w:right="417"/>
              <w:spacing w:after="0"/>
              <w:rPr>
                <w:sz w:val="20"/>
                <w:szCs w:val="20"/>
                <w:color w:val="auto"/>
              </w:rPr>
            </w:pPr>
            <w:r>
              <w:rPr>
                <w:rFonts w:ascii="Arial" w:cs="Arial" w:eastAsia="Arial" w:hAnsi="Arial"/>
                <w:sz w:val="13"/>
                <w:szCs w:val="13"/>
                <w:b w:val="1"/>
                <w:bCs w:val="1"/>
                <w:color w:val="auto"/>
              </w:rPr>
              <w:t>2020</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ind w:right="396"/>
              <w:spacing w:after="0"/>
              <w:rPr>
                <w:sz w:val="20"/>
                <w:szCs w:val="20"/>
                <w:color w:val="auto"/>
              </w:rPr>
            </w:pPr>
            <w:r>
              <w:rPr>
                <w:rFonts w:ascii="Arial" w:cs="Arial" w:eastAsia="Arial" w:hAnsi="Arial"/>
                <w:sz w:val="13"/>
                <w:szCs w:val="13"/>
                <w:b w:val="1"/>
                <w:bCs w:val="1"/>
                <w:color w:val="auto"/>
              </w:rPr>
              <w:t>2019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60" w:type="dxa"/>
            <w:vAlign w:val="bottom"/>
          </w:tcPr>
          <w:p>
            <w:pPr>
              <w:spacing w:after="0"/>
              <w:rPr>
                <w:sz w:val="13"/>
                <w:szCs w:val="13"/>
                <w:color w:val="auto"/>
              </w:rPr>
            </w:pPr>
          </w:p>
        </w:tc>
        <w:tc>
          <w:tcPr>
            <w:tcW w:w="6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Diluted earnings (loss) per share:</w:t>
            </w: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160" w:type="dxa"/>
            <w:vAlign w:val="bottom"/>
          </w:tcPr>
          <w:p>
            <w:pPr>
              <w:spacing w:after="0"/>
              <w:rPr>
                <w:sz w:val="10"/>
                <w:szCs w:val="10"/>
                <w:color w:val="auto"/>
              </w:rPr>
            </w:pPr>
          </w:p>
        </w:tc>
        <w:tc>
          <w:tcPr>
            <w:tcW w:w="6100" w:type="dxa"/>
            <w:vAlign w:val="bottom"/>
            <w:gridSpan w:val="2"/>
          </w:tcPr>
          <w:p>
            <w:pPr>
              <w:ind w:left="20"/>
              <w:spacing w:after="0" w:line="119" w:lineRule="exact"/>
              <w:rPr>
                <w:sz w:val="20"/>
                <w:szCs w:val="20"/>
                <w:color w:val="auto"/>
              </w:rPr>
            </w:pPr>
            <w:r>
              <w:rPr>
                <w:rFonts w:ascii="Arial" w:cs="Arial" w:eastAsia="Arial" w:hAnsi="Arial"/>
                <w:sz w:val="13"/>
                <w:szCs w:val="13"/>
                <w:color w:val="auto"/>
                <w:w w:val="96"/>
              </w:rPr>
              <w:t>Net income (loss) available for common stockholders, net of dividends and undistributed earnings allocated to</w:t>
            </w:r>
          </w:p>
        </w:tc>
        <w:tc>
          <w:tcPr>
            <w:tcW w:w="260" w:type="dxa"/>
            <w:vAlign w:val="bottom"/>
            <w:vMerge w:val="restart"/>
          </w:tcPr>
          <w:p>
            <w:pPr>
              <w:jc w:val="right"/>
              <w:ind w:right="117"/>
              <w:spacing w:after="0"/>
              <w:rPr>
                <w:sz w:val="20"/>
                <w:szCs w:val="20"/>
                <w:color w:val="auto"/>
              </w:rPr>
            </w:pPr>
            <w:r>
              <w:rPr>
                <w:rFonts w:ascii="Arial" w:cs="Arial" w:eastAsia="Arial" w:hAnsi="Arial"/>
                <w:sz w:val="13"/>
                <w:szCs w:val="13"/>
                <w:color w:val="auto"/>
                <w:w w:val="82"/>
              </w:rPr>
              <w:t>$</w:t>
            </w:r>
          </w:p>
        </w:tc>
        <w:tc>
          <w:tcPr>
            <w:tcW w:w="880" w:type="dxa"/>
            <w:vAlign w:val="bottom"/>
            <w:vMerge w:val="restart"/>
          </w:tcPr>
          <w:p>
            <w:pPr>
              <w:jc w:val="right"/>
              <w:ind w:right="17"/>
              <w:spacing w:after="0"/>
              <w:rPr>
                <w:sz w:val="20"/>
                <w:szCs w:val="20"/>
                <w:color w:val="auto"/>
              </w:rPr>
            </w:pPr>
            <w:r>
              <w:rPr>
                <w:rFonts w:ascii="Arial" w:cs="Arial" w:eastAsia="Arial" w:hAnsi="Arial"/>
                <w:sz w:val="13"/>
                <w:szCs w:val="13"/>
                <w:color w:val="auto"/>
              </w:rPr>
              <w:t>463,204</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gridSpan w:val="2"/>
            <w:vMerge w:val="restart"/>
          </w:tcPr>
          <w:p>
            <w:pPr>
              <w:jc w:val="right"/>
              <w:ind w:right="177"/>
              <w:spacing w:after="0"/>
              <w:rPr>
                <w:sz w:val="20"/>
                <w:szCs w:val="20"/>
                <w:color w:val="auto"/>
              </w:rPr>
            </w:pPr>
            <w:r>
              <w:rPr>
                <w:rFonts w:ascii="Arial" w:cs="Arial" w:eastAsia="Arial" w:hAnsi="Arial"/>
                <w:sz w:val="9"/>
                <w:szCs w:val="9"/>
                <w:color w:val="auto"/>
                <w:w w:val="78"/>
              </w:rPr>
              <w:t>$</w:t>
            </w: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631,814</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gridSpan w:val="2"/>
            <w:vMerge w:val="restart"/>
          </w:tcPr>
          <w:p>
            <w:pPr>
              <w:jc w:val="right"/>
              <w:ind w:right="157"/>
              <w:spacing w:after="0"/>
              <w:rPr>
                <w:sz w:val="20"/>
                <w:szCs w:val="20"/>
                <w:color w:val="auto"/>
              </w:rPr>
            </w:pPr>
            <w:r>
              <w:rPr>
                <w:rFonts w:ascii="Arial" w:cs="Arial" w:eastAsia="Arial" w:hAnsi="Arial"/>
                <w:sz w:val="13"/>
                <w:szCs w:val="13"/>
                <w:color w:val="auto"/>
                <w:w w:val="82"/>
              </w:rPr>
              <w:t>$</w:t>
            </w: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(60,521)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160" w:type="dxa"/>
            <w:vAlign w:val="bottom"/>
          </w:tcPr>
          <w:p>
            <w:pPr>
              <w:spacing w:after="0"/>
              <w:rPr>
                <w:sz w:val="14"/>
                <w:szCs w:val="14"/>
                <w:color w:val="auto"/>
              </w:rPr>
            </w:pPr>
          </w:p>
        </w:tc>
        <w:tc>
          <w:tcPr>
            <w:tcW w:w="6100" w:type="dxa"/>
            <w:vAlign w:val="bottom"/>
            <w:gridSpan w:val="2"/>
          </w:tcPr>
          <w:p>
            <w:pPr>
              <w:ind w:left="20"/>
              <w:spacing w:after="0"/>
              <w:rPr>
                <w:sz w:val="20"/>
                <w:szCs w:val="20"/>
                <w:color w:val="auto"/>
              </w:rPr>
            </w:pPr>
            <w:r>
              <w:rPr>
                <w:rFonts w:ascii="Arial" w:cs="Arial" w:eastAsia="Arial" w:hAnsi="Arial"/>
                <w:sz w:val="13"/>
                <w:szCs w:val="13"/>
                <w:color w:val="auto"/>
              </w:rPr>
              <w:t>participating securities</w:t>
            </w:r>
          </w:p>
        </w:tc>
        <w:tc>
          <w:tcPr>
            <w:tcW w:w="2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6100" w:type="dxa"/>
            <w:vAlign w:val="bottom"/>
            <w:gridSpan w:val="2"/>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60" w:type="dxa"/>
            <w:vAlign w:val="bottom"/>
          </w:tcPr>
          <w:p>
            <w:pPr>
              <w:spacing w:after="0"/>
              <w:rPr>
                <w:sz w:val="14"/>
                <w:szCs w:val="14"/>
                <w:color w:val="auto"/>
              </w:rPr>
            </w:pPr>
          </w:p>
        </w:tc>
        <w:tc>
          <w:tcPr>
            <w:tcW w:w="6100" w:type="dxa"/>
            <w:vAlign w:val="bottom"/>
            <w:gridSpan w:val="2"/>
          </w:tcPr>
          <w:p>
            <w:pPr>
              <w:ind w:left="20"/>
              <w:spacing w:after="0"/>
              <w:rPr>
                <w:sz w:val="20"/>
                <w:szCs w:val="20"/>
                <w:color w:val="auto"/>
              </w:rPr>
            </w:pPr>
            <w:r>
              <w:rPr>
                <w:rFonts w:ascii="Arial" w:cs="Arial" w:eastAsia="Arial" w:hAnsi="Arial"/>
                <w:sz w:val="13"/>
                <w:szCs w:val="13"/>
                <w:color w:val="auto"/>
              </w:rPr>
              <w:t>Weighted average shares of common stock outstanding:</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60" w:type="dxa"/>
            <w:vAlign w:val="bottom"/>
          </w:tcPr>
          <w:p>
            <w:pPr>
              <w:spacing w:after="0"/>
              <w:rPr>
                <w:sz w:val="14"/>
                <w:szCs w:val="14"/>
                <w:color w:val="auto"/>
              </w:rPr>
            </w:pPr>
          </w:p>
        </w:tc>
        <w:tc>
          <w:tcPr>
            <w:tcW w:w="610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Class A</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60" w:type="dxa"/>
            <w:vAlign w:val="bottom"/>
          </w:tcPr>
          <w:p>
            <w:pPr>
              <w:spacing w:after="0"/>
              <w:rPr>
                <w:sz w:val="14"/>
                <w:szCs w:val="14"/>
                <w:color w:val="auto"/>
              </w:rPr>
            </w:pPr>
          </w:p>
        </w:tc>
        <w:tc>
          <w:tcPr>
            <w:tcW w:w="6100" w:type="dxa"/>
            <w:vAlign w:val="bottom"/>
            <w:gridSpan w:val="2"/>
          </w:tcPr>
          <w:p>
            <w:pPr>
              <w:ind w:left="300"/>
              <w:spacing w:after="0"/>
              <w:rPr>
                <w:sz w:val="20"/>
                <w:szCs w:val="20"/>
                <w:color w:val="auto"/>
              </w:rPr>
            </w:pPr>
            <w:r>
              <w:rPr>
                <w:rFonts w:ascii="Arial" w:cs="Arial" w:eastAsia="Arial" w:hAnsi="Arial"/>
                <w:sz w:val="13"/>
                <w:szCs w:val="13"/>
                <w:color w:val="auto"/>
              </w:rPr>
              <w:t>Issued and outstanding</w:t>
            </w:r>
          </w:p>
        </w:tc>
        <w:tc>
          <w:tcPr>
            <w:tcW w:w="260" w:type="dxa"/>
            <w:vAlign w:val="bottom"/>
          </w:tcPr>
          <w:p>
            <w:pPr>
              <w:spacing w:after="0"/>
              <w:rPr>
                <w:sz w:val="14"/>
                <w:szCs w:val="14"/>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117,339,539</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121,692,443</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113,918,103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0" w:type="dxa"/>
            <w:vAlign w:val="bottom"/>
          </w:tcPr>
          <w:p>
            <w:pPr>
              <w:spacing w:after="0"/>
              <w:rPr>
                <w:sz w:val="10"/>
                <w:szCs w:val="10"/>
                <w:color w:val="auto"/>
              </w:rPr>
            </w:pPr>
          </w:p>
        </w:tc>
        <w:tc>
          <w:tcPr>
            <w:tcW w:w="6100" w:type="dxa"/>
            <w:vAlign w:val="bottom"/>
            <w:gridSpan w:val="2"/>
            <w:shd w:val="clear" w:color="auto" w:fill="CCEEFF"/>
          </w:tcPr>
          <w:p>
            <w:pPr>
              <w:ind w:left="300"/>
              <w:spacing w:after="0" w:line="121" w:lineRule="exact"/>
              <w:rPr>
                <w:sz w:val="20"/>
                <w:szCs w:val="20"/>
                <w:color w:val="auto"/>
              </w:rPr>
            </w:pPr>
            <w:r>
              <w:rPr>
                <w:rFonts w:ascii="Arial" w:cs="Arial" w:eastAsia="Arial" w:hAnsi="Arial"/>
                <w:sz w:val="13"/>
                <w:szCs w:val="13"/>
                <w:color w:val="auto"/>
                <w:w w:val="96"/>
              </w:rPr>
              <w:t>Issuable pursuant to Amended and Restated 2015 Management Incentive Plan, Amended and Restated</w:t>
            </w:r>
          </w:p>
        </w:tc>
        <w:tc>
          <w:tcPr>
            <w:tcW w:w="2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60" w:type="dxa"/>
            <w:vAlign w:val="bottom"/>
          </w:tcPr>
          <w:p>
            <w:pPr>
              <w:spacing w:after="0"/>
              <w:rPr>
                <w:sz w:val="10"/>
                <w:szCs w:val="10"/>
                <w:color w:val="auto"/>
              </w:rPr>
            </w:pPr>
          </w:p>
        </w:tc>
        <w:tc>
          <w:tcPr>
            <w:tcW w:w="6100" w:type="dxa"/>
            <w:vAlign w:val="bottom"/>
            <w:gridSpan w:val="2"/>
            <w:shd w:val="clear" w:color="auto" w:fill="CCEEFF"/>
          </w:tcPr>
          <w:p>
            <w:pPr>
              <w:ind w:left="300"/>
              <w:spacing w:after="0" w:line="119" w:lineRule="exact"/>
              <w:rPr>
                <w:sz w:val="20"/>
                <w:szCs w:val="20"/>
                <w:color w:val="auto"/>
              </w:rPr>
            </w:pPr>
            <w:r>
              <w:rPr>
                <w:rFonts w:ascii="Arial" w:cs="Arial" w:eastAsia="Arial" w:hAnsi="Arial"/>
                <w:sz w:val="13"/>
                <w:szCs w:val="13"/>
                <w:color w:val="auto"/>
                <w:w w:val="98"/>
              </w:rPr>
              <w:t>Investment Technology Group, Inc. 2007 Omnibus Equity Compensation Plan, and Warrants issued in</w:t>
            </w:r>
          </w:p>
        </w:tc>
        <w:tc>
          <w:tcPr>
            <w:tcW w:w="26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1,084,389</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639,747</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160" w:type="dxa"/>
            <w:vAlign w:val="bottom"/>
          </w:tcPr>
          <w:p>
            <w:pPr>
              <w:spacing w:after="0"/>
              <w:rPr>
                <w:sz w:val="14"/>
                <w:szCs w:val="14"/>
                <w:color w:val="auto"/>
              </w:rPr>
            </w:pPr>
          </w:p>
        </w:tc>
        <w:tc>
          <w:tcPr>
            <w:tcW w:w="610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connection with the Founder Member Loan</w:t>
            </w:r>
          </w:p>
        </w:tc>
        <w:tc>
          <w:tcPr>
            <w:tcW w:w="2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60" w:type="dxa"/>
            <w:vAlign w:val="bottom"/>
          </w:tcPr>
          <w:p>
            <w:pPr>
              <w:spacing w:after="0"/>
              <w:rPr>
                <w:sz w:val="13"/>
                <w:szCs w:val="13"/>
                <w:color w:val="auto"/>
              </w:rPr>
            </w:pPr>
          </w:p>
        </w:tc>
        <w:tc>
          <w:tcPr>
            <w:tcW w:w="6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118,423,928</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122,332,190</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113,918,103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6100" w:type="dxa"/>
            <w:vAlign w:val="bottom"/>
            <w:gridSpan w:val="2"/>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tcBorders>
              <w:bottom w:val="single" w:sz="8" w:color="auto"/>
            </w:tcBorders>
            <w:gridSpan w:val="2"/>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00" w:type="dxa"/>
            <w:vAlign w:val="bottom"/>
            <w:tcBorders>
              <w:bottom w:val="single" w:sz="8" w:color="auto"/>
            </w:tcBorders>
            <w:gridSpan w:val="2"/>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60" w:type="dxa"/>
            <w:vAlign w:val="bottom"/>
          </w:tcPr>
          <w:p>
            <w:pPr>
              <w:spacing w:after="0"/>
              <w:rPr>
                <w:sz w:val="13"/>
                <w:szCs w:val="13"/>
                <w:color w:val="auto"/>
              </w:rPr>
            </w:pPr>
          </w:p>
        </w:tc>
        <w:tc>
          <w:tcPr>
            <w:tcW w:w="610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Diluted earnings (loss) per share</w:t>
            </w:r>
          </w:p>
        </w:tc>
        <w:tc>
          <w:tcPr>
            <w:tcW w:w="2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3.91</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Borders>
              <w:bottom w:val="single" w:sz="8" w:color="auto"/>
            </w:tcBorders>
            <w:gridSpan w:val="2"/>
          </w:tcPr>
          <w:p>
            <w:pPr>
              <w:jc w:val="right"/>
              <w:ind w:right="177"/>
              <w:spacing w:after="0"/>
              <w:rPr>
                <w:sz w:val="20"/>
                <w:szCs w:val="20"/>
                <w:color w:val="auto"/>
              </w:rPr>
            </w:pPr>
            <w:r>
              <w:rPr>
                <w:rFonts w:ascii="Arial" w:cs="Arial" w:eastAsia="Arial" w:hAnsi="Arial"/>
                <w:sz w:val="9"/>
                <w:szCs w:val="9"/>
                <w:color w:val="auto"/>
                <w:w w:val="78"/>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5.16</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Borders>
              <w:bottom w:val="single" w:sz="8" w:color="auto"/>
            </w:tcBorders>
            <w:gridSpan w:val="2"/>
          </w:tcPr>
          <w:p>
            <w:pPr>
              <w:jc w:val="right"/>
              <w:ind w:right="157"/>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(0.53)</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ind w:left="285" w:right="120" w:hanging="285"/>
        <w:spacing w:after="0" w:line="286" w:lineRule="auto"/>
        <w:tabs>
          <w:tab w:leader="none" w:pos="180" w:val="left"/>
        </w:tabs>
        <w:numPr>
          <w:ilvl w:val="0"/>
          <w:numId w:val="31"/>
        </w:numPr>
        <w:rPr>
          <w:rFonts w:ascii="Arial" w:cs="Arial" w:eastAsia="Arial" w:hAnsi="Arial"/>
          <w:sz w:val="12"/>
          <w:szCs w:val="12"/>
          <w:color w:val="auto"/>
        </w:rPr>
      </w:pPr>
      <w:r>
        <w:rPr>
          <w:rFonts w:ascii="Arial" w:cs="Arial" w:eastAsia="Arial" w:hAnsi="Arial"/>
          <w:sz w:val="12"/>
          <w:szCs w:val="12"/>
          <w:color w:val="auto"/>
        </w:rPr>
        <w:t>The dilutive impact excludes from the computation of earnings (loss) per share 377,677 unexercised stock options and 440,335 restricted stock units issuable pursuant to Amended and Restated Investment Technology Group, Inc. 2007 Omnibus Equity Compensation Plan for the year ended December 31, 2019 because the inclusion of these instruments would have been anti-dilutive.</w:t>
      </w:r>
    </w:p>
    <w:p>
      <w:pPr>
        <w:spacing w:after="0" w:line="49"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6. Tax Receivable Agreements</w:t>
      </w:r>
    </w:p>
    <w:p>
      <w:pPr>
        <w:spacing w:after="0" w:line="317" w:lineRule="exact"/>
        <w:rPr>
          <w:sz w:val="20"/>
          <w:szCs w:val="20"/>
          <w:color w:val="auto"/>
        </w:rPr>
      </w:pPr>
    </w:p>
    <w:p>
      <w:pPr>
        <w:ind w:left="5" w:firstLine="568"/>
        <w:spacing w:after="0" w:line="271" w:lineRule="auto"/>
        <w:rPr>
          <w:sz w:val="20"/>
          <w:szCs w:val="20"/>
          <w:color w:val="auto"/>
        </w:rPr>
      </w:pPr>
      <w:r>
        <w:rPr>
          <w:rFonts w:ascii="Arial" w:cs="Arial" w:eastAsia="Arial" w:hAnsi="Arial"/>
          <w:sz w:val="15"/>
          <w:szCs w:val="15"/>
          <w:color w:val="auto"/>
        </w:rPr>
        <w:t>In connection with the IPO and the Reorganization Transactions, the Company entered into tax receivable agreements to make payments to certain pre-IPO equity holders (“Virtu Members”) that are generally equal to 85% of the applicable cash tax savings, if any, that the Company actually realizes as a result of favorable tax attributes that were and will continue to be available to the Company as a result of the Reorganization Transactions, exchanges of membership interests for Class A Common Stock or Class B common stock, par value $0.00001 per share (the “Class B Common Stock”), (an “Exchange”), and payments made under the tax receivable agreements. An Exchange during the year will give rise to favorable tax attributes that may generate cash tax savings specific to the Exchange to be realized over a specific period of time (generally 15 years). At each Exchange, management estimates the Company’s cumulative TRA obligations to be reported on the Consolidated</w:t>
      </w:r>
    </w:p>
    <w:p>
      <w:pPr>
        <w:spacing w:after="0" w:line="200" w:lineRule="exact"/>
        <w:rPr>
          <w:sz w:val="20"/>
          <w:szCs w:val="20"/>
          <w:color w:val="auto"/>
        </w:rPr>
      </w:pPr>
    </w:p>
    <w:p>
      <w:pPr>
        <w:spacing w:after="0" w:line="253"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59055</wp:posOffset>
            </wp:positionV>
            <wp:extent cx="7174865" cy="406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5"/>
          </w:cols>
          <w:pgMar w:left="315" w:top="127" w:right="339" w:bottom="1440" w:gutter="0" w:footer="0" w:header="0"/>
        </w:sectPr>
      </w:pPr>
    </w:p>
    <w:bookmarkStart w:id="96" w:name="page97"/>
    <w:bookmarkEnd w:id="9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ind w:right="80"/>
        <w:spacing w:after="0" w:line="269" w:lineRule="auto"/>
        <w:rPr>
          <w:sz w:val="20"/>
          <w:szCs w:val="20"/>
          <w:color w:val="auto"/>
        </w:rPr>
      </w:pPr>
      <w:r>
        <w:rPr>
          <w:rFonts w:ascii="Arial" w:cs="Arial" w:eastAsia="Arial" w:hAnsi="Arial"/>
          <w:sz w:val="15"/>
          <w:szCs w:val="15"/>
          <w:color w:val="auto"/>
        </w:rPr>
        <w:t>Statements of Financial Condition, which amounted to $259.3 million and $271.2 million as of December 31, 2021 and December 31, 2020, respectively. The tax attributes are computed as the difference between the Company's basis in the partnership interest (“outside basis”) as compared to the Company’s share of the adjusted tax basis of partnership property (“inside basis”) at the time of each Exchange. The computation of inside basis requires management to make judgments in estimating the components included in the inside basis as of the date of the Exchange (i.e., cash received by the Company on hypothetical sale of assets, allocation of gain/loss to the Company at the time of the Exchange taking into account complex partnership tax rules). In addition, management estimates the period of time that may generate cash tax savings of such tax attributes and the realizability of the tax attributes. Payments will occur only after the filing of the U.S. federal and state income tax returns and realization of the cash tax savings from the favorable tax attributes. The Company made its first payment of $7.0 million in February 2017, its second payment of $12.4 million in September 2018, its third payment of $13.3 million in March 2020, and its fourth payment of $16.5 million in April 2021.</w:t>
      </w:r>
    </w:p>
    <w:p>
      <w:pPr>
        <w:spacing w:after="0" w:line="182" w:lineRule="exact"/>
        <w:rPr>
          <w:sz w:val="20"/>
          <w:szCs w:val="20"/>
          <w:color w:val="auto"/>
        </w:rPr>
      </w:pPr>
    </w:p>
    <w:p>
      <w:pPr>
        <w:ind w:right="20" w:firstLine="568"/>
        <w:spacing w:after="0" w:line="289" w:lineRule="auto"/>
        <w:rPr>
          <w:sz w:val="20"/>
          <w:szCs w:val="20"/>
          <w:color w:val="auto"/>
        </w:rPr>
      </w:pPr>
      <w:r>
        <w:rPr>
          <w:rFonts w:ascii="Arial" w:cs="Arial" w:eastAsia="Arial" w:hAnsi="Arial"/>
          <w:sz w:val="14"/>
          <w:szCs w:val="14"/>
          <w:color w:val="auto"/>
        </w:rPr>
        <w:t>As a result of (i) the purchase of equity interests in Virtu Financial from certain Virtu Members in connection with the Reorganization Transactions, (ii) the purchase of non-voting common interest units in Virtu Financial (the “Virtu Financial Units”) (along with the corresponding shares of Class C common stock, par value $0.00001 per share (the “Class C Common Stock”)) from certain of the Virtu Members in connection with the IPO, (iii) the purchase of Virtu Financial Units (along with the corresponding shares of Class C Common Stock) and the exchange of Virtu Financial Units (along with the corresponding shares of Class C Common Stock) for shares of Class A Common Stock in connection with the secondary offerings completed in November 2015 (the “November 2015 Secondary Offering”) and September 2016 (the “September 2016 Secondary Offering”), and (iv) the purchase of Virtu Financial Units (along with corresponding shares of the Company’s Class D common stock, par value $0.00001 per share (the “Class D Common Stock”) in connection with the May 2018 Secondary Offering (defined below) and the May 2019 Secondary Offering (defined below, and, together with the November 2015 Secondary Offering, the September 2016 Secondary Offering, and the May 2018 Secondary Offering, the “Secondary Offerings”), payments to certain Virtu Members in respect of the purchases are expected to range from approximately $0.4 million to $22.0 million per year over the next 15 years.</w:t>
      </w:r>
    </w:p>
    <w:p>
      <w:pPr>
        <w:spacing w:after="0" w:line="173" w:lineRule="exact"/>
        <w:rPr>
          <w:sz w:val="20"/>
          <w:szCs w:val="20"/>
          <w:color w:val="auto"/>
        </w:rPr>
      </w:pPr>
    </w:p>
    <w:p>
      <w:pPr>
        <w:ind w:right="40" w:firstLine="568"/>
        <w:spacing w:after="0" w:line="311" w:lineRule="auto"/>
        <w:rPr>
          <w:sz w:val="20"/>
          <w:szCs w:val="20"/>
          <w:color w:val="auto"/>
        </w:rPr>
      </w:pPr>
      <w:r>
        <w:rPr>
          <w:rFonts w:ascii="Arial" w:cs="Arial" w:eastAsia="Arial" w:hAnsi="Arial"/>
          <w:sz w:val="14"/>
          <w:szCs w:val="14"/>
          <w:color w:val="auto"/>
        </w:rPr>
        <w:t>In connection with the employee exchanges and May 2019 Secondary Offering between the Company and TJMT Holdings LLC and the other selling stockholders, both as described in Note 19 "Capital Structure", the Company recorded an additional deferred tax asset of $49.1 million and payment liability pursuant to the tax receivable agreements of $54.9 million, with the $5.8 million difference recorded as a decrease to additional paid-in capital during the year ended December 31, 2019.</w:t>
      </w:r>
    </w:p>
    <w:p>
      <w:pPr>
        <w:spacing w:after="0" w:line="155" w:lineRule="exact"/>
        <w:rPr>
          <w:sz w:val="20"/>
          <w:szCs w:val="20"/>
          <w:color w:val="auto"/>
        </w:rPr>
      </w:pPr>
    </w:p>
    <w:p>
      <w:pPr>
        <w:ind w:right="180" w:firstLine="568"/>
        <w:spacing w:after="0" w:line="302" w:lineRule="auto"/>
        <w:rPr>
          <w:sz w:val="20"/>
          <w:szCs w:val="20"/>
          <w:color w:val="auto"/>
        </w:rPr>
      </w:pPr>
      <w:r>
        <w:rPr>
          <w:rFonts w:ascii="Arial" w:cs="Arial" w:eastAsia="Arial" w:hAnsi="Arial"/>
          <w:sz w:val="14"/>
          <w:szCs w:val="14"/>
          <w:color w:val="auto"/>
        </w:rPr>
        <w:t>At December 31, 2021 and December 31, 2020, the Company’s remaining deferred tax assets that relate to the matters described above were approximately $180.4 million and $199.1 million, respectively, and the Company’s liabilities over the next 15 years pursuant to the tax receivable agreements were approximately $259.3 million and $271.2 million, respectively. The amounts recorded as of December 31, 2021 and December 31, 2020 are based on best estimates available at the respective dates and may be subject to change after the filing of the Company’s U.S. federal and state income tax returns for the years in which tax savings were realized.</w:t>
      </w:r>
    </w:p>
    <w:p>
      <w:pPr>
        <w:spacing w:after="0" w:line="160" w:lineRule="exact"/>
        <w:rPr>
          <w:sz w:val="20"/>
          <w:szCs w:val="20"/>
          <w:color w:val="auto"/>
        </w:rPr>
      </w:pPr>
    </w:p>
    <w:p>
      <w:pPr>
        <w:ind w:right="80" w:firstLine="568"/>
        <w:spacing w:after="0" w:line="251" w:lineRule="auto"/>
        <w:rPr>
          <w:sz w:val="20"/>
          <w:szCs w:val="20"/>
          <w:color w:val="auto"/>
        </w:rPr>
      </w:pPr>
      <w:r>
        <w:rPr>
          <w:rFonts w:ascii="Arial" w:cs="Arial" w:eastAsia="Arial" w:hAnsi="Arial"/>
          <w:sz w:val="16"/>
          <w:szCs w:val="16"/>
          <w:color w:val="auto"/>
        </w:rPr>
        <w:t>For the tax receivable agreements discussed above, the cash savings realized by the Company are computed by comparing the actual income tax liability of the Company to the amount of such taxes the Company would have been required to pay had there been (i) no increase to the tax basis of the assets of Virtu Financial as a result of the purchase or exchange of Virtu Financial Units, (ii) no tax benefit from the tax basis in the intangible assets of Virtu Financial on the date of the IPO and (iii) no tax benefit as a result of the Net Operating Losses (“NOLs”) and other tax attributes of Virtu Financial. Subsequent adjustments of the tax receivable agreements obligations due to certain events (e.g., changes to the expected realization of NOLs or changes in tax rates) will be recognized within income before taxes and noncontrolling interests in the Consolidated Statements of Comprehensive Income.</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Goodwill and Intangible Assets</w:t>
      </w:r>
    </w:p>
    <w:p>
      <w:pPr>
        <w:spacing w:after="0" w:line="223" w:lineRule="exact"/>
        <w:rPr>
          <w:sz w:val="20"/>
          <w:szCs w:val="20"/>
          <w:color w:val="auto"/>
        </w:rPr>
      </w:pPr>
    </w:p>
    <w:p>
      <w:pPr>
        <w:ind w:firstLine="568"/>
        <w:spacing w:after="0" w:line="257" w:lineRule="auto"/>
        <w:rPr>
          <w:sz w:val="20"/>
          <w:szCs w:val="20"/>
          <w:color w:val="auto"/>
        </w:rPr>
      </w:pPr>
      <w:r>
        <w:rPr>
          <w:rFonts w:ascii="Arial" w:cs="Arial" w:eastAsia="Arial" w:hAnsi="Arial"/>
          <w:sz w:val="16"/>
          <w:szCs w:val="16"/>
          <w:color w:val="auto"/>
        </w:rPr>
        <w:t>The Company has two operating segments: (i) Market Making; (ii) Execution Services; and one non-operating segment: Corporate. As of December 31, 2021 and December 31, 2020, the Company’s total amount of goodwill recorded was $1,148.9 million. No goodwill impairment was recognized during the years ended December 31, 2021 and 2020.</w:t>
      </w:r>
    </w:p>
    <w:p>
      <w:pPr>
        <w:spacing w:after="0" w:line="19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presents the details of goodwill by segment as of December 31, 2021 and December 31, 2020:</w:t>
      </w:r>
    </w:p>
    <w:p>
      <w:pPr>
        <w:spacing w:after="0" w:line="34" w:lineRule="exact"/>
        <w:rPr>
          <w:sz w:val="20"/>
          <w:szCs w:val="20"/>
          <w:color w:val="auto"/>
        </w:rPr>
      </w:pPr>
    </w:p>
    <w:tbl>
      <w:tblPr>
        <w:tblLayout w:type="fixed"/>
        <w:tblInd w:w="260" w:type="dxa"/>
        <w:tblCellMar>
          <w:top w:w="0" w:type="dxa"/>
          <w:left w:w="0" w:type="dxa"/>
          <w:bottom w:w="0" w:type="dxa"/>
          <w:right w:w="0" w:type="dxa"/>
        </w:tblCellMar>
      </w:tblPr>
      <w:tr>
        <w:trPr>
          <w:trHeight w:val="169"/>
        </w:trPr>
        <w:tc>
          <w:tcPr>
            <w:tcW w:w="55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thousands)</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w w:val="97"/>
              </w:rPr>
              <w:t>Market Making</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83"/>
              </w:rPr>
              <w:t>Execution Services</w:t>
            </w:r>
          </w:p>
        </w:tc>
        <w:tc>
          <w:tcPr>
            <w:tcW w:w="12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25"/>
              <w:spacing w:after="0"/>
              <w:rPr>
                <w:sz w:val="20"/>
                <w:szCs w:val="20"/>
                <w:color w:val="auto"/>
              </w:rPr>
            </w:pPr>
            <w:r>
              <w:rPr>
                <w:rFonts w:ascii="Arial" w:cs="Arial" w:eastAsia="Arial" w:hAnsi="Arial"/>
                <w:sz w:val="13"/>
                <w:szCs w:val="13"/>
                <w:b w:val="1"/>
                <w:bCs w:val="1"/>
                <w:color w:val="auto"/>
              </w:rPr>
              <w:t>Corporate</w:t>
            </w: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17"/>
              <w:spacing w:after="0"/>
              <w:rPr>
                <w:sz w:val="20"/>
                <w:szCs w:val="20"/>
                <w:color w:val="auto"/>
              </w:rPr>
            </w:pPr>
            <w:r>
              <w:rPr>
                <w:rFonts w:ascii="Arial" w:cs="Arial" w:eastAsia="Arial" w:hAnsi="Arial"/>
                <w:sz w:val="13"/>
                <w:szCs w:val="13"/>
                <w:b w:val="1"/>
                <w:bCs w:val="1"/>
                <w:color w:val="auto"/>
              </w:rPr>
              <w:t>Total</w:t>
            </w:r>
          </w:p>
        </w:tc>
      </w:tr>
      <w:tr>
        <w:trPr>
          <w:trHeight w:val="187"/>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Balance as of period-end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755,292</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393,634</w:t>
            </w:r>
          </w:p>
        </w:tc>
        <w:tc>
          <w:tcPr>
            <w:tcW w:w="1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825"/>
              <w:spacing w:after="0"/>
              <w:rPr>
                <w:sz w:val="20"/>
                <w:szCs w:val="20"/>
                <w:color w:val="auto"/>
              </w:rPr>
            </w:pPr>
            <w:r>
              <w:rPr>
                <w:rFonts w:ascii="Arial" w:cs="Arial" w:eastAsia="Arial" w:hAnsi="Arial"/>
                <w:sz w:val="9"/>
                <w:szCs w:val="9"/>
                <w:color w:val="auto"/>
                <w:w w:val="78"/>
              </w:rPr>
              <w:t>$</w:t>
            </w:r>
          </w:p>
        </w:tc>
        <w:tc>
          <w:tcPr>
            <w:tcW w:w="2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1,148,926</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7" w:name="page98"/>
    <w:bookmarkEnd w:id="9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ind w:left="560"/>
        <w:spacing w:after="0"/>
        <w:rPr>
          <w:sz w:val="20"/>
          <w:szCs w:val="20"/>
          <w:color w:val="auto"/>
        </w:rPr>
      </w:pPr>
      <w:r>
        <w:rPr>
          <w:rFonts w:ascii="Arial" w:cs="Arial" w:eastAsia="Arial" w:hAnsi="Arial"/>
          <w:sz w:val="14"/>
          <w:szCs w:val="14"/>
          <w:color w:val="auto"/>
        </w:rPr>
        <w:t>As of December 31, 2021 and December 31, 2020, the Company's total amount of intangible assets recorded was $386.3 million and $454.5 million, respectively.</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Acquired intangible assets consisted of the following as of December 31, 2021 and December 31, 2020:</w:t>
      </w:r>
    </w:p>
    <w:p>
      <w:pPr>
        <w:spacing w:after="0" w:line="117" w:lineRule="exact"/>
        <w:rPr>
          <w:sz w:val="20"/>
          <w:szCs w:val="20"/>
          <w:color w:val="auto"/>
        </w:rPr>
      </w:pPr>
    </w:p>
    <w:tbl>
      <w:tblPr>
        <w:tblLayout w:type="fixed"/>
        <w:tblInd w:w="240" w:type="dxa"/>
        <w:tblCellMar>
          <w:top w:w="0" w:type="dxa"/>
          <w:left w:w="0" w:type="dxa"/>
          <w:bottom w:w="0" w:type="dxa"/>
          <w:right w:w="0" w:type="dxa"/>
        </w:tblCellMar>
      </w:tblPr>
      <w:tr>
        <w:trPr>
          <w:trHeight w:val="169"/>
        </w:trPr>
        <w:tc>
          <w:tcPr>
            <w:tcW w:w="4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ind w:left="680"/>
              <w:spacing w:after="0"/>
              <w:rPr>
                <w:sz w:val="20"/>
                <w:szCs w:val="20"/>
                <w:color w:val="auto"/>
              </w:rPr>
            </w:pPr>
            <w:r>
              <w:rPr>
                <w:rFonts w:ascii="Arial" w:cs="Arial" w:eastAsia="Arial" w:hAnsi="Arial"/>
                <w:sz w:val="13"/>
                <w:szCs w:val="13"/>
                <w:b w:val="1"/>
                <w:bCs w:val="1"/>
                <w:color w:val="auto"/>
                <w:w w:val="84"/>
              </w:rPr>
              <w:t>As of December 31, 2021</w:t>
            </w: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50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(in thousands)</w:t>
            </w:r>
          </w:p>
        </w:tc>
        <w:tc>
          <w:tcPr>
            <w:tcW w:w="140" w:type="dxa"/>
            <w:vAlign w:val="bottom"/>
          </w:tcPr>
          <w:p>
            <w:pPr>
              <w:spacing w:after="0"/>
              <w:rPr>
                <w:sz w:val="9"/>
                <w:szCs w:val="9"/>
                <w:color w:val="auto"/>
              </w:rPr>
            </w:pPr>
          </w:p>
        </w:tc>
        <w:tc>
          <w:tcPr>
            <w:tcW w:w="1240" w:type="dxa"/>
            <w:vAlign w:val="bottom"/>
            <w:gridSpan w:val="2"/>
          </w:tcPr>
          <w:p>
            <w:pPr>
              <w:jc w:val="center"/>
              <w:ind w:right="280"/>
              <w:spacing w:after="0" w:line="115" w:lineRule="exact"/>
              <w:rPr>
                <w:sz w:val="20"/>
                <w:szCs w:val="20"/>
                <w:color w:val="auto"/>
              </w:rPr>
            </w:pPr>
            <w:r>
              <w:rPr>
                <w:rFonts w:ascii="Arial" w:cs="Arial" w:eastAsia="Arial" w:hAnsi="Arial"/>
                <w:sz w:val="13"/>
                <w:szCs w:val="13"/>
                <w:b w:val="1"/>
                <w:bCs w:val="1"/>
                <w:color w:val="auto"/>
                <w:w w:val="88"/>
              </w:rPr>
              <w:t>Gross Carrying</w:t>
            </w:r>
          </w:p>
        </w:tc>
        <w:tc>
          <w:tcPr>
            <w:tcW w:w="160" w:type="dxa"/>
            <w:vAlign w:val="bottom"/>
          </w:tcPr>
          <w:p>
            <w:pPr>
              <w:spacing w:after="0"/>
              <w:rPr>
                <w:sz w:val="9"/>
                <w:szCs w:val="9"/>
                <w:color w:val="auto"/>
              </w:rPr>
            </w:pPr>
          </w:p>
        </w:tc>
        <w:tc>
          <w:tcPr>
            <w:tcW w:w="1220" w:type="dxa"/>
            <w:vAlign w:val="bottom"/>
            <w:gridSpan w:val="2"/>
          </w:tcPr>
          <w:p>
            <w:pPr>
              <w:jc w:val="center"/>
              <w:ind w:right="300"/>
              <w:spacing w:after="0" w:line="115" w:lineRule="exact"/>
              <w:rPr>
                <w:sz w:val="20"/>
                <w:szCs w:val="20"/>
                <w:color w:val="auto"/>
              </w:rPr>
            </w:pPr>
            <w:r>
              <w:rPr>
                <w:rFonts w:ascii="Arial" w:cs="Arial" w:eastAsia="Arial" w:hAnsi="Arial"/>
                <w:sz w:val="13"/>
                <w:szCs w:val="13"/>
                <w:b w:val="1"/>
                <w:bCs w:val="1"/>
                <w:color w:val="auto"/>
                <w:w w:val="88"/>
              </w:rPr>
              <w:t>Accumulated</w:t>
            </w:r>
          </w:p>
        </w:tc>
        <w:tc>
          <w:tcPr>
            <w:tcW w:w="12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93"/>
              </w:rPr>
              <w:t>Net Carrying Amount</w:t>
            </w: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Pr>
          <w:p>
            <w:pPr>
              <w:jc w:val="center"/>
              <w:spacing w:after="0" w:line="115" w:lineRule="exact"/>
              <w:rPr>
                <w:sz w:val="20"/>
                <w:szCs w:val="20"/>
                <w:color w:val="auto"/>
              </w:rPr>
            </w:pPr>
            <w:r>
              <w:rPr>
                <w:rFonts w:ascii="Arial" w:cs="Arial" w:eastAsia="Arial" w:hAnsi="Arial"/>
                <w:sz w:val="13"/>
                <w:szCs w:val="13"/>
                <w:b w:val="1"/>
                <w:bCs w:val="1"/>
                <w:color w:val="auto"/>
                <w:w w:val="86"/>
              </w:rPr>
              <w:t>Useful Lives</w:t>
            </w: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50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9"/>
              </w:rPr>
              <w:t>Amount</w:t>
            </w:r>
          </w:p>
        </w:tc>
        <w:tc>
          <w:tcPr>
            <w:tcW w:w="16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0"/>
              </w:rPr>
              <w:t>Amortization</w:t>
            </w:r>
          </w:p>
        </w:tc>
        <w:tc>
          <w:tcPr>
            <w:tcW w:w="12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6"/>
              </w:rPr>
              <w:t>(Years)</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Customer relationships</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486,600</w:t>
            </w:r>
          </w:p>
        </w:tc>
        <w:tc>
          <w:tcPr>
            <w:tcW w:w="1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(142,142)</w:t>
            </w:r>
          </w:p>
        </w:tc>
        <w:tc>
          <w:tcPr>
            <w:tcW w:w="12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5"/>
              </w:rPr>
              <w:t>344,458</w:t>
            </w:r>
          </w:p>
        </w:tc>
        <w:tc>
          <w:tcPr>
            <w:tcW w:w="12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jc w:val="center"/>
              <w:ind w:left="77"/>
              <w:spacing w:after="0"/>
              <w:rPr>
                <w:sz w:val="20"/>
                <w:szCs w:val="20"/>
                <w:color w:val="auto"/>
              </w:rPr>
            </w:pPr>
            <w:r>
              <w:rPr>
                <w:rFonts w:ascii="Arial" w:cs="Arial" w:eastAsia="Arial" w:hAnsi="Arial"/>
                <w:sz w:val="13"/>
                <w:szCs w:val="13"/>
                <w:color w:val="auto"/>
                <w:w w:val="96"/>
              </w:rPr>
              <w:t>10</w:t>
            </w:r>
          </w:p>
        </w:tc>
        <w:tc>
          <w:tcPr>
            <w:tcW w:w="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1"/>
              </w:rPr>
              <w:t>to</w:t>
            </w:r>
          </w:p>
        </w:tc>
        <w:tc>
          <w:tcPr>
            <w:tcW w:w="400" w:type="dxa"/>
            <w:vAlign w:val="bottom"/>
            <w:tcBorders>
              <w:top w:val="single" w:sz="8" w:color="auto"/>
            </w:tcBorders>
            <w:shd w:val="clear" w:color="auto" w:fill="CCEEFF"/>
          </w:tcPr>
          <w:p>
            <w:pPr>
              <w:jc w:val="center"/>
              <w:ind w:right="57"/>
              <w:spacing w:after="0"/>
              <w:rPr>
                <w:sz w:val="20"/>
                <w:szCs w:val="20"/>
                <w:color w:val="auto"/>
              </w:rPr>
            </w:pPr>
            <w:r>
              <w:rPr>
                <w:rFonts w:ascii="Arial" w:cs="Arial" w:eastAsia="Arial" w:hAnsi="Arial"/>
                <w:sz w:val="13"/>
                <w:szCs w:val="13"/>
                <w:color w:val="auto"/>
                <w:w w:val="82"/>
              </w:rPr>
              <w:t>12</w:t>
            </w:r>
          </w:p>
        </w:tc>
        <w:tc>
          <w:tcPr>
            <w:tcW w:w="0" w:type="dxa"/>
            <w:vAlign w:val="bottom"/>
          </w:tcPr>
          <w:p>
            <w:pPr>
              <w:spacing w:after="0"/>
              <w:rPr>
                <w:sz w:val="1"/>
                <w:szCs w:val="1"/>
                <w:color w:val="auto"/>
              </w:rPr>
            </w:pPr>
          </w:p>
        </w:tc>
      </w:tr>
      <w:tr>
        <w:trPr>
          <w:trHeight w:val="163"/>
        </w:trPr>
        <w:tc>
          <w:tcPr>
            <w:tcW w:w="5020" w:type="dxa"/>
            <w:vAlign w:val="bottom"/>
            <w:gridSpan w:val="2"/>
          </w:tcPr>
          <w:p>
            <w:pPr>
              <w:ind w:left="20"/>
              <w:spacing w:after="0"/>
              <w:rPr>
                <w:sz w:val="20"/>
                <w:szCs w:val="20"/>
                <w:color w:val="auto"/>
              </w:rPr>
            </w:pPr>
            <w:r>
              <w:rPr>
                <w:rFonts w:ascii="Arial" w:cs="Arial" w:eastAsia="Arial" w:hAnsi="Arial"/>
                <w:sz w:val="13"/>
                <w:szCs w:val="13"/>
                <w:color w:val="auto"/>
              </w:rPr>
              <w:t>Technology</w:t>
            </w: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136,000</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(102,088)</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33,912</w:t>
            </w:r>
          </w:p>
        </w:tc>
        <w:tc>
          <w:tcPr>
            <w:tcW w:w="520" w:type="dxa"/>
            <w:vAlign w:val="bottom"/>
            <w:gridSpan w:val="2"/>
          </w:tcPr>
          <w:p>
            <w:pPr>
              <w:jc w:val="center"/>
              <w:ind w:left="197"/>
              <w:spacing w:after="0"/>
              <w:rPr>
                <w:sz w:val="20"/>
                <w:szCs w:val="20"/>
                <w:color w:val="auto"/>
              </w:rPr>
            </w:pPr>
            <w:r>
              <w:rPr>
                <w:rFonts w:ascii="Arial" w:cs="Arial" w:eastAsia="Arial" w:hAnsi="Arial"/>
                <w:sz w:val="13"/>
                <w:szCs w:val="13"/>
                <w:color w:val="auto"/>
                <w:w w:val="82"/>
              </w:rPr>
              <w:t>1</w:t>
            </w:r>
          </w:p>
        </w:tc>
        <w:tc>
          <w:tcPr>
            <w:tcW w:w="800" w:type="dxa"/>
            <w:vAlign w:val="bottom"/>
          </w:tcPr>
          <w:p>
            <w:pPr>
              <w:jc w:val="center"/>
              <w:spacing w:after="0"/>
              <w:rPr>
                <w:sz w:val="20"/>
                <w:szCs w:val="20"/>
                <w:color w:val="auto"/>
              </w:rPr>
            </w:pPr>
            <w:r>
              <w:rPr>
                <w:rFonts w:ascii="Arial" w:cs="Arial" w:eastAsia="Arial" w:hAnsi="Arial"/>
                <w:sz w:val="13"/>
                <w:szCs w:val="13"/>
                <w:color w:val="auto"/>
                <w:w w:val="91"/>
              </w:rPr>
              <w:t>to</w:t>
            </w:r>
          </w:p>
        </w:tc>
        <w:tc>
          <w:tcPr>
            <w:tcW w:w="400" w:type="dxa"/>
            <w:vAlign w:val="bottom"/>
          </w:tcPr>
          <w:p>
            <w:pPr>
              <w:jc w:val="center"/>
              <w:ind w:right="77"/>
              <w:spacing w:after="0"/>
              <w:rPr>
                <w:sz w:val="20"/>
                <w:szCs w:val="20"/>
                <w:color w:val="auto"/>
              </w:rPr>
            </w:pPr>
            <w:r>
              <w:rPr>
                <w:rFonts w:ascii="Arial" w:cs="Arial" w:eastAsia="Arial" w:hAnsi="Arial"/>
                <w:sz w:val="13"/>
                <w:szCs w:val="13"/>
                <w:color w:val="auto"/>
                <w:w w:val="82"/>
              </w:rPr>
              <w:t>6</w:t>
            </w:r>
          </w:p>
        </w:tc>
        <w:tc>
          <w:tcPr>
            <w:tcW w:w="0" w:type="dxa"/>
            <w:vAlign w:val="bottom"/>
          </w:tcPr>
          <w:p>
            <w:pPr>
              <w:spacing w:after="0"/>
              <w:rPr>
                <w:sz w:val="1"/>
                <w:szCs w:val="1"/>
                <w:color w:val="auto"/>
              </w:rPr>
            </w:pPr>
          </w:p>
        </w:tc>
      </w:tr>
      <w:tr>
        <w:trPr>
          <w:trHeight w:val="168"/>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Favorable occupancy leases</w:t>
            </w: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5,895</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(3,631)</w:t>
            </w: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2,264</w:t>
            </w:r>
          </w:p>
        </w:tc>
        <w:tc>
          <w:tcPr>
            <w:tcW w:w="520" w:type="dxa"/>
            <w:vAlign w:val="bottom"/>
            <w:gridSpan w:val="2"/>
            <w:shd w:val="clear" w:color="auto" w:fill="CCEEFF"/>
          </w:tcPr>
          <w:p>
            <w:pPr>
              <w:jc w:val="center"/>
              <w:ind w:left="197"/>
              <w:spacing w:after="0"/>
              <w:rPr>
                <w:sz w:val="20"/>
                <w:szCs w:val="20"/>
                <w:color w:val="auto"/>
              </w:rPr>
            </w:pPr>
            <w:r>
              <w:rPr>
                <w:rFonts w:ascii="Arial" w:cs="Arial" w:eastAsia="Arial" w:hAnsi="Arial"/>
                <w:sz w:val="13"/>
                <w:szCs w:val="13"/>
                <w:color w:val="auto"/>
                <w:w w:val="82"/>
              </w:rPr>
              <w:t>3</w:t>
            </w: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to</w:t>
            </w:r>
          </w:p>
        </w:tc>
        <w:tc>
          <w:tcPr>
            <w:tcW w:w="400" w:type="dxa"/>
            <w:vAlign w:val="bottom"/>
            <w:shd w:val="clear" w:color="auto" w:fill="CCEEFF"/>
          </w:tcPr>
          <w:p>
            <w:pPr>
              <w:jc w:val="center"/>
              <w:ind w:right="57"/>
              <w:spacing w:after="0"/>
              <w:rPr>
                <w:sz w:val="20"/>
                <w:szCs w:val="20"/>
                <w:color w:val="auto"/>
              </w:rPr>
            </w:pPr>
            <w:r>
              <w:rPr>
                <w:rFonts w:ascii="Arial" w:cs="Arial" w:eastAsia="Arial" w:hAnsi="Arial"/>
                <w:sz w:val="13"/>
                <w:szCs w:val="13"/>
                <w:color w:val="auto"/>
                <w:w w:val="82"/>
              </w:rPr>
              <w:t>15</w:t>
            </w:r>
          </w:p>
        </w:tc>
        <w:tc>
          <w:tcPr>
            <w:tcW w:w="0" w:type="dxa"/>
            <w:vAlign w:val="bottom"/>
          </w:tcPr>
          <w:p>
            <w:pPr>
              <w:spacing w:after="0"/>
              <w:rPr>
                <w:sz w:val="1"/>
                <w:szCs w:val="1"/>
                <w:color w:val="auto"/>
              </w:rPr>
            </w:pPr>
          </w:p>
        </w:tc>
      </w:tr>
      <w:tr>
        <w:trPr>
          <w:trHeight w:val="163"/>
        </w:trPr>
        <w:tc>
          <w:tcPr>
            <w:tcW w:w="5020" w:type="dxa"/>
            <w:vAlign w:val="bottom"/>
            <w:gridSpan w:val="2"/>
          </w:tcPr>
          <w:p>
            <w:pPr>
              <w:ind w:left="20"/>
              <w:spacing w:after="0"/>
              <w:rPr>
                <w:sz w:val="20"/>
                <w:szCs w:val="20"/>
                <w:color w:val="auto"/>
              </w:rPr>
            </w:pPr>
            <w:r>
              <w:rPr>
                <w:rFonts w:ascii="Arial" w:cs="Arial" w:eastAsia="Arial" w:hAnsi="Arial"/>
                <w:sz w:val="13"/>
                <w:szCs w:val="13"/>
                <w:color w:val="auto"/>
              </w:rPr>
              <w:t>Exchange memberships</w:t>
            </w: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3,998</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ind w:left="900"/>
              <w:spacing w:after="0"/>
              <w:rPr>
                <w:sz w:val="20"/>
                <w:szCs w:val="20"/>
                <w:color w:val="auto"/>
              </w:rPr>
            </w:pPr>
            <w:r>
              <w:rPr>
                <w:rFonts w:ascii="Arial" w:cs="Arial" w:eastAsia="Arial" w:hAnsi="Arial"/>
                <w:sz w:val="13"/>
                <w:szCs w:val="13"/>
                <w:color w:val="auto"/>
              </w:rPr>
              <w:t>—</w:t>
            </w:r>
          </w:p>
        </w:tc>
        <w:tc>
          <w:tcPr>
            <w:tcW w:w="7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3,998</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3"/>
                <w:szCs w:val="13"/>
                <w:color w:val="auto"/>
                <w:w w:val="94"/>
              </w:rPr>
              <w:t>Indefinite</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Trade name</w:t>
            </w: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3,600</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(3,400)</w:t>
            </w: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w:t>
            </w: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3</w:t>
            </w:r>
          </w:p>
        </w:tc>
        <w:tc>
          <w:tcPr>
            <w:tcW w:w="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020" w:type="dxa"/>
            <w:vAlign w:val="bottom"/>
            <w:gridSpan w:val="2"/>
          </w:tcPr>
          <w:p>
            <w:pPr>
              <w:ind w:left="20"/>
              <w:spacing w:after="0"/>
              <w:rPr>
                <w:sz w:val="20"/>
                <w:szCs w:val="20"/>
                <w:color w:val="auto"/>
              </w:rPr>
            </w:pPr>
            <w:r>
              <w:rPr>
                <w:rFonts w:ascii="Arial" w:cs="Arial" w:eastAsia="Arial" w:hAnsi="Arial"/>
                <w:sz w:val="13"/>
                <w:szCs w:val="13"/>
                <w:color w:val="auto"/>
              </w:rPr>
              <w:t>ETF issuer relationships</w:t>
            </w: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950</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(950)</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3"/>
                <w:szCs w:val="13"/>
                <w:color w:val="auto"/>
                <w:w w:val="82"/>
              </w:rPr>
              <w:t>9</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ETF buyer relationships</w:t>
            </w: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950</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(950)</w:t>
            </w: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9</w:t>
            </w:r>
          </w:p>
        </w:tc>
        <w:tc>
          <w:tcPr>
            <w:tcW w:w="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020" w:type="dxa"/>
            <w:vAlign w:val="bottom"/>
            <w:gridSpan w:val="2"/>
          </w:tcPr>
          <w:p>
            <w:pPr>
              <w:ind w:left="20"/>
              <w:spacing w:after="0"/>
              <w:rPr>
                <w:sz w:val="20"/>
                <w:szCs w:val="20"/>
                <w:color w:val="auto"/>
              </w:rPr>
            </w:pPr>
            <w:r>
              <w:rPr>
                <w:rFonts w:ascii="Arial" w:cs="Arial" w:eastAsia="Arial" w:hAnsi="Arial"/>
                <w:sz w:val="13"/>
                <w:szCs w:val="13"/>
                <w:color w:val="auto"/>
              </w:rPr>
              <w:t>Other</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1,500</w:t>
            </w:r>
          </w:p>
        </w:tc>
        <w:tc>
          <w:tcPr>
            <w:tcW w:w="14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1220" w:type="dxa"/>
            <w:vAlign w:val="bottom"/>
            <w:gridSpan w:val="2"/>
          </w:tcPr>
          <w:p>
            <w:pPr>
              <w:ind w:left="900"/>
              <w:spacing w:after="0"/>
              <w:rPr>
                <w:sz w:val="20"/>
                <w:szCs w:val="20"/>
                <w:color w:val="auto"/>
              </w:rPr>
            </w:pPr>
            <w:r>
              <w:rPr>
                <w:rFonts w:ascii="Arial" w:cs="Arial" w:eastAsia="Arial" w:hAnsi="Arial"/>
                <w:sz w:val="13"/>
                <w:szCs w:val="13"/>
                <w:color w:val="auto"/>
              </w:rPr>
              <w:t>—</w:t>
            </w:r>
          </w:p>
        </w:tc>
        <w:tc>
          <w:tcPr>
            <w:tcW w:w="780" w:type="dxa"/>
            <w:vAlign w:val="bottom"/>
          </w:tcPr>
          <w:p>
            <w:pPr>
              <w:ind w:left="2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1,500</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3"/>
                <w:szCs w:val="13"/>
                <w:color w:val="auto"/>
                <w:w w:val="94"/>
              </w:rPr>
              <w:t>Indefinite</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9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639,493</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(253,161)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5"/>
              </w:rPr>
              <w:t>386,332</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800" w:type="dxa"/>
            <w:vAlign w:val="bottom"/>
            <w:tcBorders>
              <w:top w:val="single" w:sz="8" w:color="CCEEFF"/>
              <w:bottom w:val="single" w:sz="8" w:color="CCEEFF"/>
            </w:tcBorders>
            <w:shd w:val="clear" w:color="auto" w:fill="CCEEFF"/>
          </w:tcPr>
          <w:p>
            <w:pPr>
              <w:spacing w:after="0"/>
              <w:rPr>
                <w:sz w:val="15"/>
                <w:szCs w:val="15"/>
                <w:color w:val="auto"/>
              </w:rPr>
            </w:pP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tbl>
      <w:tblPr>
        <w:tblLayout w:type="fixed"/>
        <w:tblInd w:w="240" w:type="dxa"/>
        <w:tblCellMar>
          <w:top w:w="0" w:type="dxa"/>
          <w:left w:w="0" w:type="dxa"/>
          <w:bottom w:w="0" w:type="dxa"/>
          <w:right w:w="0" w:type="dxa"/>
        </w:tblCellMar>
      </w:tblPr>
      <w:tr>
        <w:trPr>
          <w:trHeight w:val="169"/>
        </w:trPr>
        <w:tc>
          <w:tcPr>
            <w:tcW w:w="4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ind w:left="680"/>
              <w:spacing w:after="0"/>
              <w:rPr>
                <w:sz w:val="20"/>
                <w:szCs w:val="20"/>
                <w:color w:val="auto"/>
              </w:rPr>
            </w:pPr>
            <w:r>
              <w:rPr>
                <w:rFonts w:ascii="Arial" w:cs="Arial" w:eastAsia="Arial" w:hAnsi="Arial"/>
                <w:sz w:val="13"/>
                <w:szCs w:val="13"/>
                <w:b w:val="1"/>
                <w:bCs w:val="1"/>
                <w:color w:val="auto"/>
                <w:w w:val="84"/>
              </w:rPr>
              <w:t>As of December 31, 2020</w:t>
            </w: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50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(in thousands)</w:t>
            </w:r>
          </w:p>
        </w:tc>
        <w:tc>
          <w:tcPr>
            <w:tcW w:w="140" w:type="dxa"/>
            <w:vAlign w:val="bottom"/>
          </w:tcPr>
          <w:p>
            <w:pPr>
              <w:spacing w:after="0"/>
              <w:rPr>
                <w:sz w:val="9"/>
                <w:szCs w:val="9"/>
                <w:color w:val="auto"/>
              </w:rPr>
            </w:pPr>
          </w:p>
        </w:tc>
        <w:tc>
          <w:tcPr>
            <w:tcW w:w="1240" w:type="dxa"/>
            <w:vAlign w:val="bottom"/>
            <w:gridSpan w:val="2"/>
          </w:tcPr>
          <w:p>
            <w:pPr>
              <w:jc w:val="center"/>
              <w:ind w:right="280"/>
              <w:spacing w:after="0" w:line="115" w:lineRule="exact"/>
              <w:rPr>
                <w:sz w:val="20"/>
                <w:szCs w:val="20"/>
                <w:color w:val="auto"/>
              </w:rPr>
            </w:pPr>
            <w:r>
              <w:rPr>
                <w:rFonts w:ascii="Arial" w:cs="Arial" w:eastAsia="Arial" w:hAnsi="Arial"/>
                <w:sz w:val="13"/>
                <w:szCs w:val="13"/>
                <w:b w:val="1"/>
                <w:bCs w:val="1"/>
                <w:color w:val="auto"/>
                <w:w w:val="88"/>
              </w:rPr>
              <w:t>Gross Carrying</w:t>
            </w:r>
          </w:p>
        </w:tc>
        <w:tc>
          <w:tcPr>
            <w:tcW w:w="160" w:type="dxa"/>
            <w:vAlign w:val="bottom"/>
          </w:tcPr>
          <w:p>
            <w:pPr>
              <w:spacing w:after="0"/>
              <w:rPr>
                <w:sz w:val="9"/>
                <w:szCs w:val="9"/>
                <w:color w:val="auto"/>
              </w:rPr>
            </w:pPr>
          </w:p>
        </w:tc>
        <w:tc>
          <w:tcPr>
            <w:tcW w:w="1220" w:type="dxa"/>
            <w:vAlign w:val="bottom"/>
            <w:gridSpan w:val="2"/>
          </w:tcPr>
          <w:p>
            <w:pPr>
              <w:ind w:left="100"/>
              <w:spacing w:after="0" w:line="115" w:lineRule="exact"/>
              <w:rPr>
                <w:sz w:val="20"/>
                <w:szCs w:val="20"/>
                <w:color w:val="auto"/>
              </w:rPr>
            </w:pPr>
            <w:r>
              <w:rPr>
                <w:rFonts w:ascii="Arial" w:cs="Arial" w:eastAsia="Arial" w:hAnsi="Arial"/>
                <w:sz w:val="13"/>
                <w:szCs w:val="13"/>
                <w:b w:val="1"/>
                <w:bCs w:val="1"/>
                <w:color w:val="auto"/>
              </w:rPr>
              <w:t>Accumulated</w:t>
            </w:r>
          </w:p>
        </w:tc>
        <w:tc>
          <w:tcPr>
            <w:tcW w:w="126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w w:val="91"/>
              </w:rPr>
              <w:t>Net Carrying Amount</w:t>
            </w: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Pr>
          <w:p>
            <w:pPr>
              <w:jc w:val="center"/>
              <w:spacing w:after="0" w:line="115" w:lineRule="exact"/>
              <w:rPr>
                <w:sz w:val="20"/>
                <w:szCs w:val="20"/>
                <w:color w:val="auto"/>
              </w:rPr>
            </w:pPr>
            <w:r>
              <w:rPr>
                <w:rFonts w:ascii="Arial" w:cs="Arial" w:eastAsia="Arial" w:hAnsi="Arial"/>
                <w:sz w:val="13"/>
                <w:szCs w:val="13"/>
                <w:b w:val="1"/>
                <w:bCs w:val="1"/>
                <w:color w:val="auto"/>
                <w:w w:val="86"/>
              </w:rPr>
              <w:t>Useful Lives</w:t>
            </w: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50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9"/>
              </w:rPr>
              <w:t>Amount</w:t>
            </w:r>
          </w:p>
        </w:tc>
        <w:tc>
          <w:tcPr>
            <w:tcW w:w="160" w:type="dxa"/>
            <w:vAlign w:val="bottom"/>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Arial" w:cs="Arial" w:eastAsia="Arial" w:hAnsi="Arial"/>
                <w:sz w:val="13"/>
                <w:szCs w:val="13"/>
                <w:b w:val="1"/>
                <w:bCs w:val="1"/>
                <w:color w:val="auto"/>
              </w:rPr>
              <w:t>Amortization</w:t>
            </w:r>
          </w:p>
        </w:tc>
        <w:tc>
          <w:tcPr>
            <w:tcW w:w="12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6"/>
              </w:rPr>
              <w:t>(Years)</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Customer relationships</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486,600</w:t>
            </w:r>
          </w:p>
        </w:tc>
        <w:tc>
          <w:tcPr>
            <w:tcW w:w="1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(94,299)</w:t>
            </w:r>
          </w:p>
        </w:tc>
        <w:tc>
          <w:tcPr>
            <w:tcW w:w="12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5"/>
              </w:rPr>
              <w:t>392,301</w:t>
            </w:r>
          </w:p>
        </w:tc>
        <w:tc>
          <w:tcPr>
            <w:tcW w:w="12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jc w:val="center"/>
              <w:ind w:left="77"/>
              <w:spacing w:after="0"/>
              <w:rPr>
                <w:sz w:val="20"/>
                <w:szCs w:val="20"/>
                <w:color w:val="auto"/>
              </w:rPr>
            </w:pPr>
            <w:r>
              <w:rPr>
                <w:rFonts w:ascii="Arial" w:cs="Arial" w:eastAsia="Arial" w:hAnsi="Arial"/>
                <w:sz w:val="13"/>
                <w:szCs w:val="13"/>
                <w:color w:val="auto"/>
                <w:w w:val="96"/>
              </w:rPr>
              <w:t>10</w:t>
            </w:r>
          </w:p>
        </w:tc>
        <w:tc>
          <w:tcPr>
            <w:tcW w:w="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1"/>
              </w:rPr>
              <w:t>to</w:t>
            </w:r>
          </w:p>
        </w:tc>
        <w:tc>
          <w:tcPr>
            <w:tcW w:w="400" w:type="dxa"/>
            <w:vAlign w:val="bottom"/>
            <w:tcBorders>
              <w:top w:val="single" w:sz="8" w:color="auto"/>
            </w:tcBorders>
            <w:shd w:val="clear" w:color="auto" w:fill="CCEEFF"/>
          </w:tcPr>
          <w:p>
            <w:pPr>
              <w:jc w:val="center"/>
              <w:ind w:right="57"/>
              <w:spacing w:after="0"/>
              <w:rPr>
                <w:sz w:val="20"/>
                <w:szCs w:val="20"/>
                <w:color w:val="auto"/>
              </w:rPr>
            </w:pPr>
            <w:r>
              <w:rPr>
                <w:rFonts w:ascii="Arial" w:cs="Arial" w:eastAsia="Arial" w:hAnsi="Arial"/>
                <w:sz w:val="13"/>
                <w:szCs w:val="13"/>
                <w:color w:val="auto"/>
                <w:w w:val="82"/>
              </w:rPr>
              <w:t>12</w:t>
            </w:r>
          </w:p>
        </w:tc>
        <w:tc>
          <w:tcPr>
            <w:tcW w:w="0" w:type="dxa"/>
            <w:vAlign w:val="bottom"/>
          </w:tcPr>
          <w:p>
            <w:pPr>
              <w:spacing w:after="0"/>
              <w:rPr>
                <w:sz w:val="1"/>
                <w:szCs w:val="1"/>
                <w:color w:val="auto"/>
              </w:rPr>
            </w:pPr>
          </w:p>
        </w:tc>
      </w:tr>
      <w:tr>
        <w:trPr>
          <w:trHeight w:val="163"/>
        </w:trPr>
        <w:tc>
          <w:tcPr>
            <w:tcW w:w="5020" w:type="dxa"/>
            <w:vAlign w:val="bottom"/>
            <w:gridSpan w:val="2"/>
          </w:tcPr>
          <w:p>
            <w:pPr>
              <w:ind w:left="20"/>
              <w:spacing w:after="0"/>
              <w:rPr>
                <w:sz w:val="20"/>
                <w:szCs w:val="20"/>
                <w:color w:val="auto"/>
              </w:rPr>
            </w:pPr>
            <w:r>
              <w:rPr>
                <w:rFonts w:ascii="Arial" w:cs="Arial" w:eastAsia="Arial" w:hAnsi="Arial"/>
                <w:sz w:val="13"/>
                <w:szCs w:val="13"/>
                <w:color w:val="auto"/>
              </w:rPr>
              <w:t>Technology</w:t>
            </w: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136,000</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(82,403)</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53,597</w:t>
            </w:r>
          </w:p>
        </w:tc>
        <w:tc>
          <w:tcPr>
            <w:tcW w:w="520" w:type="dxa"/>
            <w:vAlign w:val="bottom"/>
            <w:gridSpan w:val="2"/>
          </w:tcPr>
          <w:p>
            <w:pPr>
              <w:jc w:val="center"/>
              <w:ind w:left="197"/>
              <w:spacing w:after="0"/>
              <w:rPr>
                <w:sz w:val="20"/>
                <w:szCs w:val="20"/>
                <w:color w:val="auto"/>
              </w:rPr>
            </w:pPr>
            <w:r>
              <w:rPr>
                <w:rFonts w:ascii="Arial" w:cs="Arial" w:eastAsia="Arial" w:hAnsi="Arial"/>
                <w:sz w:val="13"/>
                <w:szCs w:val="13"/>
                <w:color w:val="auto"/>
                <w:w w:val="82"/>
              </w:rPr>
              <w:t>1</w:t>
            </w:r>
          </w:p>
        </w:tc>
        <w:tc>
          <w:tcPr>
            <w:tcW w:w="800" w:type="dxa"/>
            <w:vAlign w:val="bottom"/>
          </w:tcPr>
          <w:p>
            <w:pPr>
              <w:jc w:val="center"/>
              <w:spacing w:after="0"/>
              <w:rPr>
                <w:sz w:val="20"/>
                <w:szCs w:val="20"/>
                <w:color w:val="auto"/>
              </w:rPr>
            </w:pPr>
            <w:r>
              <w:rPr>
                <w:rFonts w:ascii="Arial" w:cs="Arial" w:eastAsia="Arial" w:hAnsi="Arial"/>
                <w:sz w:val="13"/>
                <w:szCs w:val="13"/>
                <w:color w:val="auto"/>
                <w:w w:val="91"/>
              </w:rPr>
              <w:t>to</w:t>
            </w:r>
          </w:p>
        </w:tc>
        <w:tc>
          <w:tcPr>
            <w:tcW w:w="400" w:type="dxa"/>
            <w:vAlign w:val="bottom"/>
          </w:tcPr>
          <w:p>
            <w:pPr>
              <w:jc w:val="center"/>
              <w:ind w:right="77"/>
              <w:spacing w:after="0"/>
              <w:rPr>
                <w:sz w:val="20"/>
                <w:szCs w:val="20"/>
                <w:color w:val="auto"/>
              </w:rPr>
            </w:pPr>
            <w:r>
              <w:rPr>
                <w:rFonts w:ascii="Arial" w:cs="Arial" w:eastAsia="Arial" w:hAnsi="Arial"/>
                <w:sz w:val="13"/>
                <w:szCs w:val="13"/>
                <w:color w:val="auto"/>
                <w:w w:val="82"/>
              </w:rPr>
              <w:t>6</w:t>
            </w:r>
          </w:p>
        </w:tc>
        <w:tc>
          <w:tcPr>
            <w:tcW w:w="0" w:type="dxa"/>
            <w:vAlign w:val="bottom"/>
          </w:tcPr>
          <w:p>
            <w:pPr>
              <w:spacing w:after="0"/>
              <w:rPr>
                <w:sz w:val="1"/>
                <w:szCs w:val="1"/>
                <w:color w:val="auto"/>
              </w:rPr>
            </w:pPr>
          </w:p>
        </w:tc>
      </w:tr>
      <w:tr>
        <w:trPr>
          <w:trHeight w:val="168"/>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Favorable occupancy leases</w:t>
            </w: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5,895</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(2,839)</w:t>
            </w: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3,056</w:t>
            </w:r>
          </w:p>
        </w:tc>
        <w:tc>
          <w:tcPr>
            <w:tcW w:w="520" w:type="dxa"/>
            <w:vAlign w:val="bottom"/>
            <w:gridSpan w:val="2"/>
            <w:shd w:val="clear" w:color="auto" w:fill="CCEEFF"/>
          </w:tcPr>
          <w:p>
            <w:pPr>
              <w:jc w:val="center"/>
              <w:ind w:left="197"/>
              <w:spacing w:after="0"/>
              <w:rPr>
                <w:sz w:val="20"/>
                <w:szCs w:val="20"/>
                <w:color w:val="auto"/>
              </w:rPr>
            </w:pPr>
            <w:r>
              <w:rPr>
                <w:rFonts w:ascii="Arial" w:cs="Arial" w:eastAsia="Arial" w:hAnsi="Arial"/>
                <w:sz w:val="13"/>
                <w:szCs w:val="13"/>
                <w:color w:val="auto"/>
                <w:w w:val="82"/>
              </w:rPr>
              <w:t>3</w:t>
            </w: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to</w:t>
            </w:r>
          </w:p>
        </w:tc>
        <w:tc>
          <w:tcPr>
            <w:tcW w:w="400" w:type="dxa"/>
            <w:vAlign w:val="bottom"/>
            <w:shd w:val="clear" w:color="auto" w:fill="CCEEFF"/>
          </w:tcPr>
          <w:p>
            <w:pPr>
              <w:jc w:val="center"/>
              <w:ind w:right="57"/>
              <w:spacing w:after="0"/>
              <w:rPr>
                <w:sz w:val="20"/>
                <w:szCs w:val="20"/>
                <w:color w:val="auto"/>
              </w:rPr>
            </w:pPr>
            <w:r>
              <w:rPr>
                <w:rFonts w:ascii="Arial" w:cs="Arial" w:eastAsia="Arial" w:hAnsi="Arial"/>
                <w:sz w:val="13"/>
                <w:szCs w:val="13"/>
                <w:color w:val="auto"/>
                <w:w w:val="82"/>
              </w:rPr>
              <w:t>15</w:t>
            </w:r>
          </w:p>
        </w:tc>
        <w:tc>
          <w:tcPr>
            <w:tcW w:w="0" w:type="dxa"/>
            <w:vAlign w:val="bottom"/>
          </w:tcPr>
          <w:p>
            <w:pPr>
              <w:spacing w:after="0"/>
              <w:rPr>
                <w:sz w:val="1"/>
                <w:szCs w:val="1"/>
                <w:color w:val="auto"/>
              </w:rPr>
            </w:pPr>
          </w:p>
        </w:tc>
      </w:tr>
      <w:tr>
        <w:trPr>
          <w:trHeight w:val="163"/>
        </w:trPr>
        <w:tc>
          <w:tcPr>
            <w:tcW w:w="5020" w:type="dxa"/>
            <w:vAlign w:val="bottom"/>
            <w:gridSpan w:val="2"/>
          </w:tcPr>
          <w:p>
            <w:pPr>
              <w:ind w:left="20"/>
              <w:spacing w:after="0"/>
              <w:rPr>
                <w:sz w:val="20"/>
                <w:szCs w:val="20"/>
                <w:color w:val="auto"/>
              </w:rPr>
            </w:pPr>
            <w:r>
              <w:rPr>
                <w:rFonts w:ascii="Arial" w:cs="Arial" w:eastAsia="Arial" w:hAnsi="Arial"/>
                <w:sz w:val="13"/>
                <w:szCs w:val="13"/>
                <w:color w:val="auto"/>
              </w:rPr>
              <w:t>Exchange memberships</w:t>
            </w: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3,998</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ind w:left="900"/>
              <w:spacing w:after="0"/>
              <w:rPr>
                <w:sz w:val="20"/>
                <w:szCs w:val="20"/>
                <w:color w:val="auto"/>
              </w:rPr>
            </w:pPr>
            <w:r>
              <w:rPr>
                <w:rFonts w:ascii="Arial" w:cs="Arial" w:eastAsia="Arial" w:hAnsi="Arial"/>
                <w:sz w:val="13"/>
                <w:szCs w:val="13"/>
                <w:color w:val="auto"/>
              </w:rPr>
              <w:t>—</w:t>
            </w:r>
          </w:p>
        </w:tc>
        <w:tc>
          <w:tcPr>
            <w:tcW w:w="7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3,998</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3"/>
                <w:szCs w:val="13"/>
                <w:color w:val="auto"/>
                <w:w w:val="94"/>
              </w:rPr>
              <w:t>Indefinite</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Trade name</w:t>
            </w: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3,600</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(2,200)</w:t>
            </w: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1,400</w:t>
            </w: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3</w:t>
            </w:r>
          </w:p>
        </w:tc>
        <w:tc>
          <w:tcPr>
            <w:tcW w:w="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020" w:type="dxa"/>
            <w:vAlign w:val="bottom"/>
            <w:gridSpan w:val="2"/>
          </w:tcPr>
          <w:p>
            <w:pPr>
              <w:ind w:left="20"/>
              <w:spacing w:after="0"/>
              <w:rPr>
                <w:sz w:val="20"/>
                <w:szCs w:val="20"/>
                <w:color w:val="auto"/>
              </w:rPr>
            </w:pPr>
            <w:r>
              <w:rPr>
                <w:rFonts w:ascii="Arial" w:cs="Arial" w:eastAsia="Arial" w:hAnsi="Arial"/>
                <w:sz w:val="13"/>
                <w:szCs w:val="13"/>
                <w:color w:val="auto"/>
              </w:rPr>
              <w:t>ETF issuer relationships</w:t>
            </w: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950</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(877)</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73</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3"/>
                <w:szCs w:val="13"/>
                <w:color w:val="auto"/>
                <w:w w:val="82"/>
              </w:rPr>
              <w:t>9</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ETF buyer relationships</w:t>
            </w: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950</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(876)</w:t>
            </w: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w:t>
            </w: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9</w:t>
            </w:r>
          </w:p>
        </w:tc>
        <w:tc>
          <w:tcPr>
            <w:tcW w:w="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020" w:type="dxa"/>
            <w:vAlign w:val="bottom"/>
            <w:gridSpan w:val="2"/>
          </w:tcPr>
          <w:p>
            <w:pPr>
              <w:ind w:left="20"/>
              <w:spacing w:after="0"/>
              <w:rPr>
                <w:sz w:val="20"/>
                <w:szCs w:val="20"/>
                <w:color w:val="auto"/>
              </w:rPr>
            </w:pPr>
            <w:r>
              <w:rPr>
                <w:rFonts w:ascii="Arial" w:cs="Arial" w:eastAsia="Arial" w:hAnsi="Arial"/>
                <w:sz w:val="13"/>
                <w:szCs w:val="13"/>
                <w:color w:val="auto"/>
              </w:rPr>
              <w:t>Other</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1220" w:type="dxa"/>
            <w:vAlign w:val="bottom"/>
            <w:gridSpan w:val="2"/>
          </w:tcPr>
          <w:p>
            <w:pPr>
              <w:ind w:left="900"/>
              <w:spacing w:after="0"/>
              <w:rPr>
                <w:sz w:val="20"/>
                <w:szCs w:val="20"/>
                <w:color w:val="auto"/>
              </w:rPr>
            </w:pPr>
            <w:r>
              <w:rPr>
                <w:rFonts w:ascii="Arial" w:cs="Arial" w:eastAsia="Arial" w:hAnsi="Arial"/>
                <w:sz w:val="13"/>
                <w:szCs w:val="13"/>
                <w:color w:val="auto"/>
              </w:rPr>
              <w:t>—</w:t>
            </w:r>
          </w:p>
        </w:tc>
        <w:tc>
          <w:tcPr>
            <w:tcW w:w="780" w:type="dxa"/>
            <w:vAlign w:val="bottom"/>
          </w:tcPr>
          <w:p>
            <w:pPr>
              <w:ind w:left="2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3"/>
                <w:szCs w:val="13"/>
                <w:color w:val="auto"/>
                <w:w w:val="94"/>
              </w:rPr>
              <w:t>Indefinite</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9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637,993</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(183,494)</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5"/>
              </w:rPr>
              <w:t>454,499</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800" w:type="dxa"/>
            <w:vAlign w:val="bottom"/>
            <w:tcBorders>
              <w:top w:val="single" w:sz="8" w:color="CCEEFF"/>
              <w:bottom w:val="single" w:sz="8" w:color="CCEEFF"/>
            </w:tcBorders>
            <w:shd w:val="clear" w:color="auto" w:fill="CCEEFF"/>
          </w:tcPr>
          <w:p>
            <w:pPr>
              <w:spacing w:after="0"/>
              <w:rPr>
                <w:sz w:val="15"/>
                <w:szCs w:val="15"/>
                <w:color w:val="auto"/>
              </w:rPr>
            </w:pP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2" w:lineRule="exact"/>
        <w:rPr>
          <w:sz w:val="20"/>
          <w:szCs w:val="20"/>
          <w:color w:val="auto"/>
        </w:rPr>
      </w:pPr>
    </w:p>
    <w:p>
      <w:pPr>
        <w:ind w:firstLine="568"/>
        <w:spacing w:after="0" w:line="257" w:lineRule="auto"/>
        <w:rPr>
          <w:sz w:val="20"/>
          <w:szCs w:val="20"/>
          <w:color w:val="auto"/>
        </w:rPr>
      </w:pPr>
      <w:r>
        <w:rPr>
          <w:rFonts w:ascii="Arial" w:cs="Arial" w:eastAsia="Arial" w:hAnsi="Arial"/>
          <w:sz w:val="16"/>
          <w:szCs w:val="16"/>
          <w:color w:val="auto"/>
        </w:rPr>
        <w:t>Amortization expense relating to finite-lived intangible assets was approximately $69.7 million, $74.3 million and $70.6 million for the years ended December 31, 2021, 2020, and 2019 respectively. This is included in Amortization of purchased intangibles and acquired capitalized software in the accompanying Consolidated Statements of Comprehensive Income.</w:t>
      </w:r>
    </w:p>
    <w:p>
      <w:pPr>
        <w:spacing w:after="0" w:line="19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 expects to record amortization expense as follows over the next five subsequent years:</w:t>
      </w:r>
    </w:p>
    <w:p>
      <w:pPr>
        <w:spacing w:after="0" w:line="247" w:lineRule="exact"/>
        <w:rPr>
          <w:sz w:val="20"/>
          <w:szCs w:val="20"/>
          <w:color w:val="auto"/>
        </w:rPr>
      </w:pPr>
    </w:p>
    <w:tbl>
      <w:tblPr>
        <w:tblLayout w:type="fixed"/>
        <w:tblInd w:w="3400" w:type="dxa"/>
        <w:tblCellMar>
          <w:top w:w="0" w:type="dxa"/>
          <w:left w:w="0" w:type="dxa"/>
          <w:bottom w:w="0" w:type="dxa"/>
          <w:right w:w="0" w:type="dxa"/>
        </w:tblCellMar>
      </w:tblPr>
      <w:tr>
        <w:trPr>
          <w:trHeight w:val="169"/>
        </w:trPr>
        <w:tc>
          <w:tcPr>
            <w:tcW w:w="2700" w:type="dxa"/>
            <w:vAlign w:val="bottom"/>
          </w:tcPr>
          <w:p>
            <w:pPr>
              <w:ind w:left="300"/>
              <w:spacing w:after="0"/>
              <w:rPr>
                <w:sz w:val="20"/>
                <w:szCs w:val="20"/>
                <w:color w:val="auto"/>
              </w:rPr>
            </w:pPr>
            <w:r>
              <w:rPr>
                <w:rFonts w:ascii="Arial" w:cs="Arial" w:eastAsia="Arial" w:hAnsi="Arial"/>
                <w:sz w:val="13"/>
                <w:szCs w:val="13"/>
                <w:b w:val="1"/>
                <w:bCs w:val="1"/>
                <w:color w:val="auto"/>
              </w:rPr>
              <w:t>(in thousands)</w:t>
            </w:r>
          </w:p>
        </w:tc>
        <w:tc>
          <w:tcPr>
            <w:tcW w:w="2020" w:type="dxa"/>
            <w:vAlign w:val="bottom"/>
          </w:tcPr>
          <w:p>
            <w:pPr>
              <w:spacing w:after="0"/>
              <w:rPr>
                <w:sz w:val="14"/>
                <w:szCs w:val="14"/>
                <w:color w:val="auto"/>
              </w:rPr>
            </w:pPr>
          </w:p>
        </w:tc>
      </w:tr>
      <w:tr>
        <w:trPr>
          <w:trHeight w:val="170"/>
        </w:trPr>
        <w:tc>
          <w:tcPr>
            <w:tcW w:w="2700" w:type="dxa"/>
            <w:vAlign w:val="bottom"/>
            <w:shd w:val="clear" w:color="auto" w:fill="CCEEFF"/>
          </w:tcPr>
          <w:p>
            <w:pPr>
              <w:ind w:left="300"/>
              <w:spacing w:after="0"/>
              <w:rPr>
                <w:sz w:val="20"/>
                <w:szCs w:val="20"/>
                <w:color w:val="auto"/>
              </w:rPr>
            </w:pPr>
            <w:r>
              <w:rPr>
                <w:rFonts w:ascii="Arial" w:cs="Arial" w:eastAsia="Arial" w:hAnsi="Arial"/>
                <w:sz w:val="13"/>
                <w:szCs w:val="13"/>
                <w:color w:val="auto"/>
              </w:rPr>
              <w:t>2022</w:t>
            </w:r>
          </w:p>
        </w:tc>
        <w:tc>
          <w:tcPr>
            <w:tcW w:w="2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64,822</w:t>
            </w:r>
          </w:p>
        </w:tc>
      </w:tr>
      <w:tr>
        <w:trPr>
          <w:trHeight w:val="163"/>
        </w:trPr>
        <w:tc>
          <w:tcPr>
            <w:tcW w:w="2700" w:type="dxa"/>
            <w:vAlign w:val="bottom"/>
          </w:tcPr>
          <w:p>
            <w:pPr>
              <w:ind w:left="300"/>
              <w:spacing w:after="0"/>
              <w:rPr>
                <w:sz w:val="20"/>
                <w:szCs w:val="20"/>
                <w:color w:val="auto"/>
              </w:rPr>
            </w:pPr>
            <w:r>
              <w:rPr>
                <w:rFonts w:ascii="Arial" w:cs="Arial" w:eastAsia="Arial" w:hAnsi="Arial"/>
                <w:sz w:val="13"/>
                <w:szCs w:val="13"/>
                <w:color w:val="auto"/>
              </w:rPr>
              <w:t>2023</w:t>
            </w:r>
          </w:p>
        </w:tc>
        <w:tc>
          <w:tcPr>
            <w:tcW w:w="2020" w:type="dxa"/>
            <w:vAlign w:val="bottom"/>
          </w:tcPr>
          <w:p>
            <w:pPr>
              <w:jc w:val="right"/>
              <w:spacing w:after="0"/>
              <w:rPr>
                <w:sz w:val="20"/>
                <w:szCs w:val="20"/>
                <w:color w:val="auto"/>
              </w:rPr>
            </w:pPr>
            <w:r>
              <w:rPr>
                <w:rFonts w:ascii="Arial" w:cs="Arial" w:eastAsia="Arial" w:hAnsi="Arial"/>
                <w:sz w:val="13"/>
                <w:szCs w:val="13"/>
                <w:color w:val="auto"/>
              </w:rPr>
              <w:t>63,960</w:t>
            </w:r>
          </w:p>
        </w:tc>
      </w:tr>
      <w:tr>
        <w:trPr>
          <w:trHeight w:val="168"/>
        </w:trPr>
        <w:tc>
          <w:tcPr>
            <w:tcW w:w="2700" w:type="dxa"/>
            <w:vAlign w:val="bottom"/>
            <w:shd w:val="clear" w:color="auto" w:fill="CCEEFF"/>
          </w:tcPr>
          <w:p>
            <w:pPr>
              <w:ind w:left="300"/>
              <w:spacing w:after="0"/>
              <w:rPr>
                <w:sz w:val="20"/>
                <w:szCs w:val="20"/>
                <w:color w:val="auto"/>
              </w:rPr>
            </w:pPr>
            <w:r>
              <w:rPr>
                <w:rFonts w:ascii="Arial" w:cs="Arial" w:eastAsia="Arial" w:hAnsi="Arial"/>
                <w:sz w:val="13"/>
                <w:szCs w:val="13"/>
                <w:color w:val="auto"/>
              </w:rPr>
              <w:t>2024</w:t>
            </w:r>
          </w:p>
        </w:tc>
        <w:tc>
          <w:tcPr>
            <w:tcW w:w="2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50,845</w:t>
            </w:r>
          </w:p>
        </w:tc>
      </w:tr>
      <w:tr>
        <w:trPr>
          <w:trHeight w:val="163"/>
        </w:trPr>
        <w:tc>
          <w:tcPr>
            <w:tcW w:w="2700" w:type="dxa"/>
            <w:vAlign w:val="bottom"/>
          </w:tcPr>
          <w:p>
            <w:pPr>
              <w:ind w:left="300"/>
              <w:spacing w:after="0"/>
              <w:rPr>
                <w:sz w:val="20"/>
                <w:szCs w:val="20"/>
                <w:color w:val="auto"/>
              </w:rPr>
            </w:pPr>
            <w:r>
              <w:rPr>
                <w:rFonts w:ascii="Arial" w:cs="Arial" w:eastAsia="Arial" w:hAnsi="Arial"/>
                <w:sz w:val="13"/>
                <w:szCs w:val="13"/>
                <w:color w:val="auto"/>
              </w:rPr>
              <w:t>2025</w:t>
            </w:r>
          </w:p>
        </w:tc>
        <w:tc>
          <w:tcPr>
            <w:tcW w:w="2020" w:type="dxa"/>
            <w:vAlign w:val="bottom"/>
          </w:tcPr>
          <w:p>
            <w:pPr>
              <w:jc w:val="right"/>
              <w:spacing w:after="0"/>
              <w:rPr>
                <w:sz w:val="20"/>
                <w:szCs w:val="20"/>
                <w:color w:val="auto"/>
              </w:rPr>
            </w:pPr>
            <w:r>
              <w:rPr>
                <w:rFonts w:ascii="Arial" w:cs="Arial" w:eastAsia="Arial" w:hAnsi="Arial"/>
                <w:sz w:val="13"/>
                <w:szCs w:val="13"/>
                <w:color w:val="auto"/>
              </w:rPr>
              <w:t>47,879</w:t>
            </w:r>
          </w:p>
        </w:tc>
      </w:tr>
      <w:tr>
        <w:trPr>
          <w:trHeight w:val="168"/>
        </w:trPr>
        <w:tc>
          <w:tcPr>
            <w:tcW w:w="2700" w:type="dxa"/>
            <w:vAlign w:val="bottom"/>
            <w:shd w:val="clear" w:color="auto" w:fill="CCEEFF"/>
          </w:tcPr>
          <w:p>
            <w:pPr>
              <w:ind w:left="300"/>
              <w:spacing w:after="0"/>
              <w:rPr>
                <w:sz w:val="20"/>
                <w:szCs w:val="20"/>
                <w:color w:val="auto"/>
              </w:rPr>
            </w:pPr>
            <w:r>
              <w:rPr>
                <w:rFonts w:ascii="Arial" w:cs="Arial" w:eastAsia="Arial" w:hAnsi="Arial"/>
                <w:sz w:val="13"/>
                <w:szCs w:val="13"/>
                <w:color w:val="auto"/>
              </w:rPr>
              <w:t>2026</w:t>
            </w:r>
          </w:p>
        </w:tc>
        <w:tc>
          <w:tcPr>
            <w:tcW w:w="2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47,879</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98" w:name="page99"/>
    <w:bookmarkEnd w:id="98"/>
    <w:p>
      <w:pPr>
        <w:ind w:left="5"/>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8. Receivables from/Payables to Broker-Dealers and Clearing Organizations</w:t>
      </w:r>
    </w:p>
    <w:p>
      <w:pPr>
        <w:spacing w:after="0" w:line="223" w:lineRule="exact"/>
        <w:rPr>
          <w:sz w:val="20"/>
          <w:szCs w:val="20"/>
          <w:color w:val="auto"/>
        </w:rPr>
      </w:pPr>
    </w:p>
    <w:p>
      <w:pPr>
        <w:ind w:left="565"/>
        <w:spacing w:after="0"/>
        <w:rPr>
          <w:sz w:val="20"/>
          <w:szCs w:val="20"/>
          <w:color w:val="auto"/>
        </w:rPr>
      </w:pPr>
      <w:r>
        <w:rPr>
          <w:rFonts w:ascii="Arial" w:cs="Arial" w:eastAsia="Arial" w:hAnsi="Arial"/>
          <w:sz w:val="15"/>
          <w:szCs w:val="15"/>
          <w:color w:val="auto"/>
        </w:rPr>
        <w:t>The following is a summary of receivables from and payables to brokers-dealers and clearing organizations at December 31, 2021 and December 31, 2020:</w:t>
      </w:r>
    </w:p>
    <w:p>
      <w:pPr>
        <w:spacing w:after="0" w:line="235" w:lineRule="exact"/>
        <w:rPr>
          <w:sz w:val="20"/>
          <w:szCs w:val="20"/>
          <w:color w:val="auto"/>
        </w:rPr>
      </w:pPr>
    </w:p>
    <w:tbl>
      <w:tblPr>
        <w:tblLayout w:type="fixed"/>
        <w:tblInd w:w="265" w:type="dxa"/>
        <w:tblCellMar>
          <w:top w:w="0" w:type="dxa"/>
          <w:left w:w="0" w:type="dxa"/>
          <w:bottom w:w="0" w:type="dxa"/>
          <w:right w:w="0" w:type="dxa"/>
        </w:tblCellMar>
      </w:tblPr>
      <w:tr>
        <w:trPr>
          <w:trHeight w:val="169"/>
        </w:trPr>
        <w:tc>
          <w:tcPr>
            <w:tcW w:w="7020" w:type="dxa"/>
            <w:vAlign w:val="bottom"/>
            <w:gridSpan w:val="2"/>
          </w:tcPr>
          <w:p>
            <w:pPr>
              <w:ind w:left="20"/>
              <w:spacing w:after="0"/>
              <w:rPr>
                <w:sz w:val="20"/>
                <w:szCs w:val="20"/>
                <w:color w:val="auto"/>
              </w:rPr>
            </w:pPr>
            <w:r>
              <w:rPr>
                <w:rFonts w:ascii="Arial" w:cs="Arial" w:eastAsia="Arial" w:hAnsi="Arial"/>
                <w:sz w:val="13"/>
                <w:szCs w:val="13"/>
                <w:b w:val="1"/>
                <w:bCs w:val="1"/>
                <w:color w:val="auto"/>
              </w:rPr>
              <w:t>(in thousands)</w:t>
            </w:r>
          </w:p>
        </w:tc>
        <w:tc>
          <w:tcPr>
            <w:tcW w:w="240" w:type="dxa"/>
            <w:vAlign w:val="bottom"/>
          </w:tcPr>
          <w:p>
            <w:pPr>
              <w:spacing w:after="0"/>
              <w:rPr>
                <w:sz w:val="14"/>
                <w:szCs w:val="14"/>
                <w:color w:val="auto"/>
              </w:rPr>
            </w:pPr>
          </w:p>
        </w:tc>
        <w:tc>
          <w:tcPr>
            <w:tcW w:w="1680" w:type="dxa"/>
            <w:vAlign w:val="bottom"/>
            <w:gridSpan w:val="2"/>
          </w:tcPr>
          <w:p>
            <w:pPr>
              <w:ind w:left="160"/>
              <w:spacing w:after="0"/>
              <w:rPr>
                <w:sz w:val="20"/>
                <w:szCs w:val="20"/>
                <w:color w:val="auto"/>
              </w:rPr>
            </w:pPr>
            <w:r>
              <w:rPr>
                <w:rFonts w:ascii="Arial" w:cs="Arial" w:eastAsia="Arial" w:hAnsi="Arial"/>
                <w:sz w:val="13"/>
                <w:szCs w:val="13"/>
                <w:b w:val="1"/>
                <w:bCs w:val="1"/>
                <w:color w:val="auto"/>
              </w:rPr>
              <w:t>December 31, 2021</w:t>
            </w:r>
          </w:p>
        </w:tc>
        <w:tc>
          <w:tcPr>
            <w:tcW w:w="220" w:type="dxa"/>
            <w:vAlign w:val="bottom"/>
          </w:tcPr>
          <w:p>
            <w:pPr>
              <w:spacing w:after="0"/>
              <w:rPr>
                <w:sz w:val="14"/>
                <w:szCs w:val="14"/>
                <w:color w:val="auto"/>
              </w:rPr>
            </w:pPr>
          </w:p>
        </w:tc>
        <w:tc>
          <w:tcPr>
            <w:tcW w:w="1580" w:type="dxa"/>
            <w:vAlign w:val="bottom"/>
          </w:tcPr>
          <w:p>
            <w:pPr>
              <w:jc w:val="right"/>
              <w:ind w:right="337"/>
              <w:spacing w:after="0"/>
              <w:rPr>
                <w:sz w:val="20"/>
                <w:szCs w:val="20"/>
                <w:color w:val="auto"/>
              </w:rPr>
            </w:pPr>
            <w:r>
              <w:rPr>
                <w:rFonts w:ascii="Arial" w:cs="Arial" w:eastAsia="Arial" w:hAnsi="Arial"/>
                <w:sz w:val="13"/>
                <w:szCs w:val="13"/>
                <w:b w:val="1"/>
                <w:bCs w:val="1"/>
                <w:color w:val="auto"/>
                <w:w w:val="99"/>
              </w:rPr>
              <w:t>December 31, 2020</w:t>
            </w:r>
          </w:p>
        </w:tc>
      </w:tr>
      <w:tr>
        <w:trPr>
          <w:trHeight w:val="162"/>
        </w:trPr>
        <w:tc>
          <w:tcPr>
            <w:tcW w:w="6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Assets</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5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spacing w:after="0"/>
              <w:rPr>
                <w:sz w:val="14"/>
                <w:szCs w:val="14"/>
                <w:color w:val="auto"/>
              </w:rPr>
            </w:pPr>
          </w:p>
        </w:tc>
      </w:tr>
      <w:tr>
        <w:trPr>
          <w:trHeight w:val="163"/>
        </w:trPr>
        <w:tc>
          <w:tcPr>
            <w:tcW w:w="7020" w:type="dxa"/>
            <w:vAlign w:val="bottom"/>
            <w:gridSpan w:val="2"/>
          </w:tcPr>
          <w:p>
            <w:pPr>
              <w:ind w:left="20"/>
              <w:spacing w:after="0"/>
              <w:rPr>
                <w:sz w:val="20"/>
                <w:szCs w:val="20"/>
                <w:color w:val="auto"/>
              </w:rPr>
            </w:pPr>
            <w:r>
              <w:rPr>
                <w:rFonts w:ascii="Arial" w:cs="Arial" w:eastAsia="Arial" w:hAnsi="Arial"/>
                <w:sz w:val="13"/>
                <w:szCs w:val="13"/>
                <w:color w:val="auto"/>
              </w:rPr>
              <w:t>Due from prime brokers</w:t>
            </w: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1560" w:type="dxa"/>
            <w:vAlign w:val="bottom"/>
          </w:tcPr>
          <w:p>
            <w:pPr>
              <w:jc w:val="right"/>
              <w:spacing w:after="0"/>
              <w:rPr>
                <w:sz w:val="20"/>
                <w:szCs w:val="20"/>
                <w:color w:val="auto"/>
              </w:rPr>
            </w:pPr>
            <w:r>
              <w:rPr>
                <w:rFonts w:ascii="Arial" w:cs="Arial" w:eastAsia="Arial" w:hAnsi="Arial"/>
                <w:sz w:val="13"/>
                <w:szCs w:val="13"/>
                <w:color w:val="auto"/>
              </w:rPr>
              <w:t>287,990</w:t>
            </w:r>
          </w:p>
        </w:tc>
        <w:tc>
          <w:tcPr>
            <w:tcW w:w="120" w:type="dxa"/>
            <w:vAlign w:val="bottom"/>
          </w:tcPr>
          <w:p>
            <w:pPr>
              <w:spacing w:after="0"/>
              <w:rPr>
                <w:sz w:val="14"/>
                <w:szCs w:val="14"/>
                <w:color w:val="auto"/>
              </w:rPr>
            </w:pPr>
          </w:p>
        </w:tc>
        <w:tc>
          <w:tcPr>
            <w:tcW w:w="220" w:type="dxa"/>
            <w:vAlign w:val="bottom"/>
          </w:tcPr>
          <w:p>
            <w:pPr>
              <w:jc w:val="right"/>
              <w:ind w:right="113"/>
              <w:spacing w:after="0"/>
              <w:rPr>
                <w:sz w:val="20"/>
                <w:szCs w:val="20"/>
                <w:color w:val="auto"/>
              </w:rPr>
            </w:pPr>
            <w:r>
              <w:rPr>
                <w:rFonts w:ascii="Arial" w:cs="Arial" w:eastAsia="Arial" w:hAnsi="Arial"/>
                <w:sz w:val="9"/>
                <w:szCs w:val="9"/>
                <w:color w:val="auto"/>
                <w:w w:val="78"/>
              </w:rPr>
              <w:t>$</w:t>
            </w:r>
          </w:p>
        </w:tc>
        <w:tc>
          <w:tcPr>
            <w:tcW w:w="1580" w:type="dxa"/>
            <w:vAlign w:val="bottom"/>
          </w:tcPr>
          <w:p>
            <w:pPr>
              <w:jc w:val="right"/>
              <w:spacing w:after="0"/>
              <w:rPr>
                <w:sz w:val="20"/>
                <w:szCs w:val="20"/>
                <w:color w:val="auto"/>
              </w:rPr>
            </w:pPr>
            <w:r>
              <w:rPr>
                <w:rFonts w:ascii="Arial" w:cs="Arial" w:eastAsia="Arial" w:hAnsi="Arial"/>
                <w:sz w:val="13"/>
                <w:szCs w:val="13"/>
                <w:color w:val="auto"/>
              </w:rPr>
              <w:t>697,293</w:t>
            </w:r>
          </w:p>
        </w:tc>
      </w:tr>
      <w:tr>
        <w:trPr>
          <w:trHeight w:val="168"/>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Deposits with clearing organizations</w:t>
            </w:r>
          </w:p>
        </w:tc>
        <w:tc>
          <w:tcPr>
            <w:tcW w:w="24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161,928</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216,962</w:t>
            </w:r>
          </w:p>
        </w:tc>
      </w:tr>
      <w:tr>
        <w:trPr>
          <w:trHeight w:val="163"/>
        </w:trPr>
        <w:tc>
          <w:tcPr>
            <w:tcW w:w="7020" w:type="dxa"/>
            <w:vAlign w:val="bottom"/>
            <w:gridSpan w:val="2"/>
          </w:tcPr>
          <w:p>
            <w:pPr>
              <w:ind w:left="20"/>
              <w:spacing w:after="0"/>
              <w:rPr>
                <w:sz w:val="20"/>
                <w:szCs w:val="20"/>
                <w:color w:val="auto"/>
              </w:rPr>
            </w:pPr>
            <w:r>
              <w:rPr>
                <w:rFonts w:ascii="Arial" w:cs="Arial" w:eastAsia="Arial" w:hAnsi="Arial"/>
                <w:sz w:val="13"/>
                <w:szCs w:val="13"/>
                <w:color w:val="auto"/>
              </w:rPr>
              <w:t>Net equity with futures commission merchants</w:t>
            </w:r>
          </w:p>
        </w:tc>
        <w:tc>
          <w:tcPr>
            <w:tcW w:w="2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98,302</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248,943</w:t>
            </w:r>
          </w:p>
        </w:tc>
      </w:tr>
      <w:tr>
        <w:trPr>
          <w:trHeight w:val="168"/>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Unsettled trades with clearing organizations</w:t>
            </w:r>
          </w:p>
        </w:tc>
        <w:tc>
          <w:tcPr>
            <w:tcW w:w="24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164,195</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118,777</w:t>
            </w:r>
          </w:p>
        </w:tc>
      </w:tr>
      <w:tr>
        <w:trPr>
          <w:trHeight w:val="163"/>
        </w:trPr>
        <w:tc>
          <w:tcPr>
            <w:tcW w:w="7020" w:type="dxa"/>
            <w:vAlign w:val="bottom"/>
            <w:gridSpan w:val="2"/>
          </w:tcPr>
          <w:p>
            <w:pPr>
              <w:ind w:left="20"/>
              <w:spacing w:after="0"/>
              <w:rPr>
                <w:sz w:val="20"/>
                <w:szCs w:val="20"/>
                <w:color w:val="auto"/>
              </w:rPr>
            </w:pPr>
            <w:r>
              <w:rPr>
                <w:rFonts w:ascii="Arial" w:cs="Arial" w:eastAsia="Arial" w:hAnsi="Arial"/>
                <w:sz w:val="13"/>
                <w:szCs w:val="13"/>
                <w:color w:val="auto"/>
              </w:rPr>
              <w:t>Securities failed to deliver</w:t>
            </w:r>
          </w:p>
        </w:tc>
        <w:tc>
          <w:tcPr>
            <w:tcW w:w="2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290,207</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372,965</w:t>
            </w:r>
          </w:p>
        </w:tc>
      </w:tr>
      <w:tr>
        <w:trPr>
          <w:trHeight w:val="166"/>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Commissions and fees</w:t>
            </w:r>
          </w:p>
        </w:tc>
        <w:tc>
          <w:tcPr>
            <w:tcW w:w="24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24,184</w:t>
            </w:r>
          </w:p>
        </w:tc>
        <w:tc>
          <w:tcPr>
            <w:tcW w:w="1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29,066</w:t>
            </w:r>
          </w:p>
        </w:tc>
      </w:tr>
      <w:tr>
        <w:trPr>
          <w:trHeight w:val="160"/>
        </w:trPr>
        <w:tc>
          <w:tcPr>
            <w:tcW w:w="7020" w:type="dxa"/>
            <w:vAlign w:val="bottom"/>
            <w:gridSpan w:val="2"/>
          </w:tcPr>
          <w:p>
            <w:pPr>
              <w:ind w:left="200"/>
              <w:spacing w:after="0"/>
              <w:rPr>
                <w:sz w:val="20"/>
                <w:szCs w:val="20"/>
                <w:color w:val="auto"/>
              </w:rPr>
            </w:pPr>
            <w:r>
              <w:rPr>
                <w:rFonts w:ascii="Arial" w:cs="Arial" w:eastAsia="Arial" w:hAnsi="Arial"/>
                <w:sz w:val="13"/>
                <w:szCs w:val="13"/>
                <w:color w:val="auto"/>
              </w:rPr>
              <w:t>Total receivables from broker-dealers and clearing organizations</w:t>
            </w:r>
          </w:p>
        </w:tc>
        <w:tc>
          <w:tcPr>
            <w:tcW w:w="2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w w:val="82"/>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1,026,807</w:t>
            </w:r>
          </w:p>
        </w:tc>
        <w:tc>
          <w:tcPr>
            <w:tcW w:w="120" w:type="dxa"/>
            <w:vAlign w:val="bottom"/>
          </w:tcPr>
          <w:p>
            <w:pPr>
              <w:spacing w:after="0"/>
              <w:rPr>
                <w:sz w:val="13"/>
                <w:szCs w:val="13"/>
                <w:color w:val="auto"/>
              </w:rPr>
            </w:pPr>
          </w:p>
        </w:tc>
        <w:tc>
          <w:tcPr>
            <w:tcW w:w="220" w:type="dxa"/>
            <w:vAlign w:val="bottom"/>
            <w:tcBorders>
              <w:bottom w:val="single" w:sz="8" w:color="auto"/>
            </w:tcBorders>
          </w:tcPr>
          <w:p>
            <w:pPr>
              <w:jc w:val="right"/>
              <w:ind w:right="113"/>
              <w:spacing w:after="0"/>
              <w:rPr>
                <w:sz w:val="20"/>
                <w:szCs w:val="20"/>
                <w:color w:val="auto"/>
              </w:rPr>
            </w:pPr>
            <w:r>
              <w:rPr>
                <w:rFonts w:ascii="Arial" w:cs="Arial" w:eastAsia="Arial" w:hAnsi="Arial"/>
                <w:sz w:val="9"/>
                <w:szCs w:val="9"/>
                <w:color w:val="auto"/>
                <w:w w:val="78"/>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1,684,006</w:t>
            </w:r>
          </w:p>
        </w:tc>
      </w:tr>
      <w:tr>
        <w:trPr>
          <w:trHeight w:val="20"/>
        </w:trPr>
        <w:tc>
          <w:tcPr>
            <w:tcW w:w="6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53"/>
        </w:trPr>
        <w:tc>
          <w:tcPr>
            <w:tcW w:w="6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r>
      <w:tr>
        <w:trPr>
          <w:trHeight w:val="165"/>
        </w:trPr>
        <w:tc>
          <w:tcPr>
            <w:tcW w:w="7020" w:type="dxa"/>
            <w:vAlign w:val="bottom"/>
            <w:gridSpan w:val="2"/>
          </w:tcPr>
          <w:p>
            <w:pPr>
              <w:ind w:left="20"/>
              <w:spacing w:after="0"/>
              <w:rPr>
                <w:sz w:val="20"/>
                <w:szCs w:val="20"/>
                <w:color w:val="auto"/>
              </w:rPr>
            </w:pPr>
            <w:r>
              <w:rPr>
                <w:rFonts w:ascii="Arial" w:cs="Arial" w:eastAsia="Arial" w:hAnsi="Arial"/>
                <w:sz w:val="13"/>
                <w:szCs w:val="13"/>
                <w:b w:val="1"/>
                <w:bCs w:val="1"/>
                <w:color w:val="auto"/>
              </w:rPr>
              <w:t>Liabilities</w:t>
            </w:r>
          </w:p>
        </w:tc>
        <w:tc>
          <w:tcPr>
            <w:tcW w:w="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6"/>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Due to prime brokers</w:t>
            </w: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497,972</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13"/>
              <w:spacing w:after="0"/>
              <w:rPr>
                <w:sz w:val="20"/>
                <w:szCs w:val="20"/>
                <w:color w:val="auto"/>
              </w:rPr>
            </w:pPr>
            <w:r>
              <w:rPr>
                <w:rFonts w:ascii="Arial" w:cs="Arial" w:eastAsia="Arial" w:hAnsi="Arial"/>
                <w:sz w:val="9"/>
                <w:szCs w:val="9"/>
                <w:color w:val="auto"/>
                <w:w w:val="78"/>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410,772</w:t>
            </w:r>
          </w:p>
        </w:tc>
      </w:tr>
      <w:tr>
        <w:trPr>
          <w:trHeight w:val="163"/>
        </w:trPr>
        <w:tc>
          <w:tcPr>
            <w:tcW w:w="7020" w:type="dxa"/>
            <w:vAlign w:val="bottom"/>
            <w:gridSpan w:val="2"/>
          </w:tcPr>
          <w:p>
            <w:pPr>
              <w:ind w:left="20"/>
              <w:spacing w:after="0"/>
              <w:rPr>
                <w:sz w:val="20"/>
                <w:szCs w:val="20"/>
                <w:color w:val="auto"/>
              </w:rPr>
            </w:pPr>
            <w:r>
              <w:rPr>
                <w:rFonts w:ascii="Arial" w:cs="Arial" w:eastAsia="Arial" w:hAnsi="Arial"/>
                <w:sz w:val="13"/>
                <w:szCs w:val="13"/>
                <w:color w:val="auto"/>
              </w:rPr>
              <w:t>Net equity with futures commission merchants (1)</w:t>
            </w:r>
          </w:p>
        </w:tc>
        <w:tc>
          <w:tcPr>
            <w:tcW w:w="2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(57,226)</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77,257</w:t>
            </w:r>
          </w:p>
        </w:tc>
      </w:tr>
      <w:tr>
        <w:trPr>
          <w:trHeight w:val="168"/>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Unsettled trades with clearing organizations</w:t>
            </w:r>
          </w:p>
        </w:tc>
        <w:tc>
          <w:tcPr>
            <w:tcW w:w="24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828</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228,070</w:t>
            </w:r>
          </w:p>
        </w:tc>
      </w:tr>
      <w:tr>
        <w:trPr>
          <w:trHeight w:val="163"/>
        </w:trPr>
        <w:tc>
          <w:tcPr>
            <w:tcW w:w="7020" w:type="dxa"/>
            <w:vAlign w:val="bottom"/>
            <w:gridSpan w:val="2"/>
          </w:tcPr>
          <w:p>
            <w:pPr>
              <w:ind w:left="20"/>
              <w:spacing w:after="0"/>
              <w:rPr>
                <w:sz w:val="20"/>
                <w:szCs w:val="20"/>
                <w:color w:val="auto"/>
              </w:rPr>
            </w:pPr>
            <w:r>
              <w:rPr>
                <w:rFonts w:ascii="Arial" w:cs="Arial" w:eastAsia="Arial" w:hAnsi="Arial"/>
                <w:sz w:val="13"/>
                <w:szCs w:val="13"/>
                <w:color w:val="auto"/>
              </w:rPr>
              <w:t>Securities failed to receive</w:t>
            </w:r>
          </w:p>
        </w:tc>
        <w:tc>
          <w:tcPr>
            <w:tcW w:w="2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128,392</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156,804</w:t>
            </w:r>
          </w:p>
        </w:tc>
      </w:tr>
      <w:tr>
        <w:trPr>
          <w:trHeight w:val="166"/>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Commissions and fees</w:t>
            </w:r>
          </w:p>
        </w:tc>
        <w:tc>
          <w:tcPr>
            <w:tcW w:w="24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1,560</w:t>
            </w:r>
          </w:p>
        </w:tc>
        <w:tc>
          <w:tcPr>
            <w:tcW w:w="1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3,543</w:t>
            </w:r>
          </w:p>
        </w:tc>
      </w:tr>
      <w:tr>
        <w:trPr>
          <w:trHeight w:val="160"/>
        </w:trPr>
        <w:tc>
          <w:tcPr>
            <w:tcW w:w="7020" w:type="dxa"/>
            <w:vAlign w:val="bottom"/>
            <w:gridSpan w:val="2"/>
          </w:tcPr>
          <w:p>
            <w:pPr>
              <w:ind w:left="200"/>
              <w:spacing w:after="0"/>
              <w:rPr>
                <w:sz w:val="20"/>
                <w:szCs w:val="20"/>
                <w:color w:val="auto"/>
              </w:rPr>
            </w:pPr>
            <w:r>
              <w:rPr>
                <w:rFonts w:ascii="Arial" w:cs="Arial" w:eastAsia="Arial" w:hAnsi="Arial"/>
                <w:sz w:val="13"/>
                <w:szCs w:val="13"/>
                <w:color w:val="auto"/>
              </w:rPr>
              <w:t>Total payables to broker-dealers and clearing organizations</w:t>
            </w:r>
          </w:p>
        </w:tc>
        <w:tc>
          <w:tcPr>
            <w:tcW w:w="2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w w:val="82"/>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571,526</w:t>
            </w:r>
          </w:p>
        </w:tc>
        <w:tc>
          <w:tcPr>
            <w:tcW w:w="120" w:type="dxa"/>
            <w:vAlign w:val="bottom"/>
          </w:tcPr>
          <w:p>
            <w:pPr>
              <w:spacing w:after="0"/>
              <w:rPr>
                <w:sz w:val="13"/>
                <w:szCs w:val="13"/>
                <w:color w:val="auto"/>
              </w:rPr>
            </w:pPr>
          </w:p>
        </w:tc>
        <w:tc>
          <w:tcPr>
            <w:tcW w:w="220" w:type="dxa"/>
            <w:vAlign w:val="bottom"/>
            <w:tcBorders>
              <w:bottom w:val="single" w:sz="8" w:color="auto"/>
            </w:tcBorders>
          </w:tcPr>
          <w:p>
            <w:pPr>
              <w:jc w:val="right"/>
              <w:ind w:right="113"/>
              <w:spacing w:after="0"/>
              <w:rPr>
                <w:sz w:val="20"/>
                <w:szCs w:val="20"/>
                <w:color w:val="auto"/>
              </w:rPr>
            </w:pPr>
            <w:r>
              <w:rPr>
                <w:rFonts w:ascii="Arial" w:cs="Arial" w:eastAsia="Arial" w:hAnsi="Arial"/>
                <w:sz w:val="9"/>
                <w:szCs w:val="9"/>
                <w:color w:val="auto"/>
                <w:w w:val="78"/>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876,446</w:t>
            </w:r>
          </w:p>
        </w:tc>
      </w:tr>
      <w:tr>
        <w:trPr>
          <w:trHeight w:val="20"/>
        </w:trPr>
        <w:tc>
          <w:tcPr>
            <w:tcW w:w="6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ind w:left="285" w:right="540" w:hanging="285"/>
        <w:spacing w:after="0" w:line="273" w:lineRule="auto"/>
        <w:tabs>
          <w:tab w:leader="none" w:pos="241" w:val="left"/>
        </w:tabs>
        <w:numPr>
          <w:ilvl w:val="0"/>
          <w:numId w:val="32"/>
        </w:numPr>
        <w:rPr>
          <w:rFonts w:ascii="Arial" w:cs="Arial" w:eastAsia="Arial" w:hAnsi="Arial"/>
          <w:sz w:val="13"/>
          <w:szCs w:val="13"/>
          <w:color w:val="auto"/>
        </w:rPr>
      </w:pPr>
      <w:r>
        <w:rPr>
          <w:rFonts w:ascii="Arial" w:cs="Arial" w:eastAsia="Arial" w:hAnsi="Arial"/>
          <w:sz w:val="13"/>
          <w:szCs w:val="13"/>
          <w:color w:val="auto"/>
        </w:rPr>
        <w:t>The Company presents its balances, including outstanding principal balances on all broker credit facilities, on a net-by-counterparty basis within receivables from and payables to broker-dealers and clearing organizations when the criteria for offsetting are met</w:t>
      </w:r>
      <w:r>
        <w:rPr>
          <w:rFonts w:ascii="Arial" w:cs="Arial" w:eastAsia="Arial" w:hAnsi="Arial"/>
          <w:sz w:val="15"/>
          <w:szCs w:val="15"/>
          <w:color w:val="auto"/>
        </w:rPr>
        <w:t>.</w:t>
      </w:r>
    </w:p>
    <w:p>
      <w:pPr>
        <w:spacing w:after="0" w:line="182" w:lineRule="exact"/>
        <w:rPr>
          <w:sz w:val="20"/>
          <w:szCs w:val="20"/>
          <w:color w:val="auto"/>
        </w:rPr>
      </w:pPr>
    </w:p>
    <w:p>
      <w:pPr>
        <w:ind w:left="5" w:right="120" w:firstLine="568"/>
        <w:spacing w:after="0" w:line="251" w:lineRule="auto"/>
        <w:rPr>
          <w:sz w:val="20"/>
          <w:szCs w:val="20"/>
          <w:color w:val="auto"/>
        </w:rPr>
      </w:pPr>
      <w:r>
        <w:rPr>
          <w:rFonts w:ascii="Arial" w:cs="Arial" w:eastAsia="Arial" w:hAnsi="Arial"/>
          <w:sz w:val="16"/>
          <w:szCs w:val="16"/>
          <w:color w:val="auto"/>
        </w:rPr>
        <w:t>Included as a deduction from “Due from prime brokers” and “Net equity with futures commission merchants” is the outstanding principal balance on all of the Company’s prime brokerage credit facilities (described in Note 10 "Borrowings") of approximately $177.1 million and $134.7 million as of December 31, 2021 and December 31, 2020, respectively. The loan proceeds from the credit facilities are available only to meet the initial margin requirements associated with the Company’s ordinary course futures and other trading positions, which are held in the Company’s trading accounts with an affiliate of the respective financial institutions. The credit facilities are fully collateralized by the Company’s trading accounts and deposit accounts with these financial institutions. “Securities failed to deliver” and “Securities failed to receive” include amounts with a clearing organization and other broker-dealers.</w:t>
      </w:r>
    </w:p>
    <w:p>
      <w:pPr>
        <w:spacing w:after="0" w:line="286"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9. Collateralized Transactions</w:t>
      </w:r>
    </w:p>
    <w:p>
      <w:pPr>
        <w:spacing w:after="0" w:line="223" w:lineRule="exact"/>
        <w:rPr>
          <w:sz w:val="20"/>
          <w:szCs w:val="20"/>
          <w:color w:val="auto"/>
        </w:rPr>
      </w:pPr>
    </w:p>
    <w:p>
      <w:pPr>
        <w:ind w:left="5" w:firstLine="568"/>
        <w:spacing w:after="0" w:line="257" w:lineRule="auto"/>
        <w:rPr>
          <w:sz w:val="20"/>
          <w:szCs w:val="20"/>
          <w:color w:val="auto"/>
        </w:rPr>
      </w:pPr>
      <w:r>
        <w:rPr>
          <w:rFonts w:ascii="Arial" w:cs="Arial" w:eastAsia="Arial" w:hAnsi="Arial"/>
          <w:sz w:val="16"/>
          <w:szCs w:val="16"/>
          <w:color w:val="auto"/>
        </w:rPr>
        <w:t>The Company is permitted to sell or repledge securities received as collateral and use these securities to secure repurchase agreements, enter into securities lending transactions or deliver these securities to counterparties or clearing organizations to cover short positions. At December 31, 2021 and December 31, 2020, substantially all of the securities received as collateral have been repledged.</w:t>
      </w:r>
    </w:p>
    <w:p>
      <w:pPr>
        <w:spacing w:after="0" w:line="190" w:lineRule="exact"/>
        <w:rPr>
          <w:sz w:val="20"/>
          <w:szCs w:val="20"/>
          <w:color w:val="auto"/>
        </w:rPr>
      </w:pPr>
    </w:p>
    <w:p>
      <w:pPr>
        <w:ind w:left="565"/>
        <w:spacing w:after="0"/>
        <w:rPr>
          <w:sz w:val="20"/>
          <w:szCs w:val="20"/>
          <w:color w:val="auto"/>
        </w:rPr>
      </w:pPr>
      <w:r>
        <w:rPr>
          <w:rFonts w:ascii="Arial" w:cs="Arial" w:eastAsia="Arial" w:hAnsi="Arial"/>
          <w:sz w:val="16"/>
          <w:szCs w:val="16"/>
          <w:color w:val="auto"/>
        </w:rPr>
        <w:t>The fair value of the collateralized transactions at December 31, 2021 and December 31, 2020 are summarized as follows:</w:t>
      </w:r>
    </w:p>
    <w:p>
      <w:pPr>
        <w:spacing w:after="0" w:line="34" w:lineRule="exact"/>
        <w:rPr>
          <w:sz w:val="20"/>
          <w:szCs w:val="20"/>
          <w:color w:val="auto"/>
        </w:rPr>
      </w:pPr>
    </w:p>
    <w:tbl>
      <w:tblPr>
        <w:tblLayout w:type="fixed"/>
        <w:tblInd w:w="145" w:type="dxa"/>
        <w:tblCellMar>
          <w:top w:w="0" w:type="dxa"/>
          <w:left w:w="0" w:type="dxa"/>
          <w:bottom w:w="0" w:type="dxa"/>
          <w:right w:w="0" w:type="dxa"/>
        </w:tblCellMar>
      </w:tblPr>
      <w:tr>
        <w:trPr>
          <w:trHeight w:val="169"/>
        </w:trPr>
        <w:tc>
          <w:tcPr>
            <w:tcW w:w="7580" w:type="dxa"/>
            <w:vAlign w:val="bottom"/>
            <w:gridSpan w:val="2"/>
          </w:tcPr>
          <w:p>
            <w:pPr>
              <w:ind w:left="20"/>
              <w:spacing w:after="0"/>
              <w:rPr>
                <w:sz w:val="20"/>
                <w:szCs w:val="20"/>
                <w:color w:val="auto"/>
              </w:rPr>
            </w:pPr>
            <w:r>
              <w:rPr>
                <w:rFonts w:ascii="Arial" w:cs="Arial" w:eastAsia="Arial" w:hAnsi="Arial"/>
                <w:sz w:val="13"/>
                <w:szCs w:val="13"/>
                <w:b w:val="1"/>
                <w:bCs w:val="1"/>
                <w:color w:val="auto"/>
              </w:rPr>
              <w:t>(in thousands)</w:t>
            </w:r>
          </w:p>
        </w:tc>
        <w:tc>
          <w:tcPr>
            <w:tcW w:w="180" w:type="dxa"/>
            <w:vAlign w:val="bottom"/>
          </w:tcPr>
          <w:p>
            <w:pPr>
              <w:spacing w:after="0"/>
              <w:rPr>
                <w:sz w:val="14"/>
                <w:szCs w:val="14"/>
                <w:color w:val="auto"/>
              </w:rPr>
            </w:pPr>
          </w:p>
        </w:tc>
        <w:tc>
          <w:tcPr>
            <w:tcW w:w="1560" w:type="dxa"/>
            <w:vAlign w:val="bottom"/>
            <w:gridSpan w:val="2"/>
          </w:tcPr>
          <w:p>
            <w:pPr>
              <w:ind w:left="120"/>
              <w:spacing w:after="0"/>
              <w:rPr>
                <w:sz w:val="20"/>
                <w:szCs w:val="20"/>
                <w:color w:val="auto"/>
              </w:rPr>
            </w:pPr>
            <w:r>
              <w:rPr>
                <w:rFonts w:ascii="Arial" w:cs="Arial" w:eastAsia="Arial" w:hAnsi="Arial"/>
                <w:sz w:val="13"/>
                <w:szCs w:val="13"/>
                <w:b w:val="1"/>
                <w:bCs w:val="1"/>
                <w:color w:val="auto"/>
              </w:rPr>
              <w:t>December 31, 2021</w:t>
            </w:r>
          </w:p>
        </w:tc>
        <w:tc>
          <w:tcPr>
            <w:tcW w:w="200" w:type="dxa"/>
            <w:vAlign w:val="bottom"/>
          </w:tcPr>
          <w:p>
            <w:pPr>
              <w:spacing w:after="0"/>
              <w:rPr>
                <w:sz w:val="14"/>
                <w:szCs w:val="14"/>
                <w:color w:val="auto"/>
              </w:rPr>
            </w:pPr>
          </w:p>
        </w:tc>
        <w:tc>
          <w:tcPr>
            <w:tcW w:w="1460" w:type="dxa"/>
            <w:vAlign w:val="bottom"/>
          </w:tcPr>
          <w:p>
            <w:pPr>
              <w:jc w:val="right"/>
              <w:ind w:right="257"/>
              <w:spacing w:after="0"/>
              <w:rPr>
                <w:sz w:val="20"/>
                <w:szCs w:val="20"/>
                <w:color w:val="auto"/>
              </w:rPr>
            </w:pPr>
            <w:r>
              <w:rPr>
                <w:rFonts w:ascii="Arial" w:cs="Arial" w:eastAsia="Arial" w:hAnsi="Arial"/>
                <w:sz w:val="13"/>
                <w:szCs w:val="13"/>
                <w:b w:val="1"/>
                <w:bCs w:val="1"/>
                <w:color w:val="auto"/>
                <w:w w:val="95"/>
              </w:rPr>
              <w:t>December 31, 2020</w:t>
            </w:r>
          </w:p>
        </w:tc>
      </w:tr>
      <w:tr>
        <w:trPr>
          <w:trHeight w:val="162"/>
        </w:trPr>
        <w:tc>
          <w:tcPr>
            <w:tcW w:w="7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Securities received as collateral:</w:t>
            </w: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spacing w:after="0"/>
              <w:rPr>
                <w:sz w:val="14"/>
                <w:szCs w:val="14"/>
                <w:color w:val="auto"/>
              </w:rPr>
            </w:pPr>
          </w:p>
        </w:tc>
      </w:tr>
      <w:tr>
        <w:trPr>
          <w:trHeight w:val="163"/>
        </w:trPr>
        <w:tc>
          <w:tcPr>
            <w:tcW w:w="7580" w:type="dxa"/>
            <w:vAlign w:val="bottom"/>
            <w:gridSpan w:val="2"/>
          </w:tcPr>
          <w:p>
            <w:pPr>
              <w:ind w:left="200"/>
              <w:spacing w:after="0"/>
              <w:rPr>
                <w:sz w:val="20"/>
                <w:szCs w:val="20"/>
                <w:color w:val="auto"/>
              </w:rPr>
            </w:pPr>
            <w:r>
              <w:rPr>
                <w:rFonts w:ascii="Arial" w:cs="Arial" w:eastAsia="Arial" w:hAnsi="Arial"/>
                <w:sz w:val="13"/>
                <w:szCs w:val="13"/>
                <w:color w:val="auto"/>
              </w:rPr>
              <w:t>Securities borrowed</w:t>
            </w: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1460" w:type="dxa"/>
            <w:vAlign w:val="bottom"/>
          </w:tcPr>
          <w:p>
            <w:pPr>
              <w:jc w:val="right"/>
              <w:spacing w:after="0"/>
              <w:rPr>
                <w:sz w:val="20"/>
                <w:szCs w:val="20"/>
                <w:color w:val="auto"/>
              </w:rPr>
            </w:pPr>
            <w:r>
              <w:rPr>
                <w:rFonts w:ascii="Arial" w:cs="Arial" w:eastAsia="Arial" w:hAnsi="Arial"/>
                <w:sz w:val="13"/>
                <w:szCs w:val="13"/>
                <w:color w:val="auto"/>
              </w:rPr>
              <w:t>1,299,270</w:t>
            </w:r>
          </w:p>
        </w:tc>
        <w:tc>
          <w:tcPr>
            <w:tcW w:w="100" w:type="dxa"/>
            <w:vAlign w:val="bottom"/>
          </w:tcPr>
          <w:p>
            <w:pPr>
              <w:spacing w:after="0"/>
              <w:rPr>
                <w:sz w:val="14"/>
                <w:szCs w:val="14"/>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1460" w:type="dxa"/>
            <w:vAlign w:val="bottom"/>
          </w:tcPr>
          <w:p>
            <w:pPr>
              <w:jc w:val="right"/>
              <w:spacing w:after="0"/>
              <w:rPr>
                <w:sz w:val="20"/>
                <w:szCs w:val="20"/>
                <w:color w:val="auto"/>
              </w:rPr>
            </w:pPr>
            <w:r>
              <w:rPr>
                <w:rFonts w:ascii="Arial" w:cs="Arial" w:eastAsia="Arial" w:hAnsi="Arial"/>
                <w:sz w:val="13"/>
                <w:szCs w:val="13"/>
                <w:color w:val="auto"/>
              </w:rPr>
              <w:t>1,374,266</w:t>
            </w:r>
          </w:p>
        </w:tc>
      </w:tr>
      <w:tr>
        <w:trPr>
          <w:trHeight w:val="166"/>
        </w:trPr>
        <w:tc>
          <w:tcPr>
            <w:tcW w:w="758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Securities purchased under agreements to resell</w:t>
            </w:r>
          </w:p>
        </w:tc>
        <w:tc>
          <w:tcPr>
            <w:tcW w:w="18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119,453</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22,866</w:t>
            </w:r>
          </w:p>
        </w:tc>
      </w:tr>
      <w:tr>
        <w:trPr>
          <w:trHeight w:val="158"/>
        </w:trPr>
        <w:tc>
          <w:tcPr>
            <w:tcW w:w="7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1,418,723</w:t>
            </w:r>
          </w:p>
        </w:tc>
        <w:tc>
          <w:tcPr>
            <w:tcW w:w="100" w:type="dxa"/>
            <w:vAlign w:val="bottom"/>
          </w:tcPr>
          <w:p>
            <w:pPr>
              <w:spacing w:after="0"/>
              <w:rPr>
                <w:sz w:val="13"/>
                <w:szCs w:val="13"/>
                <w:color w:val="auto"/>
              </w:rPr>
            </w:pPr>
          </w:p>
        </w:tc>
        <w:tc>
          <w:tcPr>
            <w:tcW w:w="2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1,397,132</w:t>
            </w:r>
          </w:p>
        </w:tc>
      </w:tr>
      <w:tr>
        <w:trPr>
          <w:trHeight w:val="20"/>
        </w:trPr>
        <w:tc>
          <w:tcPr>
            <w:tcW w:w="7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82" w:lineRule="exact"/>
        <w:rPr>
          <w:sz w:val="20"/>
          <w:szCs w:val="20"/>
          <w:color w:val="auto"/>
        </w:rPr>
      </w:pPr>
    </w:p>
    <w:p>
      <w:pPr>
        <w:ind w:left="565"/>
        <w:spacing w:after="0"/>
        <w:rPr>
          <w:sz w:val="20"/>
          <w:szCs w:val="20"/>
          <w:color w:val="auto"/>
        </w:rPr>
      </w:pPr>
      <w:r>
        <w:rPr>
          <w:rFonts w:ascii="Arial" w:cs="Arial" w:eastAsia="Arial" w:hAnsi="Arial"/>
          <w:sz w:val="15"/>
          <w:szCs w:val="15"/>
          <w:color w:val="auto"/>
        </w:rPr>
        <w:t>In the normal course of business, the Company pledges qualified securities with clearing organizations to satisfy daily margin and clearing fund requirements.</w:t>
      </w:r>
    </w:p>
    <w:p>
      <w:pPr>
        <w:spacing w:after="0" w:line="230" w:lineRule="exact"/>
        <w:rPr>
          <w:sz w:val="20"/>
          <w:szCs w:val="20"/>
          <w:color w:val="auto"/>
        </w:rPr>
      </w:pPr>
    </w:p>
    <w:p>
      <w:pPr>
        <w:ind w:left="565"/>
        <w:spacing w:after="0"/>
        <w:rPr>
          <w:sz w:val="20"/>
          <w:szCs w:val="20"/>
          <w:color w:val="auto"/>
        </w:rPr>
      </w:pPr>
      <w:r>
        <w:rPr>
          <w:rFonts w:ascii="Arial" w:cs="Arial" w:eastAsia="Arial" w:hAnsi="Arial"/>
          <w:sz w:val="14"/>
          <w:szCs w:val="14"/>
          <w:color w:val="auto"/>
        </w:rPr>
        <w:t>Financial instruments owned and pledged, where the counterparty has the right to repledge, at December 31, 2021 and December 31, 2020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04"/>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59055</wp:posOffset>
            </wp:positionV>
            <wp:extent cx="7174865" cy="406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65"/>
          </w:cols>
          <w:pgMar w:left="315" w:top="127" w:right="419" w:bottom="1440" w:gutter="0" w:footer="0" w:header="0"/>
        </w:sectPr>
      </w:pPr>
    </w:p>
    <w:bookmarkStart w:id="99" w:name="page100"/>
    <w:bookmarkEnd w:id="9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19" w:lineRule="exact"/>
        <w:rPr>
          <w:sz w:val="20"/>
          <w:szCs w:val="20"/>
          <w:color w:val="auto"/>
        </w:rPr>
      </w:pPr>
    </w:p>
    <w:tbl>
      <w:tblPr>
        <w:tblLayout w:type="fixed"/>
        <w:tblInd w:w="140" w:type="dxa"/>
        <w:tblCellMar>
          <w:top w:w="0" w:type="dxa"/>
          <w:left w:w="0" w:type="dxa"/>
          <w:bottom w:w="0" w:type="dxa"/>
          <w:right w:w="0" w:type="dxa"/>
        </w:tblCellMar>
      </w:tblPr>
      <w:tr>
        <w:trPr>
          <w:trHeight w:val="169"/>
        </w:trPr>
        <w:tc>
          <w:tcPr>
            <w:tcW w:w="7580" w:type="dxa"/>
            <w:vAlign w:val="bottom"/>
            <w:gridSpan w:val="2"/>
          </w:tcPr>
          <w:p>
            <w:pPr>
              <w:ind w:left="20"/>
              <w:spacing w:after="0"/>
              <w:rPr>
                <w:sz w:val="20"/>
                <w:szCs w:val="20"/>
                <w:color w:val="auto"/>
              </w:rPr>
            </w:pPr>
            <w:r>
              <w:rPr>
                <w:rFonts w:ascii="Arial" w:cs="Arial" w:eastAsia="Arial" w:hAnsi="Arial"/>
                <w:sz w:val="13"/>
                <w:szCs w:val="13"/>
                <w:b w:val="1"/>
                <w:bCs w:val="1"/>
                <w:color w:val="auto"/>
              </w:rPr>
              <w:t>(in thousands)</w:t>
            </w:r>
          </w:p>
        </w:tc>
        <w:tc>
          <w:tcPr>
            <w:tcW w:w="180" w:type="dxa"/>
            <w:vAlign w:val="bottom"/>
          </w:tcPr>
          <w:p>
            <w:pPr>
              <w:spacing w:after="0"/>
              <w:rPr>
                <w:sz w:val="14"/>
                <w:szCs w:val="14"/>
                <w:color w:val="auto"/>
              </w:rPr>
            </w:pPr>
          </w:p>
        </w:tc>
        <w:tc>
          <w:tcPr>
            <w:tcW w:w="1560" w:type="dxa"/>
            <w:vAlign w:val="bottom"/>
            <w:gridSpan w:val="2"/>
          </w:tcPr>
          <w:p>
            <w:pPr>
              <w:ind w:left="120"/>
              <w:spacing w:after="0"/>
              <w:rPr>
                <w:sz w:val="20"/>
                <w:szCs w:val="20"/>
                <w:color w:val="auto"/>
              </w:rPr>
            </w:pPr>
            <w:r>
              <w:rPr>
                <w:rFonts w:ascii="Arial" w:cs="Arial" w:eastAsia="Arial" w:hAnsi="Arial"/>
                <w:sz w:val="13"/>
                <w:szCs w:val="13"/>
                <w:b w:val="1"/>
                <w:bCs w:val="1"/>
                <w:color w:val="auto"/>
              </w:rPr>
              <w:t>December 31, 2021</w:t>
            </w:r>
          </w:p>
        </w:tc>
        <w:tc>
          <w:tcPr>
            <w:tcW w:w="200" w:type="dxa"/>
            <w:vAlign w:val="bottom"/>
          </w:tcPr>
          <w:p>
            <w:pPr>
              <w:spacing w:after="0"/>
              <w:rPr>
                <w:sz w:val="14"/>
                <w:szCs w:val="14"/>
                <w:color w:val="auto"/>
              </w:rPr>
            </w:pPr>
          </w:p>
        </w:tc>
        <w:tc>
          <w:tcPr>
            <w:tcW w:w="1460" w:type="dxa"/>
            <w:vAlign w:val="bottom"/>
          </w:tcPr>
          <w:p>
            <w:pPr>
              <w:jc w:val="right"/>
              <w:ind w:right="257"/>
              <w:spacing w:after="0"/>
              <w:rPr>
                <w:sz w:val="20"/>
                <w:szCs w:val="20"/>
                <w:color w:val="auto"/>
              </w:rPr>
            </w:pPr>
            <w:r>
              <w:rPr>
                <w:rFonts w:ascii="Arial" w:cs="Arial" w:eastAsia="Arial" w:hAnsi="Arial"/>
                <w:sz w:val="13"/>
                <w:szCs w:val="13"/>
                <w:b w:val="1"/>
                <w:bCs w:val="1"/>
                <w:color w:val="auto"/>
                <w:w w:val="95"/>
              </w:rPr>
              <w:t>December 31, 2020</w:t>
            </w:r>
          </w:p>
        </w:tc>
      </w:tr>
      <w:tr>
        <w:trPr>
          <w:trHeight w:val="162"/>
        </w:trPr>
        <w:tc>
          <w:tcPr>
            <w:tcW w:w="7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Equities</w:t>
            </w: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1,012,569</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734,024</w:t>
            </w:r>
          </w:p>
        </w:tc>
      </w:tr>
      <w:tr>
        <w:trPr>
          <w:trHeight w:val="163"/>
        </w:trPr>
        <w:tc>
          <w:tcPr>
            <w:tcW w:w="758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Exchange traded notes</w:t>
            </w:r>
          </w:p>
        </w:tc>
        <w:tc>
          <w:tcPr>
            <w:tcW w:w="1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5,391</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12,515</w:t>
            </w:r>
          </w:p>
        </w:tc>
      </w:tr>
      <w:tr>
        <w:trPr>
          <w:trHeight w:val="183"/>
        </w:trPr>
        <w:tc>
          <w:tcPr>
            <w:tcW w:w="74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1,017,960</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746,539</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3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Borrowings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Short-term Borrowings, net</w:t>
      </w:r>
    </w:p>
    <w:p>
      <w:pPr>
        <w:spacing w:after="0" w:line="219"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following summarizes the Company's short-term borrowing balances outstanding, net of related debt issuance costs, with each described in further detail below.</w:t>
      </w:r>
    </w:p>
    <w:p>
      <w:pPr>
        <w:spacing w:after="0" w:line="57" w:lineRule="exact"/>
        <w:rPr>
          <w:sz w:val="20"/>
          <w:szCs w:val="20"/>
          <w:color w:val="auto"/>
        </w:rPr>
      </w:pPr>
    </w:p>
    <w:tbl>
      <w:tblPr>
        <w:tblLayout w:type="fixed"/>
        <w:tblInd w:w="860" w:type="dxa"/>
        <w:tblCellMar>
          <w:top w:w="0" w:type="dxa"/>
          <w:left w:w="0" w:type="dxa"/>
          <w:bottom w:w="0" w:type="dxa"/>
          <w:right w:w="0" w:type="dxa"/>
        </w:tblCellMar>
      </w:tblPr>
      <w:tr>
        <w:trPr>
          <w:trHeight w:val="166"/>
        </w:trPr>
        <w:tc>
          <w:tcPr>
            <w:tcW w:w="4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December 31, 2021</w:t>
            </w:r>
          </w:p>
        </w:tc>
        <w:tc>
          <w:tcPr>
            <w:tcW w:w="6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r>
      <w:tr>
        <w:trPr>
          <w:trHeight w:val="165"/>
        </w:trPr>
        <w:tc>
          <w:tcPr>
            <w:tcW w:w="454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100" w:type="dxa"/>
            <w:vAlign w:val="bottom"/>
          </w:tcPr>
          <w:p>
            <w:pPr>
              <w:spacing w:after="0"/>
              <w:rPr>
                <w:sz w:val="14"/>
                <w:szCs w:val="14"/>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b w:val="1"/>
                <w:bCs w:val="1"/>
                <w:color w:val="auto"/>
              </w:rPr>
              <w:t>Borrowing Outstanding</w:t>
            </w:r>
          </w:p>
        </w:tc>
        <w:tc>
          <w:tcPr>
            <w:tcW w:w="1700" w:type="dxa"/>
            <w:vAlign w:val="bottom"/>
            <w:gridSpan w:val="3"/>
          </w:tcPr>
          <w:p>
            <w:pPr>
              <w:ind w:left="20"/>
              <w:spacing w:after="0"/>
              <w:rPr>
                <w:sz w:val="20"/>
                <w:szCs w:val="20"/>
                <w:color w:val="auto"/>
              </w:rPr>
            </w:pPr>
            <w:r>
              <w:rPr>
                <w:rFonts w:ascii="Arial" w:cs="Arial" w:eastAsia="Arial" w:hAnsi="Arial"/>
                <w:sz w:val="13"/>
                <w:szCs w:val="13"/>
                <w:b w:val="1"/>
                <w:bCs w:val="1"/>
                <w:color w:val="auto"/>
                <w:w w:val="93"/>
              </w:rPr>
              <w:t>Deferred Debt Issuance Cost</w:t>
            </w:r>
          </w:p>
        </w:tc>
        <w:tc>
          <w:tcPr>
            <w:tcW w:w="1620" w:type="dxa"/>
            <w:vAlign w:val="bottom"/>
            <w:gridSpan w:val="2"/>
          </w:tcPr>
          <w:p>
            <w:pPr>
              <w:jc w:val="right"/>
              <w:spacing w:after="0"/>
              <w:rPr>
                <w:sz w:val="20"/>
                <w:szCs w:val="20"/>
                <w:color w:val="auto"/>
              </w:rPr>
            </w:pPr>
            <w:r>
              <w:rPr>
                <w:rFonts w:ascii="Arial" w:cs="Arial" w:eastAsia="Arial" w:hAnsi="Arial"/>
                <w:sz w:val="13"/>
                <w:szCs w:val="13"/>
                <w:b w:val="1"/>
                <w:bCs w:val="1"/>
                <w:color w:val="auto"/>
                <w:w w:val="91"/>
              </w:rPr>
              <w:t>Short-term Borrowings, net</w:t>
            </w:r>
          </w:p>
        </w:tc>
      </w:tr>
      <w:tr>
        <w:trPr>
          <w:trHeight w:val="158"/>
        </w:trPr>
        <w:tc>
          <w:tcPr>
            <w:tcW w:w="4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Broker-dealer credit facilities</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58,000</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(1,546)</w:t>
            </w:r>
          </w:p>
        </w:tc>
        <w:tc>
          <w:tcPr>
            <w:tcW w:w="10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ind w:right="497"/>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56,454</w:t>
            </w:r>
          </w:p>
        </w:tc>
      </w:tr>
      <w:tr>
        <w:trPr>
          <w:trHeight w:val="163"/>
        </w:trPr>
        <w:tc>
          <w:tcPr>
            <w:tcW w:w="4540" w:type="dxa"/>
            <w:vAlign w:val="bottom"/>
            <w:gridSpan w:val="2"/>
          </w:tcPr>
          <w:p>
            <w:pPr>
              <w:spacing w:after="0"/>
              <w:rPr>
                <w:sz w:val="20"/>
                <w:szCs w:val="20"/>
                <w:color w:val="auto"/>
              </w:rPr>
            </w:pPr>
            <w:r>
              <w:rPr>
                <w:rFonts w:ascii="Arial" w:cs="Arial" w:eastAsia="Arial" w:hAnsi="Arial"/>
                <w:sz w:val="13"/>
                <w:szCs w:val="13"/>
                <w:color w:val="auto"/>
              </w:rPr>
              <w:t>Short-term bank loans</w:t>
            </w:r>
          </w:p>
        </w:tc>
        <w:tc>
          <w:tcPr>
            <w:tcW w:w="1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5,046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ind w:left="1200"/>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5,046</w:t>
            </w:r>
          </w:p>
        </w:tc>
      </w:tr>
      <w:tr>
        <w:trPr>
          <w:trHeight w:val="183"/>
        </w:trPr>
        <w:tc>
          <w:tcPr>
            <w:tcW w:w="44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63,046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(1,546)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640" w:type="dxa"/>
            <w:vAlign w:val="bottom"/>
            <w:tcBorders>
              <w:top w:val="single" w:sz="8" w:color="auto"/>
              <w:bottom w:val="single" w:sz="8" w:color="auto"/>
            </w:tcBorders>
            <w:shd w:val="clear" w:color="auto" w:fill="CCEEFF"/>
          </w:tcPr>
          <w:p>
            <w:pPr>
              <w:jc w:val="right"/>
              <w:ind w:right="497"/>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61,500</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87" w:lineRule="exact"/>
        <w:rPr>
          <w:sz w:val="20"/>
          <w:szCs w:val="20"/>
          <w:color w:val="auto"/>
        </w:rPr>
      </w:pPr>
    </w:p>
    <w:tbl>
      <w:tblPr>
        <w:tblLayout w:type="fixed"/>
        <w:tblInd w:w="860" w:type="dxa"/>
        <w:tblCellMar>
          <w:top w:w="0" w:type="dxa"/>
          <w:left w:w="0" w:type="dxa"/>
          <w:bottom w:w="0" w:type="dxa"/>
          <w:right w:w="0" w:type="dxa"/>
        </w:tblCellMar>
      </w:tblPr>
      <w:tr>
        <w:trPr>
          <w:trHeight w:val="166"/>
        </w:trPr>
        <w:tc>
          <w:tcPr>
            <w:tcW w:w="4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December 31, 2020</w:t>
            </w:r>
          </w:p>
        </w:tc>
        <w:tc>
          <w:tcPr>
            <w:tcW w:w="6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r>
      <w:tr>
        <w:trPr>
          <w:trHeight w:val="165"/>
        </w:trPr>
        <w:tc>
          <w:tcPr>
            <w:tcW w:w="454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100" w:type="dxa"/>
            <w:vAlign w:val="bottom"/>
          </w:tcPr>
          <w:p>
            <w:pPr>
              <w:spacing w:after="0"/>
              <w:rPr>
                <w:sz w:val="14"/>
                <w:szCs w:val="14"/>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b w:val="1"/>
                <w:bCs w:val="1"/>
                <w:color w:val="auto"/>
              </w:rPr>
              <w:t>Borrowing Outstanding</w:t>
            </w:r>
          </w:p>
        </w:tc>
        <w:tc>
          <w:tcPr>
            <w:tcW w:w="1700" w:type="dxa"/>
            <w:vAlign w:val="bottom"/>
            <w:gridSpan w:val="3"/>
          </w:tcPr>
          <w:p>
            <w:pPr>
              <w:ind w:left="20"/>
              <w:spacing w:after="0"/>
              <w:rPr>
                <w:sz w:val="20"/>
                <w:szCs w:val="20"/>
                <w:color w:val="auto"/>
              </w:rPr>
            </w:pPr>
            <w:r>
              <w:rPr>
                <w:rFonts w:ascii="Arial" w:cs="Arial" w:eastAsia="Arial" w:hAnsi="Arial"/>
                <w:sz w:val="13"/>
                <w:szCs w:val="13"/>
                <w:b w:val="1"/>
                <w:bCs w:val="1"/>
                <w:color w:val="auto"/>
                <w:w w:val="93"/>
              </w:rPr>
              <w:t>Deferred Debt Issuance Cost</w:t>
            </w:r>
          </w:p>
        </w:tc>
        <w:tc>
          <w:tcPr>
            <w:tcW w:w="1620" w:type="dxa"/>
            <w:vAlign w:val="bottom"/>
            <w:gridSpan w:val="2"/>
          </w:tcPr>
          <w:p>
            <w:pPr>
              <w:jc w:val="right"/>
              <w:spacing w:after="0"/>
              <w:rPr>
                <w:sz w:val="20"/>
                <w:szCs w:val="20"/>
                <w:color w:val="auto"/>
              </w:rPr>
            </w:pPr>
            <w:r>
              <w:rPr>
                <w:rFonts w:ascii="Arial" w:cs="Arial" w:eastAsia="Arial" w:hAnsi="Arial"/>
                <w:sz w:val="13"/>
                <w:szCs w:val="13"/>
                <w:b w:val="1"/>
                <w:bCs w:val="1"/>
                <w:color w:val="auto"/>
                <w:w w:val="91"/>
              </w:rPr>
              <w:t>Short-term Borrowings, net</w:t>
            </w:r>
          </w:p>
        </w:tc>
      </w:tr>
      <w:tr>
        <w:trPr>
          <w:trHeight w:val="158"/>
        </w:trPr>
        <w:tc>
          <w:tcPr>
            <w:tcW w:w="4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Broker-dealer credit facilities</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36,400</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(387)</w:t>
            </w:r>
          </w:p>
        </w:tc>
        <w:tc>
          <w:tcPr>
            <w:tcW w:w="10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ind w:right="497"/>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36,013</w:t>
            </w:r>
          </w:p>
        </w:tc>
      </w:tr>
      <w:tr>
        <w:trPr>
          <w:trHeight w:val="163"/>
        </w:trPr>
        <w:tc>
          <w:tcPr>
            <w:tcW w:w="4540" w:type="dxa"/>
            <w:vAlign w:val="bottom"/>
            <w:gridSpan w:val="2"/>
          </w:tcPr>
          <w:p>
            <w:pPr>
              <w:spacing w:after="0"/>
              <w:rPr>
                <w:sz w:val="20"/>
                <w:szCs w:val="20"/>
                <w:color w:val="auto"/>
              </w:rPr>
            </w:pPr>
            <w:r>
              <w:rPr>
                <w:rFonts w:ascii="Arial" w:cs="Arial" w:eastAsia="Arial" w:hAnsi="Arial"/>
                <w:sz w:val="13"/>
                <w:szCs w:val="13"/>
                <w:color w:val="auto"/>
              </w:rPr>
              <w:t>Short-term bank loans</w:t>
            </w:r>
          </w:p>
        </w:tc>
        <w:tc>
          <w:tcPr>
            <w:tcW w:w="1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28,673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ind w:left="1200"/>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28,673</w:t>
            </w:r>
          </w:p>
        </w:tc>
      </w:tr>
      <w:tr>
        <w:trPr>
          <w:trHeight w:val="183"/>
        </w:trPr>
        <w:tc>
          <w:tcPr>
            <w:tcW w:w="44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65,073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640" w:type="dxa"/>
            <w:vAlign w:val="bottom"/>
            <w:tcBorders>
              <w:top w:val="single" w:sz="8" w:color="auto"/>
              <w:bottom w:val="single" w:sz="8" w:color="auto"/>
            </w:tcBorders>
            <w:shd w:val="clear" w:color="auto" w:fill="CCEEFF"/>
          </w:tcPr>
          <w:p>
            <w:pPr>
              <w:jc w:val="right"/>
              <w:ind w:right="497"/>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64,686</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Broker-Dealer Credit Facilities</w:t>
      </w:r>
    </w:p>
    <w:p>
      <w:pPr>
        <w:spacing w:after="0" w:line="219" w:lineRule="exact"/>
        <w:rPr>
          <w:sz w:val="20"/>
          <w:szCs w:val="20"/>
          <w:color w:val="auto"/>
        </w:rPr>
      </w:pPr>
    </w:p>
    <w:p>
      <w:pPr>
        <w:ind w:right="440" w:firstLine="568"/>
        <w:spacing w:after="0" w:line="290" w:lineRule="auto"/>
        <w:rPr>
          <w:sz w:val="20"/>
          <w:szCs w:val="20"/>
          <w:color w:val="auto"/>
        </w:rPr>
      </w:pPr>
      <w:r>
        <w:rPr>
          <w:rFonts w:ascii="Arial" w:cs="Arial" w:eastAsia="Arial" w:hAnsi="Arial"/>
          <w:sz w:val="14"/>
          <w:szCs w:val="14"/>
          <w:color w:val="auto"/>
        </w:rPr>
        <w:t>The Company is a party to two secured credit facilities with a financial institution to finance overnight securities positions purchased as part of its ordinary course broker-dealer market making activities. One of the facilities (the “Uncommitted Facility”) is provided on an uncommitted basis with an aggregate borrowing limit of</w:t>
      </w:r>
    </w:p>
    <w:p>
      <w:pPr>
        <w:spacing w:after="0" w:line="1"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$400 million, and is collateralized by VAL's trading and deposit account maintained at the financial institution. The second credit facility (the “Committed Facility”) with the same financial institution has a borrowing limit of $600 million. The Committed Facility consists of two borrowing bases: Borrowing Base A Loan is to be used to finance the purchase and settlement of securities; Borrowing Base B Loan is to be used to fund margin deposit with the National Securities Clearing Corporation. Borrowing Base A Loans are available up to $600 million and bear interest at the adjusted LIBOR or base rate plus 1.25% per annum. Borrowing Base B Loans are subject to a sublimit of $200 million and bear interest at the adjusted LIBOR or base rate plus 2.50% per annum. A commitment fee of 0.50% per annum on the average daily unused portion of this facility is payable quarterly in arrears.</w:t>
      </w:r>
    </w:p>
    <w:p>
      <w:pPr>
        <w:spacing w:after="0" w:line="198" w:lineRule="exact"/>
        <w:rPr>
          <w:sz w:val="20"/>
          <w:szCs w:val="20"/>
          <w:color w:val="auto"/>
        </w:rPr>
      </w:pPr>
    </w:p>
    <w:p>
      <w:pPr>
        <w:ind w:firstLine="568"/>
        <w:spacing w:after="0" w:line="257" w:lineRule="auto"/>
        <w:rPr>
          <w:sz w:val="20"/>
          <w:szCs w:val="20"/>
          <w:color w:val="auto"/>
        </w:rPr>
      </w:pPr>
      <w:r>
        <w:rPr>
          <w:rFonts w:ascii="Arial" w:cs="Arial" w:eastAsia="Arial" w:hAnsi="Arial"/>
          <w:sz w:val="16"/>
          <w:szCs w:val="16"/>
          <w:color w:val="auto"/>
        </w:rPr>
        <w:t>On March 10, 2020, VAL entered into a short-term loan arrangement with Jefferies Financial Group, Inc., as lender, for a $20 million demand loan (the "Demand Loan") repayable no later than ninety (90) days after the date of borrowing. The Demand Loan bore interest at a rate of 10% per annum, increased by 2.0% with respect to any principal amounts not paid when due and payable. The Demand Loan was repaid in full as of April 17, 2020.</w:t>
      </w:r>
    </w:p>
    <w:p>
      <w:pPr>
        <w:spacing w:after="0" w:line="190" w:lineRule="exact"/>
        <w:rPr>
          <w:sz w:val="20"/>
          <w:szCs w:val="20"/>
          <w:color w:val="auto"/>
        </w:rPr>
      </w:pPr>
    </w:p>
    <w:p>
      <w:pPr>
        <w:ind w:right="60" w:firstLine="568"/>
        <w:spacing w:after="0" w:line="270" w:lineRule="auto"/>
        <w:rPr>
          <w:sz w:val="20"/>
          <w:szCs w:val="20"/>
          <w:color w:val="auto"/>
        </w:rPr>
      </w:pPr>
      <w:r>
        <w:rPr>
          <w:rFonts w:ascii="Arial" w:cs="Arial" w:eastAsia="Arial" w:hAnsi="Arial"/>
          <w:sz w:val="15"/>
          <w:szCs w:val="15"/>
          <w:color w:val="auto"/>
        </w:rPr>
        <w:t>On March 20, 2020, VAL entered into a Loan Agreement (the “Founder Member Loan Facility”) with TJMT Holdings LLC (the “Founder Member”), as lender and administrative agent, providing for unsecured term loans from time to time (the “Founder Member Loans”) in an aggregate original principal amount not to exceed $300 million. The Founder Member Loans were available to be borrowed in one or more borrowings on or after March 20, 2020 and prior to September 20, 2020 (the "Founder Member Loan Term"). The Founder Member Loan Facility Term expired as of September 20, 2020 without VAL having borrowed any Founder Member Loans at any time. The Founder Member is an affiliate of Mr. Vincent Viola, the Company’s founder and Chairman Emeritus. Upon the execution of and in consideration for the Lender’s (as defined in the Founder Member Loan Facility) commitments under the Founder Member Loan Facility, the Company delivered to the Founder Member a warrant to purchase shares of the Company’s Class A Common Stock. Terms of the warrant are set forth in further detail in Note 19 "Capital Structure".</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0" w:name="page101"/>
    <w:bookmarkEnd w:id="10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ind w:right="160" w:firstLine="568"/>
        <w:spacing w:after="0" w:line="268" w:lineRule="auto"/>
        <w:rPr>
          <w:sz w:val="20"/>
          <w:szCs w:val="20"/>
          <w:color w:val="auto"/>
        </w:rPr>
      </w:pPr>
      <w:r>
        <w:rPr>
          <w:rFonts w:ascii="Arial" w:cs="Arial" w:eastAsia="Arial" w:hAnsi="Arial"/>
          <w:sz w:val="16"/>
          <w:szCs w:val="16"/>
          <w:color w:val="auto"/>
        </w:rPr>
        <w:t>The following summarizes the Company’s broker-dealer credit facilities' carrying values, net of unamortized debt issuance costs, where applicable. These balances are included within Short-term borrowings on the Consolidated Statements of Financial Condition.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7"/>
              </w:rPr>
              <w:t>At December 31, 2021</w:t>
            </w:r>
          </w:p>
        </w:tc>
        <w:tc>
          <w:tcPr>
            <w:tcW w:w="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37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(in thousands)</w:t>
            </w:r>
          </w:p>
        </w:tc>
        <w:tc>
          <w:tcPr>
            <w:tcW w:w="152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8"/>
              </w:rPr>
              <w:t>Interest Rate</w:t>
            </w:r>
          </w:p>
        </w:tc>
        <w:tc>
          <w:tcPr>
            <w:tcW w:w="120" w:type="dxa"/>
            <w:vAlign w:val="bottom"/>
          </w:tcPr>
          <w:p>
            <w:pPr>
              <w:spacing w:after="0"/>
              <w:rPr>
                <w:sz w:val="9"/>
                <w:szCs w:val="9"/>
                <w:color w:val="auto"/>
              </w:rPr>
            </w:pPr>
          </w:p>
        </w:tc>
        <w:tc>
          <w:tcPr>
            <w:tcW w:w="140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Financing Available</w:t>
            </w:r>
          </w:p>
        </w:tc>
        <w:tc>
          <w:tcPr>
            <w:tcW w:w="1540" w:type="dxa"/>
            <w:vAlign w:val="bottom"/>
            <w:gridSpan w:val="3"/>
            <w:vMerge w:val="restart"/>
          </w:tcPr>
          <w:p>
            <w:pPr>
              <w:jc w:val="center"/>
              <w:ind w:right="100"/>
              <w:spacing w:after="0"/>
              <w:rPr>
                <w:sz w:val="20"/>
                <w:szCs w:val="20"/>
                <w:color w:val="auto"/>
              </w:rPr>
            </w:pPr>
            <w:r>
              <w:rPr>
                <w:rFonts w:ascii="Arial" w:cs="Arial" w:eastAsia="Arial" w:hAnsi="Arial"/>
                <w:sz w:val="13"/>
                <w:szCs w:val="13"/>
                <w:b w:val="1"/>
                <w:bCs w:val="1"/>
                <w:color w:val="auto"/>
                <w:w w:val="88"/>
              </w:rPr>
              <w:t>Borrowing Outstanding</w:t>
            </w:r>
          </w:p>
        </w:tc>
        <w:tc>
          <w:tcPr>
            <w:tcW w:w="80" w:type="dxa"/>
            <w:vAlign w:val="bottom"/>
          </w:tcPr>
          <w:p>
            <w:pPr>
              <w:spacing w:after="0"/>
              <w:rPr>
                <w:sz w:val="9"/>
                <w:szCs w:val="9"/>
                <w:color w:val="auto"/>
              </w:rPr>
            </w:pPr>
          </w:p>
        </w:tc>
        <w:tc>
          <w:tcPr>
            <w:tcW w:w="1440" w:type="dxa"/>
            <w:vAlign w:val="bottom"/>
            <w:gridSpan w:val="2"/>
          </w:tcPr>
          <w:p>
            <w:pPr>
              <w:jc w:val="center"/>
              <w:ind w:right="180"/>
              <w:spacing w:after="0" w:line="115" w:lineRule="exact"/>
              <w:rPr>
                <w:sz w:val="20"/>
                <w:szCs w:val="20"/>
                <w:color w:val="auto"/>
              </w:rPr>
            </w:pPr>
            <w:r>
              <w:rPr>
                <w:rFonts w:ascii="Arial" w:cs="Arial" w:eastAsia="Arial" w:hAnsi="Arial"/>
                <w:sz w:val="13"/>
                <w:szCs w:val="13"/>
                <w:b w:val="1"/>
                <w:bCs w:val="1"/>
                <w:color w:val="auto"/>
                <w:w w:val="86"/>
              </w:rPr>
              <w:t>Deferred Debt Issuance</w:t>
            </w:r>
          </w:p>
        </w:tc>
        <w:tc>
          <w:tcPr>
            <w:tcW w:w="1420" w:type="dxa"/>
            <w:vAlign w:val="bottom"/>
            <w:gridSpan w:val="2"/>
          </w:tcPr>
          <w:p>
            <w:pPr>
              <w:ind w:left="20"/>
              <w:spacing w:after="0" w:line="115" w:lineRule="exact"/>
              <w:rPr>
                <w:sz w:val="20"/>
                <w:szCs w:val="20"/>
                <w:color w:val="auto"/>
              </w:rPr>
            </w:pPr>
            <w:r>
              <w:rPr>
                <w:rFonts w:ascii="Arial" w:cs="Arial" w:eastAsia="Arial" w:hAnsi="Arial"/>
                <w:sz w:val="13"/>
                <w:szCs w:val="13"/>
                <w:b w:val="1"/>
                <w:bCs w:val="1"/>
                <w:color w:val="auto"/>
                <w:w w:val="88"/>
              </w:rPr>
              <w:t>Outstanding Borrowings,</w:t>
            </w:r>
          </w:p>
        </w:tc>
        <w:tc>
          <w:tcPr>
            <w:tcW w:w="0" w:type="dxa"/>
            <w:vAlign w:val="bottom"/>
          </w:tcPr>
          <w:p>
            <w:pPr>
              <w:spacing w:after="0"/>
              <w:rPr>
                <w:sz w:val="1"/>
                <w:szCs w:val="1"/>
                <w:color w:val="auto"/>
              </w:rPr>
            </w:pPr>
          </w:p>
        </w:tc>
      </w:tr>
      <w:tr>
        <w:trPr>
          <w:trHeight w:val="165"/>
        </w:trPr>
        <w:tc>
          <w:tcPr>
            <w:tcW w:w="3720" w:type="dxa"/>
            <w:vAlign w:val="bottom"/>
            <w:gridSpan w:val="2"/>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2"/>
              </w:rPr>
              <w:t>Cost</w:t>
            </w:r>
          </w:p>
        </w:tc>
        <w:tc>
          <w:tcPr>
            <w:tcW w:w="360" w:type="dxa"/>
            <w:vAlign w:val="bottom"/>
          </w:tcPr>
          <w:p>
            <w:pPr>
              <w:spacing w:after="0"/>
              <w:rPr>
                <w:sz w:val="14"/>
                <w:szCs w:val="14"/>
                <w:color w:val="auto"/>
              </w:rPr>
            </w:pPr>
          </w:p>
        </w:tc>
        <w:tc>
          <w:tcPr>
            <w:tcW w:w="1060" w:type="dxa"/>
            <w:vAlign w:val="bottom"/>
          </w:tcPr>
          <w:p>
            <w:pPr>
              <w:jc w:val="right"/>
              <w:ind w:right="557"/>
              <w:spacing w:after="0"/>
              <w:rPr>
                <w:sz w:val="20"/>
                <w:szCs w:val="20"/>
                <w:color w:val="auto"/>
              </w:rPr>
            </w:pPr>
            <w:r>
              <w:rPr>
                <w:rFonts w:ascii="Arial" w:cs="Arial" w:eastAsia="Arial" w:hAnsi="Arial"/>
                <w:sz w:val="13"/>
                <w:szCs w:val="13"/>
                <w:b w:val="1"/>
                <w:bCs w:val="1"/>
                <w:color w:val="auto"/>
              </w:rPr>
              <w:t>net</w:t>
            </w:r>
          </w:p>
        </w:tc>
        <w:tc>
          <w:tcPr>
            <w:tcW w:w="0" w:type="dxa"/>
            <w:vAlign w:val="bottom"/>
          </w:tcPr>
          <w:p>
            <w:pPr>
              <w:spacing w:after="0"/>
              <w:rPr>
                <w:sz w:val="1"/>
                <w:szCs w:val="1"/>
                <w:color w:val="auto"/>
              </w:rPr>
            </w:pPr>
          </w:p>
        </w:tc>
      </w:tr>
      <w:tr>
        <w:trPr>
          <w:trHeight w:val="158"/>
        </w:trPr>
        <w:tc>
          <w:tcPr>
            <w:tcW w:w="3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Broker-dealer credit facilities:</w:t>
            </w:r>
          </w:p>
        </w:tc>
        <w:tc>
          <w:tcPr>
            <w:tcW w:w="120" w:type="dxa"/>
            <w:vAlign w:val="bottom"/>
            <w:tcBorders>
              <w:top w:val="single" w:sz="8" w:color="CCEEFF"/>
            </w:tcBorders>
            <w:shd w:val="clear" w:color="auto" w:fill="CCEEFF"/>
          </w:tcPr>
          <w:p>
            <w:pPr>
              <w:spacing w:after="0"/>
              <w:rPr>
                <w:sz w:val="13"/>
                <w:szCs w:val="13"/>
                <w:color w:val="auto"/>
              </w:rPr>
            </w:pPr>
          </w:p>
        </w:tc>
        <w:tc>
          <w:tcPr>
            <w:tcW w:w="14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3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3720" w:type="dxa"/>
            <w:vAlign w:val="bottom"/>
            <w:gridSpan w:val="2"/>
          </w:tcPr>
          <w:p>
            <w:pPr>
              <w:ind w:left="120"/>
              <w:spacing w:after="0"/>
              <w:rPr>
                <w:sz w:val="20"/>
                <w:szCs w:val="20"/>
                <w:color w:val="auto"/>
              </w:rPr>
            </w:pPr>
            <w:r>
              <w:rPr>
                <w:rFonts w:ascii="Arial" w:cs="Arial" w:eastAsia="Arial" w:hAnsi="Arial"/>
                <w:sz w:val="13"/>
                <w:szCs w:val="13"/>
                <w:color w:val="auto"/>
              </w:rPr>
              <w:t>Uncommitted facility</w:t>
            </w:r>
          </w:p>
        </w:tc>
        <w:tc>
          <w:tcPr>
            <w:tcW w:w="1420" w:type="dxa"/>
            <w:vAlign w:val="bottom"/>
          </w:tcPr>
          <w:p>
            <w:pPr>
              <w:jc w:val="center"/>
              <w:spacing w:after="0"/>
              <w:rPr>
                <w:sz w:val="20"/>
                <w:szCs w:val="20"/>
                <w:color w:val="auto"/>
              </w:rPr>
            </w:pPr>
            <w:r>
              <w:rPr>
                <w:rFonts w:ascii="Arial" w:cs="Arial" w:eastAsia="Arial" w:hAnsi="Arial"/>
                <w:sz w:val="13"/>
                <w:szCs w:val="13"/>
                <w:color w:val="auto"/>
                <w:w w:val="86"/>
              </w:rPr>
              <w:t>1.25%</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400,000</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58,000</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(1,546)</w:t>
            </w:r>
          </w:p>
        </w:tc>
        <w:tc>
          <w:tcPr>
            <w:tcW w:w="100" w:type="dxa"/>
            <w:vAlign w:val="bottom"/>
          </w:tcPr>
          <w:p>
            <w:pPr>
              <w:spacing w:after="0"/>
              <w:rPr>
                <w:sz w:val="14"/>
                <w:szCs w:val="14"/>
                <w:color w:val="auto"/>
              </w:rPr>
            </w:pPr>
          </w:p>
        </w:tc>
        <w:tc>
          <w:tcPr>
            <w:tcW w:w="360" w:type="dxa"/>
            <w:vAlign w:val="bottom"/>
          </w:tcPr>
          <w:p>
            <w:pPr>
              <w:ind w:left="20"/>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56,454</w:t>
            </w:r>
          </w:p>
        </w:tc>
        <w:tc>
          <w:tcPr>
            <w:tcW w:w="0" w:type="dxa"/>
            <w:vAlign w:val="bottom"/>
          </w:tcPr>
          <w:p>
            <w:pPr>
              <w:spacing w:after="0"/>
              <w:rPr>
                <w:sz w:val="1"/>
                <w:szCs w:val="1"/>
                <w:color w:val="auto"/>
              </w:rPr>
            </w:pPr>
          </w:p>
        </w:tc>
      </w:tr>
      <w:tr>
        <w:trPr>
          <w:trHeight w:val="168"/>
        </w:trPr>
        <w:tc>
          <w:tcPr>
            <w:tcW w:w="37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Committed facility</w:t>
            </w:r>
          </w:p>
        </w:tc>
        <w:tc>
          <w:tcPr>
            <w:tcW w:w="1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3.78%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600,000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ind w:left="116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5"/>
        </w:trPr>
        <w:tc>
          <w:tcPr>
            <w:tcW w:w="3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1,000,000</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58,000</w:t>
            </w: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(1,546)</w:t>
            </w:r>
          </w:p>
        </w:tc>
        <w:tc>
          <w:tcPr>
            <w:tcW w:w="100" w:type="dxa"/>
            <w:vAlign w:val="bottom"/>
          </w:tcPr>
          <w:p>
            <w:pPr>
              <w:spacing w:after="0"/>
              <w:rPr>
                <w:sz w:val="13"/>
                <w:szCs w:val="13"/>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56,454</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7"/>
              </w:rPr>
              <w:t>At December 31, 2020</w:t>
            </w:r>
          </w:p>
        </w:tc>
        <w:tc>
          <w:tcPr>
            <w:tcW w:w="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37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(in thousands)</w:t>
            </w:r>
          </w:p>
        </w:tc>
        <w:tc>
          <w:tcPr>
            <w:tcW w:w="152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8"/>
              </w:rPr>
              <w:t>Interest Rate</w:t>
            </w:r>
          </w:p>
        </w:tc>
        <w:tc>
          <w:tcPr>
            <w:tcW w:w="120" w:type="dxa"/>
            <w:vAlign w:val="bottom"/>
          </w:tcPr>
          <w:p>
            <w:pPr>
              <w:spacing w:after="0"/>
              <w:rPr>
                <w:sz w:val="9"/>
                <w:szCs w:val="9"/>
                <w:color w:val="auto"/>
              </w:rPr>
            </w:pPr>
          </w:p>
        </w:tc>
        <w:tc>
          <w:tcPr>
            <w:tcW w:w="140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Financing Available</w:t>
            </w:r>
          </w:p>
        </w:tc>
        <w:tc>
          <w:tcPr>
            <w:tcW w:w="1540" w:type="dxa"/>
            <w:vAlign w:val="bottom"/>
            <w:gridSpan w:val="3"/>
            <w:vMerge w:val="restart"/>
          </w:tcPr>
          <w:p>
            <w:pPr>
              <w:jc w:val="center"/>
              <w:ind w:right="100"/>
              <w:spacing w:after="0"/>
              <w:rPr>
                <w:sz w:val="20"/>
                <w:szCs w:val="20"/>
                <w:color w:val="auto"/>
              </w:rPr>
            </w:pPr>
            <w:r>
              <w:rPr>
                <w:rFonts w:ascii="Arial" w:cs="Arial" w:eastAsia="Arial" w:hAnsi="Arial"/>
                <w:sz w:val="13"/>
                <w:szCs w:val="13"/>
                <w:b w:val="1"/>
                <w:bCs w:val="1"/>
                <w:color w:val="auto"/>
                <w:w w:val="88"/>
              </w:rPr>
              <w:t>Borrowing Outstanding</w:t>
            </w:r>
          </w:p>
        </w:tc>
        <w:tc>
          <w:tcPr>
            <w:tcW w:w="80" w:type="dxa"/>
            <w:vAlign w:val="bottom"/>
          </w:tcPr>
          <w:p>
            <w:pPr>
              <w:spacing w:after="0"/>
              <w:rPr>
                <w:sz w:val="9"/>
                <w:szCs w:val="9"/>
                <w:color w:val="auto"/>
              </w:rPr>
            </w:pPr>
          </w:p>
        </w:tc>
        <w:tc>
          <w:tcPr>
            <w:tcW w:w="1440" w:type="dxa"/>
            <w:vAlign w:val="bottom"/>
            <w:gridSpan w:val="2"/>
          </w:tcPr>
          <w:p>
            <w:pPr>
              <w:jc w:val="center"/>
              <w:ind w:right="180"/>
              <w:spacing w:after="0" w:line="115" w:lineRule="exact"/>
              <w:rPr>
                <w:sz w:val="20"/>
                <w:szCs w:val="20"/>
                <w:color w:val="auto"/>
              </w:rPr>
            </w:pPr>
            <w:r>
              <w:rPr>
                <w:rFonts w:ascii="Arial" w:cs="Arial" w:eastAsia="Arial" w:hAnsi="Arial"/>
                <w:sz w:val="13"/>
                <w:szCs w:val="13"/>
                <w:b w:val="1"/>
                <w:bCs w:val="1"/>
                <w:color w:val="auto"/>
                <w:w w:val="86"/>
              </w:rPr>
              <w:t>Deferred Debt Issuance</w:t>
            </w:r>
          </w:p>
        </w:tc>
        <w:tc>
          <w:tcPr>
            <w:tcW w:w="1420" w:type="dxa"/>
            <w:vAlign w:val="bottom"/>
            <w:gridSpan w:val="2"/>
          </w:tcPr>
          <w:p>
            <w:pPr>
              <w:ind w:left="20"/>
              <w:spacing w:after="0" w:line="115" w:lineRule="exact"/>
              <w:rPr>
                <w:sz w:val="20"/>
                <w:szCs w:val="20"/>
                <w:color w:val="auto"/>
              </w:rPr>
            </w:pPr>
            <w:r>
              <w:rPr>
                <w:rFonts w:ascii="Arial" w:cs="Arial" w:eastAsia="Arial" w:hAnsi="Arial"/>
                <w:sz w:val="13"/>
                <w:szCs w:val="13"/>
                <w:b w:val="1"/>
                <w:bCs w:val="1"/>
                <w:color w:val="auto"/>
                <w:w w:val="88"/>
              </w:rPr>
              <w:t>Outstanding Borrowings,</w:t>
            </w:r>
          </w:p>
        </w:tc>
        <w:tc>
          <w:tcPr>
            <w:tcW w:w="0" w:type="dxa"/>
            <w:vAlign w:val="bottom"/>
          </w:tcPr>
          <w:p>
            <w:pPr>
              <w:spacing w:after="0"/>
              <w:rPr>
                <w:sz w:val="1"/>
                <w:szCs w:val="1"/>
                <w:color w:val="auto"/>
              </w:rPr>
            </w:pPr>
          </w:p>
        </w:tc>
      </w:tr>
      <w:tr>
        <w:trPr>
          <w:trHeight w:val="165"/>
        </w:trPr>
        <w:tc>
          <w:tcPr>
            <w:tcW w:w="3720" w:type="dxa"/>
            <w:vAlign w:val="bottom"/>
            <w:gridSpan w:val="2"/>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2"/>
              </w:rPr>
              <w:t>Cost</w:t>
            </w:r>
          </w:p>
        </w:tc>
        <w:tc>
          <w:tcPr>
            <w:tcW w:w="360" w:type="dxa"/>
            <w:vAlign w:val="bottom"/>
          </w:tcPr>
          <w:p>
            <w:pPr>
              <w:spacing w:after="0"/>
              <w:rPr>
                <w:sz w:val="14"/>
                <w:szCs w:val="14"/>
                <w:color w:val="auto"/>
              </w:rPr>
            </w:pPr>
          </w:p>
        </w:tc>
        <w:tc>
          <w:tcPr>
            <w:tcW w:w="1060" w:type="dxa"/>
            <w:vAlign w:val="bottom"/>
          </w:tcPr>
          <w:p>
            <w:pPr>
              <w:jc w:val="right"/>
              <w:ind w:right="557"/>
              <w:spacing w:after="0"/>
              <w:rPr>
                <w:sz w:val="20"/>
                <w:szCs w:val="20"/>
                <w:color w:val="auto"/>
              </w:rPr>
            </w:pPr>
            <w:r>
              <w:rPr>
                <w:rFonts w:ascii="Arial" w:cs="Arial" w:eastAsia="Arial" w:hAnsi="Arial"/>
                <w:sz w:val="13"/>
                <w:szCs w:val="13"/>
                <w:b w:val="1"/>
                <w:bCs w:val="1"/>
                <w:color w:val="auto"/>
              </w:rPr>
              <w:t>net</w:t>
            </w:r>
          </w:p>
        </w:tc>
        <w:tc>
          <w:tcPr>
            <w:tcW w:w="0" w:type="dxa"/>
            <w:vAlign w:val="bottom"/>
          </w:tcPr>
          <w:p>
            <w:pPr>
              <w:spacing w:after="0"/>
              <w:rPr>
                <w:sz w:val="1"/>
                <w:szCs w:val="1"/>
                <w:color w:val="auto"/>
              </w:rPr>
            </w:pPr>
          </w:p>
        </w:tc>
      </w:tr>
      <w:tr>
        <w:trPr>
          <w:trHeight w:val="158"/>
        </w:trPr>
        <w:tc>
          <w:tcPr>
            <w:tcW w:w="3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Broker-dealer credit facilities:</w:t>
            </w:r>
          </w:p>
        </w:tc>
        <w:tc>
          <w:tcPr>
            <w:tcW w:w="120" w:type="dxa"/>
            <w:vAlign w:val="bottom"/>
            <w:tcBorders>
              <w:top w:val="single" w:sz="8" w:color="CCEEFF"/>
            </w:tcBorders>
            <w:shd w:val="clear" w:color="auto" w:fill="CCEEFF"/>
          </w:tcPr>
          <w:p>
            <w:pPr>
              <w:spacing w:after="0"/>
              <w:rPr>
                <w:sz w:val="13"/>
                <w:szCs w:val="13"/>
                <w:color w:val="auto"/>
              </w:rPr>
            </w:pPr>
          </w:p>
        </w:tc>
        <w:tc>
          <w:tcPr>
            <w:tcW w:w="14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3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3720" w:type="dxa"/>
            <w:vAlign w:val="bottom"/>
            <w:gridSpan w:val="2"/>
          </w:tcPr>
          <w:p>
            <w:pPr>
              <w:ind w:left="120"/>
              <w:spacing w:after="0"/>
              <w:rPr>
                <w:sz w:val="20"/>
                <w:szCs w:val="20"/>
                <w:color w:val="auto"/>
              </w:rPr>
            </w:pPr>
            <w:r>
              <w:rPr>
                <w:rFonts w:ascii="Arial" w:cs="Arial" w:eastAsia="Arial" w:hAnsi="Arial"/>
                <w:sz w:val="13"/>
                <w:szCs w:val="13"/>
                <w:color w:val="auto"/>
              </w:rPr>
              <w:t>Uncommitted facility</w:t>
            </w:r>
          </w:p>
        </w:tc>
        <w:tc>
          <w:tcPr>
            <w:tcW w:w="1420" w:type="dxa"/>
            <w:vAlign w:val="bottom"/>
          </w:tcPr>
          <w:p>
            <w:pPr>
              <w:jc w:val="center"/>
              <w:spacing w:after="0"/>
              <w:rPr>
                <w:sz w:val="20"/>
                <w:szCs w:val="20"/>
                <w:color w:val="auto"/>
              </w:rPr>
            </w:pPr>
            <w:r>
              <w:rPr>
                <w:rFonts w:ascii="Arial" w:cs="Arial" w:eastAsia="Arial" w:hAnsi="Arial"/>
                <w:sz w:val="13"/>
                <w:szCs w:val="13"/>
                <w:color w:val="auto"/>
                <w:w w:val="86"/>
              </w:rPr>
              <w:t>1.25%</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400,000</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36,400</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(387)</w:t>
            </w:r>
          </w:p>
        </w:tc>
        <w:tc>
          <w:tcPr>
            <w:tcW w:w="100" w:type="dxa"/>
            <w:vAlign w:val="bottom"/>
          </w:tcPr>
          <w:p>
            <w:pPr>
              <w:spacing w:after="0"/>
              <w:rPr>
                <w:sz w:val="14"/>
                <w:szCs w:val="14"/>
                <w:color w:val="auto"/>
              </w:rPr>
            </w:pPr>
          </w:p>
        </w:tc>
        <w:tc>
          <w:tcPr>
            <w:tcW w:w="360" w:type="dxa"/>
            <w:vAlign w:val="bottom"/>
          </w:tcPr>
          <w:p>
            <w:pPr>
              <w:ind w:left="20"/>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36,013</w:t>
            </w:r>
          </w:p>
        </w:tc>
        <w:tc>
          <w:tcPr>
            <w:tcW w:w="0" w:type="dxa"/>
            <w:vAlign w:val="bottom"/>
          </w:tcPr>
          <w:p>
            <w:pPr>
              <w:spacing w:after="0"/>
              <w:rPr>
                <w:sz w:val="1"/>
                <w:szCs w:val="1"/>
                <w:color w:val="auto"/>
              </w:rPr>
            </w:pPr>
          </w:p>
        </w:tc>
      </w:tr>
      <w:tr>
        <w:trPr>
          <w:trHeight w:val="166"/>
        </w:trPr>
        <w:tc>
          <w:tcPr>
            <w:tcW w:w="37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Committed facility</w:t>
            </w:r>
          </w:p>
        </w:tc>
        <w:tc>
          <w:tcPr>
            <w:tcW w:w="1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1.40%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600,000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ind w:left="116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3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1,000,000</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36,400</w:t>
            </w: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(387)</w:t>
            </w:r>
          </w:p>
        </w:tc>
        <w:tc>
          <w:tcPr>
            <w:tcW w:w="100" w:type="dxa"/>
            <w:vAlign w:val="bottom"/>
          </w:tcPr>
          <w:p>
            <w:pPr>
              <w:spacing w:after="0"/>
              <w:rPr>
                <w:sz w:val="13"/>
                <w:szCs w:val="13"/>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36,013</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5" w:lineRule="exact"/>
        <w:rPr>
          <w:sz w:val="20"/>
          <w:szCs w:val="20"/>
          <w:color w:val="auto"/>
        </w:rPr>
      </w:pPr>
    </w:p>
    <w:p>
      <w:pPr>
        <w:ind w:right="400" w:firstLine="568"/>
        <w:spacing w:after="0" w:line="268" w:lineRule="auto"/>
        <w:rPr>
          <w:sz w:val="20"/>
          <w:szCs w:val="20"/>
          <w:color w:val="auto"/>
        </w:rPr>
      </w:pPr>
      <w:r>
        <w:rPr>
          <w:rFonts w:ascii="Arial" w:cs="Arial" w:eastAsia="Arial" w:hAnsi="Arial"/>
          <w:sz w:val="16"/>
          <w:szCs w:val="16"/>
          <w:color w:val="auto"/>
        </w:rPr>
        <w:t>The following summarizes interest expense for the broker-dealer facilities. Interest expense is included within Interest and dividends expense in the accompanying Consolidated Statements of Comprehensive Income.</w:t>
      </w:r>
    </w:p>
    <w:p>
      <w:pPr>
        <w:spacing w:after="0" w:line="209" w:lineRule="exact"/>
        <w:rPr>
          <w:sz w:val="20"/>
          <w:szCs w:val="20"/>
          <w:color w:val="auto"/>
        </w:rPr>
      </w:pPr>
    </w:p>
    <w:tbl>
      <w:tblPr>
        <w:tblLayout w:type="fixed"/>
        <w:tblInd w:w="800" w:type="dxa"/>
        <w:tblCellMar>
          <w:top w:w="0" w:type="dxa"/>
          <w:left w:w="0" w:type="dxa"/>
          <w:bottom w:w="0" w:type="dxa"/>
          <w:right w:w="0" w:type="dxa"/>
        </w:tblCellMar>
      </w:tblPr>
      <w:tr>
        <w:trPr>
          <w:trHeight w:val="166"/>
        </w:trPr>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ind w:left="40"/>
              <w:spacing w:after="0"/>
              <w:rPr>
                <w:sz w:val="20"/>
                <w:szCs w:val="20"/>
                <w:color w:val="auto"/>
              </w:rPr>
            </w:pPr>
            <w:r>
              <w:rPr>
                <w:rFonts w:ascii="Arial" w:cs="Arial" w:eastAsia="Arial" w:hAnsi="Arial"/>
                <w:sz w:val="13"/>
                <w:szCs w:val="13"/>
                <w:b w:val="1"/>
                <w:bCs w:val="1"/>
                <w:color w:val="auto"/>
                <w:w w:val="91"/>
              </w:rPr>
              <w:t>Years Ended December 31,</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r>
      <w:tr>
        <w:trPr>
          <w:trHeight w:val="165"/>
        </w:trPr>
        <w:tc>
          <w:tcPr>
            <w:tcW w:w="538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320" w:type="dxa"/>
            <w:vAlign w:val="bottom"/>
          </w:tcPr>
          <w:p>
            <w:pPr>
              <w:spacing w:after="0"/>
              <w:rPr>
                <w:sz w:val="14"/>
                <w:szCs w:val="14"/>
                <w:color w:val="auto"/>
              </w:rPr>
            </w:pPr>
          </w:p>
        </w:tc>
        <w:tc>
          <w:tcPr>
            <w:tcW w:w="1060" w:type="dxa"/>
            <w:vAlign w:val="bottom"/>
          </w:tcPr>
          <w:p>
            <w:pPr>
              <w:jc w:val="right"/>
              <w:ind w:right="497"/>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497"/>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477"/>
              <w:spacing w:after="0"/>
              <w:rPr>
                <w:sz w:val="20"/>
                <w:szCs w:val="20"/>
                <w:color w:val="auto"/>
              </w:rPr>
            </w:pPr>
            <w:r>
              <w:rPr>
                <w:rFonts w:ascii="Arial" w:cs="Arial" w:eastAsia="Arial" w:hAnsi="Arial"/>
                <w:sz w:val="13"/>
                <w:szCs w:val="13"/>
                <w:b w:val="1"/>
                <w:bCs w:val="1"/>
                <w:color w:val="auto"/>
              </w:rPr>
              <w:t>2019</w:t>
            </w:r>
          </w:p>
        </w:tc>
      </w:tr>
      <w:tr>
        <w:trPr>
          <w:trHeight w:val="158"/>
        </w:trPr>
        <w:tc>
          <w:tcPr>
            <w:tcW w:w="5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b w:val="1"/>
                <w:bCs w:val="1"/>
                <w:color w:val="auto"/>
              </w:rPr>
              <w:t>Broker-dealer credit facilities:</w:t>
            </w: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r>
      <w:tr>
        <w:trPr>
          <w:trHeight w:val="163"/>
        </w:trPr>
        <w:tc>
          <w:tcPr>
            <w:tcW w:w="5380" w:type="dxa"/>
            <w:vAlign w:val="bottom"/>
            <w:gridSpan w:val="2"/>
          </w:tcPr>
          <w:p>
            <w:pPr>
              <w:ind w:left="120"/>
              <w:spacing w:after="0"/>
              <w:rPr>
                <w:sz w:val="20"/>
                <w:szCs w:val="20"/>
                <w:color w:val="auto"/>
              </w:rPr>
            </w:pPr>
            <w:r>
              <w:rPr>
                <w:rFonts w:ascii="Arial" w:cs="Arial" w:eastAsia="Arial" w:hAnsi="Arial"/>
                <w:sz w:val="13"/>
                <w:szCs w:val="13"/>
                <w:color w:val="auto"/>
              </w:rPr>
              <w:t>Uncommitted facility</w:t>
            </w:r>
          </w:p>
        </w:tc>
        <w:tc>
          <w:tcPr>
            <w:tcW w:w="320" w:type="dxa"/>
            <w:vAlign w:val="bottom"/>
          </w:tcPr>
          <w:p>
            <w:pPr>
              <w:jc w:val="right"/>
              <w:ind w:right="177"/>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2,327</w:t>
            </w:r>
          </w:p>
        </w:tc>
        <w:tc>
          <w:tcPr>
            <w:tcW w:w="42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1,337</w:t>
            </w:r>
          </w:p>
        </w:tc>
        <w:tc>
          <w:tcPr>
            <w:tcW w:w="120" w:type="dxa"/>
            <w:vAlign w:val="bottom"/>
          </w:tcPr>
          <w:p>
            <w:pPr>
              <w:spacing w:after="0"/>
              <w:rPr>
                <w:sz w:val="14"/>
                <w:szCs w:val="14"/>
                <w:color w:val="auto"/>
              </w:rPr>
            </w:pPr>
          </w:p>
        </w:tc>
        <w:tc>
          <w:tcPr>
            <w:tcW w:w="300" w:type="dxa"/>
            <w:vAlign w:val="bottom"/>
          </w:tcPr>
          <w:p>
            <w:pPr>
              <w:jc w:val="right"/>
              <w:ind w:right="193"/>
              <w:spacing w:after="0"/>
              <w:rPr>
                <w:sz w:val="20"/>
                <w:szCs w:val="20"/>
                <w:color w:val="auto"/>
              </w:rPr>
            </w:pPr>
            <w:r>
              <w:rPr>
                <w:rFonts w:ascii="Arial" w:cs="Arial" w:eastAsia="Arial" w:hAnsi="Arial"/>
                <w:sz w:val="9"/>
                <w:szCs w:val="9"/>
                <w:color w:val="auto"/>
                <w:w w:val="78"/>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1,591</w:t>
            </w:r>
          </w:p>
        </w:tc>
      </w:tr>
      <w:tr>
        <w:trPr>
          <w:trHeight w:val="168"/>
        </w:trPr>
        <w:tc>
          <w:tcPr>
            <w:tcW w:w="53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Committed facility</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447</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454</w:t>
            </w:r>
          </w:p>
        </w:tc>
      </w:tr>
      <w:tr>
        <w:trPr>
          <w:trHeight w:val="163"/>
        </w:trPr>
        <w:tc>
          <w:tcPr>
            <w:tcW w:w="5380" w:type="dxa"/>
            <w:vAlign w:val="bottom"/>
            <w:tcBorders>
              <w:bottom w:val="single" w:sz="8" w:color="CCEEFF"/>
            </w:tcBorders>
            <w:gridSpan w:val="2"/>
          </w:tcPr>
          <w:p>
            <w:pPr>
              <w:ind w:left="120"/>
              <w:spacing w:after="0"/>
              <w:rPr>
                <w:sz w:val="20"/>
                <w:szCs w:val="20"/>
                <w:color w:val="auto"/>
              </w:rPr>
            </w:pPr>
            <w:r>
              <w:rPr>
                <w:rFonts w:ascii="Arial" w:cs="Arial" w:eastAsia="Arial" w:hAnsi="Arial"/>
                <w:sz w:val="13"/>
                <w:szCs w:val="13"/>
                <w:color w:val="auto"/>
              </w:rPr>
              <w:t>Demand Loan</w:t>
            </w: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211</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5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2,409</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1,995</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9"/>
                <w:szCs w:val="9"/>
                <w:color w:val="auto"/>
                <w:w w:val="7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2,045</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Short-Term Bank Loans</w:t>
      </w:r>
    </w:p>
    <w:p>
      <w:pPr>
        <w:spacing w:after="0" w:line="219" w:lineRule="exact"/>
        <w:rPr>
          <w:sz w:val="20"/>
          <w:szCs w:val="20"/>
          <w:color w:val="auto"/>
        </w:rPr>
      </w:pPr>
    </w:p>
    <w:p>
      <w:pPr>
        <w:ind w:right="80" w:firstLine="568"/>
        <w:spacing w:after="0" w:line="302" w:lineRule="auto"/>
        <w:rPr>
          <w:sz w:val="20"/>
          <w:szCs w:val="20"/>
          <w:color w:val="auto"/>
        </w:rPr>
      </w:pPr>
      <w:r>
        <w:rPr>
          <w:rFonts w:ascii="Arial" w:cs="Arial" w:eastAsia="Arial" w:hAnsi="Arial"/>
          <w:sz w:val="14"/>
          <w:szCs w:val="14"/>
          <w:color w:val="auto"/>
        </w:rPr>
        <w:t>The Company’s international securities clearance and settlement activities are funded with operating cash or with short-term bank loans in the form of overdraft facilities. At December 31, 2021, there was $5.0 million associated with international settlement activities outstanding under these facilities at a weighted average interest rate of approximately 4.2%. At December 31, 2020, there was $28.7 million associated with international settlement activities outstanding under these facilities at a weighted average interest rate of approximately 2.4%. These short-term bank loan balances are included within Short-term borrowings on the Consolidated Statements of Financial Condition.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1" w:name="page102"/>
    <w:bookmarkEnd w:id="10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Prime Brokerage Credit Facilities</w:t>
      </w:r>
    </w:p>
    <w:p>
      <w:pPr>
        <w:spacing w:after="0" w:line="219" w:lineRule="exact"/>
        <w:rPr>
          <w:sz w:val="20"/>
          <w:szCs w:val="20"/>
          <w:color w:val="auto"/>
        </w:rPr>
      </w:pPr>
    </w:p>
    <w:p>
      <w:pPr>
        <w:ind w:right="20" w:firstLine="568"/>
        <w:spacing w:after="0" w:line="257" w:lineRule="auto"/>
        <w:rPr>
          <w:sz w:val="20"/>
          <w:szCs w:val="20"/>
          <w:color w:val="auto"/>
        </w:rPr>
      </w:pPr>
      <w:r>
        <w:rPr>
          <w:rFonts w:ascii="Arial" w:cs="Arial" w:eastAsia="Arial" w:hAnsi="Arial"/>
          <w:sz w:val="16"/>
          <w:szCs w:val="16"/>
          <w:color w:val="auto"/>
        </w:rPr>
        <w:t>The Company maintains short-term credit facilities with various prime brokers and other financial institutions from which it receives execution or clearing services. The proceeds of these facilities are used to meet margin requirements associated with the products traded by the Company in the ordinary course, and amounts borrowed are collateralized by the Company’s trading accounts with the applicable financial institution.</w:t>
      </w:r>
    </w:p>
    <w:p>
      <w:pPr>
        <w:spacing w:after="0" w:line="266"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4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3"/>
                <w:szCs w:val="13"/>
                <w:b w:val="1"/>
                <w:bCs w:val="1"/>
                <w:color w:val="auto"/>
                <w:w w:val="87"/>
              </w:rPr>
              <w:t>At December 31, 2021</w:t>
            </w:r>
          </w:p>
        </w:tc>
        <w:tc>
          <w:tcPr>
            <w:tcW w:w="4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42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(in thousands)</w:t>
            </w:r>
          </w:p>
        </w:tc>
        <w:tc>
          <w:tcPr>
            <w:tcW w:w="2360" w:type="dxa"/>
            <w:vAlign w:val="bottom"/>
            <w:gridSpan w:val="2"/>
          </w:tcPr>
          <w:p>
            <w:pPr>
              <w:jc w:val="center"/>
              <w:ind w:right="140"/>
              <w:spacing w:after="0" w:line="115" w:lineRule="exact"/>
              <w:rPr>
                <w:sz w:val="20"/>
                <w:szCs w:val="20"/>
                <w:color w:val="auto"/>
              </w:rPr>
            </w:pPr>
            <w:r>
              <w:rPr>
                <w:rFonts w:ascii="Arial" w:cs="Arial" w:eastAsia="Arial" w:hAnsi="Arial"/>
                <w:sz w:val="13"/>
                <w:szCs w:val="13"/>
                <w:b w:val="1"/>
                <w:bCs w:val="1"/>
                <w:color w:val="auto"/>
                <w:w w:val="86"/>
              </w:rPr>
              <w:t>Weighted Average</w:t>
            </w:r>
          </w:p>
        </w:tc>
        <w:tc>
          <w:tcPr>
            <w:tcW w:w="300" w:type="dxa"/>
            <w:vAlign w:val="bottom"/>
          </w:tcPr>
          <w:p>
            <w:pPr>
              <w:spacing w:after="0"/>
              <w:rPr>
                <w:sz w:val="9"/>
                <w:szCs w:val="9"/>
                <w:color w:val="auto"/>
              </w:rPr>
            </w:pPr>
          </w:p>
        </w:tc>
        <w:tc>
          <w:tcPr>
            <w:tcW w:w="2040" w:type="dxa"/>
            <w:vAlign w:val="bottom"/>
            <w:gridSpan w:val="2"/>
          </w:tcPr>
          <w:p>
            <w:pPr>
              <w:jc w:val="center"/>
              <w:ind w:right="420"/>
              <w:spacing w:after="0" w:line="115" w:lineRule="exact"/>
              <w:rPr>
                <w:sz w:val="20"/>
                <w:szCs w:val="20"/>
                <w:color w:val="auto"/>
              </w:rPr>
            </w:pPr>
            <w:r>
              <w:rPr>
                <w:rFonts w:ascii="Arial" w:cs="Arial" w:eastAsia="Arial" w:hAnsi="Arial"/>
                <w:sz w:val="13"/>
                <w:szCs w:val="13"/>
                <w:b w:val="1"/>
                <w:bCs w:val="1"/>
                <w:color w:val="auto"/>
                <w:w w:val="87"/>
              </w:rPr>
              <w:t>Financing</w:t>
            </w:r>
          </w:p>
        </w:tc>
        <w:tc>
          <w:tcPr>
            <w:tcW w:w="440" w:type="dxa"/>
            <w:vAlign w:val="bottom"/>
          </w:tcPr>
          <w:p>
            <w:pPr>
              <w:spacing w:after="0"/>
              <w:rPr>
                <w:sz w:val="9"/>
                <w:szCs w:val="9"/>
                <w:color w:val="auto"/>
              </w:rPr>
            </w:pPr>
          </w:p>
        </w:tc>
        <w:tc>
          <w:tcPr>
            <w:tcW w:w="1820" w:type="dxa"/>
            <w:vAlign w:val="bottom"/>
          </w:tcPr>
          <w:p>
            <w:pPr>
              <w:jc w:val="right"/>
              <w:ind w:right="777"/>
              <w:spacing w:after="0" w:line="115" w:lineRule="exact"/>
              <w:rPr>
                <w:sz w:val="20"/>
                <w:szCs w:val="20"/>
                <w:color w:val="auto"/>
              </w:rPr>
            </w:pPr>
            <w:r>
              <w:rPr>
                <w:rFonts w:ascii="Arial" w:cs="Arial" w:eastAsia="Arial" w:hAnsi="Arial"/>
                <w:sz w:val="13"/>
                <w:szCs w:val="13"/>
                <w:b w:val="1"/>
                <w:bCs w:val="1"/>
                <w:color w:val="auto"/>
              </w:rPr>
              <w:t>Borrowing</w:t>
            </w:r>
          </w:p>
        </w:tc>
        <w:tc>
          <w:tcPr>
            <w:tcW w:w="0" w:type="dxa"/>
            <w:vAlign w:val="bottom"/>
          </w:tcPr>
          <w:p>
            <w:pPr>
              <w:spacing w:after="0"/>
              <w:rPr>
                <w:sz w:val="1"/>
                <w:szCs w:val="1"/>
                <w:color w:val="auto"/>
              </w:rPr>
            </w:pPr>
          </w:p>
        </w:tc>
      </w:tr>
      <w:tr>
        <w:trPr>
          <w:trHeight w:val="165"/>
        </w:trPr>
        <w:tc>
          <w:tcPr>
            <w:tcW w:w="4220" w:type="dxa"/>
            <w:vAlign w:val="bottom"/>
            <w:gridSpan w:val="2"/>
            <w:vMerge w:val="continue"/>
          </w:tcPr>
          <w:p>
            <w:pPr>
              <w:spacing w:after="0"/>
              <w:rPr>
                <w:sz w:val="14"/>
                <w:szCs w:val="14"/>
                <w:color w:val="auto"/>
              </w:rPr>
            </w:pPr>
          </w:p>
        </w:tc>
        <w:tc>
          <w:tcPr>
            <w:tcW w:w="23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8"/>
              </w:rPr>
              <w:t>Interest Rate</w:t>
            </w:r>
          </w:p>
        </w:tc>
        <w:tc>
          <w:tcPr>
            <w:tcW w:w="300" w:type="dxa"/>
            <w:vAlign w:val="bottom"/>
          </w:tcPr>
          <w:p>
            <w:pPr>
              <w:spacing w:after="0"/>
              <w:rPr>
                <w:sz w:val="14"/>
                <w:szCs w:val="14"/>
                <w:color w:val="auto"/>
              </w:rPr>
            </w:pPr>
          </w:p>
        </w:tc>
        <w:tc>
          <w:tcPr>
            <w:tcW w:w="204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87"/>
              </w:rPr>
              <w:t>Available</w:t>
            </w:r>
          </w:p>
        </w:tc>
        <w:tc>
          <w:tcPr>
            <w:tcW w:w="440" w:type="dxa"/>
            <w:vAlign w:val="bottom"/>
          </w:tcPr>
          <w:p>
            <w:pPr>
              <w:spacing w:after="0"/>
              <w:rPr>
                <w:sz w:val="14"/>
                <w:szCs w:val="14"/>
                <w:color w:val="auto"/>
              </w:rPr>
            </w:pPr>
          </w:p>
        </w:tc>
        <w:tc>
          <w:tcPr>
            <w:tcW w:w="1820" w:type="dxa"/>
            <w:vAlign w:val="bottom"/>
          </w:tcPr>
          <w:p>
            <w:pPr>
              <w:jc w:val="right"/>
              <w:ind w:right="737"/>
              <w:spacing w:after="0"/>
              <w:rPr>
                <w:sz w:val="20"/>
                <w:szCs w:val="20"/>
                <w:color w:val="auto"/>
              </w:rPr>
            </w:pPr>
            <w:r>
              <w:rPr>
                <w:rFonts w:ascii="Arial" w:cs="Arial" w:eastAsia="Arial" w:hAnsi="Arial"/>
                <w:sz w:val="13"/>
                <w:szCs w:val="13"/>
                <w:b w:val="1"/>
                <w:bCs w:val="1"/>
                <w:color w:val="auto"/>
              </w:rPr>
              <w:t>Outstanding</w:t>
            </w:r>
          </w:p>
        </w:tc>
        <w:tc>
          <w:tcPr>
            <w:tcW w:w="0" w:type="dxa"/>
            <w:vAlign w:val="bottom"/>
          </w:tcPr>
          <w:p>
            <w:pPr>
              <w:spacing w:after="0"/>
              <w:rPr>
                <w:sz w:val="1"/>
                <w:szCs w:val="1"/>
                <w:color w:val="auto"/>
              </w:rPr>
            </w:pPr>
          </w:p>
        </w:tc>
      </w:tr>
      <w:tr>
        <w:trPr>
          <w:trHeight w:val="158"/>
        </w:trPr>
        <w:tc>
          <w:tcPr>
            <w:tcW w:w="4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Prime Brokerage Credit Facilities:</w:t>
            </w:r>
          </w:p>
        </w:tc>
        <w:tc>
          <w:tcPr>
            <w:tcW w:w="100" w:type="dxa"/>
            <w:vAlign w:val="bottom"/>
            <w:tcBorders>
              <w:top w:val="single" w:sz="8" w:color="CCEEFF"/>
            </w:tcBorders>
            <w:shd w:val="clear" w:color="auto" w:fill="CCEEFF"/>
          </w:tcPr>
          <w:p>
            <w:pPr>
              <w:spacing w:after="0"/>
              <w:rPr>
                <w:sz w:val="13"/>
                <w:szCs w:val="13"/>
                <w:color w:val="auto"/>
              </w:rPr>
            </w:pPr>
          </w:p>
        </w:tc>
        <w:tc>
          <w:tcPr>
            <w:tcW w:w="22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9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8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220" w:type="dxa"/>
            <w:vAlign w:val="bottom"/>
            <w:tcBorders>
              <w:bottom w:val="single" w:sz="8" w:color="CCEEFF"/>
            </w:tcBorders>
            <w:gridSpan w:val="2"/>
          </w:tcPr>
          <w:p>
            <w:pPr>
              <w:ind w:left="120"/>
              <w:spacing w:after="0"/>
              <w:rPr>
                <w:sz w:val="20"/>
                <w:szCs w:val="20"/>
                <w:color w:val="auto"/>
              </w:rPr>
            </w:pPr>
            <w:r>
              <w:rPr>
                <w:rFonts w:ascii="Arial" w:cs="Arial" w:eastAsia="Arial" w:hAnsi="Arial"/>
                <w:sz w:val="13"/>
                <w:szCs w:val="13"/>
                <w:color w:val="auto"/>
              </w:rPr>
              <w:t>Prime brokerage credit facilities (1)</w:t>
            </w:r>
          </w:p>
        </w:tc>
        <w:tc>
          <w:tcPr>
            <w:tcW w:w="2240" w:type="dxa"/>
            <w:vAlign w:val="bottom"/>
            <w:tcBorders>
              <w:bottom w:val="single" w:sz="8" w:color="CCEEFF"/>
            </w:tcBorders>
          </w:tcPr>
          <w:p>
            <w:pPr>
              <w:jc w:val="center"/>
              <w:spacing w:after="0"/>
              <w:rPr>
                <w:sz w:val="20"/>
                <w:szCs w:val="20"/>
                <w:color w:val="auto"/>
              </w:rPr>
            </w:pPr>
            <w:r>
              <w:rPr>
                <w:rFonts w:ascii="Arial" w:cs="Arial" w:eastAsia="Arial" w:hAnsi="Arial"/>
                <w:sz w:val="13"/>
                <w:szCs w:val="13"/>
                <w:color w:val="auto"/>
                <w:w w:val="86"/>
              </w:rPr>
              <w:t>2.91%</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jc w:val="right"/>
              <w:ind w:right="193"/>
              <w:spacing w:after="0"/>
              <w:rPr>
                <w:sz w:val="20"/>
                <w:szCs w:val="20"/>
                <w:color w:val="auto"/>
              </w:rPr>
            </w:pPr>
            <w:r>
              <w:rPr>
                <w:rFonts w:ascii="Arial" w:cs="Arial" w:eastAsia="Arial" w:hAnsi="Arial"/>
                <w:sz w:val="9"/>
                <w:szCs w:val="9"/>
                <w:color w:val="auto"/>
                <w:w w:val="78"/>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616,000</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color w:val="auto"/>
                <w:w w:val="82"/>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177,080</w:t>
            </w:r>
          </w:p>
        </w:tc>
        <w:tc>
          <w:tcPr>
            <w:tcW w:w="0" w:type="dxa"/>
            <w:vAlign w:val="bottom"/>
          </w:tcPr>
          <w:p>
            <w:pPr>
              <w:spacing w:after="0"/>
              <w:rPr>
                <w:sz w:val="1"/>
                <w:szCs w:val="1"/>
                <w:color w:val="auto"/>
              </w:rPr>
            </w:pPr>
          </w:p>
        </w:tc>
      </w:tr>
      <w:tr>
        <w:trPr>
          <w:trHeight w:val="183"/>
        </w:trPr>
        <w:tc>
          <w:tcPr>
            <w:tcW w:w="4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9"/>
                <w:szCs w:val="9"/>
                <w:color w:val="auto"/>
                <w:w w:val="78"/>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616,000</w:t>
            </w: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297"/>
              <w:spacing w:after="0"/>
              <w:rPr>
                <w:sz w:val="20"/>
                <w:szCs w:val="20"/>
                <w:color w:val="auto"/>
              </w:rPr>
            </w:pPr>
            <w:r>
              <w:rPr>
                <w:rFonts w:ascii="Arial" w:cs="Arial" w:eastAsia="Arial" w:hAnsi="Arial"/>
                <w:sz w:val="13"/>
                <w:szCs w:val="13"/>
                <w:color w:val="auto"/>
                <w:w w:val="82"/>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177,080</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4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3"/>
                <w:szCs w:val="13"/>
                <w:b w:val="1"/>
                <w:bCs w:val="1"/>
                <w:color w:val="auto"/>
                <w:w w:val="87"/>
              </w:rPr>
              <w:t>At December 31, 2020</w:t>
            </w:r>
          </w:p>
        </w:tc>
        <w:tc>
          <w:tcPr>
            <w:tcW w:w="4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41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thousands)</w:t>
            </w:r>
          </w:p>
        </w:tc>
        <w:tc>
          <w:tcPr>
            <w:tcW w:w="100" w:type="dxa"/>
            <w:vAlign w:val="bottom"/>
            <w:vMerge w:val="restart"/>
          </w:tcPr>
          <w:p>
            <w:pPr>
              <w:spacing w:after="0"/>
              <w:rPr>
                <w:sz w:val="9"/>
                <w:szCs w:val="9"/>
                <w:color w:val="auto"/>
              </w:rPr>
            </w:pPr>
          </w:p>
        </w:tc>
        <w:tc>
          <w:tcPr>
            <w:tcW w:w="2360" w:type="dxa"/>
            <w:vAlign w:val="bottom"/>
            <w:gridSpan w:val="2"/>
          </w:tcPr>
          <w:p>
            <w:pPr>
              <w:jc w:val="center"/>
              <w:ind w:right="140"/>
              <w:spacing w:after="0" w:line="115" w:lineRule="exact"/>
              <w:rPr>
                <w:sz w:val="20"/>
                <w:szCs w:val="20"/>
                <w:color w:val="auto"/>
              </w:rPr>
            </w:pPr>
            <w:r>
              <w:rPr>
                <w:rFonts w:ascii="Arial" w:cs="Arial" w:eastAsia="Arial" w:hAnsi="Arial"/>
                <w:sz w:val="13"/>
                <w:szCs w:val="13"/>
                <w:b w:val="1"/>
                <w:bCs w:val="1"/>
                <w:color w:val="auto"/>
                <w:w w:val="86"/>
              </w:rPr>
              <w:t>Weighted Average</w:t>
            </w:r>
          </w:p>
        </w:tc>
        <w:tc>
          <w:tcPr>
            <w:tcW w:w="300" w:type="dxa"/>
            <w:vAlign w:val="bottom"/>
          </w:tcPr>
          <w:p>
            <w:pPr>
              <w:spacing w:after="0"/>
              <w:rPr>
                <w:sz w:val="9"/>
                <w:szCs w:val="9"/>
                <w:color w:val="auto"/>
              </w:rPr>
            </w:pPr>
          </w:p>
        </w:tc>
        <w:tc>
          <w:tcPr>
            <w:tcW w:w="2040" w:type="dxa"/>
            <w:vAlign w:val="bottom"/>
            <w:gridSpan w:val="2"/>
          </w:tcPr>
          <w:p>
            <w:pPr>
              <w:jc w:val="center"/>
              <w:ind w:right="420"/>
              <w:spacing w:after="0" w:line="115" w:lineRule="exact"/>
              <w:rPr>
                <w:sz w:val="20"/>
                <w:szCs w:val="20"/>
                <w:color w:val="auto"/>
              </w:rPr>
            </w:pPr>
            <w:r>
              <w:rPr>
                <w:rFonts w:ascii="Arial" w:cs="Arial" w:eastAsia="Arial" w:hAnsi="Arial"/>
                <w:sz w:val="13"/>
                <w:szCs w:val="13"/>
                <w:b w:val="1"/>
                <w:bCs w:val="1"/>
                <w:color w:val="auto"/>
                <w:w w:val="87"/>
              </w:rPr>
              <w:t>Financing</w:t>
            </w:r>
          </w:p>
        </w:tc>
        <w:tc>
          <w:tcPr>
            <w:tcW w:w="440" w:type="dxa"/>
            <w:vAlign w:val="bottom"/>
          </w:tcPr>
          <w:p>
            <w:pPr>
              <w:spacing w:after="0"/>
              <w:rPr>
                <w:sz w:val="9"/>
                <w:szCs w:val="9"/>
                <w:color w:val="auto"/>
              </w:rPr>
            </w:pPr>
          </w:p>
        </w:tc>
        <w:tc>
          <w:tcPr>
            <w:tcW w:w="1820" w:type="dxa"/>
            <w:vAlign w:val="bottom"/>
          </w:tcPr>
          <w:p>
            <w:pPr>
              <w:jc w:val="right"/>
              <w:ind w:right="777"/>
              <w:spacing w:after="0" w:line="115" w:lineRule="exact"/>
              <w:rPr>
                <w:sz w:val="20"/>
                <w:szCs w:val="20"/>
                <w:color w:val="auto"/>
              </w:rPr>
            </w:pPr>
            <w:r>
              <w:rPr>
                <w:rFonts w:ascii="Arial" w:cs="Arial" w:eastAsia="Arial" w:hAnsi="Arial"/>
                <w:sz w:val="13"/>
                <w:szCs w:val="13"/>
                <w:b w:val="1"/>
                <w:bCs w:val="1"/>
                <w:color w:val="auto"/>
              </w:rPr>
              <w:t>Borrowing</w:t>
            </w:r>
          </w:p>
        </w:tc>
        <w:tc>
          <w:tcPr>
            <w:tcW w:w="0" w:type="dxa"/>
            <w:vAlign w:val="bottom"/>
          </w:tcPr>
          <w:p>
            <w:pPr>
              <w:spacing w:after="0"/>
              <w:rPr>
                <w:sz w:val="1"/>
                <w:szCs w:val="1"/>
                <w:color w:val="auto"/>
              </w:rPr>
            </w:pPr>
          </w:p>
        </w:tc>
      </w:tr>
      <w:tr>
        <w:trPr>
          <w:trHeight w:val="165"/>
        </w:trPr>
        <w:tc>
          <w:tcPr>
            <w:tcW w:w="41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Interest Rate</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jc w:val="center"/>
              <w:ind w:right="257"/>
              <w:spacing w:after="0"/>
              <w:rPr>
                <w:sz w:val="20"/>
                <w:szCs w:val="20"/>
                <w:color w:val="auto"/>
              </w:rPr>
            </w:pPr>
            <w:r>
              <w:rPr>
                <w:rFonts w:ascii="Arial" w:cs="Arial" w:eastAsia="Arial" w:hAnsi="Arial"/>
                <w:sz w:val="13"/>
                <w:szCs w:val="13"/>
                <w:b w:val="1"/>
                <w:bCs w:val="1"/>
                <w:color w:val="auto"/>
                <w:w w:val="87"/>
              </w:rPr>
              <w:t>Available</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jc w:val="right"/>
              <w:ind w:right="737"/>
              <w:spacing w:after="0"/>
              <w:rPr>
                <w:sz w:val="20"/>
                <w:szCs w:val="20"/>
                <w:color w:val="auto"/>
              </w:rPr>
            </w:pPr>
            <w:r>
              <w:rPr>
                <w:rFonts w:ascii="Arial" w:cs="Arial" w:eastAsia="Arial" w:hAnsi="Arial"/>
                <w:sz w:val="13"/>
                <w:szCs w:val="13"/>
                <w:b w:val="1"/>
                <w:bCs w:val="1"/>
                <w:color w:val="auto"/>
              </w:rPr>
              <w:t>Outstanding</w:t>
            </w:r>
          </w:p>
        </w:tc>
        <w:tc>
          <w:tcPr>
            <w:tcW w:w="0" w:type="dxa"/>
            <w:vAlign w:val="bottom"/>
          </w:tcPr>
          <w:p>
            <w:pPr>
              <w:spacing w:after="0"/>
              <w:rPr>
                <w:sz w:val="1"/>
                <w:szCs w:val="1"/>
                <w:color w:val="auto"/>
              </w:rPr>
            </w:pPr>
          </w:p>
        </w:tc>
      </w:tr>
      <w:tr>
        <w:trPr>
          <w:trHeight w:val="206"/>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Prime Brokerage Credit Facilities:</w:t>
            </w:r>
          </w:p>
        </w:tc>
        <w:tc>
          <w:tcPr>
            <w:tcW w:w="2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4220" w:type="dxa"/>
            <w:vAlign w:val="bottom"/>
            <w:tcBorders>
              <w:bottom w:val="single" w:sz="8" w:color="CCEEFF"/>
            </w:tcBorders>
            <w:gridSpan w:val="2"/>
          </w:tcPr>
          <w:p>
            <w:pPr>
              <w:ind w:left="120"/>
              <w:spacing w:after="0"/>
              <w:rPr>
                <w:sz w:val="20"/>
                <w:szCs w:val="20"/>
                <w:color w:val="auto"/>
              </w:rPr>
            </w:pPr>
            <w:r>
              <w:rPr>
                <w:rFonts w:ascii="Arial" w:cs="Arial" w:eastAsia="Arial" w:hAnsi="Arial"/>
                <w:sz w:val="13"/>
                <w:szCs w:val="13"/>
                <w:color w:val="auto"/>
              </w:rPr>
              <w:t>Prime brokerage credit facilities (1)</w:t>
            </w:r>
          </w:p>
        </w:tc>
        <w:tc>
          <w:tcPr>
            <w:tcW w:w="2240" w:type="dxa"/>
            <w:vAlign w:val="bottom"/>
            <w:tcBorders>
              <w:bottom w:val="single" w:sz="8" w:color="CCEEFF"/>
            </w:tcBorders>
          </w:tcPr>
          <w:p>
            <w:pPr>
              <w:jc w:val="center"/>
              <w:spacing w:after="0"/>
              <w:rPr>
                <w:sz w:val="20"/>
                <w:szCs w:val="20"/>
                <w:color w:val="auto"/>
              </w:rPr>
            </w:pPr>
            <w:r>
              <w:rPr>
                <w:rFonts w:ascii="Arial" w:cs="Arial" w:eastAsia="Arial" w:hAnsi="Arial"/>
                <w:sz w:val="13"/>
                <w:szCs w:val="13"/>
                <w:color w:val="auto"/>
                <w:w w:val="86"/>
              </w:rPr>
              <w:t>2.77%</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jc w:val="right"/>
              <w:ind w:right="193"/>
              <w:spacing w:after="0"/>
              <w:rPr>
                <w:sz w:val="20"/>
                <w:szCs w:val="20"/>
                <w:color w:val="auto"/>
              </w:rPr>
            </w:pPr>
            <w:r>
              <w:rPr>
                <w:rFonts w:ascii="Arial" w:cs="Arial" w:eastAsia="Arial" w:hAnsi="Arial"/>
                <w:sz w:val="9"/>
                <w:szCs w:val="9"/>
                <w:color w:val="auto"/>
                <w:w w:val="78"/>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616,000</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color w:val="auto"/>
                <w:w w:val="82"/>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134,664</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9"/>
                <w:szCs w:val="9"/>
                <w:color w:val="auto"/>
                <w:w w:val="78"/>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616,000</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97"/>
              <w:spacing w:after="0"/>
              <w:rPr>
                <w:sz w:val="20"/>
                <w:szCs w:val="20"/>
                <w:color w:val="auto"/>
              </w:rPr>
            </w:pPr>
            <w:r>
              <w:rPr>
                <w:rFonts w:ascii="Arial" w:cs="Arial" w:eastAsia="Arial" w:hAnsi="Arial"/>
                <w:sz w:val="13"/>
                <w:szCs w:val="13"/>
                <w:color w:val="auto"/>
                <w:w w:val="82"/>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134,664</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Arial" w:cs="Arial" w:eastAsia="Arial" w:hAnsi="Arial"/>
          <w:sz w:val="13"/>
          <w:szCs w:val="13"/>
          <w:color w:val="auto"/>
        </w:rPr>
        <w:t>(1)  Outstanding borrowings are included with Receivables from/Payables to broker-dealers and clearing organizations within the Consolidated Statements of Financial Condition.</w:t>
      </w:r>
    </w:p>
    <w:p>
      <w:pPr>
        <w:spacing w:after="0" w:line="209" w:lineRule="exact"/>
        <w:rPr>
          <w:sz w:val="20"/>
          <w:szCs w:val="20"/>
          <w:color w:val="auto"/>
        </w:rPr>
      </w:pPr>
    </w:p>
    <w:p>
      <w:pPr>
        <w:ind w:left="560"/>
        <w:spacing w:after="0"/>
        <w:rPr>
          <w:sz w:val="20"/>
          <w:szCs w:val="20"/>
          <w:color w:val="auto"/>
        </w:rPr>
      </w:pPr>
      <w:r>
        <w:rPr>
          <w:rFonts w:ascii="Arial" w:cs="Arial" w:eastAsia="Arial" w:hAnsi="Arial"/>
          <w:sz w:val="15"/>
          <w:szCs w:val="15"/>
          <w:color w:val="auto"/>
        </w:rPr>
        <w:t>Interest expense in relation to the facilities was $4.6 million, $4.8 million, and $6.6 million for the years ended December 31, 2021, 2020 and 2019, respectively.</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Long-Term Borrowings</w:t>
      </w:r>
    </w:p>
    <w:p>
      <w:pPr>
        <w:spacing w:after="0" w:line="21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summarizes the Company’s long-term borrowings, net of unamortized discount and debt issuance costs, where applicable:</w:t>
      </w: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3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5"/>
          </w:tcPr>
          <w:p>
            <w:pPr>
              <w:ind w:left="60"/>
              <w:spacing w:after="0"/>
              <w:rPr>
                <w:sz w:val="20"/>
                <w:szCs w:val="20"/>
                <w:color w:val="auto"/>
              </w:rPr>
            </w:pPr>
            <w:r>
              <w:rPr>
                <w:rFonts w:ascii="Arial" w:cs="Arial" w:eastAsia="Arial" w:hAnsi="Arial"/>
                <w:sz w:val="13"/>
                <w:szCs w:val="13"/>
                <w:b w:val="1"/>
                <w:bCs w:val="1"/>
                <w:color w:val="auto"/>
              </w:rPr>
              <w:t>At December 31, 2021</w:t>
            </w: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38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(in thousands)</w:t>
            </w:r>
          </w:p>
        </w:tc>
        <w:tc>
          <w:tcPr>
            <w:tcW w:w="136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w w:val="94"/>
              </w:rPr>
              <w:t>Maturity</w:t>
            </w:r>
          </w:p>
        </w:tc>
        <w:tc>
          <w:tcPr>
            <w:tcW w:w="90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w w:val="89"/>
              </w:rPr>
              <w:t>Interest</w:t>
            </w:r>
          </w:p>
        </w:tc>
        <w:tc>
          <w:tcPr>
            <w:tcW w:w="160" w:type="dxa"/>
            <w:vAlign w:val="bottom"/>
          </w:tcPr>
          <w:p>
            <w:pPr>
              <w:spacing w:after="0"/>
              <w:rPr>
                <w:sz w:val="10"/>
                <w:szCs w:val="10"/>
                <w:color w:val="auto"/>
              </w:rPr>
            </w:pPr>
          </w:p>
        </w:tc>
        <w:tc>
          <w:tcPr>
            <w:tcW w:w="112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88"/>
              </w:rPr>
              <w:t>Outstanding</w:t>
            </w:r>
          </w:p>
        </w:tc>
        <w:tc>
          <w:tcPr>
            <w:tcW w:w="140" w:type="dxa"/>
            <w:vAlign w:val="bottom"/>
          </w:tcPr>
          <w:p>
            <w:pPr>
              <w:spacing w:after="0"/>
              <w:rPr>
                <w:sz w:val="10"/>
                <w:szCs w:val="10"/>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Discount</w:t>
            </w:r>
          </w:p>
        </w:tc>
        <w:tc>
          <w:tcPr>
            <w:tcW w:w="140" w:type="dxa"/>
            <w:vAlign w:val="bottom"/>
          </w:tcPr>
          <w:p>
            <w:pPr>
              <w:spacing w:after="0"/>
              <w:rPr>
                <w:sz w:val="10"/>
                <w:szCs w:val="10"/>
                <w:color w:val="auto"/>
              </w:rPr>
            </w:pPr>
          </w:p>
        </w:tc>
        <w:tc>
          <w:tcPr>
            <w:tcW w:w="1180" w:type="dxa"/>
            <w:vAlign w:val="bottom"/>
            <w:gridSpan w:val="2"/>
          </w:tcPr>
          <w:p>
            <w:pPr>
              <w:ind w:left="80"/>
              <w:spacing w:after="0" w:line="119" w:lineRule="exact"/>
              <w:rPr>
                <w:sz w:val="20"/>
                <w:szCs w:val="20"/>
                <w:color w:val="auto"/>
              </w:rPr>
            </w:pPr>
            <w:r>
              <w:rPr>
                <w:rFonts w:ascii="Arial" w:cs="Arial" w:eastAsia="Arial" w:hAnsi="Arial"/>
                <w:sz w:val="13"/>
                <w:szCs w:val="13"/>
                <w:b w:val="1"/>
                <w:bCs w:val="1"/>
                <w:color w:val="auto"/>
              </w:rPr>
              <w:t>Deferred Debt</w:t>
            </w:r>
          </w:p>
        </w:tc>
        <w:tc>
          <w:tcPr>
            <w:tcW w:w="160" w:type="dxa"/>
            <w:vAlign w:val="bottom"/>
          </w:tcPr>
          <w:p>
            <w:pPr>
              <w:spacing w:after="0"/>
              <w:rPr>
                <w:sz w:val="10"/>
                <w:szCs w:val="10"/>
                <w:color w:val="auto"/>
              </w:rPr>
            </w:pPr>
          </w:p>
        </w:tc>
        <w:tc>
          <w:tcPr>
            <w:tcW w:w="1220" w:type="dxa"/>
            <w:vAlign w:val="bottom"/>
          </w:tcPr>
          <w:p>
            <w:pPr>
              <w:jc w:val="right"/>
              <w:ind w:right="297"/>
              <w:spacing w:after="0" w:line="119" w:lineRule="exact"/>
              <w:rPr>
                <w:sz w:val="20"/>
                <w:szCs w:val="20"/>
                <w:color w:val="auto"/>
              </w:rPr>
            </w:pPr>
            <w:r>
              <w:rPr>
                <w:rFonts w:ascii="Arial" w:cs="Arial" w:eastAsia="Arial" w:hAnsi="Arial"/>
                <w:sz w:val="13"/>
                <w:szCs w:val="13"/>
                <w:b w:val="1"/>
                <w:bCs w:val="1"/>
                <w:color w:val="auto"/>
              </w:rPr>
              <w:t>Outstanding</w:t>
            </w:r>
          </w:p>
        </w:tc>
        <w:tc>
          <w:tcPr>
            <w:tcW w:w="0" w:type="dxa"/>
            <w:vAlign w:val="bottom"/>
          </w:tcPr>
          <w:p>
            <w:pPr>
              <w:spacing w:after="0"/>
              <w:rPr>
                <w:sz w:val="1"/>
                <w:szCs w:val="1"/>
                <w:color w:val="auto"/>
              </w:rPr>
            </w:pPr>
          </w:p>
        </w:tc>
      </w:tr>
      <w:tr>
        <w:trPr>
          <w:trHeight w:val="165"/>
        </w:trPr>
        <w:tc>
          <w:tcPr>
            <w:tcW w:w="3860" w:type="dxa"/>
            <w:vAlign w:val="bottom"/>
            <w:gridSpan w:val="2"/>
            <w:vMerge w:val="continue"/>
          </w:tcPr>
          <w:p>
            <w:pPr>
              <w:spacing w:after="0"/>
              <w:rPr>
                <w:sz w:val="14"/>
                <w:szCs w:val="14"/>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5"/>
              </w:rPr>
              <w:t>Date</w:t>
            </w: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Rate</w:t>
            </w:r>
          </w:p>
        </w:tc>
        <w:tc>
          <w:tcPr>
            <w:tcW w:w="16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Principal</w:t>
            </w: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b w:val="1"/>
                <w:bCs w:val="1"/>
                <w:color w:val="auto"/>
              </w:rPr>
              <w:t>Issuance Cost</w:t>
            </w:r>
          </w:p>
        </w:tc>
        <w:tc>
          <w:tcPr>
            <w:tcW w:w="160" w:type="dxa"/>
            <w:vAlign w:val="bottom"/>
          </w:tcPr>
          <w:p>
            <w:pPr>
              <w:spacing w:after="0"/>
              <w:rPr>
                <w:sz w:val="14"/>
                <w:szCs w:val="14"/>
                <w:color w:val="auto"/>
              </w:rPr>
            </w:pPr>
          </w:p>
        </w:tc>
        <w:tc>
          <w:tcPr>
            <w:tcW w:w="1220" w:type="dxa"/>
            <w:vAlign w:val="bottom"/>
          </w:tcPr>
          <w:p>
            <w:pPr>
              <w:jc w:val="right"/>
              <w:ind w:right="197"/>
              <w:spacing w:after="0"/>
              <w:rPr>
                <w:sz w:val="20"/>
                <w:szCs w:val="20"/>
                <w:color w:val="auto"/>
              </w:rPr>
            </w:pPr>
            <w:r>
              <w:rPr>
                <w:rFonts w:ascii="Arial" w:cs="Arial" w:eastAsia="Arial" w:hAnsi="Arial"/>
                <w:sz w:val="13"/>
                <w:szCs w:val="13"/>
                <w:b w:val="1"/>
                <w:bCs w:val="1"/>
                <w:color w:val="auto"/>
                <w:w w:val="94"/>
              </w:rPr>
              <w:t>Borrowings, net</w:t>
            </w:r>
          </w:p>
        </w:tc>
        <w:tc>
          <w:tcPr>
            <w:tcW w:w="0" w:type="dxa"/>
            <w:vAlign w:val="bottom"/>
          </w:tcPr>
          <w:p>
            <w:pPr>
              <w:spacing w:after="0"/>
              <w:rPr>
                <w:sz w:val="1"/>
                <w:szCs w:val="1"/>
                <w:color w:val="auto"/>
              </w:rPr>
            </w:pPr>
          </w:p>
        </w:tc>
      </w:tr>
      <w:tr>
        <w:trPr>
          <w:trHeight w:val="158"/>
        </w:trPr>
        <w:tc>
          <w:tcPr>
            <w:tcW w:w="3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b w:val="1"/>
                <w:bCs w:val="1"/>
                <w:color w:val="auto"/>
              </w:rPr>
              <w:t>Long-term borrowings:</w:t>
            </w:r>
          </w:p>
        </w:tc>
        <w:tc>
          <w:tcPr>
            <w:tcW w:w="100" w:type="dxa"/>
            <w:vAlign w:val="bottom"/>
            <w:tcBorders>
              <w:top w:val="single" w:sz="8" w:color="CCEEFF"/>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3860" w:type="dxa"/>
            <w:vAlign w:val="bottom"/>
            <w:gridSpan w:val="2"/>
          </w:tcPr>
          <w:p>
            <w:pPr>
              <w:ind w:left="60"/>
              <w:spacing w:after="0"/>
              <w:rPr>
                <w:sz w:val="20"/>
                <w:szCs w:val="20"/>
                <w:color w:val="auto"/>
              </w:rPr>
            </w:pPr>
            <w:r>
              <w:rPr>
                <w:rFonts w:ascii="Arial" w:cs="Arial" w:eastAsia="Arial" w:hAnsi="Arial"/>
                <w:sz w:val="13"/>
                <w:szCs w:val="13"/>
                <w:color w:val="auto"/>
              </w:rPr>
              <w:t>First Lien Term Loan Facility</w:t>
            </w:r>
          </w:p>
        </w:tc>
        <w:tc>
          <w:tcPr>
            <w:tcW w:w="1360" w:type="dxa"/>
            <w:vAlign w:val="bottom"/>
            <w:gridSpan w:val="2"/>
          </w:tcPr>
          <w:p>
            <w:pPr>
              <w:jc w:val="center"/>
              <w:ind w:right="120"/>
              <w:spacing w:after="0"/>
              <w:rPr>
                <w:sz w:val="20"/>
                <w:szCs w:val="20"/>
                <w:color w:val="auto"/>
              </w:rPr>
            </w:pPr>
            <w:r>
              <w:rPr>
                <w:rFonts w:ascii="Arial" w:cs="Arial" w:eastAsia="Arial" w:hAnsi="Arial"/>
                <w:sz w:val="13"/>
                <w:szCs w:val="13"/>
                <w:color w:val="auto"/>
                <w:w w:val="87"/>
              </w:rPr>
              <w:t>March 2026</w:t>
            </w:r>
          </w:p>
        </w:tc>
        <w:tc>
          <w:tcPr>
            <w:tcW w:w="800" w:type="dxa"/>
            <w:vAlign w:val="bottom"/>
          </w:tcPr>
          <w:p>
            <w:pPr>
              <w:jc w:val="center"/>
              <w:spacing w:after="0"/>
              <w:rPr>
                <w:sz w:val="20"/>
                <w:szCs w:val="20"/>
                <w:color w:val="auto"/>
              </w:rPr>
            </w:pPr>
            <w:r>
              <w:rPr>
                <w:rFonts w:ascii="Arial" w:cs="Arial" w:eastAsia="Arial" w:hAnsi="Arial"/>
                <w:sz w:val="13"/>
                <w:szCs w:val="13"/>
                <w:color w:val="auto"/>
                <w:w w:val="92"/>
              </w:rPr>
              <w:t>3.10%</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1,599,774</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(3,723)</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(21,620)</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1,574,431</w:t>
            </w:r>
          </w:p>
        </w:tc>
        <w:tc>
          <w:tcPr>
            <w:tcW w:w="0" w:type="dxa"/>
            <w:vAlign w:val="bottom"/>
          </w:tcPr>
          <w:p>
            <w:pPr>
              <w:spacing w:after="0"/>
              <w:rPr>
                <w:sz w:val="1"/>
                <w:szCs w:val="1"/>
                <w:color w:val="auto"/>
              </w:rPr>
            </w:pPr>
          </w:p>
        </w:tc>
      </w:tr>
      <w:tr>
        <w:trPr>
          <w:trHeight w:val="166"/>
        </w:trPr>
        <w:tc>
          <w:tcPr>
            <w:tcW w:w="386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SBI bonds</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6"/>
              </w:rPr>
              <w:t>January 2023</w:t>
            </w: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5.00%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30,722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30,701</w:t>
            </w:r>
          </w:p>
        </w:tc>
        <w:tc>
          <w:tcPr>
            <w:tcW w:w="0" w:type="dxa"/>
            <w:vAlign w:val="bottom"/>
          </w:tcPr>
          <w:p>
            <w:pPr>
              <w:spacing w:after="0"/>
              <w:rPr>
                <w:sz w:val="1"/>
                <w:szCs w:val="1"/>
                <w:color w:val="auto"/>
              </w:rPr>
            </w:pPr>
          </w:p>
        </w:tc>
      </w:tr>
      <w:tr>
        <w:trPr>
          <w:trHeight w:val="158"/>
        </w:trPr>
        <w:tc>
          <w:tcPr>
            <w:tcW w:w="3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1,630,496</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(3,723)</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(21,641)</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1,605,132</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7"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3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5"/>
          </w:tcPr>
          <w:p>
            <w:pPr>
              <w:ind w:left="60"/>
              <w:spacing w:after="0"/>
              <w:rPr>
                <w:sz w:val="20"/>
                <w:szCs w:val="20"/>
                <w:color w:val="auto"/>
              </w:rPr>
            </w:pPr>
            <w:r>
              <w:rPr>
                <w:rFonts w:ascii="Arial" w:cs="Arial" w:eastAsia="Arial" w:hAnsi="Arial"/>
                <w:sz w:val="13"/>
                <w:szCs w:val="13"/>
                <w:b w:val="1"/>
                <w:bCs w:val="1"/>
                <w:color w:val="auto"/>
              </w:rPr>
              <w:t>At December 31, 2020</w:t>
            </w: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3760" w:type="dxa"/>
            <w:vAlign w:val="bottom"/>
            <w:vMerge w:val="restart"/>
          </w:tcPr>
          <w:p>
            <w:pPr>
              <w:spacing w:after="0"/>
              <w:rPr>
                <w:sz w:val="20"/>
                <w:szCs w:val="20"/>
                <w:color w:val="auto"/>
              </w:rPr>
            </w:pPr>
            <w:r>
              <w:rPr>
                <w:rFonts w:ascii="Arial" w:cs="Arial" w:eastAsia="Arial" w:hAnsi="Arial"/>
                <w:sz w:val="13"/>
                <w:szCs w:val="13"/>
                <w:b w:val="1"/>
                <w:bCs w:val="1"/>
                <w:color w:val="auto"/>
              </w:rPr>
              <w:t>(in thousands)</w:t>
            </w:r>
          </w:p>
        </w:tc>
        <w:tc>
          <w:tcPr>
            <w:tcW w:w="100" w:type="dxa"/>
            <w:vAlign w:val="bottom"/>
            <w:vMerge w:val="restart"/>
          </w:tcPr>
          <w:p>
            <w:pPr>
              <w:spacing w:after="0"/>
              <w:rPr>
                <w:sz w:val="10"/>
                <w:szCs w:val="10"/>
                <w:color w:val="auto"/>
              </w:rPr>
            </w:pPr>
          </w:p>
        </w:tc>
        <w:tc>
          <w:tcPr>
            <w:tcW w:w="136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w w:val="94"/>
              </w:rPr>
              <w:t>Maturity</w:t>
            </w:r>
          </w:p>
        </w:tc>
        <w:tc>
          <w:tcPr>
            <w:tcW w:w="90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w w:val="89"/>
              </w:rPr>
              <w:t>Interest</w:t>
            </w:r>
          </w:p>
        </w:tc>
        <w:tc>
          <w:tcPr>
            <w:tcW w:w="160" w:type="dxa"/>
            <w:vAlign w:val="bottom"/>
          </w:tcPr>
          <w:p>
            <w:pPr>
              <w:spacing w:after="0"/>
              <w:rPr>
                <w:sz w:val="10"/>
                <w:szCs w:val="10"/>
                <w:color w:val="auto"/>
              </w:rPr>
            </w:pPr>
          </w:p>
        </w:tc>
        <w:tc>
          <w:tcPr>
            <w:tcW w:w="1120" w:type="dxa"/>
            <w:vAlign w:val="bottom"/>
            <w:gridSpan w:val="2"/>
          </w:tcPr>
          <w:p>
            <w:pPr>
              <w:ind w:left="80"/>
              <w:spacing w:after="0" w:line="119" w:lineRule="exact"/>
              <w:rPr>
                <w:sz w:val="20"/>
                <w:szCs w:val="20"/>
                <w:color w:val="auto"/>
              </w:rPr>
            </w:pPr>
            <w:r>
              <w:rPr>
                <w:rFonts w:ascii="Arial" w:cs="Arial" w:eastAsia="Arial" w:hAnsi="Arial"/>
                <w:sz w:val="13"/>
                <w:szCs w:val="13"/>
                <w:b w:val="1"/>
                <w:bCs w:val="1"/>
                <w:color w:val="auto"/>
              </w:rPr>
              <w:t>Outstanding</w:t>
            </w:r>
          </w:p>
        </w:tc>
        <w:tc>
          <w:tcPr>
            <w:tcW w:w="140" w:type="dxa"/>
            <w:vAlign w:val="bottom"/>
          </w:tcPr>
          <w:p>
            <w:pPr>
              <w:spacing w:after="0"/>
              <w:rPr>
                <w:sz w:val="10"/>
                <w:szCs w:val="10"/>
                <w:color w:val="auto"/>
              </w:rPr>
            </w:pPr>
          </w:p>
        </w:tc>
        <w:tc>
          <w:tcPr>
            <w:tcW w:w="840" w:type="dxa"/>
            <w:vAlign w:val="bottom"/>
            <w:vMerge w:val="restart"/>
          </w:tcPr>
          <w:p>
            <w:pPr>
              <w:jc w:val="right"/>
              <w:ind w:right="197"/>
              <w:spacing w:after="0"/>
              <w:rPr>
                <w:sz w:val="20"/>
                <w:szCs w:val="20"/>
                <w:color w:val="auto"/>
              </w:rPr>
            </w:pPr>
            <w:r>
              <w:rPr>
                <w:rFonts w:ascii="Arial" w:cs="Arial" w:eastAsia="Arial" w:hAnsi="Arial"/>
                <w:sz w:val="13"/>
                <w:szCs w:val="13"/>
                <w:b w:val="1"/>
                <w:bCs w:val="1"/>
                <w:color w:val="auto"/>
              </w:rPr>
              <w:t>Discount</w:t>
            </w:r>
          </w:p>
        </w:tc>
        <w:tc>
          <w:tcPr>
            <w:tcW w:w="10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2"/>
          </w:tcPr>
          <w:p>
            <w:pPr>
              <w:ind w:left="80"/>
              <w:spacing w:after="0" w:line="119" w:lineRule="exact"/>
              <w:rPr>
                <w:sz w:val="20"/>
                <w:szCs w:val="20"/>
                <w:color w:val="auto"/>
              </w:rPr>
            </w:pPr>
            <w:r>
              <w:rPr>
                <w:rFonts w:ascii="Arial" w:cs="Arial" w:eastAsia="Arial" w:hAnsi="Arial"/>
                <w:sz w:val="13"/>
                <w:szCs w:val="13"/>
                <w:b w:val="1"/>
                <w:bCs w:val="1"/>
                <w:color w:val="auto"/>
              </w:rPr>
              <w:t>Deferred Debt</w:t>
            </w:r>
          </w:p>
        </w:tc>
        <w:tc>
          <w:tcPr>
            <w:tcW w:w="160" w:type="dxa"/>
            <w:vAlign w:val="bottom"/>
          </w:tcPr>
          <w:p>
            <w:pPr>
              <w:spacing w:after="0"/>
              <w:rPr>
                <w:sz w:val="10"/>
                <w:szCs w:val="10"/>
                <w:color w:val="auto"/>
              </w:rPr>
            </w:pPr>
          </w:p>
        </w:tc>
        <w:tc>
          <w:tcPr>
            <w:tcW w:w="1220" w:type="dxa"/>
            <w:vAlign w:val="bottom"/>
          </w:tcPr>
          <w:p>
            <w:pPr>
              <w:jc w:val="right"/>
              <w:ind w:right="297"/>
              <w:spacing w:after="0" w:line="119" w:lineRule="exact"/>
              <w:rPr>
                <w:sz w:val="20"/>
                <w:szCs w:val="20"/>
                <w:color w:val="auto"/>
              </w:rPr>
            </w:pPr>
            <w:r>
              <w:rPr>
                <w:rFonts w:ascii="Arial" w:cs="Arial" w:eastAsia="Arial" w:hAnsi="Arial"/>
                <w:sz w:val="13"/>
                <w:szCs w:val="13"/>
                <w:b w:val="1"/>
                <w:bCs w:val="1"/>
                <w:color w:val="auto"/>
              </w:rPr>
              <w:t>Outstanding</w:t>
            </w:r>
          </w:p>
        </w:tc>
        <w:tc>
          <w:tcPr>
            <w:tcW w:w="0" w:type="dxa"/>
            <w:vAlign w:val="bottom"/>
          </w:tcPr>
          <w:p>
            <w:pPr>
              <w:spacing w:after="0"/>
              <w:rPr>
                <w:sz w:val="1"/>
                <w:szCs w:val="1"/>
                <w:color w:val="auto"/>
              </w:rPr>
            </w:pPr>
          </w:p>
        </w:tc>
      </w:tr>
      <w:tr>
        <w:trPr>
          <w:trHeight w:val="165"/>
        </w:trPr>
        <w:tc>
          <w:tcPr>
            <w:tcW w:w="37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Date</w:t>
            </w:r>
          </w:p>
        </w:tc>
        <w:tc>
          <w:tcPr>
            <w:tcW w:w="1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Rate</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Principal</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w w:val="92"/>
              </w:rPr>
              <w:t>Issuance Cost</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w w:val="94"/>
              </w:rPr>
              <w:t>Borrowings, net</w:t>
            </w:r>
          </w:p>
        </w:tc>
        <w:tc>
          <w:tcPr>
            <w:tcW w:w="0" w:type="dxa"/>
            <w:vAlign w:val="bottom"/>
          </w:tcPr>
          <w:p>
            <w:pPr>
              <w:spacing w:after="0"/>
              <w:rPr>
                <w:sz w:val="1"/>
                <w:szCs w:val="1"/>
                <w:color w:val="auto"/>
              </w:rPr>
            </w:pPr>
          </w:p>
        </w:tc>
      </w:tr>
      <w:tr>
        <w:trPr>
          <w:trHeight w:val="206"/>
        </w:trPr>
        <w:tc>
          <w:tcPr>
            <w:tcW w:w="386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Long-term borrowings:</w:t>
            </w: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3860" w:type="dxa"/>
            <w:vAlign w:val="bottom"/>
            <w:gridSpan w:val="2"/>
          </w:tcPr>
          <w:p>
            <w:pPr>
              <w:ind w:left="60"/>
              <w:spacing w:after="0"/>
              <w:rPr>
                <w:sz w:val="20"/>
                <w:szCs w:val="20"/>
                <w:color w:val="auto"/>
              </w:rPr>
            </w:pPr>
            <w:r>
              <w:rPr>
                <w:rFonts w:ascii="Arial" w:cs="Arial" w:eastAsia="Arial" w:hAnsi="Arial"/>
                <w:sz w:val="13"/>
                <w:szCs w:val="13"/>
                <w:color w:val="auto"/>
              </w:rPr>
              <w:t>First Lien Term Loan Facility</w:t>
            </w:r>
          </w:p>
        </w:tc>
        <w:tc>
          <w:tcPr>
            <w:tcW w:w="1360" w:type="dxa"/>
            <w:vAlign w:val="bottom"/>
            <w:gridSpan w:val="2"/>
          </w:tcPr>
          <w:p>
            <w:pPr>
              <w:jc w:val="center"/>
              <w:ind w:right="120"/>
              <w:spacing w:after="0"/>
              <w:rPr>
                <w:sz w:val="20"/>
                <w:szCs w:val="20"/>
                <w:color w:val="auto"/>
              </w:rPr>
            </w:pPr>
            <w:r>
              <w:rPr>
                <w:rFonts w:ascii="Arial" w:cs="Arial" w:eastAsia="Arial" w:hAnsi="Arial"/>
                <w:sz w:val="13"/>
                <w:szCs w:val="13"/>
                <w:color w:val="auto"/>
                <w:w w:val="87"/>
              </w:rPr>
              <w:t>March 2026</w:t>
            </w:r>
          </w:p>
        </w:tc>
        <w:tc>
          <w:tcPr>
            <w:tcW w:w="800" w:type="dxa"/>
            <w:vAlign w:val="bottom"/>
          </w:tcPr>
          <w:p>
            <w:pPr>
              <w:jc w:val="center"/>
              <w:spacing w:after="0"/>
              <w:rPr>
                <w:sz w:val="20"/>
                <w:szCs w:val="20"/>
                <w:color w:val="auto"/>
              </w:rPr>
            </w:pPr>
            <w:r>
              <w:rPr>
                <w:rFonts w:ascii="Arial" w:cs="Arial" w:eastAsia="Arial" w:hAnsi="Arial"/>
                <w:sz w:val="13"/>
                <w:szCs w:val="13"/>
                <w:color w:val="auto"/>
                <w:w w:val="92"/>
              </w:rPr>
              <w:t>3.15%</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1,636,512</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(4,723)</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(26,367)</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1,605,422</w:t>
            </w:r>
          </w:p>
        </w:tc>
        <w:tc>
          <w:tcPr>
            <w:tcW w:w="0" w:type="dxa"/>
            <w:vAlign w:val="bottom"/>
          </w:tcPr>
          <w:p>
            <w:pPr>
              <w:spacing w:after="0"/>
              <w:rPr>
                <w:sz w:val="1"/>
                <w:szCs w:val="1"/>
                <w:color w:val="auto"/>
              </w:rPr>
            </w:pPr>
          </w:p>
        </w:tc>
      </w:tr>
      <w:tr>
        <w:trPr>
          <w:trHeight w:val="166"/>
        </w:trPr>
        <w:tc>
          <w:tcPr>
            <w:tcW w:w="386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SBI bonds</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6"/>
              </w:rPr>
              <w:t>January 2023</w:t>
            </w: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5.00%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33,898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33,858</w:t>
            </w:r>
          </w:p>
        </w:tc>
        <w:tc>
          <w:tcPr>
            <w:tcW w:w="0" w:type="dxa"/>
            <w:vAlign w:val="bottom"/>
          </w:tcPr>
          <w:p>
            <w:pPr>
              <w:spacing w:after="0"/>
              <w:rPr>
                <w:sz w:val="1"/>
                <w:szCs w:val="1"/>
                <w:color w:val="auto"/>
              </w:rPr>
            </w:pPr>
          </w:p>
        </w:tc>
      </w:tr>
      <w:tr>
        <w:trPr>
          <w:trHeight w:val="158"/>
        </w:trPr>
        <w:tc>
          <w:tcPr>
            <w:tcW w:w="3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1,670,410</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(4,723)</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(26,407)</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1,639,280</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Credit Agreement</w:t>
      </w:r>
    </w:p>
    <w:p>
      <w:pPr>
        <w:spacing w:after="0" w:line="219" w:lineRule="exact"/>
        <w:rPr>
          <w:sz w:val="20"/>
          <w:szCs w:val="20"/>
          <w:color w:val="auto"/>
        </w:rPr>
      </w:pPr>
    </w:p>
    <w:p>
      <w:pPr>
        <w:ind w:right="20" w:firstLine="568"/>
        <w:spacing w:after="0" w:line="257" w:lineRule="auto"/>
        <w:rPr>
          <w:sz w:val="20"/>
          <w:szCs w:val="20"/>
          <w:color w:val="auto"/>
        </w:rPr>
      </w:pPr>
      <w:r>
        <w:rPr>
          <w:rFonts w:ascii="Arial" w:cs="Arial" w:eastAsia="Arial" w:hAnsi="Arial"/>
          <w:sz w:val="16"/>
          <w:szCs w:val="16"/>
          <w:color w:val="auto"/>
        </w:rPr>
        <w:t>As described in Note 3 "ITG Acquisition", in connection with the ITG Acquisition, Virtu Financial, VFH, and the Acquisition Borrower entered into the Acquisition Credit Agreement, with the lenders party thereto, Jefferies Finance LLC, as administrative agent and Jefferies Finance LLC and RBC Capital Markets, as joint lead arrangers and joint bookrunners.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02" w:name="page103"/>
    <w:bookmarkEnd w:id="102"/>
    <w:p>
      <w:pPr>
        <w:ind w:left="5"/>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ind w:left="5" w:firstLine="568"/>
        <w:spacing w:after="0" w:line="251" w:lineRule="auto"/>
        <w:rPr>
          <w:sz w:val="20"/>
          <w:szCs w:val="20"/>
          <w:color w:val="auto"/>
        </w:rPr>
      </w:pPr>
      <w:r>
        <w:rPr>
          <w:rFonts w:ascii="Arial" w:cs="Arial" w:eastAsia="Arial" w:hAnsi="Arial"/>
          <w:sz w:val="16"/>
          <w:szCs w:val="16"/>
          <w:color w:val="auto"/>
        </w:rPr>
        <w:t>The Acquisition Credit Agreement provided (i) a senior secured first lien term loan (together with the Incremental Term Loans, as defined below; the “First Lien Term Loan Facility”) in an aggregate principal amount of $1,500 million, drawn in its entirety on the ITG Closing Date, of which amount approximately $404.5 million was borrowed by VFH to repay all amounts outstanding under a previous term loan facility and the remaining approximately $1,095 million was borrowed by the Acquisition Borrower to finance the consideration and fees and expenses paid in connection with the ITG Acquisition, and (ii) a $50.0 million senior secured first lien revolving facility to VFH (the “First Lien Revolving Facility”), with a $5.0 million letter of credit subfacility and a $5.0 million swingline subfacility. After the ITG Closing Date, VFH assumed the obligations of the Acquisition Borrower in respect of the acquisition term loans.</w:t>
      </w:r>
    </w:p>
    <w:p>
      <w:pPr>
        <w:spacing w:after="0" w:line="195" w:lineRule="exact"/>
        <w:rPr>
          <w:sz w:val="20"/>
          <w:szCs w:val="20"/>
          <w:color w:val="auto"/>
        </w:rPr>
      </w:pPr>
    </w:p>
    <w:p>
      <w:pPr>
        <w:ind w:left="5" w:right="160" w:firstLine="568"/>
        <w:spacing w:after="0" w:line="302" w:lineRule="auto"/>
        <w:rPr>
          <w:sz w:val="20"/>
          <w:szCs w:val="20"/>
          <w:color w:val="auto"/>
        </w:rPr>
      </w:pPr>
      <w:r>
        <w:rPr>
          <w:rFonts w:ascii="Arial" w:cs="Arial" w:eastAsia="Arial" w:hAnsi="Arial"/>
          <w:sz w:val="15"/>
          <w:szCs w:val="15"/>
          <w:color w:val="auto"/>
        </w:rPr>
        <w:t>On October 9, 2019, VFH entered into an amendment (“Amendment No. 1”), which amended the Credit Agreement dated as of March 1, 2019 to, among other things, provide for $525.0 million in aggregate principal amount of incremental term loans (the “Incremental Term Loans”), and amend the related collateral agreement.</w:t>
      </w:r>
    </w:p>
    <w:p>
      <w:pPr>
        <w:spacing w:after="0" w:line="158" w:lineRule="exact"/>
        <w:rPr>
          <w:sz w:val="20"/>
          <w:szCs w:val="20"/>
          <w:color w:val="auto"/>
        </w:rPr>
      </w:pPr>
    </w:p>
    <w:p>
      <w:pPr>
        <w:ind w:left="5" w:right="20" w:firstLine="568"/>
        <w:spacing w:after="0" w:line="286" w:lineRule="auto"/>
        <w:rPr>
          <w:sz w:val="20"/>
          <w:szCs w:val="20"/>
          <w:color w:val="auto"/>
        </w:rPr>
      </w:pPr>
      <w:r>
        <w:rPr>
          <w:rFonts w:ascii="Arial" w:cs="Arial" w:eastAsia="Arial" w:hAnsi="Arial"/>
          <w:sz w:val="14"/>
          <w:szCs w:val="14"/>
          <w:color w:val="auto"/>
        </w:rPr>
        <w:t>On March 2, 2020, VFH entered into a second amendment (“Amendment No. 2”), which further amended the Credit Agreement (as amended by Amendment No. 1 and Amendment No. 2, the “Amended Credit Agreement”) to, among other things, reduce the interest rate spread over adjusted LIBOR or the alternate base rate by 0.50% per annum and eliminated any step-down in the spread based on VFH's first lien leverage ratio. The term loan borrowings and revolver borrowings under the Amended Credit Agreement bear interest at a per annum rate equal to, at the Company's election, either (i) the greatest of (a) the prime rate in effect, (b) the greater of (1) the federal funds effective rate and</w:t>
      </w:r>
    </w:p>
    <w:p>
      <w:pPr>
        <w:spacing w:after="0" w:line="1" w:lineRule="exact"/>
        <w:rPr>
          <w:sz w:val="20"/>
          <w:szCs w:val="20"/>
          <w:color w:val="auto"/>
        </w:rPr>
      </w:pPr>
    </w:p>
    <w:p>
      <w:pPr>
        <w:ind w:left="5" w:right="20" w:hanging="5"/>
        <w:spacing w:after="0" w:line="249" w:lineRule="auto"/>
        <w:tabs>
          <w:tab w:leader="none" w:pos="229"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overnight bank funding rate, in each case plus 0.50%, (c) an adjusted LIBOR rate for a Eurodollar borrowing with an interest period of one month plus 1.00% and (d) 1.00%, plus, in each case, 2.00%, or (ii) the greater of (x) an adjusted LIBOR rate for the interest period in effect and (y) 0%, plus, in each case, 3.00%. In addition, a commitment fee accrues at a rate of 0.50% per annum on the average daily unused amount of the First Lien Revolving Facility, with step-downs to 0.375% and 0.25% per annum based on VFH’s first lien leverage ratio, and is payable quarterly in arrears.</w:t>
      </w:r>
    </w:p>
    <w:p>
      <w:pPr>
        <w:spacing w:after="0" w:line="196" w:lineRule="exact"/>
        <w:rPr>
          <w:sz w:val="20"/>
          <w:szCs w:val="20"/>
          <w:color w:val="auto"/>
        </w:rPr>
      </w:pPr>
    </w:p>
    <w:p>
      <w:pPr>
        <w:ind w:left="5" w:right="180" w:firstLine="568"/>
        <w:spacing w:after="0" w:line="302" w:lineRule="auto"/>
        <w:rPr>
          <w:sz w:val="20"/>
          <w:szCs w:val="20"/>
          <w:color w:val="auto"/>
        </w:rPr>
      </w:pPr>
      <w:r>
        <w:rPr>
          <w:rFonts w:ascii="Arial" w:cs="Arial" w:eastAsia="Arial" w:hAnsi="Arial"/>
          <w:sz w:val="14"/>
          <w:szCs w:val="14"/>
          <w:color w:val="auto"/>
        </w:rPr>
        <w:t>The First Lien Revolving Facility under the Amended Credit Agreement is subject to a springing net first lien leverage ratio test which may spring into effect as of the last day of a fiscal quarter if usage of the aggregate revolving commitments exceeds a specified level as of such date. VFH is also subject to contingent principal prepayments based on excess cash flow and certain other triggering events. Borrowings under the Amended Credit Agreement are guaranteed by Virtu Financial and VFH’s material non-regulated domestic restricted subsidiaries and secured by substantially all of the assets of VFH and the guarantors, in each case, subject to certain exceptions.</w:t>
      </w:r>
    </w:p>
    <w:p>
      <w:pPr>
        <w:spacing w:after="0" w:line="160" w:lineRule="exact"/>
        <w:rPr>
          <w:sz w:val="20"/>
          <w:szCs w:val="20"/>
          <w:color w:val="auto"/>
        </w:rPr>
      </w:pPr>
    </w:p>
    <w:p>
      <w:pPr>
        <w:ind w:left="5" w:right="240" w:firstLine="568"/>
        <w:spacing w:after="0" w:line="311" w:lineRule="auto"/>
        <w:rPr>
          <w:sz w:val="20"/>
          <w:szCs w:val="20"/>
          <w:color w:val="auto"/>
        </w:rPr>
      </w:pPr>
      <w:r>
        <w:rPr>
          <w:rFonts w:ascii="Arial" w:cs="Arial" w:eastAsia="Arial" w:hAnsi="Arial"/>
          <w:sz w:val="14"/>
          <w:szCs w:val="14"/>
          <w:color w:val="auto"/>
        </w:rPr>
        <w:t>Under the Amended Credit Agreement, the term loans will mature on March 1, 2026. The term loans amortize in annual installments equal to 1.0% of the original aggregate principal amount of the term loans. As of December 31, 2021, $1,600 million was outstanding under the First Lien Term Loan Facility. The revolving commitments will terminate on March 1, 2022. There were no outstanding borrowings under the First Lien Revolving Facility as of December 31, 2021 or December 31, 2020.</w:t>
      </w:r>
    </w:p>
    <w:p>
      <w:pPr>
        <w:spacing w:after="0" w:line="155" w:lineRule="exact"/>
        <w:rPr>
          <w:sz w:val="20"/>
          <w:szCs w:val="20"/>
          <w:color w:val="auto"/>
        </w:rPr>
      </w:pPr>
    </w:p>
    <w:p>
      <w:pPr>
        <w:ind w:left="5" w:right="120" w:firstLine="568"/>
        <w:spacing w:after="0" w:line="311" w:lineRule="auto"/>
        <w:rPr>
          <w:sz w:val="20"/>
          <w:szCs w:val="20"/>
          <w:color w:val="auto"/>
        </w:rPr>
      </w:pPr>
      <w:r>
        <w:rPr>
          <w:rFonts w:ascii="Arial" w:cs="Arial" w:eastAsia="Arial" w:hAnsi="Arial"/>
          <w:sz w:val="14"/>
          <w:szCs w:val="14"/>
          <w:color w:val="auto"/>
        </w:rPr>
        <w:t>The Amended Credit Agreement contains certain customary covenants and events of default, including relating to a change of control. If an event of default occurs and is continuing, the lenders under the Amended Credit Agreement will be entitled to take various actions, including the acceleration of amounts outstanding under the Amended Credit Agreement and all actions permitted to be taken by a secured creditor in respect of the collateral securing the obligations under the Amended Credit Agreement.</w:t>
      </w:r>
    </w:p>
    <w:p>
      <w:pPr>
        <w:spacing w:after="0" w:line="155" w:lineRule="exact"/>
        <w:rPr>
          <w:sz w:val="20"/>
          <w:szCs w:val="20"/>
          <w:color w:val="auto"/>
        </w:rPr>
      </w:pPr>
    </w:p>
    <w:p>
      <w:pPr>
        <w:ind w:left="5" w:firstLine="568"/>
        <w:spacing w:after="0" w:line="250" w:lineRule="auto"/>
        <w:rPr>
          <w:sz w:val="20"/>
          <w:szCs w:val="20"/>
          <w:color w:val="auto"/>
        </w:rPr>
      </w:pPr>
      <w:r>
        <w:rPr>
          <w:rFonts w:ascii="Arial" w:cs="Arial" w:eastAsia="Arial" w:hAnsi="Arial"/>
          <w:sz w:val="16"/>
          <w:szCs w:val="16"/>
          <w:color w:val="auto"/>
        </w:rPr>
        <w:t>In October 2019, the Company entered into a five-year $525 million floating-to-fixed interest rate swap agreement. The Company also entered into a five-year $1,000 million floating-to-fixed interest rate swap agreement in January 2020. As these two interest rate swaps met the criteria to be considered qualifying cash flow hedges under ASC 815 in 2020, they effectively fix interest payment obligations on $525.0 million and $1,000 million of principal under the First Lien Term Loan Facility at rates of 4.3% and 4.4% through September 2024 and January 2025, respectively, based on the interest rates set forth in the Amended Credit Agreement. In April 2021, each of the swap agreements described above was novated to another counterparty and amended in connection with such novation. The amendments included certain changes to collateral posting obligations, and also had the effect of increasing the effective fixed interest payment obligations to rates of 4.5%, with respect to the earlier maturing swap arrangement, and 4.6% with respect to the later maturing swap arrangement.</w:t>
      </w:r>
    </w:p>
    <w:p>
      <w:pPr>
        <w:spacing w:after="0" w:line="186" w:lineRule="exact"/>
        <w:rPr>
          <w:sz w:val="20"/>
          <w:szCs w:val="20"/>
          <w:color w:val="auto"/>
        </w:rPr>
      </w:pPr>
    </w:p>
    <w:p>
      <w:pPr>
        <w:ind w:left="5" w:right="220" w:firstLine="568"/>
        <w:spacing w:after="0" w:line="306" w:lineRule="auto"/>
        <w:rPr>
          <w:sz w:val="20"/>
          <w:szCs w:val="20"/>
          <w:color w:val="auto"/>
        </w:rPr>
      </w:pPr>
      <w:r>
        <w:rPr>
          <w:rFonts w:ascii="Arial" w:cs="Arial" w:eastAsia="Arial" w:hAnsi="Arial"/>
          <w:sz w:val="14"/>
          <w:szCs w:val="14"/>
          <w:color w:val="auto"/>
        </w:rPr>
        <w:t>In January 2022, we entered into a new senior secured first lien term loan for $1,800.0 of principal. The proceeds from this new loan were primarily used to repay the First Lien Term Loan Facility. Refer to Note 26 "Subsequent Events" of Part II Item 8 “Financial Statements and Supplementary Data” of this Annual Report on Form 10-K.</w:t>
      </w:r>
    </w:p>
    <w:p>
      <w:pPr>
        <w:spacing w:after="0" w:line="200" w:lineRule="exact"/>
        <w:rPr>
          <w:sz w:val="20"/>
          <w:szCs w:val="20"/>
          <w:color w:val="auto"/>
        </w:rPr>
      </w:pPr>
    </w:p>
    <w:p>
      <w:pPr>
        <w:spacing w:after="0" w:line="218"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59055</wp:posOffset>
            </wp:positionV>
            <wp:extent cx="7174865" cy="406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5"/>
          </w:cols>
          <w:pgMar w:left="315" w:top="127" w:right="339" w:bottom="1440" w:gutter="0" w:footer="0" w:header="0"/>
        </w:sectPr>
      </w:pPr>
    </w:p>
    <w:bookmarkStart w:id="103" w:name="page104"/>
    <w:bookmarkEnd w:id="10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SBI Bonds</w:t>
      </w:r>
    </w:p>
    <w:p>
      <w:pPr>
        <w:spacing w:after="0" w:line="219" w:lineRule="exact"/>
        <w:rPr>
          <w:sz w:val="20"/>
          <w:szCs w:val="20"/>
          <w:color w:val="auto"/>
        </w:rPr>
      </w:pPr>
    </w:p>
    <w:p>
      <w:pPr>
        <w:ind w:firstLine="568"/>
        <w:spacing w:after="0" w:line="270" w:lineRule="auto"/>
        <w:rPr>
          <w:sz w:val="20"/>
          <w:szCs w:val="20"/>
          <w:color w:val="auto"/>
        </w:rPr>
      </w:pPr>
      <w:r>
        <w:rPr>
          <w:rFonts w:ascii="Arial" w:cs="Arial" w:eastAsia="Arial" w:hAnsi="Arial"/>
          <w:sz w:val="15"/>
          <w:szCs w:val="15"/>
          <w:color w:val="auto"/>
        </w:rPr>
        <w:t>On July 25, 2016, VFH issued Japanese Yen Bonds (collectively the “SBI Bonds”) in the aggregate principal amount of ¥3.5 billion ($33.1 million at issuance date) to SBI Life Insurance Co., Ltd. and SBI Insurance Co., Ltd. The proceeds from the SBI Bonds were used to partially fund the investment in Japannext Co., Ltd. (as described in Note 11 "Financial Assets and Liabilities"). The SBI Bonds are guaranteed by Virtu Financial. The SBI Bonds are subject to fluctuations on the Japanese Yen currency rates relative to the Company’s reporting currency (U.S. Dollar) with the changes reflected in Other, net in the Consolidated Statements of Comprehensive Income. In December 2019, the maturity date of the SBI Bonds was extended to January 2023. The principal balance was ¥3.5 billion ($30.7 million) as of December 31, 2021 and ¥3.5 billion ($33.9 million) as of December 31, 2020. The Company had a gain of $3.2 million, a loss of $1.7 million, and a loss of $0.3 million during the years ended December 31, 2021, 2020, and 2019 respectively, due to changes in foreign currency rates.</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of December 31, 2021, aggregate future required minimum principal payments based on the terms of the long-term borrowings were as follows:</w:t>
      </w:r>
    </w:p>
    <w:p>
      <w:pPr>
        <w:spacing w:after="0" w:line="247" w:lineRule="exact"/>
        <w:rPr>
          <w:sz w:val="20"/>
          <w:szCs w:val="20"/>
          <w:color w:val="auto"/>
        </w:rPr>
      </w:pPr>
    </w:p>
    <w:tbl>
      <w:tblPr>
        <w:tblLayout w:type="fixed"/>
        <w:tblInd w:w="3400" w:type="dxa"/>
        <w:tblCellMar>
          <w:top w:w="0" w:type="dxa"/>
          <w:left w:w="0" w:type="dxa"/>
          <w:bottom w:w="0" w:type="dxa"/>
          <w:right w:w="0" w:type="dxa"/>
        </w:tblCellMar>
      </w:tblPr>
      <w:tr>
        <w:trPr>
          <w:trHeight w:val="169"/>
        </w:trPr>
        <w:tc>
          <w:tcPr>
            <w:tcW w:w="2640" w:type="dxa"/>
            <w:vAlign w:val="bottom"/>
            <w:gridSpan w:val="2"/>
          </w:tcPr>
          <w:p>
            <w:pPr>
              <w:ind w:left="580"/>
              <w:spacing w:after="0"/>
              <w:rPr>
                <w:sz w:val="20"/>
                <w:szCs w:val="20"/>
                <w:color w:val="auto"/>
              </w:rPr>
            </w:pPr>
            <w:r>
              <w:rPr>
                <w:rFonts w:ascii="Arial" w:cs="Arial" w:eastAsia="Arial" w:hAnsi="Arial"/>
                <w:sz w:val="13"/>
                <w:szCs w:val="13"/>
                <w:b w:val="1"/>
                <w:bCs w:val="1"/>
                <w:color w:val="auto"/>
              </w:rPr>
              <w:t>(in thousands)</w:t>
            </w:r>
          </w:p>
        </w:tc>
        <w:tc>
          <w:tcPr>
            <w:tcW w:w="800" w:type="dxa"/>
            <w:vAlign w:val="bottom"/>
          </w:tcPr>
          <w:p>
            <w:pPr>
              <w:spacing w:after="0"/>
              <w:rPr>
                <w:sz w:val="14"/>
                <w:szCs w:val="14"/>
                <w:color w:val="auto"/>
              </w:rPr>
            </w:pPr>
          </w:p>
        </w:tc>
        <w:tc>
          <w:tcPr>
            <w:tcW w:w="1580" w:type="dxa"/>
            <w:vAlign w:val="bottom"/>
          </w:tcPr>
          <w:p>
            <w:pPr>
              <w:jc w:val="right"/>
              <w:ind w:right="337"/>
              <w:spacing w:after="0"/>
              <w:rPr>
                <w:sz w:val="20"/>
                <w:szCs w:val="20"/>
                <w:color w:val="auto"/>
              </w:rPr>
            </w:pPr>
            <w:r>
              <w:rPr>
                <w:rFonts w:ascii="Arial" w:cs="Arial" w:eastAsia="Arial" w:hAnsi="Arial"/>
                <w:sz w:val="13"/>
                <w:szCs w:val="13"/>
                <w:b w:val="1"/>
                <w:bCs w:val="1"/>
                <w:color w:val="auto"/>
                <w:w w:val="99"/>
              </w:rPr>
              <w:t>December 31, 2021</w:t>
            </w:r>
          </w:p>
        </w:tc>
        <w:tc>
          <w:tcPr>
            <w:tcW w:w="0" w:type="dxa"/>
            <w:vAlign w:val="bottom"/>
          </w:tcPr>
          <w:p>
            <w:pPr>
              <w:spacing w:after="0"/>
              <w:rPr>
                <w:sz w:val="1"/>
                <w:szCs w:val="1"/>
                <w:color w:val="auto"/>
              </w:rPr>
            </w:pPr>
          </w:p>
        </w:tc>
      </w:tr>
      <w:tr>
        <w:trPr>
          <w:trHeight w:val="162"/>
        </w:trPr>
        <w:tc>
          <w:tcPr>
            <w:tcW w:w="252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3"/>
                <w:szCs w:val="13"/>
                <w:color w:val="auto"/>
              </w:rPr>
              <w:t>2022</w:t>
            </w:r>
          </w:p>
        </w:tc>
        <w:tc>
          <w:tcPr>
            <w:tcW w:w="12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3"/>
        </w:trPr>
        <w:tc>
          <w:tcPr>
            <w:tcW w:w="2520" w:type="dxa"/>
            <w:vAlign w:val="bottom"/>
          </w:tcPr>
          <w:p>
            <w:pPr>
              <w:ind w:left="580"/>
              <w:spacing w:after="0"/>
              <w:rPr>
                <w:sz w:val="20"/>
                <w:szCs w:val="20"/>
                <w:color w:val="auto"/>
              </w:rPr>
            </w:pPr>
            <w:r>
              <w:rPr>
                <w:rFonts w:ascii="Arial" w:cs="Arial" w:eastAsia="Arial" w:hAnsi="Arial"/>
                <w:sz w:val="13"/>
                <w:szCs w:val="13"/>
                <w:color w:val="auto"/>
              </w:rPr>
              <w:t>2023</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30,722</w:t>
            </w:r>
          </w:p>
        </w:tc>
        <w:tc>
          <w:tcPr>
            <w:tcW w:w="0" w:type="dxa"/>
            <w:vAlign w:val="bottom"/>
          </w:tcPr>
          <w:p>
            <w:pPr>
              <w:spacing w:after="0"/>
              <w:rPr>
                <w:sz w:val="1"/>
                <w:szCs w:val="1"/>
                <w:color w:val="auto"/>
              </w:rPr>
            </w:pPr>
          </w:p>
        </w:tc>
      </w:tr>
      <w:tr>
        <w:trPr>
          <w:trHeight w:val="168"/>
        </w:trPr>
        <w:tc>
          <w:tcPr>
            <w:tcW w:w="2520" w:type="dxa"/>
            <w:vAlign w:val="bottom"/>
            <w:shd w:val="clear" w:color="auto" w:fill="CCEEFF"/>
          </w:tcPr>
          <w:p>
            <w:pPr>
              <w:ind w:left="580"/>
              <w:spacing w:after="0"/>
              <w:rPr>
                <w:sz w:val="20"/>
                <w:szCs w:val="20"/>
                <w:color w:val="auto"/>
              </w:rPr>
            </w:pPr>
            <w:r>
              <w:rPr>
                <w:rFonts w:ascii="Arial" w:cs="Arial" w:eastAsia="Arial" w:hAnsi="Arial"/>
                <w:sz w:val="13"/>
                <w:szCs w:val="13"/>
                <w:color w:val="auto"/>
              </w:rPr>
              <w:t>2024</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3"/>
        </w:trPr>
        <w:tc>
          <w:tcPr>
            <w:tcW w:w="2520" w:type="dxa"/>
            <w:vAlign w:val="bottom"/>
          </w:tcPr>
          <w:p>
            <w:pPr>
              <w:ind w:left="580"/>
              <w:spacing w:after="0"/>
              <w:rPr>
                <w:sz w:val="20"/>
                <w:szCs w:val="20"/>
                <w:color w:val="auto"/>
              </w:rPr>
            </w:pPr>
            <w:r>
              <w:rPr>
                <w:rFonts w:ascii="Arial" w:cs="Arial" w:eastAsia="Arial" w:hAnsi="Arial"/>
                <w:sz w:val="13"/>
                <w:szCs w:val="13"/>
                <w:color w:val="auto"/>
              </w:rPr>
              <w:t>2025</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2520" w:type="dxa"/>
            <w:vAlign w:val="bottom"/>
            <w:shd w:val="clear" w:color="auto" w:fill="CCEEFF"/>
          </w:tcPr>
          <w:p>
            <w:pPr>
              <w:ind w:left="580"/>
              <w:spacing w:after="0"/>
              <w:rPr>
                <w:sz w:val="20"/>
                <w:szCs w:val="20"/>
                <w:color w:val="auto"/>
              </w:rPr>
            </w:pPr>
            <w:r>
              <w:rPr>
                <w:rFonts w:ascii="Arial" w:cs="Arial" w:eastAsia="Arial" w:hAnsi="Arial"/>
                <w:sz w:val="13"/>
                <w:szCs w:val="13"/>
                <w:color w:val="auto"/>
              </w:rPr>
              <w:t>2026</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1,599,774</w:t>
            </w:r>
          </w:p>
        </w:tc>
        <w:tc>
          <w:tcPr>
            <w:tcW w:w="0" w:type="dxa"/>
            <w:vAlign w:val="bottom"/>
          </w:tcPr>
          <w:p>
            <w:pPr>
              <w:spacing w:after="0"/>
              <w:rPr>
                <w:sz w:val="1"/>
                <w:szCs w:val="1"/>
                <w:color w:val="auto"/>
              </w:rPr>
            </w:pPr>
          </w:p>
        </w:tc>
      </w:tr>
      <w:tr>
        <w:trPr>
          <w:trHeight w:val="163"/>
        </w:trPr>
        <w:tc>
          <w:tcPr>
            <w:tcW w:w="2640" w:type="dxa"/>
            <w:vAlign w:val="bottom"/>
            <w:tcBorders>
              <w:bottom w:val="single" w:sz="8" w:color="CCEEFF"/>
            </w:tcBorders>
            <w:gridSpan w:val="2"/>
          </w:tcPr>
          <w:p>
            <w:pPr>
              <w:ind w:left="580"/>
              <w:spacing w:after="0"/>
              <w:rPr>
                <w:sz w:val="20"/>
                <w:szCs w:val="20"/>
                <w:color w:val="auto"/>
              </w:rPr>
            </w:pPr>
            <w:r>
              <w:rPr>
                <w:rFonts w:ascii="Arial" w:cs="Arial" w:eastAsia="Arial" w:hAnsi="Arial"/>
                <w:sz w:val="13"/>
                <w:szCs w:val="13"/>
                <w:color w:val="auto"/>
              </w:rPr>
              <w:t>Thereafter</w:t>
            </w:r>
          </w:p>
        </w:tc>
        <w:tc>
          <w:tcPr>
            <w:tcW w:w="8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01"/>
        </w:trPr>
        <w:tc>
          <w:tcPr>
            <w:tcW w:w="2640" w:type="dxa"/>
            <w:vAlign w:val="bottom"/>
            <w:gridSpan w:val="2"/>
            <w:shd w:val="clear" w:color="auto" w:fill="CCEEFF"/>
          </w:tcPr>
          <w:p>
            <w:pPr>
              <w:ind w:left="580"/>
              <w:spacing w:after="0" w:line="101" w:lineRule="exact"/>
              <w:rPr>
                <w:sz w:val="20"/>
                <w:szCs w:val="20"/>
                <w:color w:val="auto"/>
              </w:rPr>
            </w:pPr>
            <w:r>
              <w:rPr>
                <w:rFonts w:ascii="Arial" w:cs="Arial" w:eastAsia="Arial" w:hAnsi="Arial"/>
                <w:sz w:val="11"/>
                <w:szCs w:val="11"/>
                <w:color w:val="auto"/>
              </w:rPr>
              <w:t>Total principal of long-term</w:t>
            </w:r>
          </w:p>
        </w:tc>
        <w:tc>
          <w:tcPr>
            <w:tcW w:w="800" w:type="dxa"/>
            <w:vAlign w:val="bottom"/>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1,630,496</w:t>
            </w:r>
          </w:p>
        </w:tc>
        <w:tc>
          <w:tcPr>
            <w:tcW w:w="0" w:type="dxa"/>
            <w:vAlign w:val="bottom"/>
          </w:tcPr>
          <w:p>
            <w:pPr>
              <w:spacing w:after="0"/>
              <w:rPr>
                <w:sz w:val="1"/>
                <w:szCs w:val="1"/>
                <w:color w:val="auto"/>
              </w:rPr>
            </w:pPr>
          </w:p>
        </w:tc>
      </w:tr>
      <w:tr>
        <w:trPr>
          <w:trHeight w:val="162"/>
        </w:trPr>
        <w:tc>
          <w:tcPr>
            <w:tcW w:w="2640" w:type="dxa"/>
            <w:vAlign w:val="bottom"/>
            <w:tcBorders>
              <w:bottom w:val="single" w:sz="8" w:color="CCEEFF"/>
            </w:tcBorders>
            <w:gridSpan w:val="2"/>
            <w:shd w:val="clear" w:color="auto" w:fill="CCEEFF"/>
          </w:tcPr>
          <w:p>
            <w:pPr>
              <w:ind w:left="20"/>
              <w:spacing w:after="0" w:line="143" w:lineRule="exact"/>
              <w:rPr>
                <w:sz w:val="20"/>
                <w:szCs w:val="20"/>
                <w:color w:val="auto"/>
              </w:rPr>
            </w:pPr>
            <w:r>
              <w:rPr>
                <w:rFonts w:ascii="Arial" w:cs="Arial" w:eastAsia="Arial" w:hAnsi="Arial"/>
                <w:sz w:val="13"/>
                <w:szCs w:val="13"/>
                <w:color w:val="auto"/>
              </w:rPr>
              <w:t>borrowings</w:t>
            </w:r>
          </w:p>
        </w:tc>
        <w:tc>
          <w:tcPr>
            <w:tcW w:w="800" w:type="dxa"/>
            <w:vAlign w:val="bottom"/>
            <w:tcBorders>
              <w:bottom w:val="single" w:sz="8" w:color="auto"/>
            </w:tcBorders>
            <w:vMerge w:val="continue"/>
            <w:shd w:val="clear" w:color="auto" w:fill="CCEEFF"/>
          </w:tcPr>
          <w:p>
            <w:pPr>
              <w:spacing w:after="0"/>
              <w:rPr>
                <w:sz w:val="14"/>
                <w:szCs w:val="14"/>
                <w:color w:val="auto"/>
              </w:rPr>
            </w:pPr>
          </w:p>
        </w:tc>
        <w:tc>
          <w:tcPr>
            <w:tcW w:w="158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Financial Assets and Liabilities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Financial Instruments Measured at Fair Value</w:t>
      </w:r>
    </w:p>
    <w:p>
      <w:pPr>
        <w:spacing w:after="0" w:line="219" w:lineRule="exact"/>
        <w:rPr>
          <w:sz w:val="20"/>
          <w:szCs w:val="20"/>
          <w:color w:val="auto"/>
        </w:rPr>
      </w:pPr>
    </w:p>
    <w:p>
      <w:pPr>
        <w:ind w:firstLine="568"/>
        <w:spacing w:after="0" w:line="250" w:lineRule="auto"/>
        <w:rPr>
          <w:sz w:val="20"/>
          <w:szCs w:val="20"/>
          <w:color w:val="auto"/>
        </w:rPr>
      </w:pPr>
      <w:r>
        <w:rPr>
          <w:rFonts w:ascii="Arial" w:cs="Arial" w:eastAsia="Arial" w:hAnsi="Arial"/>
          <w:sz w:val="16"/>
          <w:szCs w:val="16"/>
          <w:color w:val="auto"/>
        </w:rPr>
        <w:t>The fair value of equities, options, on-the-run U.S. government obligations and exchange traded notes is estimated using recently executed transactions and market price quotations in active markets and are categorized as Level 1 with the exception of inactively traded equities and certain other financial instruments, which are categorized as Level 2. The Company’s corporate bonds, derivative contracts and other U.S. and non-U.S. government obligations have been categorized as Level 2. Fair value of the Company’s derivative contracts is based on the indicative prices obtained from a number of banks and broker-dealers, as well as management’s own analyses. The indicative prices have been independently validated through the Company’s risk management systems, which are designed to check prices with information independently obtained from exchanges and venues where such financial instruments are listed or to compare prices of similar instruments with similar maturities for listed financial futures in foreign exchange.</w:t>
      </w:r>
    </w:p>
    <w:p>
      <w:pPr>
        <w:spacing w:after="0" w:line="197" w:lineRule="exact"/>
        <w:rPr>
          <w:sz w:val="20"/>
          <w:szCs w:val="20"/>
          <w:color w:val="auto"/>
        </w:rPr>
      </w:pPr>
    </w:p>
    <w:p>
      <w:pPr>
        <w:ind w:firstLine="568"/>
        <w:spacing w:after="0" w:line="273" w:lineRule="auto"/>
        <w:rPr>
          <w:sz w:val="20"/>
          <w:szCs w:val="20"/>
          <w:color w:val="auto"/>
        </w:rPr>
      </w:pPr>
      <w:r>
        <w:rPr>
          <w:rFonts w:ascii="Arial" w:cs="Arial" w:eastAsia="Arial" w:hAnsi="Arial"/>
          <w:sz w:val="15"/>
          <w:szCs w:val="15"/>
          <w:color w:val="auto"/>
        </w:rPr>
        <w:t>The Company prices certain financial instruments held for trading at fair value based on theoretical prices, which can differ from quoted market prices. The theoretical prices reflect price adjustments primarily caused by the fact that the Company continuously prices its financial instruments based on all available information. This information includes prices for identical and near-identical positions, as well as the prices for securities underlying the Company’s positions, on other exchanges that are open after the exchange on which the financial instruments is traded closes. The Company validates that all price adjustments can be substantiated with market inputs and checks the theoretical prices independently. Consequently, such financial instruments are classified as Level 2.</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04" w:name="page105"/>
    <w:bookmarkEnd w:id="10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Fair value measurements for those items measured on a recurring basis are summarized below as of December 31, 2021:</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4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b w:val="1"/>
                <w:bCs w:val="1"/>
                <w:color w:val="auto"/>
              </w:rPr>
              <w:t>December 31, 2021</w:t>
            </w: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4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gridSpan w:val="2"/>
          </w:tcPr>
          <w:p>
            <w:pPr>
              <w:jc w:val="center"/>
              <w:ind w:right="240"/>
              <w:spacing w:after="0" w:line="115" w:lineRule="exact"/>
              <w:rPr>
                <w:sz w:val="20"/>
                <w:szCs w:val="20"/>
                <w:color w:val="auto"/>
              </w:rPr>
            </w:pPr>
            <w:r>
              <w:rPr>
                <w:rFonts w:ascii="Arial" w:cs="Arial" w:eastAsia="Arial" w:hAnsi="Arial"/>
                <w:sz w:val="13"/>
                <w:szCs w:val="13"/>
                <w:b w:val="1"/>
                <w:bCs w:val="1"/>
                <w:color w:val="auto"/>
                <w:w w:val="87"/>
              </w:rPr>
              <w:t>Quoted Prices in</w:t>
            </w:r>
          </w:p>
        </w:tc>
        <w:tc>
          <w:tcPr>
            <w:tcW w:w="100" w:type="dxa"/>
            <w:vAlign w:val="bottom"/>
          </w:tcPr>
          <w:p>
            <w:pPr>
              <w:spacing w:after="0"/>
              <w:rPr>
                <w:sz w:val="9"/>
                <w:szCs w:val="9"/>
                <w:color w:val="auto"/>
              </w:rPr>
            </w:pPr>
          </w:p>
        </w:tc>
        <w:tc>
          <w:tcPr>
            <w:tcW w:w="130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9"/>
              </w:rPr>
              <w:t>Significant Other</w:t>
            </w:r>
          </w:p>
        </w:tc>
        <w:tc>
          <w:tcPr>
            <w:tcW w:w="80" w:type="dxa"/>
            <w:vAlign w:val="bottom"/>
          </w:tcPr>
          <w:p>
            <w:pPr>
              <w:spacing w:after="0"/>
              <w:rPr>
                <w:sz w:val="9"/>
                <w:szCs w:val="9"/>
                <w:color w:val="auto"/>
              </w:rPr>
            </w:pPr>
          </w:p>
        </w:tc>
        <w:tc>
          <w:tcPr>
            <w:tcW w:w="134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7"/>
              </w:rPr>
              <w:t>Significant</w:t>
            </w:r>
          </w:p>
        </w:tc>
        <w:tc>
          <w:tcPr>
            <w:tcW w:w="1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4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0"/>
              </w:rPr>
              <w:t>Active Markets for</w:t>
            </w:r>
          </w:p>
        </w:tc>
        <w:tc>
          <w:tcPr>
            <w:tcW w:w="10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142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w w:val="95"/>
              </w:rPr>
              <w:t>Counterparty and Cash</w:t>
            </w: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4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(in thousands)</w:t>
            </w:r>
          </w:p>
        </w:tc>
        <w:tc>
          <w:tcPr>
            <w:tcW w:w="120" w:type="dxa"/>
            <w:vAlign w:val="bottom"/>
          </w:tcPr>
          <w:p>
            <w:pPr>
              <w:spacing w:after="0"/>
              <w:rPr>
                <w:sz w:val="10"/>
                <w:szCs w:val="10"/>
                <w:color w:val="auto"/>
              </w:rPr>
            </w:pPr>
          </w:p>
        </w:tc>
        <w:tc>
          <w:tcPr>
            <w:tcW w:w="130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84"/>
              </w:rPr>
              <w:t>Identical Assets</w:t>
            </w:r>
          </w:p>
        </w:tc>
        <w:tc>
          <w:tcPr>
            <w:tcW w:w="100" w:type="dxa"/>
            <w:vAlign w:val="bottom"/>
          </w:tcPr>
          <w:p>
            <w:pPr>
              <w:spacing w:after="0"/>
              <w:rPr>
                <w:sz w:val="10"/>
                <w:szCs w:val="10"/>
                <w:color w:val="auto"/>
              </w:rPr>
            </w:pPr>
          </w:p>
        </w:tc>
        <w:tc>
          <w:tcPr>
            <w:tcW w:w="130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88"/>
              </w:rPr>
              <w:t>Observable Inputs</w:t>
            </w:r>
          </w:p>
        </w:tc>
        <w:tc>
          <w:tcPr>
            <w:tcW w:w="80" w:type="dxa"/>
            <w:vAlign w:val="bottom"/>
          </w:tcPr>
          <w:p>
            <w:pPr>
              <w:spacing w:after="0"/>
              <w:rPr>
                <w:sz w:val="10"/>
                <w:szCs w:val="10"/>
                <w:color w:val="auto"/>
              </w:rPr>
            </w:pPr>
          </w:p>
        </w:tc>
        <w:tc>
          <w:tcPr>
            <w:tcW w:w="134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w w:val="87"/>
              </w:rPr>
              <w:t>Unobservable Inputs</w:t>
            </w:r>
          </w:p>
        </w:tc>
        <w:tc>
          <w:tcPr>
            <w:tcW w:w="142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w w:val="88"/>
              </w:rPr>
              <w:t>Total Fair Value</w:t>
            </w:r>
          </w:p>
        </w:tc>
        <w:tc>
          <w:tcPr>
            <w:tcW w:w="0" w:type="dxa"/>
            <w:vAlign w:val="bottom"/>
          </w:tcPr>
          <w:p>
            <w:pPr>
              <w:spacing w:after="0"/>
              <w:rPr>
                <w:sz w:val="1"/>
                <w:szCs w:val="1"/>
                <w:color w:val="auto"/>
              </w:rPr>
            </w:pPr>
          </w:p>
        </w:tc>
      </w:tr>
      <w:tr>
        <w:trPr>
          <w:trHeight w:val="165"/>
        </w:trPr>
        <w:tc>
          <w:tcPr>
            <w:tcW w:w="44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ind w:left="280"/>
              <w:spacing w:after="0"/>
              <w:rPr>
                <w:sz w:val="20"/>
                <w:szCs w:val="20"/>
                <w:color w:val="auto"/>
              </w:rPr>
            </w:pPr>
            <w:r>
              <w:rPr>
                <w:rFonts w:ascii="Arial" w:cs="Arial" w:eastAsia="Arial" w:hAnsi="Arial"/>
                <w:sz w:val="13"/>
                <w:szCs w:val="13"/>
                <w:b w:val="1"/>
                <w:bCs w:val="1"/>
                <w:color w:val="auto"/>
              </w:rPr>
              <w:t>(Level 1)</w:t>
            </w:r>
          </w:p>
        </w:tc>
        <w:tc>
          <w:tcPr>
            <w:tcW w:w="100" w:type="dxa"/>
            <w:vAlign w:val="bottom"/>
          </w:tcPr>
          <w:p>
            <w:pPr>
              <w:spacing w:after="0"/>
              <w:rPr>
                <w:sz w:val="14"/>
                <w:szCs w:val="14"/>
                <w:color w:val="auto"/>
              </w:rPr>
            </w:pPr>
          </w:p>
        </w:tc>
        <w:tc>
          <w:tcPr>
            <w:tcW w:w="1300" w:type="dxa"/>
            <w:vAlign w:val="bottom"/>
            <w:gridSpan w:val="2"/>
          </w:tcPr>
          <w:p>
            <w:pPr>
              <w:ind w:left="300"/>
              <w:spacing w:after="0"/>
              <w:rPr>
                <w:sz w:val="20"/>
                <w:szCs w:val="20"/>
                <w:color w:val="auto"/>
              </w:rPr>
            </w:pPr>
            <w:r>
              <w:rPr>
                <w:rFonts w:ascii="Arial" w:cs="Arial" w:eastAsia="Arial" w:hAnsi="Arial"/>
                <w:sz w:val="13"/>
                <w:szCs w:val="13"/>
                <w:b w:val="1"/>
                <w:bCs w:val="1"/>
                <w:color w:val="auto"/>
              </w:rPr>
              <w:t>(Level 2)</w:t>
            </w:r>
          </w:p>
        </w:tc>
        <w:tc>
          <w:tcPr>
            <w:tcW w:w="80" w:type="dxa"/>
            <w:vAlign w:val="bottom"/>
          </w:tcPr>
          <w:p>
            <w:pPr>
              <w:spacing w:after="0"/>
              <w:rPr>
                <w:sz w:val="14"/>
                <w:szCs w:val="14"/>
                <w:color w:val="auto"/>
              </w:rPr>
            </w:pPr>
          </w:p>
        </w:tc>
        <w:tc>
          <w:tcPr>
            <w:tcW w:w="1340" w:type="dxa"/>
            <w:vAlign w:val="bottom"/>
            <w:gridSpan w:val="2"/>
          </w:tcPr>
          <w:p>
            <w:pPr>
              <w:ind w:left="320"/>
              <w:spacing w:after="0"/>
              <w:rPr>
                <w:sz w:val="20"/>
                <w:szCs w:val="20"/>
                <w:color w:val="auto"/>
              </w:rPr>
            </w:pPr>
            <w:r>
              <w:rPr>
                <w:rFonts w:ascii="Arial" w:cs="Arial" w:eastAsia="Arial" w:hAnsi="Arial"/>
                <w:sz w:val="13"/>
                <w:szCs w:val="13"/>
                <w:b w:val="1"/>
                <w:bCs w:val="1"/>
                <w:color w:val="auto"/>
              </w:rPr>
              <w:t>(Level 3)</w:t>
            </w:r>
          </w:p>
        </w:tc>
        <w:tc>
          <w:tcPr>
            <w:tcW w:w="12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Arial" w:cs="Arial" w:eastAsia="Arial" w:hAnsi="Arial"/>
                <w:sz w:val="13"/>
                <w:szCs w:val="13"/>
                <w:b w:val="1"/>
                <w:bCs w:val="1"/>
                <w:color w:val="auto"/>
              </w:rPr>
              <w:t>Collateral Netting</w:t>
            </w:r>
          </w:p>
        </w:tc>
        <w:tc>
          <w:tcPr>
            <w:tcW w:w="1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b w:val="1"/>
                <w:bCs w:val="1"/>
                <w:color w:val="auto"/>
              </w:rPr>
              <w:t>Assets</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420" w:type="dxa"/>
            <w:vAlign w:val="bottom"/>
            <w:gridSpan w:val="2"/>
          </w:tcPr>
          <w:p>
            <w:pPr>
              <w:ind w:left="100"/>
              <w:spacing w:after="0"/>
              <w:rPr>
                <w:sz w:val="20"/>
                <w:szCs w:val="20"/>
                <w:color w:val="auto"/>
              </w:rPr>
            </w:pPr>
            <w:r>
              <w:rPr>
                <w:rFonts w:ascii="Arial" w:cs="Arial" w:eastAsia="Arial" w:hAnsi="Arial"/>
                <w:sz w:val="13"/>
                <w:szCs w:val="13"/>
                <w:color w:val="auto"/>
              </w:rPr>
              <w:t>Financial instruments owned, at fair value:</w:t>
            </w: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4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Equity 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572,567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1,700,470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300" w:type="dxa"/>
            <w:vAlign w:val="bottom"/>
            <w:gridSpan w:val="2"/>
            <w:shd w:val="clear" w:color="auto" w:fill="CCEEFF"/>
          </w:tcPr>
          <w:p>
            <w:pPr>
              <w:ind w:left="10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2,273,037</w:t>
            </w:r>
          </w:p>
        </w:tc>
        <w:tc>
          <w:tcPr>
            <w:tcW w:w="0" w:type="dxa"/>
            <w:vAlign w:val="bottom"/>
          </w:tcPr>
          <w:p>
            <w:pPr>
              <w:spacing w:after="0"/>
              <w:rPr>
                <w:sz w:val="1"/>
                <w:szCs w:val="1"/>
                <w:color w:val="auto"/>
              </w:rPr>
            </w:pPr>
          </w:p>
        </w:tc>
      </w:tr>
      <w:tr>
        <w:trPr>
          <w:trHeight w:val="163"/>
        </w:trPr>
        <w:tc>
          <w:tcPr>
            <w:tcW w:w="4420" w:type="dxa"/>
            <w:vAlign w:val="bottom"/>
            <w:gridSpan w:val="2"/>
          </w:tcPr>
          <w:p>
            <w:pPr>
              <w:ind w:left="180"/>
              <w:spacing w:after="0"/>
              <w:rPr>
                <w:sz w:val="20"/>
                <w:szCs w:val="20"/>
                <w:color w:val="auto"/>
              </w:rPr>
            </w:pPr>
            <w:r>
              <w:rPr>
                <w:rFonts w:ascii="Arial" w:cs="Arial" w:eastAsia="Arial" w:hAnsi="Arial"/>
                <w:sz w:val="13"/>
                <w:szCs w:val="13"/>
                <w:color w:val="auto"/>
              </w:rPr>
              <w:t>U.S. and Non-U.S. government obligations</w:t>
            </w: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337,350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18,519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300" w:type="dxa"/>
            <w:vAlign w:val="bottom"/>
            <w:gridSpan w:val="2"/>
          </w:tcPr>
          <w:p>
            <w:pPr>
              <w:ind w:left="10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355,869</w:t>
            </w:r>
          </w:p>
        </w:tc>
        <w:tc>
          <w:tcPr>
            <w:tcW w:w="0" w:type="dxa"/>
            <w:vAlign w:val="bottom"/>
          </w:tcPr>
          <w:p>
            <w:pPr>
              <w:spacing w:after="0"/>
              <w:rPr>
                <w:sz w:val="1"/>
                <w:szCs w:val="1"/>
                <w:color w:val="auto"/>
              </w:rPr>
            </w:pPr>
          </w:p>
        </w:tc>
      </w:tr>
      <w:tr>
        <w:trPr>
          <w:trHeight w:val="168"/>
        </w:trPr>
        <w:tc>
          <w:tcPr>
            <w:tcW w:w="44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Corporate Bonds</w:t>
            </w:r>
          </w:p>
        </w:tc>
        <w:tc>
          <w:tcPr>
            <w:tcW w:w="12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598,944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ind w:left="10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598,944</w:t>
            </w:r>
          </w:p>
        </w:tc>
        <w:tc>
          <w:tcPr>
            <w:tcW w:w="0" w:type="dxa"/>
            <w:vAlign w:val="bottom"/>
          </w:tcPr>
          <w:p>
            <w:pPr>
              <w:spacing w:after="0"/>
              <w:rPr>
                <w:sz w:val="1"/>
                <w:szCs w:val="1"/>
                <w:color w:val="auto"/>
              </w:rPr>
            </w:pPr>
          </w:p>
        </w:tc>
      </w:tr>
      <w:tr>
        <w:trPr>
          <w:trHeight w:val="163"/>
        </w:trPr>
        <w:tc>
          <w:tcPr>
            <w:tcW w:w="4420" w:type="dxa"/>
            <w:vAlign w:val="bottom"/>
            <w:gridSpan w:val="2"/>
          </w:tcPr>
          <w:p>
            <w:pPr>
              <w:ind w:left="180"/>
              <w:spacing w:after="0"/>
              <w:rPr>
                <w:sz w:val="20"/>
                <w:szCs w:val="20"/>
                <w:color w:val="auto"/>
              </w:rPr>
            </w:pPr>
            <w:r>
              <w:rPr>
                <w:rFonts w:ascii="Arial" w:cs="Arial" w:eastAsia="Arial" w:hAnsi="Arial"/>
                <w:sz w:val="13"/>
                <w:szCs w:val="13"/>
                <w:color w:val="auto"/>
              </w:rPr>
              <w:t>Exchange traded notes</w:t>
            </w: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2,459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300" w:type="dxa"/>
            <w:vAlign w:val="bottom"/>
            <w:gridSpan w:val="2"/>
          </w:tcPr>
          <w:p>
            <w:pPr>
              <w:ind w:left="10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2,469</w:t>
            </w:r>
          </w:p>
        </w:tc>
        <w:tc>
          <w:tcPr>
            <w:tcW w:w="0" w:type="dxa"/>
            <w:vAlign w:val="bottom"/>
          </w:tcPr>
          <w:p>
            <w:pPr>
              <w:spacing w:after="0"/>
              <w:rPr>
                <w:sz w:val="1"/>
                <w:szCs w:val="1"/>
                <w:color w:val="auto"/>
              </w:rPr>
            </w:pPr>
          </w:p>
        </w:tc>
      </w:tr>
      <w:tr>
        <w:trPr>
          <w:trHeight w:val="168"/>
        </w:trPr>
        <w:tc>
          <w:tcPr>
            <w:tcW w:w="44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Currency forwards</w:t>
            </w:r>
          </w:p>
        </w:tc>
        <w:tc>
          <w:tcPr>
            <w:tcW w:w="12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206,258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ind w:left="680"/>
              <w:spacing w:after="0"/>
              <w:rPr>
                <w:sz w:val="20"/>
                <w:szCs w:val="20"/>
                <w:color w:val="auto"/>
              </w:rPr>
            </w:pPr>
            <w:r>
              <w:rPr>
                <w:rFonts w:ascii="Arial" w:cs="Arial" w:eastAsia="Arial" w:hAnsi="Arial"/>
                <w:sz w:val="13"/>
                <w:szCs w:val="13"/>
                <w:color w:val="auto"/>
                <w:w w:val="89"/>
              </w:rPr>
              <w:t>(206,125)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w:t>
            </w:r>
          </w:p>
        </w:tc>
        <w:tc>
          <w:tcPr>
            <w:tcW w:w="0" w:type="dxa"/>
            <w:vAlign w:val="bottom"/>
          </w:tcPr>
          <w:p>
            <w:pPr>
              <w:spacing w:after="0"/>
              <w:rPr>
                <w:sz w:val="1"/>
                <w:szCs w:val="1"/>
                <w:color w:val="auto"/>
              </w:rPr>
            </w:pPr>
          </w:p>
        </w:tc>
      </w:tr>
      <w:tr>
        <w:trPr>
          <w:trHeight w:val="163"/>
        </w:trPr>
        <w:tc>
          <w:tcPr>
            <w:tcW w:w="4420" w:type="dxa"/>
            <w:vAlign w:val="bottom"/>
            <w:gridSpan w:val="2"/>
          </w:tcPr>
          <w:p>
            <w:pPr>
              <w:ind w:left="180"/>
              <w:spacing w:after="0"/>
              <w:rPr>
                <w:sz w:val="20"/>
                <w:szCs w:val="20"/>
                <w:color w:val="auto"/>
              </w:rPr>
            </w:pPr>
            <w:r>
              <w:rPr>
                <w:rFonts w:ascii="Arial" w:cs="Arial" w:eastAsia="Arial" w:hAnsi="Arial"/>
                <w:sz w:val="13"/>
                <w:szCs w:val="13"/>
                <w:color w:val="auto"/>
              </w:rPr>
              <w:t>Options</w:t>
            </w: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8,543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300" w:type="dxa"/>
            <w:vAlign w:val="bottom"/>
            <w:gridSpan w:val="2"/>
          </w:tcPr>
          <w:p>
            <w:pPr>
              <w:ind w:left="10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8,543</w:t>
            </w:r>
          </w:p>
        </w:tc>
        <w:tc>
          <w:tcPr>
            <w:tcW w:w="0" w:type="dxa"/>
            <w:vAlign w:val="bottom"/>
          </w:tcPr>
          <w:p>
            <w:pPr>
              <w:spacing w:after="0"/>
              <w:rPr>
                <w:sz w:val="1"/>
                <w:szCs w:val="1"/>
                <w:color w:val="auto"/>
              </w:rPr>
            </w:pPr>
          </w:p>
        </w:tc>
      </w:tr>
      <w:tr>
        <w:trPr>
          <w:trHeight w:val="183"/>
        </w:trPr>
        <w:tc>
          <w:tcPr>
            <w:tcW w:w="43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918,470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2,526,650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200" w:type="dxa"/>
            <w:vAlign w:val="bottom"/>
            <w:tcBorders>
              <w:top w:val="single" w:sz="8" w:color="auto"/>
              <w:bottom w:val="single" w:sz="8" w:color="auto"/>
            </w:tcBorders>
            <w:shd w:val="clear" w:color="auto" w:fill="CCEEFF"/>
          </w:tcPr>
          <w:p>
            <w:pPr>
              <w:ind w:left="680"/>
              <w:spacing w:after="0"/>
              <w:rPr>
                <w:sz w:val="20"/>
                <w:szCs w:val="20"/>
                <w:color w:val="auto"/>
              </w:rPr>
            </w:pPr>
            <w:r>
              <w:rPr>
                <w:rFonts w:ascii="Arial" w:cs="Arial" w:eastAsia="Arial" w:hAnsi="Arial"/>
                <w:sz w:val="13"/>
                <w:szCs w:val="13"/>
                <w:color w:val="auto"/>
                <w:w w:val="89"/>
              </w:rPr>
              <w:t>(206,125)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3,238,995</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4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44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Financial instruments owned, pledged as collateral:</w:t>
            </w: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420" w:type="dxa"/>
            <w:vAlign w:val="bottom"/>
            <w:gridSpan w:val="2"/>
          </w:tcPr>
          <w:p>
            <w:pPr>
              <w:ind w:left="180"/>
              <w:spacing w:after="0"/>
              <w:rPr>
                <w:sz w:val="20"/>
                <w:szCs w:val="20"/>
                <w:color w:val="auto"/>
              </w:rPr>
            </w:pPr>
            <w:r>
              <w:rPr>
                <w:rFonts w:ascii="Arial" w:cs="Arial" w:eastAsia="Arial" w:hAnsi="Arial"/>
                <w:sz w:val="13"/>
                <w:szCs w:val="13"/>
                <w:color w:val="auto"/>
              </w:rPr>
              <w:t>Equity securities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670,277</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342,292</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1300" w:type="dxa"/>
            <w:vAlign w:val="bottom"/>
            <w:gridSpan w:val="2"/>
          </w:tcPr>
          <w:p>
            <w:pPr>
              <w:ind w:left="102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1,012,569</w:t>
            </w:r>
          </w:p>
        </w:tc>
        <w:tc>
          <w:tcPr>
            <w:tcW w:w="0" w:type="dxa"/>
            <w:vAlign w:val="bottom"/>
          </w:tcPr>
          <w:p>
            <w:pPr>
              <w:spacing w:after="0"/>
              <w:rPr>
                <w:sz w:val="1"/>
                <w:szCs w:val="1"/>
                <w:color w:val="auto"/>
              </w:rPr>
            </w:pPr>
          </w:p>
        </w:tc>
      </w:tr>
      <w:tr>
        <w:trPr>
          <w:trHeight w:val="168"/>
        </w:trPr>
        <w:tc>
          <w:tcPr>
            <w:tcW w:w="44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Exchange traded notes</w:t>
            </w:r>
          </w:p>
        </w:tc>
        <w:tc>
          <w:tcPr>
            <w:tcW w:w="12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5,391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ind w:left="10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5,391</w:t>
            </w:r>
          </w:p>
        </w:tc>
        <w:tc>
          <w:tcPr>
            <w:tcW w:w="0" w:type="dxa"/>
            <w:vAlign w:val="bottom"/>
          </w:tcPr>
          <w:p>
            <w:pPr>
              <w:spacing w:after="0"/>
              <w:rPr>
                <w:sz w:val="1"/>
                <w:szCs w:val="1"/>
                <w:color w:val="auto"/>
              </w:rPr>
            </w:pPr>
          </w:p>
        </w:tc>
      </w:tr>
      <w:tr>
        <w:trPr>
          <w:trHeight w:val="155"/>
        </w:trPr>
        <w:tc>
          <w:tcPr>
            <w:tcW w:w="4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670,277</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347,683</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200" w:type="dxa"/>
            <w:vAlign w:val="bottom"/>
            <w:tcBorders>
              <w:top w:val="single" w:sz="8" w:color="auto"/>
              <w:bottom w:val="single" w:sz="8" w:color="auto"/>
            </w:tcBorders>
          </w:tcPr>
          <w:p>
            <w:pPr>
              <w:ind w:left="10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1,017,960</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420" w:type="dxa"/>
            <w:vAlign w:val="bottom"/>
            <w:gridSpan w:val="2"/>
          </w:tcPr>
          <w:p>
            <w:pPr>
              <w:ind w:left="100"/>
              <w:spacing w:after="0"/>
              <w:rPr>
                <w:sz w:val="20"/>
                <w:szCs w:val="20"/>
                <w:color w:val="auto"/>
              </w:rPr>
            </w:pPr>
            <w:r>
              <w:rPr>
                <w:rFonts w:ascii="Arial" w:cs="Arial" w:eastAsia="Arial" w:hAnsi="Arial"/>
                <w:sz w:val="13"/>
                <w:szCs w:val="13"/>
                <w:color w:val="auto"/>
              </w:rPr>
              <w:t>Other Assets</w:t>
            </w: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4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Equity investment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81,358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300" w:type="dxa"/>
            <w:vAlign w:val="bottom"/>
            <w:gridSpan w:val="2"/>
            <w:shd w:val="clear" w:color="auto" w:fill="CCEEFF"/>
          </w:tcPr>
          <w:p>
            <w:pPr>
              <w:ind w:left="10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81,358</w:t>
            </w:r>
          </w:p>
        </w:tc>
        <w:tc>
          <w:tcPr>
            <w:tcW w:w="0" w:type="dxa"/>
            <w:vAlign w:val="bottom"/>
          </w:tcPr>
          <w:p>
            <w:pPr>
              <w:spacing w:after="0"/>
              <w:rPr>
                <w:sz w:val="1"/>
                <w:szCs w:val="1"/>
                <w:color w:val="auto"/>
              </w:rPr>
            </w:pPr>
          </w:p>
        </w:tc>
      </w:tr>
      <w:tr>
        <w:trPr>
          <w:trHeight w:val="163"/>
        </w:trPr>
        <w:tc>
          <w:tcPr>
            <w:tcW w:w="4420" w:type="dxa"/>
            <w:vAlign w:val="bottom"/>
            <w:gridSpan w:val="2"/>
          </w:tcPr>
          <w:p>
            <w:pPr>
              <w:ind w:left="180"/>
              <w:spacing w:after="0"/>
              <w:rPr>
                <w:sz w:val="20"/>
                <w:szCs w:val="20"/>
                <w:color w:val="auto"/>
              </w:rPr>
            </w:pPr>
            <w:r>
              <w:rPr>
                <w:rFonts w:ascii="Arial" w:cs="Arial" w:eastAsia="Arial" w:hAnsi="Arial"/>
                <w:sz w:val="13"/>
                <w:szCs w:val="13"/>
                <w:color w:val="auto"/>
              </w:rPr>
              <w:t>Exchange stock</w:t>
            </w: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3,020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300" w:type="dxa"/>
            <w:vAlign w:val="bottom"/>
            <w:gridSpan w:val="2"/>
          </w:tcPr>
          <w:p>
            <w:pPr>
              <w:ind w:left="10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3,020</w:t>
            </w:r>
          </w:p>
        </w:tc>
        <w:tc>
          <w:tcPr>
            <w:tcW w:w="0" w:type="dxa"/>
            <w:vAlign w:val="bottom"/>
          </w:tcPr>
          <w:p>
            <w:pPr>
              <w:spacing w:after="0"/>
              <w:rPr>
                <w:sz w:val="1"/>
                <w:szCs w:val="1"/>
                <w:color w:val="auto"/>
              </w:rPr>
            </w:pPr>
          </w:p>
        </w:tc>
      </w:tr>
      <w:tr>
        <w:trPr>
          <w:trHeight w:val="183"/>
        </w:trPr>
        <w:tc>
          <w:tcPr>
            <w:tcW w:w="43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3,020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81,358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20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84,378</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4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44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Liabilities</w:t>
            </w: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420" w:type="dxa"/>
            <w:vAlign w:val="bottom"/>
            <w:gridSpan w:val="2"/>
          </w:tcPr>
          <w:p>
            <w:pPr>
              <w:ind w:left="100"/>
              <w:spacing w:after="0"/>
              <w:rPr>
                <w:sz w:val="20"/>
                <w:szCs w:val="20"/>
                <w:color w:val="auto"/>
              </w:rPr>
            </w:pPr>
            <w:r>
              <w:rPr>
                <w:rFonts w:ascii="Arial" w:cs="Arial" w:eastAsia="Arial" w:hAnsi="Arial"/>
                <w:sz w:val="13"/>
                <w:szCs w:val="13"/>
                <w:color w:val="auto"/>
              </w:rPr>
              <w:t>Financial instruments sold, not yet purchased, at fair value:</w:t>
            </w: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4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Equity 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1,482,386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807,631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300" w:type="dxa"/>
            <w:vAlign w:val="bottom"/>
            <w:gridSpan w:val="2"/>
            <w:shd w:val="clear" w:color="auto" w:fill="CCEEFF"/>
          </w:tcPr>
          <w:p>
            <w:pPr>
              <w:ind w:left="10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2,290,017</w:t>
            </w:r>
          </w:p>
        </w:tc>
        <w:tc>
          <w:tcPr>
            <w:tcW w:w="0" w:type="dxa"/>
            <w:vAlign w:val="bottom"/>
          </w:tcPr>
          <w:p>
            <w:pPr>
              <w:spacing w:after="0"/>
              <w:rPr>
                <w:sz w:val="1"/>
                <w:szCs w:val="1"/>
                <w:color w:val="auto"/>
              </w:rPr>
            </w:pPr>
          </w:p>
        </w:tc>
      </w:tr>
      <w:tr>
        <w:trPr>
          <w:trHeight w:val="163"/>
        </w:trPr>
        <w:tc>
          <w:tcPr>
            <w:tcW w:w="4420" w:type="dxa"/>
            <w:vAlign w:val="bottom"/>
            <w:gridSpan w:val="2"/>
          </w:tcPr>
          <w:p>
            <w:pPr>
              <w:ind w:left="180"/>
              <w:spacing w:after="0"/>
              <w:rPr>
                <w:sz w:val="20"/>
                <w:szCs w:val="20"/>
                <w:color w:val="auto"/>
              </w:rPr>
            </w:pPr>
            <w:r>
              <w:rPr>
                <w:rFonts w:ascii="Arial" w:cs="Arial" w:eastAsia="Arial" w:hAnsi="Arial"/>
                <w:sz w:val="13"/>
                <w:szCs w:val="13"/>
                <w:color w:val="auto"/>
              </w:rPr>
              <w:t>U.S. and Non-U.S. government obligations</w:t>
            </w: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330,765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9,955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300" w:type="dxa"/>
            <w:vAlign w:val="bottom"/>
            <w:gridSpan w:val="2"/>
          </w:tcPr>
          <w:p>
            <w:pPr>
              <w:ind w:left="10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340,720</w:t>
            </w:r>
          </w:p>
        </w:tc>
        <w:tc>
          <w:tcPr>
            <w:tcW w:w="0" w:type="dxa"/>
            <w:vAlign w:val="bottom"/>
          </w:tcPr>
          <w:p>
            <w:pPr>
              <w:spacing w:after="0"/>
              <w:rPr>
                <w:sz w:val="1"/>
                <w:szCs w:val="1"/>
                <w:color w:val="auto"/>
              </w:rPr>
            </w:pPr>
          </w:p>
        </w:tc>
      </w:tr>
      <w:tr>
        <w:trPr>
          <w:trHeight w:val="168"/>
        </w:trPr>
        <w:tc>
          <w:tcPr>
            <w:tcW w:w="44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Corporate Bonds</w:t>
            </w:r>
          </w:p>
        </w:tc>
        <w:tc>
          <w:tcPr>
            <w:tcW w:w="12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851,871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ind w:left="10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851,871</w:t>
            </w:r>
          </w:p>
        </w:tc>
        <w:tc>
          <w:tcPr>
            <w:tcW w:w="0" w:type="dxa"/>
            <w:vAlign w:val="bottom"/>
          </w:tcPr>
          <w:p>
            <w:pPr>
              <w:spacing w:after="0"/>
              <w:rPr>
                <w:sz w:val="1"/>
                <w:szCs w:val="1"/>
                <w:color w:val="auto"/>
              </w:rPr>
            </w:pPr>
          </w:p>
        </w:tc>
      </w:tr>
      <w:tr>
        <w:trPr>
          <w:trHeight w:val="163"/>
        </w:trPr>
        <w:tc>
          <w:tcPr>
            <w:tcW w:w="4420" w:type="dxa"/>
            <w:vAlign w:val="bottom"/>
            <w:gridSpan w:val="2"/>
          </w:tcPr>
          <w:p>
            <w:pPr>
              <w:ind w:left="180"/>
              <w:spacing w:after="0"/>
              <w:rPr>
                <w:sz w:val="20"/>
                <w:szCs w:val="20"/>
                <w:color w:val="auto"/>
              </w:rPr>
            </w:pPr>
            <w:r>
              <w:rPr>
                <w:rFonts w:ascii="Arial" w:cs="Arial" w:eastAsia="Arial" w:hAnsi="Arial"/>
                <w:sz w:val="13"/>
                <w:szCs w:val="13"/>
                <w:color w:val="auto"/>
              </w:rPr>
              <w:t>Exchange traded notes</w:t>
            </w:r>
          </w:p>
        </w:tc>
        <w:tc>
          <w:tcPr>
            <w:tcW w:w="12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22,962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300" w:type="dxa"/>
            <w:vAlign w:val="bottom"/>
            <w:gridSpan w:val="2"/>
          </w:tcPr>
          <w:p>
            <w:pPr>
              <w:ind w:left="10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22,962</w:t>
            </w:r>
          </w:p>
        </w:tc>
        <w:tc>
          <w:tcPr>
            <w:tcW w:w="0" w:type="dxa"/>
            <w:vAlign w:val="bottom"/>
          </w:tcPr>
          <w:p>
            <w:pPr>
              <w:spacing w:after="0"/>
              <w:rPr>
                <w:sz w:val="1"/>
                <w:szCs w:val="1"/>
                <w:color w:val="auto"/>
              </w:rPr>
            </w:pPr>
          </w:p>
        </w:tc>
      </w:tr>
      <w:tr>
        <w:trPr>
          <w:trHeight w:val="168"/>
        </w:trPr>
        <w:tc>
          <w:tcPr>
            <w:tcW w:w="44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Currency forwards</w:t>
            </w:r>
          </w:p>
        </w:tc>
        <w:tc>
          <w:tcPr>
            <w:tcW w:w="12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208,357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ind w:left="680"/>
              <w:spacing w:after="0"/>
              <w:rPr>
                <w:sz w:val="20"/>
                <w:szCs w:val="20"/>
                <w:color w:val="auto"/>
              </w:rPr>
            </w:pPr>
            <w:r>
              <w:rPr>
                <w:rFonts w:ascii="Arial" w:cs="Arial" w:eastAsia="Arial" w:hAnsi="Arial"/>
                <w:sz w:val="13"/>
                <w:szCs w:val="13"/>
                <w:color w:val="auto"/>
                <w:w w:val="89"/>
              </w:rPr>
              <w:t>(208,356)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63"/>
        </w:trPr>
        <w:tc>
          <w:tcPr>
            <w:tcW w:w="4420" w:type="dxa"/>
            <w:vAlign w:val="bottom"/>
            <w:gridSpan w:val="2"/>
          </w:tcPr>
          <w:p>
            <w:pPr>
              <w:ind w:left="180"/>
              <w:spacing w:after="0"/>
              <w:rPr>
                <w:sz w:val="20"/>
                <w:szCs w:val="20"/>
                <w:color w:val="auto"/>
              </w:rPr>
            </w:pPr>
            <w:r>
              <w:rPr>
                <w:rFonts w:ascii="Arial" w:cs="Arial" w:eastAsia="Arial" w:hAnsi="Arial"/>
                <w:sz w:val="13"/>
                <w:szCs w:val="13"/>
                <w:color w:val="auto"/>
              </w:rPr>
              <w:t>Options</w:t>
            </w: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5,208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300" w:type="dxa"/>
            <w:vAlign w:val="bottom"/>
            <w:gridSpan w:val="2"/>
          </w:tcPr>
          <w:p>
            <w:pPr>
              <w:ind w:left="10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5,208</w:t>
            </w:r>
          </w:p>
        </w:tc>
        <w:tc>
          <w:tcPr>
            <w:tcW w:w="0" w:type="dxa"/>
            <w:vAlign w:val="bottom"/>
          </w:tcPr>
          <w:p>
            <w:pPr>
              <w:spacing w:after="0"/>
              <w:rPr>
                <w:sz w:val="1"/>
                <w:szCs w:val="1"/>
                <w:color w:val="auto"/>
              </w:rPr>
            </w:pPr>
          </w:p>
        </w:tc>
      </w:tr>
      <w:tr>
        <w:trPr>
          <w:trHeight w:val="183"/>
        </w:trPr>
        <w:tc>
          <w:tcPr>
            <w:tcW w:w="43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1,818,359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1,900,776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200" w:type="dxa"/>
            <w:vAlign w:val="bottom"/>
            <w:tcBorders>
              <w:top w:val="single" w:sz="8" w:color="auto"/>
              <w:bottom w:val="single" w:sz="8" w:color="auto"/>
            </w:tcBorders>
            <w:shd w:val="clear" w:color="auto" w:fill="CCEEFF"/>
          </w:tcPr>
          <w:p>
            <w:pPr>
              <w:ind w:left="680"/>
              <w:spacing w:after="0"/>
              <w:rPr>
                <w:sz w:val="20"/>
                <w:szCs w:val="20"/>
                <w:color w:val="auto"/>
              </w:rPr>
            </w:pPr>
            <w:r>
              <w:rPr>
                <w:rFonts w:ascii="Arial" w:cs="Arial" w:eastAsia="Arial" w:hAnsi="Arial"/>
                <w:sz w:val="13"/>
                <w:szCs w:val="13"/>
                <w:color w:val="auto"/>
                <w:w w:val="89"/>
              </w:rPr>
              <w:t>(208,356)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3,510,779</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4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44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Payables to broker dealers and clearing organizations:</w:t>
            </w: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420" w:type="dxa"/>
            <w:vAlign w:val="bottom"/>
            <w:gridSpan w:val="2"/>
          </w:tcPr>
          <w:p>
            <w:pPr>
              <w:ind w:left="100"/>
              <w:spacing w:after="0"/>
              <w:rPr>
                <w:sz w:val="20"/>
                <w:szCs w:val="20"/>
                <w:color w:val="auto"/>
              </w:rPr>
            </w:pPr>
            <w:r>
              <w:rPr>
                <w:rFonts w:ascii="Arial" w:cs="Arial" w:eastAsia="Arial" w:hAnsi="Arial"/>
                <w:sz w:val="13"/>
                <w:szCs w:val="13"/>
                <w:color w:val="auto"/>
              </w:rPr>
              <w:t>Interest rate swap</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3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21,037</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1300" w:type="dxa"/>
            <w:vAlign w:val="bottom"/>
            <w:gridSpan w:val="2"/>
          </w:tcPr>
          <w:p>
            <w:pPr>
              <w:ind w:left="102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21,037</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05" w:name="page106"/>
    <w:bookmarkEnd w:id="10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Fair value measurements for those items measured on a recurring basis are summarized below as of December 31, 2020:</w:t>
      </w: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4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b w:val="1"/>
                <w:bCs w:val="1"/>
                <w:color w:val="auto"/>
              </w:rPr>
              <w:t>December 31, 2020</w:t>
            </w: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4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gridSpan w:val="2"/>
          </w:tcPr>
          <w:p>
            <w:pPr>
              <w:jc w:val="center"/>
              <w:ind w:right="240"/>
              <w:spacing w:after="0" w:line="115" w:lineRule="exact"/>
              <w:rPr>
                <w:sz w:val="20"/>
                <w:szCs w:val="20"/>
                <w:color w:val="auto"/>
              </w:rPr>
            </w:pPr>
            <w:r>
              <w:rPr>
                <w:rFonts w:ascii="Arial" w:cs="Arial" w:eastAsia="Arial" w:hAnsi="Arial"/>
                <w:sz w:val="13"/>
                <w:szCs w:val="13"/>
                <w:b w:val="1"/>
                <w:bCs w:val="1"/>
                <w:color w:val="auto"/>
                <w:w w:val="87"/>
              </w:rPr>
              <w:t>Quoted Prices in</w:t>
            </w:r>
          </w:p>
        </w:tc>
        <w:tc>
          <w:tcPr>
            <w:tcW w:w="100" w:type="dxa"/>
            <w:vAlign w:val="bottom"/>
          </w:tcPr>
          <w:p>
            <w:pPr>
              <w:spacing w:after="0"/>
              <w:rPr>
                <w:sz w:val="9"/>
                <w:szCs w:val="9"/>
                <w:color w:val="auto"/>
              </w:rPr>
            </w:pPr>
          </w:p>
        </w:tc>
        <w:tc>
          <w:tcPr>
            <w:tcW w:w="130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9"/>
              </w:rPr>
              <w:t>Significant Other</w:t>
            </w:r>
          </w:p>
        </w:tc>
        <w:tc>
          <w:tcPr>
            <w:tcW w:w="80" w:type="dxa"/>
            <w:vAlign w:val="bottom"/>
          </w:tcPr>
          <w:p>
            <w:pPr>
              <w:spacing w:after="0"/>
              <w:rPr>
                <w:sz w:val="9"/>
                <w:szCs w:val="9"/>
                <w:color w:val="auto"/>
              </w:rPr>
            </w:pPr>
          </w:p>
        </w:tc>
        <w:tc>
          <w:tcPr>
            <w:tcW w:w="134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7"/>
              </w:rPr>
              <w:t>Significant</w:t>
            </w:r>
          </w:p>
        </w:tc>
        <w:tc>
          <w:tcPr>
            <w:tcW w:w="1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4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0"/>
              </w:rPr>
              <w:t>Active Markets for</w:t>
            </w:r>
          </w:p>
        </w:tc>
        <w:tc>
          <w:tcPr>
            <w:tcW w:w="10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142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w w:val="95"/>
              </w:rPr>
              <w:t>Counterparty and Cash</w:t>
            </w: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4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(in thousands)</w:t>
            </w:r>
          </w:p>
        </w:tc>
        <w:tc>
          <w:tcPr>
            <w:tcW w:w="120" w:type="dxa"/>
            <w:vAlign w:val="bottom"/>
          </w:tcPr>
          <w:p>
            <w:pPr>
              <w:spacing w:after="0"/>
              <w:rPr>
                <w:sz w:val="10"/>
                <w:szCs w:val="10"/>
                <w:color w:val="auto"/>
              </w:rPr>
            </w:pPr>
          </w:p>
        </w:tc>
        <w:tc>
          <w:tcPr>
            <w:tcW w:w="130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84"/>
              </w:rPr>
              <w:t>Identical Assets</w:t>
            </w:r>
          </w:p>
        </w:tc>
        <w:tc>
          <w:tcPr>
            <w:tcW w:w="100" w:type="dxa"/>
            <w:vAlign w:val="bottom"/>
          </w:tcPr>
          <w:p>
            <w:pPr>
              <w:spacing w:after="0"/>
              <w:rPr>
                <w:sz w:val="10"/>
                <w:szCs w:val="10"/>
                <w:color w:val="auto"/>
              </w:rPr>
            </w:pPr>
          </w:p>
        </w:tc>
        <w:tc>
          <w:tcPr>
            <w:tcW w:w="130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88"/>
              </w:rPr>
              <w:t>Observable Inputs</w:t>
            </w:r>
          </w:p>
        </w:tc>
        <w:tc>
          <w:tcPr>
            <w:tcW w:w="80" w:type="dxa"/>
            <w:vAlign w:val="bottom"/>
          </w:tcPr>
          <w:p>
            <w:pPr>
              <w:spacing w:after="0"/>
              <w:rPr>
                <w:sz w:val="10"/>
                <w:szCs w:val="10"/>
                <w:color w:val="auto"/>
              </w:rPr>
            </w:pPr>
          </w:p>
        </w:tc>
        <w:tc>
          <w:tcPr>
            <w:tcW w:w="134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w w:val="87"/>
              </w:rPr>
              <w:t>Unobservable Inputs</w:t>
            </w:r>
          </w:p>
        </w:tc>
        <w:tc>
          <w:tcPr>
            <w:tcW w:w="142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w w:val="88"/>
              </w:rPr>
              <w:t>Total Fair Value</w:t>
            </w:r>
          </w:p>
        </w:tc>
        <w:tc>
          <w:tcPr>
            <w:tcW w:w="0" w:type="dxa"/>
            <w:vAlign w:val="bottom"/>
          </w:tcPr>
          <w:p>
            <w:pPr>
              <w:spacing w:after="0"/>
              <w:rPr>
                <w:sz w:val="1"/>
                <w:szCs w:val="1"/>
                <w:color w:val="auto"/>
              </w:rPr>
            </w:pPr>
          </w:p>
        </w:tc>
      </w:tr>
      <w:tr>
        <w:trPr>
          <w:trHeight w:val="165"/>
        </w:trPr>
        <w:tc>
          <w:tcPr>
            <w:tcW w:w="44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ind w:left="280"/>
              <w:spacing w:after="0"/>
              <w:rPr>
                <w:sz w:val="20"/>
                <w:szCs w:val="20"/>
                <w:color w:val="auto"/>
              </w:rPr>
            </w:pPr>
            <w:r>
              <w:rPr>
                <w:rFonts w:ascii="Arial" w:cs="Arial" w:eastAsia="Arial" w:hAnsi="Arial"/>
                <w:sz w:val="13"/>
                <w:szCs w:val="13"/>
                <w:b w:val="1"/>
                <w:bCs w:val="1"/>
                <w:color w:val="auto"/>
              </w:rPr>
              <w:t>(Level 1)</w:t>
            </w:r>
          </w:p>
        </w:tc>
        <w:tc>
          <w:tcPr>
            <w:tcW w:w="100" w:type="dxa"/>
            <w:vAlign w:val="bottom"/>
          </w:tcPr>
          <w:p>
            <w:pPr>
              <w:spacing w:after="0"/>
              <w:rPr>
                <w:sz w:val="14"/>
                <w:szCs w:val="14"/>
                <w:color w:val="auto"/>
              </w:rPr>
            </w:pPr>
          </w:p>
        </w:tc>
        <w:tc>
          <w:tcPr>
            <w:tcW w:w="1300" w:type="dxa"/>
            <w:vAlign w:val="bottom"/>
            <w:gridSpan w:val="2"/>
          </w:tcPr>
          <w:p>
            <w:pPr>
              <w:ind w:left="300"/>
              <w:spacing w:after="0"/>
              <w:rPr>
                <w:sz w:val="20"/>
                <w:szCs w:val="20"/>
                <w:color w:val="auto"/>
              </w:rPr>
            </w:pPr>
            <w:r>
              <w:rPr>
                <w:rFonts w:ascii="Arial" w:cs="Arial" w:eastAsia="Arial" w:hAnsi="Arial"/>
                <w:sz w:val="13"/>
                <w:szCs w:val="13"/>
                <w:b w:val="1"/>
                <w:bCs w:val="1"/>
                <w:color w:val="auto"/>
              </w:rPr>
              <w:t>(Level 2)</w:t>
            </w:r>
          </w:p>
        </w:tc>
        <w:tc>
          <w:tcPr>
            <w:tcW w:w="80" w:type="dxa"/>
            <w:vAlign w:val="bottom"/>
          </w:tcPr>
          <w:p>
            <w:pPr>
              <w:spacing w:after="0"/>
              <w:rPr>
                <w:sz w:val="14"/>
                <w:szCs w:val="14"/>
                <w:color w:val="auto"/>
              </w:rPr>
            </w:pPr>
          </w:p>
        </w:tc>
        <w:tc>
          <w:tcPr>
            <w:tcW w:w="1340" w:type="dxa"/>
            <w:vAlign w:val="bottom"/>
            <w:gridSpan w:val="2"/>
          </w:tcPr>
          <w:p>
            <w:pPr>
              <w:ind w:left="320"/>
              <w:spacing w:after="0"/>
              <w:rPr>
                <w:sz w:val="20"/>
                <w:szCs w:val="20"/>
                <w:color w:val="auto"/>
              </w:rPr>
            </w:pPr>
            <w:r>
              <w:rPr>
                <w:rFonts w:ascii="Arial" w:cs="Arial" w:eastAsia="Arial" w:hAnsi="Arial"/>
                <w:sz w:val="13"/>
                <w:szCs w:val="13"/>
                <w:b w:val="1"/>
                <w:bCs w:val="1"/>
                <w:color w:val="auto"/>
              </w:rPr>
              <w:t>(Level 3)</w:t>
            </w:r>
          </w:p>
        </w:tc>
        <w:tc>
          <w:tcPr>
            <w:tcW w:w="12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Arial" w:cs="Arial" w:eastAsia="Arial" w:hAnsi="Arial"/>
                <w:sz w:val="13"/>
                <w:szCs w:val="13"/>
                <w:b w:val="1"/>
                <w:bCs w:val="1"/>
                <w:color w:val="auto"/>
              </w:rPr>
              <w:t>Collateral Netting</w:t>
            </w:r>
          </w:p>
        </w:tc>
        <w:tc>
          <w:tcPr>
            <w:tcW w:w="1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b w:val="1"/>
                <w:bCs w:val="1"/>
                <w:color w:val="auto"/>
              </w:rPr>
              <w:t>Assets</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420" w:type="dxa"/>
            <w:vAlign w:val="bottom"/>
            <w:gridSpan w:val="2"/>
          </w:tcPr>
          <w:p>
            <w:pPr>
              <w:spacing w:after="0"/>
              <w:rPr>
                <w:sz w:val="20"/>
                <w:szCs w:val="20"/>
                <w:color w:val="auto"/>
              </w:rPr>
            </w:pPr>
            <w:r>
              <w:rPr>
                <w:rFonts w:ascii="Arial" w:cs="Arial" w:eastAsia="Arial" w:hAnsi="Arial"/>
                <w:sz w:val="13"/>
                <w:szCs w:val="13"/>
                <w:color w:val="auto"/>
              </w:rPr>
              <w:t>Financial instruments owned, at fair value:</w:t>
            </w: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4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Equity 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761,484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1,194,105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300" w:type="dxa"/>
            <w:vAlign w:val="bottom"/>
            <w:gridSpan w:val="2"/>
            <w:shd w:val="clear" w:color="auto" w:fill="CCEEFF"/>
          </w:tcPr>
          <w:p>
            <w:pPr>
              <w:ind w:left="10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1,955,589</w:t>
            </w:r>
          </w:p>
        </w:tc>
        <w:tc>
          <w:tcPr>
            <w:tcW w:w="0" w:type="dxa"/>
            <w:vAlign w:val="bottom"/>
          </w:tcPr>
          <w:p>
            <w:pPr>
              <w:spacing w:after="0"/>
              <w:rPr>
                <w:sz w:val="1"/>
                <w:szCs w:val="1"/>
                <w:color w:val="auto"/>
              </w:rPr>
            </w:pPr>
          </w:p>
        </w:tc>
      </w:tr>
      <w:tr>
        <w:trPr>
          <w:trHeight w:val="163"/>
        </w:trPr>
        <w:tc>
          <w:tcPr>
            <w:tcW w:w="4420" w:type="dxa"/>
            <w:vAlign w:val="bottom"/>
            <w:gridSpan w:val="2"/>
          </w:tcPr>
          <w:p>
            <w:pPr>
              <w:ind w:left="100"/>
              <w:spacing w:after="0"/>
              <w:rPr>
                <w:sz w:val="20"/>
                <w:szCs w:val="20"/>
                <w:color w:val="auto"/>
              </w:rPr>
            </w:pPr>
            <w:r>
              <w:rPr>
                <w:rFonts w:ascii="Arial" w:cs="Arial" w:eastAsia="Arial" w:hAnsi="Arial"/>
                <w:sz w:val="13"/>
                <w:szCs w:val="13"/>
                <w:color w:val="auto"/>
              </w:rPr>
              <w:t>U.S. and Non-U.S. government obligations</w:t>
            </w: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151,723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48,059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300" w:type="dxa"/>
            <w:vAlign w:val="bottom"/>
            <w:gridSpan w:val="2"/>
          </w:tcPr>
          <w:p>
            <w:pPr>
              <w:ind w:left="10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199,782</w:t>
            </w:r>
          </w:p>
        </w:tc>
        <w:tc>
          <w:tcPr>
            <w:tcW w:w="0" w:type="dxa"/>
            <w:vAlign w:val="bottom"/>
          </w:tcPr>
          <w:p>
            <w:pPr>
              <w:spacing w:after="0"/>
              <w:rPr>
                <w:sz w:val="1"/>
                <w:szCs w:val="1"/>
                <w:color w:val="auto"/>
              </w:rPr>
            </w:pPr>
          </w:p>
        </w:tc>
      </w:tr>
      <w:tr>
        <w:trPr>
          <w:trHeight w:val="168"/>
        </w:trPr>
        <w:tc>
          <w:tcPr>
            <w:tcW w:w="44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Corporate Bonds</w:t>
            </w:r>
          </w:p>
        </w:tc>
        <w:tc>
          <w:tcPr>
            <w:tcW w:w="12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135,518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ind w:left="10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135,518</w:t>
            </w:r>
          </w:p>
        </w:tc>
        <w:tc>
          <w:tcPr>
            <w:tcW w:w="0" w:type="dxa"/>
            <w:vAlign w:val="bottom"/>
          </w:tcPr>
          <w:p>
            <w:pPr>
              <w:spacing w:after="0"/>
              <w:rPr>
                <w:sz w:val="1"/>
                <w:szCs w:val="1"/>
                <w:color w:val="auto"/>
              </w:rPr>
            </w:pPr>
          </w:p>
        </w:tc>
      </w:tr>
      <w:tr>
        <w:trPr>
          <w:trHeight w:val="163"/>
        </w:trPr>
        <w:tc>
          <w:tcPr>
            <w:tcW w:w="4420" w:type="dxa"/>
            <w:vAlign w:val="bottom"/>
            <w:gridSpan w:val="2"/>
          </w:tcPr>
          <w:p>
            <w:pPr>
              <w:ind w:left="100"/>
              <w:spacing w:after="0"/>
              <w:rPr>
                <w:sz w:val="20"/>
                <w:szCs w:val="20"/>
                <w:color w:val="auto"/>
              </w:rPr>
            </w:pPr>
            <w:r>
              <w:rPr>
                <w:rFonts w:ascii="Arial" w:cs="Arial" w:eastAsia="Arial" w:hAnsi="Arial"/>
                <w:sz w:val="13"/>
                <w:szCs w:val="13"/>
                <w:color w:val="auto"/>
              </w:rPr>
              <w:t>Exchange traded notes</w:t>
            </w: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106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19,721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300" w:type="dxa"/>
            <w:vAlign w:val="bottom"/>
            <w:gridSpan w:val="2"/>
          </w:tcPr>
          <w:p>
            <w:pPr>
              <w:ind w:left="10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19,827</w:t>
            </w:r>
          </w:p>
        </w:tc>
        <w:tc>
          <w:tcPr>
            <w:tcW w:w="0" w:type="dxa"/>
            <w:vAlign w:val="bottom"/>
          </w:tcPr>
          <w:p>
            <w:pPr>
              <w:spacing w:after="0"/>
              <w:rPr>
                <w:sz w:val="1"/>
                <w:szCs w:val="1"/>
                <w:color w:val="auto"/>
              </w:rPr>
            </w:pPr>
          </w:p>
        </w:tc>
      </w:tr>
      <w:tr>
        <w:trPr>
          <w:trHeight w:val="168"/>
        </w:trPr>
        <w:tc>
          <w:tcPr>
            <w:tcW w:w="44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Currency forwards</w:t>
            </w:r>
          </w:p>
        </w:tc>
        <w:tc>
          <w:tcPr>
            <w:tcW w:w="12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341,360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ind w:left="680"/>
              <w:spacing w:after="0"/>
              <w:rPr>
                <w:sz w:val="20"/>
                <w:szCs w:val="20"/>
                <w:color w:val="auto"/>
              </w:rPr>
            </w:pPr>
            <w:r>
              <w:rPr>
                <w:rFonts w:ascii="Arial" w:cs="Arial" w:eastAsia="Arial" w:hAnsi="Arial"/>
                <w:sz w:val="13"/>
                <w:szCs w:val="13"/>
                <w:color w:val="auto"/>
                <w:w w:val="89"/>
              </w:rPr>
              <w:t>(291,964)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49,396</w:t>
            </w:r>
          </w:p>
        </w:tc>
        <w:tc>
          <w:tcPr>
            <w:tcW w:w="0" w:type="dxa"/>
            <w:vAlign w:val="bottom"/>
          </w:tcPr>
          <w:p>
            <w:pPr>
              <w:spacing w:after="0"/>
              <w:rPr>
                <w:sz w:val="1"/>
                <w:szCs w:val="1"/>
                <w:color w:val="auto"/>
              </w:rPr>
            </w:pPr>
          </w:p>
        </w:tc>
      </w:tr>
      <w:tr>
        <w:trPr>
          <w:trHeight w:val="163"/>
        </w:trPr>
        <w:tc>
          <w:tcPr>
            <w:tcW w:w="4420" w:type="dxa"/>
            <w:vAlign w:val="bottom"/>
            <w:gridSpan w:val="2"/>
          </w:tcPr>
          <w:p>
            <w:pPr>
              <w:ind w:left="100"/>
              <w:spacing w:after="0"/>
              <w:rPr>
                <w:sz w:val="20"/>
                <w:szCs w:val="20"/>
                <w:color w:val="auto"/>
              </w:rPr>
            </w:pPr>
            <w:r>
              <w:rPr>
                <w:rFonts w:ascii="Arial" w:cs="Arial" w:eastAsia="Arial" w:hAnsi="Arial"/>
                <w:sz w:val="13"/>
                <w:szCs w:val="13"/>
                <w:color w:val="auto"/>
              </w:rPr>
              <w:t>Options</w:t>
            </w: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9,080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300" w:type="dxa"/>
            <w:vAlign w:val="bottom"/>
            <w:gridSpan w:val="2"/>
          </w:tcPr>
          <w:p>
            <w:pPr>
              <w:ind w:left="10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9,080</w:t>
            </w:r>
          </w:p>
        </w:tc>
        <w:tc>
          <w:tcPr>
            <w:tcW w:w="0" w:type="dxa"/>
            <w:vAlign w:val="bottom"/>
          </w:tcPr>
          <w:p>
            <w:pPr>
              <w:spacing w:after="0"/>
              <w:rPr>
                <w:sz w:val="1"/>
                <w:szCs w:val="1"/>
                <w:color w:val="auto"/>
              </w:rPr>
            </w:pPr>
          </w:p>
        </w:tc>
      </w:tr>
      <w:tr>
        <w:trPr>
          <w:trHeight w:val="183"/>
        </w:trPr>
        <w:tc>
          <w:tcPr>
            <w:tcW w:w="43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922,393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1,738,763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200" w:type="dxa"/>
            <w:vAlign w:val="bottom"/>
            <w:tcBorders>
              <w:top w:val="single" w:sz="8" w:color="auto"/>
              <w:bottom w:val="single" w:sz="8" w:color="auto"/>
            </w:tcBorders>
            <w:shd w:val="clear" w:color="auto" w:fill="CCEEFF"/>
          </w:tcPr>
          <w:p>
            <w:pPr>
              <w:ind w:left="680"/>
              <w:spacing w:after="0"/>
              <w:rPr>
                <w:sz w:val="20"/>
                <w:szCs w:val="20"/>
                <w:color w:val="auto"/>
              </w:rPr>
            </w:pPr>
            <w:r>
              <w:rPr>
                <w:rFonts w:ascii="Arial" w:cs="Arial" w:eastAsia="Arial" w:hAnsi="Arial"/>
                <w:sz w:val="13"/>
                <w:szCs w:val="13"/>
                <w:color w:val="auto"/>
                <w:w w:val="89"/>
              </w:rPr>
              <w:t>(291,964)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2,369,192</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3"/>
                <w:szCs w:val="13"/>
                <w:color w:val="auto"/>
              </w:rPr>
              <w:t>Financial instruments owned, pledged as collateral:</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4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44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Equity 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496,943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237,081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300" w:type="dxa"/>
            <w:vAlign w:val="bottom"/>
            <w:gridSpan w:val="2"/>
            <w:shd w:val="clear" w:color="auto" w:fill="CCEEFF"/>
          </w:tcPr>
          <w:p>
            <w:pPr>
              <w:ind w:left="10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734,024</w:t>
            </w:r>
          </w:p>
        </w:tc>
        <w:tc>
          <w:tcPr>
            <w:tcW w:w="0" w:type="dxa"/>
            <w:vAlign w:val="bottom"/>
          </w:tcPr>
          <w:p>
            <w:pPr>
              <w:spacing w:after="0"/>
              <w:rPr>
                <w:sz w:val="1"/>
                <w:szCs w:val="1"/>
                <w:color w:val="auto"/>
              </w:rPr>
            </w:pPr>
          </w:p>
        </w:tc>
      </w:tr>
      <w:tr>
        <w:trPr>
          <w:trHeight w:val="163"/>
        </w:trPr>
        <w:tc>
          <w:tcPr>
            <w:tcW w:w="4420" w:type="dxa"/>
            <w:vAlign w:val="bottom"/>
            <w:gridSpan w:val="2"/>
          </w:tcPr>
          <w:p>
            <w:pPr>
              <w:ind w:left="100"/>
              <w:spacing w:after="0"/>
              <w:rPr>
                <w:sz w:val="20"/>
                <w:szCs w:val="20"/>
                <w:color w:val="auto"/>
              </w:rPr>
            </w:pPr>
            <w:r>
              <w:rPr>
                <w:rFonts w:ascii="Arial" w:cs="Arial" w:eastAsia="Arial" w:hAnsi="Arial"/>
                <w:sz w:val="13"/>
                <w:szCs w:val="13"/>
                <w:color w:val="auto"/>
              </w:rPr>
              <w:t>Exchange traded notes</w:t>
            </w: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12,513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300" w:type="dxa"/>
            <w:vAlign w:val="bottom"/>
            <w:gridSpan w:val="2"/>
          </w:tcPr>
          <w:p>
            <w:pPr>
              <w:ind w:left="10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12,515</w:t>
            </w:r>
          </w:p>
        </w:tc>
        <w:tc>
          <w:tcPr>
            <w:tcW w:w="0" w:type="dxa"/>
            <w:vAlign w:val="bottom"/>
          </w:tcPr>
          <w:p>
            <w:pPr>
              <w:spacing w:after="0"/>
              <w:rPr>
                <w:sz w:val="1"/>
                <w:szCs w:val="1"/>
                <w:color w:val="auto"/>
              </w:rPr>
            </w:pPr>
          </w:p>
        </w:tc>
      </w:tr>
      <w:tr>
        <w:trPr>
          <w:trHeight w:val="183"/>
        </w:trPr>
        <w:tc>
          <w:tcPr>
            <w:tcW w:w="43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496,945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249,594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20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746,539</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3"/>
                <w:szCs w:val="13"/>
                <w:color w:val="auto"/>
              </w:rPr>
              <w:t>Other Assets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4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44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Equity investment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66,030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300" w:type="dxa"/>
            <w:vAlign w:val="bottom"/>
            <w:gridSpan w:val="2"/>
            <w:shd w:val="clear" w:color="auto" w:fill="CCEEFF"/>
          </w:tcPr>
          <w:p>
            <w:pPr>
              <w:ind w:left="10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66,030</w:t>
            </w:r>
          </w:p>
        </w:tc>
        <w:tc>
          <w:tcPr>
            <w:tcW w:w="0" w:type="dxa"/>
            <w:vAlign w:val="bottom"/>
          </w:tcPr>
          <w:p>
            <w:pPr>
              <w:spacing w:after="0"/>
              <w:rPr>
                <w:sz w:val="1"/>
                <w:szCs w:val="1"/>
                <w:color w:val="auto"/>
              </w:rPr>
            </w:pPr>
          </w:p>
        </w:tc>
      </w:tr>
      <w:tr>
        <w:trPr>
          <w:trHeight w:val="163"/>
        </w:trPr>
        <w:tc>
          <w:tcPr>
            <w:tcW w:w="4420" w:type="dxa"/>
            <w:vAlign w:val="bottom"/>
            <w:gridSpan w:val="2"/>
          </w:tcPr>
          <w:p>
            <w:pPr>
              <w:ind w:left="100"/>
              <w:spacing w:after="0"/>
              <w:rPr>
                <w:sz w:val="20"/>
                <w:szCs w:val="20"/>
                <w:color w:val="auto"/>
              </w:rPr>
            </w:pPr>
            <w:r>
              <w:rPr>
                <w:rFonts w:ascii="Arial" w:cs="Arial" w:eastAsia="Arial" w:hAnsi="Arial"/>
                <w:sz w:val="13"/>
                <w:szCs w:val="13"/>
                <w:color w:val="auto"/>
              </w:rPr>
              <w:t>Exchange stock</w:t>
            </w: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2,286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300" w:type="dxa"/>
            <w:vAlign w:val="bottom"/>
            <w:gridSpan w:val="2"/>
          </w:tcPr>
          <w:p>
            <w:pPr>
              <w:ind w:left="10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2,286</w:t>
            </w:r>
          </w:p>
        </w:tc>
        <w:tc>
          <w:tcPr>
            <w:tcW w:w="0" w:type="dxa"/>
            <w:vAlign w:val="bottom"/>
          </w:tcPr>
          <w:p>
            <w:pPr>
              <w:spacing w:after="0"/>
              <w:rPr>
                <w:sz w:val="1"/>
                <w:szCs w:val="1"/>
                <w:color w:val="auto"/>
              </w:rPr>
            </w:pPr>
          </w:p>
        </w:tc>
      </w:tr>
      <w:tr>
        <w:trPr>
          <w:trHeight w:val="183"/>
        </w:trPr>
        <w:tc>
          <w:tcPr>
            <w:tcW w:w="43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2,286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66,030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20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68,316</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4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44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Liabilities</w:t>
            </w: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420" w:type="dxa"/>
            <w:vAlign w:val="bottom"/>
            <w:gridSpan w:val="2"/>
          </w:tcPr>
          <w:p>
            <w:pPr>
              <w:spacing w:after="0"/>
              <w:rPr>
                <w:sz w:val="20"/>
                <w:szCs w:val="20"/>
                <w:color w:val="auto"/>
              </w:rPr>
            </w:pPr>
            <w:r>
              <w:rPr>
                <w:rFonts w:ascii="Arial" w:cs="Arial" w:eastAsia="Arial" w:hAnsi="Arial"/>
                <w:sz w:val="13"/>
                <w:szCs w:val="13"/>
                <w:color w:val="auto"/>
              </w:rPr>
              <w:t>Financial instruments sold, not yet purchased, at fair value:</w:t>
            </w: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4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Equity 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1,307,082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1,137,968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300" w:type="dxa"/>
            <w:vAlign w:val="bottom"/>
            <w:gridSpan w:val="2"/>
            <w:shd w:val="clear" w:color="auto" w:fill="CCEEFF"/>
          </w:tcPr>
          <w:p>
            <w:pPr>
              <w:ind w:left="10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2,445,050</w:t>
            </w:r>
          </w:p>
        </w:tc>
        <w:tc>
          <w:tcPr>
            <w:tcW w:w="0" w:type="dxa"/>
            <w:vAlign w:val="bottom"/>
          </w:tcPr>
          <w:p>
            <w:pPr>
              <w:spacing w:after="0"/>
              <w:rPr>
                <w:sz w:val="1"/>
                <w:szCs w:val="1"/>
                <w:color w:val="auto"/>
              </w:rPr>
            </w:pPr>
          </w:p>
        </w:tc>
      </w:tr>
      <w:tr>
        <w:trPr>
          <w:trHeight w:val="163"/>
        </w:trPr>
        <w:tc>
          <w:tcPr>
            <w:tcW w:w="4420" w:type="dxa"/>
            <w:vAlign w:val="bottom"/>
            <w:gridSpan w:val="2"/>
          </w:tcPr>
          <w:p>
            <w:pPr>
              <w:ind w:left="100"/>
              <w:spacing w:after="0"/>
              <w:rPr>
                <w:sz w:val="20"/>
                <w:szCs w:val="20"/>
                <w:color w:val="auto"/>
              </w:rPr>
            </w:pPr>
            <w:r>
              <w:rPr>
                <w:rFonts w:ascii="Arial" w:cs="Arial" w:eastAsia="Arial" w:hAnsi="Arial"/>
                <w:sz w:val="13"/>
                <w:szCs w:val="13"/>
                <w:color w:val="auto"/>
              </w:rPr>
              <w:t>U.S. and Non-U.S. government obligations</w:t>
            </w: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83,173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19,984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300" w:type="dxa"/>
            <w:vAlign w:val="bottom"/>
            <w:gridSpan w:val="2"/>
          </w:tcPr>
          <w:p>
            <w:pPr>
              <w:ind w:left="10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103,157</w:t>
            </w:r>
          </w:p>
        </w:tc>
        <w:tc>
          <w:tcPr>
            <w:tcW w:w="0" w:type="dxa"/>
            <w:vAlign w:val="bottom"/>
          </w:tcPr>
          <w:p>
            <w:pPr>
              <w:spacing w:after="0"/>
              <w:rPr>
                <w:sz w:val="1"/>
                <w:szCs w:val="1"/>
                <w:color w:val="auto"/>
              </w:rPr>
            </w:pPr>
          </w:p>
        </w:tc>
      </w:tr>
      <w:tr>
        <w:trPr>
          <w:trHeight w:val="168"/>
        </w:trPr>
        <w:tc>
          <w:tcPr>
            <w:tcW w:w="44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Corporate Bonds</w:t>
            </w:r>
          </w:p>
        </w:tc>
        <w:tc>
          <w:tcPr>
            <w:tcW w:w="12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358,734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ind w:left="10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358,734</w:t>
            </w:r>
          </w:p>
        </w:tc>
        <w:tc>
          <w:tcPr>
            <w:tcW w:w="0" w:type="dxa"/>
            <w:vAlign w:val="bottom"/>
          </w:tcPr>
          <w:p>
            <w:pPr>
              <w:spacing w:after="0"/>
              <w:rPr>
                <w:sz w:val="1"/>
                <w:szCs w:val="1"/>
                <w:color w:val="auto"/>
              </w:rPr>
            </w:pPr>
          </w:p>
        </w:tc>
      </w:tr>
      <w:tr>
        <w:trPr>
          <w:trHeight w:val="163"/>
        </w:trPr>
        <w:tc>
          <w:tcPr>
            <w:tcW w:w="4420" w:type="dxa"/>
            <w:vAlign w:val="bottom"/>
            <w:gridSpan w:val="2"/>
          </w:tcPr>
          <w:p>
            <w:pPr>
              <w:ind w:left="100"/>
              <w:spacing w:after="0"/>
              <w:rPr>
                <w:sz w:val="20"/>
                <w:szCs w:val="20"/>
                <w:color w:val="auto"/>
              </w:rPr>
            </w:pPr>
            <w:r>
              <w:rPr>
                <w:rFonts w:ascii="Arial" w:cs="Arial" w:eastAsia="Arial" w:hAnsi="Arial"/>
                <w:sz w:val="13"/>
                <w:szCs w:val="13"/>
                <w:color w:val="auto"/>
              </w:rPr>
              <w:t>Exchange traded notes</w:t>
            </w:r>
          </w:p>
        </w:tc>
        <w:tc>
          <w:tcPr>
            <w:tcW w:w="12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7,431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300" w:type="dxa"/>
            <w:vAlign w:val="bottom"/>
            <w:gridSpan w:val="2"/>
          </w:tcPr>
          <w:p>
            <w:pPr>
              <w:ind w:left="10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7,431</w:t>
            </w:r>
          </w:p>
        </w:tc>
        <w:tc>
          <w:tcPr>
            <w:tcW w:w="0" w:type="dxa"/>
            <w:vAlign w:val="bottom"/>
          </w:tcPr>
          <w:p>
            <w:pPr>
              <w:spacing w:after="0"/>
              <w:rPr>
                <w:sz w:val="1"/>
                <w:szCs w:val="1"/>
                <w:color w:val="auto"/>
              </w:rPr>
            </w:pPr>
          </w:p>
        </w:tc>
      </w:tr>
      <w:tr>
        <w:trPr>
          <w:trHeight w:val="168"/>
        </w:trPr>
        <w:tc>
          <w:tcPr>
            <w:tcW w:w="44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Currency forwards</w:t>
            </w:r>
          </w:p>
        </w:tc>
        <w:tc>
          <w:tcPr>
            <w:tcW w:w="12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292,965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ind w:left="680"/>
              <w:spacing w:after="0"/>
              <w:rPr>
                <w:sz w:val="20"/>
                <w:szCs w:val="20"/>
                <w:color w:val="auto"/>
              </w:rPr>
            </w:pPr>
            <w:r>
              <w:rPr>
                <w:rFonts w:ascii="Arial" w:cs="Arial" w:eastAsia="Arial" w:hAnsi="Arial"/>
                <w:sz w:val="13"/>
                <w:szCs w:val="13"/>
                <w:color w:val="auto"/>
                <w:w w:val="89"/>
              </w:rPr>
              <w:t>(292,870)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0" w:type="dxa"/>
            <w:vAlign w:val="bottom"/>
          </w:tcPr>
          <w:p>
            <w:pPr>
              <w:spacing w:after="0"/>
              <w:rPr>
                <w:sz w:val="1"/>
                <w:szCs w:val="1"/>
                <w:color w:val="auto"/>
              </w:rPr>
            </w:pPr>
          </w:p>
        </w:tc>
      </w:tr>
      <w:tr>
        <w:trPr>
          <w:trHeight w:val="163"/>
        </w:trPr>
        <w:tc>
          <w:tcPr>
            <w:tcW w:w="4420" w:type="dxa"/>
            <w:vAlign w:val="bottom"/>
            <w:gridSpan w:val="2"/>
          </w:tcPr>
          <w:p>
            <w:pPr>
              <w:ind w:left="100"/>
              <w:spacing w:after="0"/>
              <w:rPr>
                <w:sz w:val="20"/>
                <w:szCs w:val="20"/>
                <w:color w:val="auto"/>
              </w:rPr>
            </w:pPr>
            <w:r>
              <w:rPr>
                <w:rFonts w:ascii="Arial" w:cs="Arial" w:eastAsia="Arial" w:hAnsi="Arial"/>
                <w:sz w:val="13"/>
                <w:szCs w:val="13"/>
                <w:color w:val="auto"/>
              </w:rPr>
              <w:t>Options</w:t>
            </w: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9,241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300" w:type="dxa"/>
            <w:vAlign w:val="bottom"/>
            <w:gridSpan w:val="2"/>
          </w:tcPr>
          <w:p>
            <w:pPr>
              <w:ind w:left="10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9,241</w:t>
            </w:r>
          </w:p>
        </w:tc>
        <w:tc>
          <w:tcPr>
            <w:tcW w:w="0" w:type="dxa"/>
            <w:vAlign w:val="bottom"/>
          </w:tcPr>
          <w:p>
            <w:pPr>
              <w:spacing w:after="0"/>
              <w:rPr>
                <w:sz w:val="1"/>
                <w:szCs w:val="1"/>
                <w:color w:val="auto"/>
              </w:rPr>
            </w:pPr>
          </w:p>
        </w:tc>
      </w:tr>
      <w:tr>
        <w:trPr>
          <w:trHeight w:val="183"/>
        </w:trPr>
        <w:tc>
          <w:tcPr>
            <w:tcW w:w="43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1,399,496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1,817,082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200" w:type="dxa"/>
            <w:vAlign w:val="bottom"/>
            <w:tcBorders>
              <w:top w:val="single" w:sz="8" w:color="auto"/>
              <w:bottom w:val="single" w:sz="8" w:color="auto"/>
            </w:tcBorders>
            <w:shd w:val="clear" w:color="auto" w:fill="CCEEFF"/>
          </w:tcPr>
          <w:p>
            <w:pPr>
              <w:ind w:left="680"/>
              <w:spacing w:after="0"/>
              <w:rPr>
                <w:sz w:val="20"/>
                <w:szCs w:val="20"/>
                <w:color w:val="auto"/>
              </w:rPr>
            </w:pPr>
            <w:r>
              <w:rPr>
                <w:rFonts w:ascii="Arial" w:cs="Arial" w:eastAsia="Arial" w:hAnsi="Arial"/>
                <w:sz w:val="13"/>
                <w:szCs w:val="13"/>
                <w:color w:val="auto"/>
                <w:w w:val="89"/>
              </w:rPr>
              <w:t>(292,870)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2,923,708</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4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44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Payables to broker dealers and clearing organizations:</w:t>
            </w: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420" w:type="dxa"/>
            <w:vAlign w:val="bottom"/>
            <w:gridSpan w:val="2"/>
          </w:tcPr>
          <w:p>
            <w:pPr>
              <w:ind w:left="100"/>
              <w:spacing w:after="0"/>
              <w:rPr>
                <w:sz w:val="20"/>
                <w:szCs w:val="20"/>
                <w:color w:val="auto"/>
              </w:rPr>
            </w:pPr>
            <w:r>
              <w:rPr>
                <w:rFonts w:ascii="Arial" w:cs="Arial" w:eastAsia="Arial" w:hAnsi="Arial"/>
                <w:sz w:val="13"/>
                <w:szCs w:val="13"/>
                <w:color w:val="auto"/>
              </w:rPr>
              <w:t>Interest rate swap</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3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63,513</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1300" w:type="dxa"/>
            <w:vAlign w:val="bottom"/>
            <w:gridSpan w:val="2"/>
          </w:tcPr>
          <w:p>
            <w:pPr>
              <w:ind w:left="102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63,513</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JNX Investment</w:t>
      </w:r>
    </w:p>
    <w:p>
      <w:pPr>
        <w:spacing w:after="0" w:line="219" w:lineRule="exact"/>
        <w:rPr>
          <w:sz w:val="20"/>
          <w:szCs w:val="20"/>
          <w:color w:val="auto"/>
        </w:rPr>
      </w:pPr>
    </w:p>
    <w:p>
      <w:pPr>
        <w:ind w:right="60" w:firstLine="568"/>
        <w:spacing w:after="0" w:line="270" w:lineRule="auto"/>
        <w:rPr>
          <w:sz w:val="20"/>
          <w:szCs w:val="20"/>
          <w:color w:val="auto"/>
        </w:rPr>
      </w:pPr>
      <w:r>
        <w:rPr>
          <w:rFonts w:ascii="Arial" w:cs="Arial" w:eastAsia="Arial" w:hAnsi="Arial"/>
          <w:sz w:val="15"/>
          <w:szCs w:val="15"/>
          <w:color w:val="auto"/>
        </w:rPr>
        <w:t>The Company has a minority investment (the “JNX Investment”) in Japannext Co., Ltd. (“JNX”), formerly known as SBI Japannext Co., Ltd., a proprietary trading system based in Tokyo. In connection with the JNX Investment, the Company issued the SBI Bonds (as described in Note 10 "Borrowings") and used the proceeds to partially finance the transaction. The JNX Investment is included within Level 3 of the fair value hierarchy. As of December 31, 2020 and 2021, the fair value of the JNX Investment was determined using a weighted average of valuations using 1) the discounted cash flow method, an income approach; 2) a market approach based on average enterprise value/EBITDA ratios of comparable companies; and to a lesser extent 3) a transaction approach based on transaction values of comparable companies. The fair value measurement is highly sensitive to significant changes in the unobservable inputs, and significant increases (decreases) in discount rate or decreases (increases) in enterprise value/EBITDA multiples would result in a significantly lower (higher) fair value measurement.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06" w:name="page107"/>
    <w:bookmarkEnd w:id="10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table below presents information on the valuation techniques, significant unobservable inputs and their ranges for the JNX Investment:</w:t>
      </w:r>
    </w:p>
    <w:p>
      <w:pPr>
        <w:spacing w:after="0" w:line="247" w:lineRule="exact"/>
        <w:rPr>
          <w:sz w:val="20"/>
          <w:szCs w:val="20"/>
          <w:color w:val="auto"/>
        </w:rPr>
      </w:pPr>
    </w:p>
    <w:tbl>
      <w:tblPr>
        <w:tblLayout w:type="fixed"/>
        <w:tblInd w:w="660" w:type="dxa"/>
        <w:tblCellMar>
          <w:top w:w="0" w:type="dxa"/>
          <w:left w:w="0" w:type="dxa"/>
          <w:bottom w:w="0" w:type="dxa"/>
          <w:right w:w="0" w:type="dxa"/>
        </w:tblCellMar>
      </w:tblPr>
      <w:tr>
        <w:trPr>
          <w:trHeight w:val="169"/>
        </w:trPr>
        <w:tc>
          <w:tcPr>
            <w:tcW w:w="25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tcPr>
          <w:p>
            <w:pPr>
              <w:ind w:left="460"/>
              <w:spacing w:after="0"/>
              <w:rPr>
                <w:sz w:val="20"/>
                <w:szCs w:val="20"/>
                <w:color w:val="auto"/>
              </w:rPr>
            </w:pPr>
            <w:r>
              <w:rPr>
                <w:rFonts w:ascii="Arial" w:cs="Arial" w:eastAsia="Arial" w:hAnsi="Arial"/>
                <w:sz w:val="13"/>
                <w:szCs w:val="13"/>
                <w:b w:val="1"/>
                <w:bCs w:val="1"/>
                <w:color w:val="auto"/>
              </w:rPr>
              <w:t>December 31, 2021</w:t>
            </w:r>
          </w:p>
        </w:tc>
        <w:tc>
          <w:tcPr>
            <w:tcW w:w="13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5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thousands)</w:t>
            </w:r>
          </w:p>
        </w:tc>
        <w:tc>
          <w:tcPr>
            <w:tcW w:w="180" w:type="dxa"/>
            <w:vAlign w:val="bottom"/>
          </w:tcPr>
          <w:p>
            <w:pPr>
              <w:spacing w:after="0"/>
              <w:rPr>
                <w:sz w:val="9"/>
                <w:szCs w:val="9"/>
                <w:color w:val="auto"/>
              </w:rPr>
            </w:pPr>
          </w:p>
        </w:tc>
        <w:tc>
          <w:tcPr>
            <w:tcW w:w="940" w:type="dxa"/>
            <w:vAlign w:val="bottom"/>
            <w:vMerge w:val="restart"/>
          </w:tcPr>
          <w:p>
            <w:pPr>
              <w:jc w:val="right"/>
              <w:ind w:right="237"/>
              <w:spacing w:after="0"/>
              <w:rPr>
                <w:sz w:val="20"/>
                <w:szCs w:val="20"/>
                <w:color w:val="auto"/>
              </w:rPr>
            </w:pPr>
            <w:r>
              <w:rPr>
                <w:rFonts w:ascii="Arial" w:cs="Arial" w:eastAsia="Arial" w:hAnsi="Arial"/>
                <w:sz w:val="13"/>
                <w:szCs w:val="13"/>
                <w:b w:val="1"/>
                <w:bCs w:val="1"/>
                <w:color w:val="auto"/>
                <w:w w:val="99"/>
              </w:rPr>
              <w:t>Fair Value</w:t>
            </w:r>
          </w:p>
        </w:tc>
        <w:tc>
          <w:tcPr>
            <w:tcW w:w="1620" w:type="dxa"/>
            <w:vAlign w:val="bottom"/>
            <w:vMerge w:val="restart"/>
          </w:tcPr>
          <w:p>
            <w:pPr>
              <w:ind w:left="320"/>
              <w:spacing w:after="0"/>
              <w:rPr>
                <w:sz w:val="20"/>
                <w:szCs w:val="20"/>
                <w:color w:val="auto"/>
              </w:rPr>
            </w:pPr>
            <w:r>
              <w:rPr>
                <w:rFonts w:ascii="Arial" w:cs="Arial" w:eastAsia="Arial" w:hAnsi="Arial"/>
                <w:sz w:val="13"/>
                <w:szCs w:val="13"/>
                <w:b w:val="1"/>
                <w:bCs w:val="1"/>
                <w:color w:val="auto"/>
              </w:rPr>
              <w:t>Valuation Technique</w:t>
            </w:r>
          </w:p>
        </w:tc>
        <w:tc>
          <w:tcPr>
            <w:tcW w:w="1980" w:type="dxa"/>
            <w:vAlign w:val="bottom"/>
          </w:tcPr>
          <w:p>
            <w:pPr>
              <w:ind w:left="320"/>
              <w:spacing w:after="0" w:line="115" w:lineRule="exact"/>
              <w:rPr>
                <w:sz w:val="20"/>
                <w:szCs w:val="20"/>
                <w:color w:val="auto"/>
              </w:rPr>
            </w:pPr>
            <w:r>
              <w:rPr>
                <w:rFonts w:ascii="Arial" w:cs="Arial" w:eastAsia="Arial" w:hAnsi="Arial"/>
                <w:sz w:val="13"/>
                <w:szCs w:val="13"/>
                <w:b w:val="1"/>
                <w:bCs w:val="1"/>
                <w:color w:val="auto"/>
              </w:rPr>
              <w:t>Significant Unobservable</w:t>
            </w:r>
          </w:p>
        </w:tc>
        <w:tc>
          <w:tcPr>
            <w:tcW w:w="1340" w:type="dxa"/>
            <w:vAlign w:val="bottom"/>
            <w:vMerge w:val="restart"/>
          </w:tcPr>
          <w:p>
            <w:pPr>
              <w:ind w:left="500"/>
              <w:spacing w:after="0"/>
              <w:rPr>
                <w:sz w:val="20"/>
                <w:szCs w:val="20"/>
                <w:color w:val="auto"/>
              </w:rPr>
            </w:pPr>
            <w:r>
              <w:rPr>
                <w:rFonts w:ascii="Arial" w:cs="Arial" w:eastAsia="Arial" w:hAnsi="Arial"/>
                <w:sz w:val="13"/>
                <w:szCs w:val="13"/>
                <w:b w:val="1"/>
                <w:bCs w:val="1"/>
                <w:color w:val="auto"/>
              </w:rPr>
              <w:t>Range</w:t>
            </w:r>
          </w:p>
        </w:tc>
        <w:tc>
          <w:tcPr>
            <w:tcW w:w="138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rPr>
              <w:t>Weighted Average</w:t>
            </w:r>
          </w:p>
        </w:tc>
        <w:tc>
          <w:tcPr>
            <w:tcW w:w="0" w:type="dxa"/>
            <w:vAlign w:val="bottom"/>
          </w:tcPr>
          <w:p>
            <w:pPr>
              <w:spacing w:after="0"/>
              <w:rPr>
                <w:sz w:val="1"/>
                <w:szCs w:val="1"/>
                <w:color w:val="auto"/>
              </w:rPr>
            </w:pPr>
          </w:p>
        </w:tc>
      </w:tr>
      <w:tr>
        <w:trPr>
          <w:trHeight w:val="165"/>
        </w:trPr>
        <w:tc>
          <w:tcPr>
            <w:tcW w:w="250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620" w:type="dxa"/>
            <w:vAlign w:val="bottom"/>
            <w:tcBorders>
              <w:bottom w:val="single" w:sz="8" w:color="auto"/>
            </w:tcBorders>
            <w:vMerge w:val="continue"/>
          </w:tcPr>
          <w:p>
            <w:pPr>
              <w:spacing w:after="0"/>
              <w:rPr>
                <w:sz w:val="14"/>
                <w:szCs w:val="14"/>
                <w:color w:val="auto"/>
              </w:rPr>
            </w:pPr>
          </w:p>
        </w:tc>
        <w:tc>
          <w:tcPr>
            <w:tcW w:w="1980" w:type="dxa"/>
            <w:vAlign w:val="bottom"/>
            <w:tcBorders>
              <w:bottom w:val="single" w:sz="8" w:color="auto"/>
            </w:tcBorders>
          </w:tcPr>
          <w:p>
            <w:pPr>
              <w:ind w:left="840"/>
              <w:spacing w:after="0"/>
              <w:rPr>
                <w:sz w:val="20"/>
                <w:szCs w:val="20"/>
                <w:color w:val="auto"/>
              </w:rPr>
            </w:pPr>
            <w:r>
              <w:rPr>
                <w:rFonts w:ascii="Arial" w:cs="Arial" w:eastAsia="Arial" w:hAnsi="Arial"/>
                <w:sz w:val="13"/>
                <w:szCs w:val="13"/>
                <w:b w:val="1"/>
                <w:bCs w:val="1"/>
                <w:color w:val="auto"/>
              </w:rPr>
              <w:t>Input</w:t>
            </w:r>
          </w:p>
        </w:tc>
        <w:tc>
          <w:tcPr>
            <w:tcW w:w="1340" w:type="dxa"/>
            <w:vAlign w:val="bottom"/>
            <w:tcBorders>
              <w:bottom w:val="single" w:sz="8" w:color="auto"/>
            </w:tcBorders>
            <w:vMerge w:val="continue"/>
          </w:tcPr>
          <w:p>
            <w:pPr>
              <w:spacing w:after="0"/>
              <w:rPr>
                <w:sz w:val="14"/>
                <w:szCs w:val="14"/>
                <w:color w:val="auto"/>
              </w:rPr>
            </w:pPr>
          </w:p>
        </w:tc>
        <w:tc>
          <w:tcPr>
            <w:tcW w:w="13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Equity investment</w:t>
            </w: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81,358</w:t>
            </w:r>
          </w:p>
        </w:tc>
        <w:tc>
          <w:tcPr>
            <w:tcW w:w="1620" w:type="dxa"/>
            <w:vAlign w:val="bottom"/>
            <w:shd w:val="clear" w:color="auto" w:fill="CCEEFF"/>
          </w:tcPr>
          <w:p>
            <w:pPr>
              <w:ind w:left="80"/>
              <w:spacing w:after="0"/>
              <w:rPr>
                <w:sz w:val="20"/>
                <w:szCs w:val="20"/>
                <w:color w:val="auto"/>
              </w:rPr>
            </w:pPr>
            <w:r>
              <w:rPr>
                <w:rFonts w:ascii="Arial" w:cs="Arial" w:eastAsia="Arial" w:hAnsi="Arial"/>
                <w:sz w:val="13"/>
                <w:szCs w:val="13"/>
                <w:color w:val="auto"/>
              </w:rPr>
              <w:t>Discounted cash flow</w:t>
            </w:r>
          </w:p>
        </w:tc>
        <w:tc>
          <w:tcPr>
            <w:tcW w:w="19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Estimated revenue growth</w:t>
            </w: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2.5% - 32.6%</w:t>
            </w: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10.6 %</w:t>
            </w:r>
          </w:p>
        </w:tc>
        <w:tc>
          <w:tcPr>
            <w:tcW w:w="0" w:type="dxa"/>
            <w:vAlign w:val="bottom"/>
          </w:tcPr>
          <w:p>
            <w:pPr>
              <w:spacing w:after="0"/>
              <w:rPr>
                <w:sz w:val="1"/>
                <w:szCs w:val="1"/>
                <w:color w:val="auto"/>
              </w:rPr>
            </w:pPr>
          </w:p>
        </w:tc>
      </w:tr>
      <w:tr>
        <w:trPr>
          <w:trHeight w:val="163"/>
        </w:trPr>
        <w:tc>
          <w:tcPr>
            <w:tcW w:w="2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980" w:type="dxa"/>
            <w:vAlign w:val="bottom"/>
          </w:tcPr>
          <w:p>
            <w:pPr>
              <w:ind w:left="200"/>
              <w:spacing w:after="0"/>
              <w:rPr>
                <w:sz w:val="20"/>
                <w:szCs w:val="20"/>
                <w:color w:val="auto"/>
              </w:rPr>
            </w:pPr>
            <w:r>
              <w:rPr>
                <w:rFonts w:ascii="Arial" w:cs="Arial" w:eastAsia="Arial" w:hAnsi="Arial"/>
                <w:sz w:val="13"/>
                <w:szCs w:val="13"/>
                <w:color w:val="auto"/>
              </w:rPr>
              <w:t>Discount rate</w:t>
            </w:r>
          </w:p>
        </w:tc>
        <w:tc>
          <w:tcPr>
            <w:tcW w:w="1340" w:type="dxa"/>
            <w:vAlign w:val="bottom"/>
          </w:tcPr>
          <w:p>
            <w:pPr>
              <w:jc w:val="center"/>
              <w:spacing w:after="0"/>
              <w:rPr>
                <w:sz w:val="20"/>
                <w:szCs w:val="20"/>
                <w:color w:val="auto"/>
              </w:rPr>
            </w:pPr>
            <w:r>
              <w:rPr>
                <w:rFonts w:ascii="Arial" w:cs="Arial" w:eastAsia="Arial" w:hAnsi="Arial"/>
                <w:sz w:val="13"/>
                <w:szCs w:val="13"/>
                <w:color w:val="auto"/>
                <w:w w:val="89"/>
              </w:rPr>
              <w:t>14.4% - 14.4%</w:t>
            </w:r>
          </w:p>
        </w:tc>
        <w:tc>
          <w:tcPr>
            <w:tcW w:w="1380" w:type="dxa"/>
            <w:vAlign w:val="bottom"/>
          </w:tcPr>
          <w:p>
            <w:pPr>
              <w:jc w:val="right"/>
              <w:spacing w:after="0"/>
              <w:rPr>
                <w:sz w:val="20"/>
                <w:szCs w:val="20"/>
                <w:color w:val="auto"/>
              </w:rPr>
            </w:pPr>
            <w:r>
              <w:rPr>
                <w:rFonts w:ascii="Arial" w:cs="Arial" w:eastAsia="Arial" w:hAnsi="Arial"/>
                <w:sz w:val="13"/>
                <w:szCs w:val="13"/>
                <w:color w:val="auto"/>
              </w:rPr>
              <w:t>14.4 %</w:t>
            </w:r>
          </w:p>
        </w:tc>
        <w:tc>
          <w:tcPr>
            <w:tcW w:w="0" w:type="dxa"/>
            <w:vAlign w:val="bottom"/>
          </w:tcPr>
          <w:p>
            <w:pPr>
              <w:spacing w:after="0"/>
              <w:rPr>
                <w:sz w:val="1"/>
                <w:szCs w:val="1"/>
                <w:color w:val="auto"/>
              </w:rPr>
            </w:pPr>
          </w:p>
        </w:tc>
      </w:tr>
      <w:tr>
        <w:trPr>
          <w:trHeight w:val="121"/>
        </w:trPr>
        <w:tc>
          <w:tcPr>
            <w:tcW w:w="2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620" w:type="dxa"/>
            <w:vAlign w:val="bottom"/>
            <w:vMerge w:val="restart"/>
            <w:shd w:val="clear" w:color="auto" w:fill="CCEEFF"/>
          </w:tcPr>
          <w:p>
            <w:pPr>
              <w:ind w:left="80"/>
              <w:spacing w:after="0"/>
              <w:rPr>
                <w:sz w:val="20"/>
                <w:szCs w:val="20"/>
                <w:color w:val="auto"/>
              </w:rPr>
            </w:pPr>
            <w:r>
              <w:rPr>
                <w:rFonts w:ascii="Arial" w:cs="Arial" w:eastAsia="Arial" w:hAnsi="Arial"/>
                <w:sz w:val="13"/>
                <w:szCs w:val="13"/>
                <w:color w:val="auto"/>
              </w:rPr>
              <w:t>Market</w:t>
            </w:r>
          </w:p>
        </w:tc>
        <w:tc>
          <w:tcPr>
            <w:tcW w:w="1980" w:type="dxa"/>
            <w:vAlign w:val="bottom"/>
            <w:shd w:val="clear" w:color="auto" w:fill="CCEEFF"/>
          </w:tcPr>
          <w:p>
            <w:pPr>
              <w:ind w:left="200"/>
              <w:spacing w:after="0" w:line="121" w:lineRule="exact"/>
              <w:rPr>
                <w:sz w:val="20"/>
                <w:szCs w:val="20"/>
                <w:color w:val="auto"/>
              </w:rPr>
            </w:pPr>
            <w:r>
              <w:rPr>
                <w:rFonts w:ascii="Arial" w:cs="Arial" w:eastAsia="Arial" w:hAnsi="Arial"/>
                <w:sz w:val="13"/>
                <w:szCs w:val="13"/>
                <w:color w:val="auto"/>
              </w:rPr>
              <w:t>Future enterprise value/</w:t>
            </w:r>
          </w:p>
        </w:tc>
        <w:tc>
          <w:tcPr>
            <w:tcW w:w="134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1"/>
              </w:rPr>
              <w:t>8.7x - 21.1x</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14.0x</w:t>
            </w:r>
          </w:p>
        </w:tc>
        <w:tc>
          <w:tcPr>
            <w:tcW w:w="0" w:type="dxa"/>
            <w:vAlign w:val="bottom"/>
          </w:tcPr>
          <w:p>
            <w:pPr>
              <w:spacing w:after="0"/>
              <w:rPr>
                <w:sz w:val="1"/>
                <w:szCs w:val="1"/>
                <w:color w:val="auto"/>
              </w:rPr>
            </w:pPr>
          </w:p>
        </w:tc>
      </w:tr>
      <w:tr>
        <w:trPr>
          <w:trHeight w:val="166"/>
        </w:trPr>
        <w:tc>
          <w:tcPr>
            <w:tcW w:w="2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620" w:type="dxa"/>
            <w:vAlign w:val="bottom"/>
            <w:vMerge w:val="continue"/>
            <w:shd w:val="clear" w:color="auto" w:fill="CCEEFF"/>
          </w:tcPr>
          <w:p>
            <w:pPr>
              <w:spacing w:after="0"/>
              <w:rPr>
                <w:sz w:val="14"/>
                <w:szCs w:val="14"/>
                <w:color w:val="auto"/>
              </w:rPr>
            </w:pPr>
          </w:p>
        </w:tc>
        <w:tc>
          <w:tcPr>
            <w:tcW w:w="19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EBIDTA ratio</w:t>
            </w:r>
          </w:p>
        </w:tc>
        <w:tc>
          <w:tcPr>
            <w:tcW w:w="1340" w:type="dxa"/>
            <w:vAlign w:val="bottom"/>
            <w:vMerge w:val="continue"/>
            <w:shd w:val="clear" w:color="auto" w:fill="CCEEFF"/>
          </w:tcPr>
          <w:p>
            <w:pPr>
              <w:spacing w:after="0"/>
              <w:rPr>
                <w:sz w:val="14"/>
                <w:szCs w:val="14"/>
                <w:color w:val="auto"/>
              </w:rPr>
            </w:pPr>
          </w:p>
        </w:tc>
        <w:tc>
          <w:tcPr>
            <w:tcW w:w="13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312" w:lineRule="exact"/>
        <w:rPr>
          <w:sz w:val="20"/>
          <w:szCs w:val="20"/>
          <w:color w:val="auto"/>
        </w:rPr>
      </w:pPr>
    </w:p>
    <w:tbl>
      <w:tblPr>
        <w:tblLayout w:type="fixed"/>
        <w:tblInd w:w="700" w:type="dxa"/>
        <w:tblCellMar>
          <w:top w:w="0" w:type="dxa"/>
          <w:left w:w="0" w:type="dxa"/>
          <w:bottom w:w="0" w:type="dxa"/>
          <w:right w:w="0" w:type="dxa"/>
        </w:tblCellMar>
      </w:tblPr>
      <w:tr>
        <w:trPr>
          <w:trHeight w:val="169"/>
        </w:trPr>
        <w:tc>
          <w:tcPr>
            <w:tcW w:w="25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ind w:left="460"/>
              <w:spacing w:after="0"/>
              <w:rPr>
                <w:sz w:val="20"/>
                <w:szCs w:val="20"/>
                <w:color w:val="auto"/>
              </w:rPr>
            </w:pPr>
            <w:r>
              <w:rPr>
                <w:rFonts w:ascii="Arial" w:cs="Arial" w:eastAsia="Arial" w:hAnsi="Arial"/>
                <w:sz w:val="13"/>
                <w:szCs w:val="13"/>
                <w:b w:val="1"/>
                <w:bCs w:val="1"/>
                <w:color w:val="auto"/>
              </w:rPr>
              <w:t>December 31, 2020</w:t>
            </w:r>
          </w:p>
        </w:tc>
        <w:tc>
          <w:tcPr>
            <w:tcW w:w="6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5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thousands)</w:t>
            </w:r>
          </w:p>
        </w:tc>
        <w:tc>
          <w:tcPr>
            <w:tcW w:w="160" w:type="dxa"/>
            <w:vAlign w:val="bottom"/>
          </w:tcPr>
          <w:p>
            <w:pPr>
              <w:spacing w:after="0"/>
              <w:rPr>
                <w:sz w:val="9"/>
                <w:szCs w:val="9"/>
                <w:color w:val="auto"/>
              </w:rPr>
            </w:pPr>
          </w:p>
        </w:tc>
        <w:tc>
          <w:tcPr>
            <w:tcW w:w="940" w:type="dxa"/>
            <w:vAlign w:val="bottom"/>
            <w:vMerge w:val="restart"/>
          </w:tcPr>
          <w:p>
            <w:pPr>
              <w:jc w:val="right"/>
              <w:ind w:right="217"/>
              <w:spacing w:after="0"/>
              <w:rPr>
                <w:sz w:val="20"/>
                <w:szCs w:val="20"/>
                <w:color w:val="auto"/>
              </w:rPr>
            </w:pPr>
            <w:r>
              <w:rPr>
                <w:rFonts w:ascii="Arial" w:cs="Arial" w:eastAsia="Arial" w:hAnsi="Arial"/>
                <w:sz w:val="13"/>
                <w:szCs w:val="13"/>
                <w:b w:val="1"/>
                <w:bCs w:val="1"/>
                <w:color w:val="auto"/>
              </w:rPr>
              <w:t>Fair Value</w:t>
            </w:r>
          </w:p>
        </w:tc>
        <w:tc>
          <w:tcPr>
            <w:tcW w:w="1600" w:type="dxa"/>
            <w:vAlign w:val="bottom"/>
            <w:vMerge w:val="restart"/>
          </w:tcPr>
          <w:p>
            <w:pPr>
              <w:ind w:left="320"/>
              <w:spacing w:after="0"/>
              <w:rPr>
                <w:sz w:val="20"/>
                <w:szCs w:val="20"/>
                <w:color w:val="auto"/>
              </w:rPr>
            </w:pPr>
            <w:r>
              <w:rPr>
                <w:rFonts w:ascii="Arial" w:cs="Arial" w:eastAsia="Arial" w:hAnsi="Arial"/>
                <w:sz w:val="13"/>
                <w:szCs w:val="13"/>
                <w:b w:val="1"/>
                <w:bCs w:val="1"/>
                <w:color w:val="auto"/>
                <w:w w:val="99"/>
              </w:rPr>
              <w:t>Valuation Technique</w:t>
            </w:r>
          </w:p>
        </w:tc>
        <w:tc>
          <w:tcPr>
            <w:tcW w:w="1960" w:type="dxa"/>
            <w:vAlign w:val="bottom"/>
          </w:tcPr>
          <w:p>
            <w:pPr>
              <w:ind w:left="320"/>
              <w:spacing w:after="0" w:line="115" w:lineRule="exact"/>
              <w:rPr>
                <w:sz w:val="20"/>
                <w:szCs w:val="20"/>
                <w:color w:val="auto"/>
              </w:rPr>
            </w:pPr>
            <w:r>
              <w:rPr>
                <w:rFonts w:ascii="Arial" w:cs="Arial" w:eastAsia="Arial" w:hAnsi="Arial"/>
                <w:sz w:val="13"/>
                <w:szCs w:val="13"/>
                <w:b w:val="1"/>
                <w:bCs w:val="1"/>
                <w:color w:val="auto"/>
              </w:rPr>
              <w:t>Significant Unobservable</w:t>
            </w:r>
          </w:p>
        </w:tc>
        <w:tc>
          <w:tcPr>
            <w:tcW w:w="134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85"/>
              </w:rPr>
              <w:t>Range</w:t>
            </w:r>
          </w:p>
        </w:tc>
        <w:tc>
          <w:tcPr>
            <w:tcW w:w="136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rPr>
              <w:t>Weighted Average</w:t>
            </w:r>
          </w:p>
        </w:tc>
        <w:tc>
          <w:tcPr>
            <w:tcW w:w="0" w:type="dxa"/>
            <w:vAlign w:val="bottom"/>
          </w:tcPr>
          <w:p>
            <w:pPr>
              <w:spacing w:after="0"/>
              <w:rPr>
                <w:sz w:val="1"/>
                <w:szCs w:val="1"/>
                <w:color w:val="auto"/>
              </w:rPr>
            </w:pPr>
          </w:p>
        </w:tc>
      </w:tr>
      <w:tr>
        <w:trPr>
          <w:trHeight w:val="165"/>
        </w:trPr>
        <w:tc>
          <w:tcPr>
            <w:tcW w:w="250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600" w:type="dxa"/>
            <w:vAlign w:val="bottom"/>
            <w:tcBorders>
              <w:bottom w:val="single" w:sz="8" w:color="auto"/>
            </w:tcBorders>
            <w:vMerge w:val="continue"/>
          </w:tcPr>
          <w:p>
            <w:pPr>
              <w:spacing w:after="0"/>
              <w:rPr>
                <w:sz w:val="14"/>
                <w:szCs w:val="14"/>
                <w:color w:val="auto"/>
              </w:rPr>
            </w:pPr>
          </w:p>
        </w:tc>
        <w:tc>
          <w:tcPr>
            <w:tcW w:w="1960" w:type="dxa"/>
            <w:vAlign w:val="bottom"/>
            <w:tcBorders>
              <w:bottom w:val="single" w:sz="8" w:color="auto"/>
            </w:tcBorders>
          </w:tcPr>
          <w:p>
            <w:pPr>
              <w:ind w:left="840"/>
              <w:spacing w:after="0"/>
              <w:rPr>
                <w:sz w:val="20"/>
                <w:szCs w:val="20"/>
                <w:color w:val="auto"/>
              </w:rPr>
            </w:pPr>
            <w:r>
              <w:rPr>
                <w:rFonts w:ascii="Arial" w:cs="Arial" w:eastAsia="Arial" w:hAnsi="Arial"/>
                <w:sz w:val="13"/>
                <w:szCs w:val="13"/>
                <w:b w:val="1"/>
                <w:bCs w:val="1"/>
                <w:color w:val="auto"/>
              </w:rPr>
              <w:t>Input</w:t>
            </w:r>
          </w:p>
        </w:tc>
        <w:tc>
          <w:tcPr>
            <w:tcW w:w="1340" w:type="dxa"/>
            <w:vAlign w:val="bottom"/>
            <w:tcBorders>
              <w:bottom w:val="single" w:sz="8" w:color="auto"/>
            </w:tcBorders>
            <w:gridSpan w:val="2"/>
            <w:vMerge w:val="continue"/>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Equity investment</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66,030</w:t>
            </w:r>
          </w:p>
        </w:tc>
        <w:tc>
          <w:tcPr>
            <w:tcW w:w="1600" w:type="dxa"/>
            <w:vAlign w:val="bottom"/>
            <w:shd w:val="clear" w:color="auto" w:fill="CCEEFF"/>
          </w:tcPr>
          <w:p>
            <w:pPr>
              <w:ind w:left="80"/>
              <w:spacing w:after="0"/>
              <w:rPr>
                <w:sz w:val="20"/>
                <w:szCs w:val="20"/>
                <w:color w:val="auto"/>
              </w:rPr>
            </w:pPr>
            <w:r>
              <w:rPr>
                <w:rFonts w:ascii="Arial" w:cs="Arial" w:eastAsia="Arial" w:hAnsi="Arial"/>
                <w:sz w:val="13"/>
                <w:szCs w:val="13"/>
                <w:color w:val="auto"/>
              </w:rPr>
              <w:t>Discounted cash flow</w:t>
            </w:r>
          </w:p>
        </w:tc>
        <w:tc>
          <w:tcPr>
            <w:tcW w:w="19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Estimated revenue growth</w:t>
            </w:r>
          </w:p>
        </w:tc>
        <w:tc>
          <w:tcPr>
            <w:tcW w:w="1340" w:type="dxa"/>
            <w:vAlign w:val="bottom"/>
            <w:gridSpan w:val="2"/>
            <w:shd w:val="clear" w:color="auto" w:fill="CCEEFF"/>
          </w:tcPr>
          <w:p>
            <w:pPr>
              <w:jc w:val="right"/>
              <w:ind w:right="217"/>
              <w:spacing w:after="0"/>
              <w:rPr>
                <w:sz w:val="20"/>
                <w:szCs w:val="20"/>
                <w:color w:val="auto"/>
              </w:rPr>
            </w:pPr>
            <w:r>
              <w:rPr>
                <w:rFonts w:ascii="Arial" w:cs="Arial" w:eastAsia="Arial" w:hAnsi="Arial"/>
                <w:sz w:val="13"/>
                <w:szCs w:val="13"/>
                <w:color w:val="auto"/>
              </w:rPr>
              <w:t>(9.0)% - 39.0%</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9.6 %</w:t>
            </w:r>
          </w:p>
        </w:tc>
        <w:tc>
          <w:tcPr>
            <w:tcW w:w="0" w:type="dxa"/>
            <w:vAlign w:val="bottom"/>
          </w:tcPr>
          <w:p>
            <w:pPr>
              <w:spacing w:after="0"/>
              <w:rPr>
                <w:sz w:val="1"/>
                <w:szCs w:val="1"/>
                <w:color w:val="auto"/>
              </w:rPr>
            </w:pPr>
          </w:p>
        </w:tc>
      </w:tr>
      <w:tr>
        <w:trPr>
          <w:trHeight w:val="163"/>
        </w:trPr>
        <w:tc>
          <w:tcPr>
            <w:tcW w:w="2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960" w:type="dxa"/>
            <w:vAlign w:val="bottom"/>
          </w:tcPr>
          <w:p>
            <w:pPr>
              <w:ind w:left="180"/>
              <w:spacing w:after="0"/>
              <w:rPr>
                <w:sz w:val="20"/>
                <w:szCs w:val="20"/>
                <w:color w:val="auto"/>
              </w:rPr>
            </w:pPr>
            <w:r>
              <w:rPr>
                <w:rFonts w:ascii="Arial" w:cs="Arial" w:eastAsia="Arial" w:hAnsi="Arial"/>
                <w:sz w:val="13"/>
                <w:szCs w:val="13"/>
                <w:color w:val="auto"/>
              </w:rPr>
              <w:t>Discount rate</w:t>
            </w:r>
          </w:p>
        </w:tc>
        <w:tc>
          <w:tcPr>
            <w:tcW w:w="640" w:type="dxa"/>
            <w:vAlign w:val="bottom"/>
          </w:tcPr>
          <w:p>
            <w:pPr>
              <w:jc w:val="right"/>
              <w:spacing w:after="0"/>
              <w:rPr>
                <w:sz w:val="20"/>
                <w:szCs w:val="20"/>
                <w:color w:val="auto"/>
              </w:rPr>
            </w:pPr>
            <w:r>
              <w:rPr>
                <w:rFonts w:ascii="Arial" w:cs="Arial" w:eastAsia="Arial" w:hAnsi="Arial"/>
                <w:sz w:val="13"/>
                <w:szCs w:val="13"/>
                <w:color w:val="auto"/>
              </w:rPr>
              <w:t>14.4%</w:t>
            </w:r>
          </w:p>
        </w:tc>
        <w:tc>
          <w:tcPr>
            <w:tcW w:w="700" w:type="dxa"/>
            <w:vAlign w:val="bottom"/>
          </w:tcPr>
          <w:p>
            <w:pPr>
              <w:ind w:left="20"/>
              <w:spacing w:after="0"/>
              <w:rPr>
                <w:sz w:val="20"/>
                <w:szCs w:val="20"/>
                <w:color w:val="auto"/>
              </w:rPr>
            </w:pPr>
            <w:r>
              <w:rPr>
                <w:rFonts w:ascii="Arial" w:cs="Arial" w:eastAsia="Arial" w:hAnsi="Arial"/>
                <w:sz w:val="13"/>
                <w:szCs w:val="13"/>
                <w:color w:val="auto"/>
              </w:rPr>
              <w:t>- 14.4%</w:t>
            </w:r>
          </w:p>
        </w:tc>
        <w:tc>
          <w:tcPr>
            <w:tcW w:w="1360" w:type="dxa"/>
            <w:vAlign w:val="bottom"/>
          </w:tcPr>
          <w:p>
            <w:pPr>
              <w:jc w:val="right"/>
              <w:spacing w:after="0"/>
              <w:rPr>
                <w:sz w:val="20"/>
                <w:szCs w:val="20"/>
                <w:color w:val="auto"/>
              </w:rPr>
            </w:pPr>
            <w:r>
              <w:rPr>
                <w:rFonts w:ascii="Arial" w:cs="Arial" w:eastAsia="Arial" w:hAnsi="Arial"/>
                <w:sz w:val="13"/>
                <w:szCs w:val="13"/>
                <w:color w:val="auto"/>
              </w:rPr>
              <w:t>14.4 %</w:t>
            </w:r>
          </w:p>
        </w:tc>
        <w:tc>
          <w:tcPr>
            <w:tcW w:w="0" w:type="dxa"/>
            <w:vAlign w:val="bottom"/>
          </w:tcPr>
          <w:p>
            <w:pPr>
              <w:spacing w:after="0"/>
              <w:rPr>
                <w:sz w:val="1"/>
                <w:szCs w:val="1"/>
                <w:color w:val="auto"/>
              </w:rPr>
            </w:pPr>
          </w:p>
        </w:tc>
      </w:tr>
      <w:tr>
        <w:trPr>
          <w:trHeight w:val="121"/>
        </w:trPr>
        <w:tc>
          <w:tcPr>
            <w:tcW w:w="2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600" w:type="dxa"/>
            <w:vAlign w:val="bottom"/>
            <w:vMerge w:val="restart"/>
            <w:shd w:val="clear" w:color="auto" w:fill="CCEEFF"/>
          </w:tcPr>
          <w:p>
            <w:pPr>
              <w:ind w:left="80"/>
              <w:spacing w:after="0"/>
              <w:rPr>
                <w:sz w:val="20"/>
                <w:szCs w:val="20"/>
                <w:color w:val="auto"/>
              </w:rPr>
            </w:pPr>
            <w:r>
              <w:rPr>
                <w:rFonts w:ascii="Arial" w:cs="Arial" w:eastAsia="Arial" w:hAnsi="Arial"/>
                <w:sz w:val="13"/>
                <w:szCs w:val="13"/>
                <w:color w:val="auto"/>
              </w:rPr>
              <w:t>Market</w:t>
            </w:r>
          </w:p>
        </w:tc>
        <w:tc>
          <w:tcPr>
            <w:tcW w:w="1960" w:type="dxa"/>
            <w:vAlign w:val="bottom"/>
            <w:shd w:val="clear" w:color="auto" w:fill="CCEEFF"/>
          </w:tcPr>
          <w:p>
            <w:pPr>
              <w:ind w:left="180"/>
              <w:spacing w:after="0" w:line="121" w:lineRule="exact"/>
              <w:rPr>
                <w:sz w:val="20"/>
                <w:szCs w:val="20"/>
                <w:color w:val="auto"/>
              </w:rPr>
            </w:pPr>
            <w:r>
              <w:rPr>
                <w:rFonts w:ascii="Arial" w:cs="Arial" w:eastAsia="Arial" w:hAnsi="Arial"/>
                <w:sz w:val="13"/>
                <w:szCs w:val="13"/>
                <w:color w:val="auto"/>
              </w:rPr>
              <w:t>Future enterprise value/</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12.2x</w:t>
            </w:r>
          </w:p>
        </w:tc>
        <w:tc>
          <w:tcPr>
            <w:tcW w:w="70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- 21.9x</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13.8x</w:t>
            </w:r>
          </w:p>
        </w:tc>
        <w:tc>
          <w:tcPr>
            <w:tcW w:w="0" w:type="dxa"/>
            <w:vAlign w:val="bottom"/>
          </w:tcPr>
          <w:p>
            <w:pPr>
              <w:spacing w:after="0"/>
              <w:rPr>
                <w:sz w:val="1"/>
                <w:szCs w:val="1"/>
                <w:color w:val="auto"/>
              </w:rPr>
            </w:pPr>
          </w:p>
        </w:tc>
      </w:tr>
      <w:tr>
        <w:trPr>
          <w:trHeight w:val="166"/>
        </w:trPr>
        <w:tc>
          <w:tcPr>
            <w:tcW w:w="2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600" w:type="dxa"/>
            <w:vAlign w:val="bottom"/>
            <w:vMerge w:val="continue"/>
            <w:shd w:val="clear" w:color="auto" w:fill="CCEEFF"/>
          </w:tcPr>
          <w:p>
            <w:pPr>
              <w:spacing w:after="0"/>
              <w:rPr>
                <w:sz w:val="14"/>
                <w:szCs w:val="14"/>
                <w:color w:val="auto"/>
              </w:rPr>
            </w:pPr>
          </w:p>
        </w:tc>
        <w:tc>
          <w:tcPr>
            <w:tcW w:w="19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EBIDTA ratio</w:t>
            </w:r>
          </w:p>
        </w:tc>
        <w:tc>
          <w:tcPr>
            <w:tcW w:w="640" w:type="dxa"/>
            <w:vAlign w:val="bottom"/>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3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7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Changes in the fair value of the JNX Investment are included within Other, net in the Consolidated Statements of Comprehensive Income.</w:t>
      </w:r>
    </w:p>
    <w:p>
      <w:pPr>
        <w:spacing w:after="0" w:line="21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presents the changes in the Company's Level 3 financial instruments measured at fair value on a recurring basis: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40" w:type="dxa"/>
            <w:vAlign w:val="bottom"/>
            <w:tcBorders>
              <w:bottom w:val="single" w:sz="8" w:color="auto"/>
            </w:tcBorders>
            <w:gridSpan w:val="6"/>
          </w:tcPr>
          <w:p>
            <w:pPr>
              <w:jc w:val="right"/>
              <w:ind w:right="717"/>
              <w:spacing w:after="0"/>
              <w:rPr>
                <w:sz w:val="20"/>
                <w:szCs w:val="20"/>
                <w:color w:val="auto"/>
              </w:rPr>
            </w:pPr>
            <w:r>
              <w:rPr>
                <w:rFonts w:ascii="Arial" w:cs="Arial" w:eastAsia="Arial" w:hAnsi="Arial"/>
                <w:sz w:val="13"/>
                <w:szCs w:val="13"/>
                <w:b w:val="1"/>
                <w:bCs w:val="1"/>
                <w:color w:val="auto"/>
              </w:rPr>
              <w:t>Year Ended December 31, 2021</w:t>
            </w: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jc w:val="center"/>
              <w:ind w:right="17"/>
              <w:spacing w:after="0" w:line="115" w:lineRule="exact"/>
              <w:rPr>
                <w:sz w:val="20"/>
                <w:szCs w:val="20"/>
                <w:color w:val="auto"/>
              </w:rPr>
            </w:pPr>
            <w:r>
              <w:rPr>
                <w:rFonts w:ascii="Arial" w:cs="Arial" w:eastAsia="Arial" w:hAnsi="Arial"/>
                <w:sz w:val="13"/>
                <w:szCs w:val="13"/>
                <w:b w:val="1"/>
                <w:bCs w:val="1"/>
                <w:color w:val="auto"/>
                <w:w w:val="86"/>
              </w:rPr>
              <w:t>Change in Net</w:t>
            </w:r>
          </w:p>
        </w:tc>
        <w:tc>
          <w:tcPr>
            <w:tcW w:w="0" w:type="dxa"/>
            <w:vAlign w:val="bottom"/>
          </w:tcPr>
          <w:p>
            <w:pPr>
              <w:spacing w:after="0"/>
              <w:rPr>
                <w:sz w:val="1"/>
                <w:szCs w:val="1"/>
                <w:color w:val="auto"/>
              </w:rPr>
            </w:pPr>
          </w:p>
        </w:tc>
      </w:tr>
      <w:tr>
        <w:trPr>
          <w:trHeight w:val="118"/>
        </w:trPr>
        <w:tc>
          <w:tcPr>
            <w:tcW w:w="2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7"/>
              </w:rPr>
              <w:t>Total Realized and</w:t>
            </w: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jc w:val="center"/>
              <w:ind w:right="17"/>
              <w:spacing w:after="0" w:line="119" w:lineRule="exact"/>
              <w:rPr>
                <w:sz w:val="20"/>
                <w:szCs w:val="20"/>
                <w:color w:val="auto"/>
              </w:rPr>
            </w:pPr>
            <w:r>
              <w:rPr>
                <w:rFonts w:ascii="Arial" w:cs="Arial" w:eastAsia="Arial" w:hAnsi="Arial"/>
                <w:sz w:val="13"/>
                <w:szCs w:val="13"/>
                <w:b w:val="1"/>
                <w:bCs w:val="1"/>
                <w:color w:val="auto"/>
                <w:w w:val="88"/>
              </w:rPr>
              <w:t>Unrealized Gains /</w:t>
            </w:r>
          </w:p>
        </w:tc>
        <w:tc>
          <w:tcPr>
            <w:tcW w:w="0" w:type="dxa"/>
            <w:vAlign w:val="bottom"/>
          </w:tcPr>
          <w:p>
            <w:pPr>
              <w:spacing w:after="0"/>
              <w:rPr>
                <w:sz w:val="1"/>
                <w:szCs w:val="1"/>
                <w:color w:val="auto"/>
              </w:rPr>
            </w:pPr>
          </w:p>
        </w:tc>
      </w:tr>
      <w:tr>
        <w:trPr>
          <w:trHeight w:val="118"/>
        </w:trPr>
        <w:tc>
          <w:tcPr>
            <w:tcW w:w="2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w w:val="94"/>
              </w:rPr>
              <w:t>Balance at December</w:t>
            </w: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8"/>
              </w:rPr>
              <w:t>Net Transfers into</w:t>
            </w: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w w:val="95"/>
              </w:rPr>
              <w:t>Balance at December</w:t>
            </w:r>
          </w:p>
        </w:tc>
        <w:tc>
          <w:tcPr>
            <w:tcW w:w="80" w:type="dxa"/>
            <w:vAlign w:val="bottom"/>
          </w:tcPr>
          <w:p>
            <w:pPr>
              <w:spacing w:after="0"/>
              <w:rPr>
                <w:sz w:val="10"/>
                <w:szCs w:val="10"/>
                <w:color w:val="auto"/>
              </w:rPr>
            </w:pPr>
          </w:p>
        </w:tc>
        <w:tc>
          <w:tcPr>
            <w:tcW w:w="1120" w:type="dxa"/>
            <w:vAlign w:val="bottom"/>
          </w:tcPr>
          <w:p>
            <w:pPr>
              <w:jc w:val="center"/>
              <w:ind w:right="17"/>
              <w:spacing w:after="0" w:line="119" w:lineRule="exact"/>
              <w:rPr>
                <w:sz w:val="20"/>
                <w:szCs w:val="20"/>
                <w:color w:val="auto"/>
              </w:rPr>
            </w:pPr>
            <w:r>
              <w:rPr>
                <w:rFonts w:ascii="Arial" w:cs="Arial" w:eastAsia="Arial" w:hAnsi="Arial"/>
                <w:sz w:val="13"/>
                <w:szCs w:val="13"/>
                <w:b w:val="1"/>
                <w:bCs w:val="1"/>
                <w:color w:val="auto"/>
                <w:w w:val="82"/>
              </w:rPr>
              <w:t>(Losses) on</w:t>
            </w:r>
          </w:p>
        </w:tc>
        <w:tc>
          <w:tcPr>
            <w:tcW w:w="0" w:type="dxa"/>
            <w:vAlign w:val="bottom"/>
          </w:tcPr>
          <w:p>
            <w:pPr>
              <w:spacing w:after="0"/>
              <w:rPr>
                <w:sz w:val="1"/>
                <w:szCs w:val="1"/>
                <w:color w:val="auto"/>
              </w:rPr>
            </w:pPr>
          </w:p>
        </w:tc>
      </w:tr>
      <w:tr>
        <w:trPr>
          <w:trHeight w:val="118"/>
        </w:trPr>
        <w:tc>
          <w:tcPr>
            <w:tcW w:w="23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(in thousands)</w:t>
            </w:r>
          </w:p>
        </w:tc>
        <w:tc>
          <w:tcPr>
            <w:tcW w:w="128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Purchases</w:t>
            </w:r>
          </w:p>
        </w:tc>
        <w:tc>
          <w:tcPr>
            <w:tcW w:w="80" w:type="dxa"/>
            <w:vAlign w:val="bottom"/>
          </w:tcPr>
          <w:p>
            <w:pPr>
              <w:spacing w:after="0"/>
              <w:rPr>
                <w:sz w:val="10"/>
                <w:szCs w:val="10"/>
                <w:color w:val="auto"/>
              </w:rPr>
            </w:pPr>
          </w:p>
        </w:tc>
        <w:tc>
          <w:tcPr>
            <w:tcW w:w="120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w w:val="88"/>
              </w:rPr>
              <w:t>Unrealized Gains /</w:t>
            </w:r>
          </w:p>
        </w:tc>
        <w:tc>
          <w:tcPr>
            <w:tcW w:w="1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Settlement</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12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86"/>
              </w:rPr>
              <w:t>Investments still held</w:t>
            </w:r>
          </w:p>
        </w:tc>
        <w:tc>
          <w:tcPr>
            <w:tcW w:w="0" w:type="dxa"/>
            <w:vAlign w:val="bottom"/>
          </w:tcPr>
          <w:p>
            <w:pPr>
              <w:spacing w:after="0"/>
              <w:rPr>
                <w:sz w:val="1"/>
                <w:szCs w:val="1"/>
                <w:color w:val="auto"/>
              </w:rPr>
            </w:pPr>
          </w:p>
        </w:tc>
      </w:tr>
      <w:tr>
        <w:trPr>
          <w:trHeight w:val="165"/>
        </w:trPr>
        <w:tc>
          <w:tcPr>
            <w:tcW w:w="23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317"/>
              <w:spacing w:after="0"/>
              <w:rPr>
                <w:sz w:val="20"/>
                <w:szCs w:val="20"/>
                <w:color w:val="auto"/>
              </w:rPr>
            </w:pPr>
            <w:r>
              <w:rPr>
                <w:rFonts w:ascii="Arial" w:cs="Arial" w:eastAsia="Arial" w:hAnsi="Arial"/>
                <w:sz w:val="13"/>
                <w:szCs w:val="13"/>
                <w:b w:val="1"/>
                <w:bCs w:val="1"/>
                <w:color w:val="auto"/>
              </w:rPr>
              <w:t>31, 2020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4"/>
              </w:rPr>
              <w:t>(Losses) (1)</w:t>
            </w:r>
          </w:p>
        </w:tc>
        <w:tc>
          <w:tcPr>
            <w:tcW w:w="100" w:type="dxa"/>
            <w:vAlign w:val="bottom"/>
          </w:tcPr>
          <w:p>
            <w:pPr>
              <w:spacing w:after="0"/>
              <w:rPr>
                <w:sz w:val="14"/>
                <w:szCs w:val="14"/>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(out of) Level 3</w:t>
            </w:r>
          </w:p>
        </w:tc>
        <w:tc>
          <w:tcPr>
            <w:tcW w:w="9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ind w:right="317"/>
              <w:spacing w:after="0"/>
              <w:rPr>
                <w:sz w:val="20"/>
                <w:szCs w:val="20"/>
                <w:color w:val="auto"/>
              </w:rPr>
            </w:pPr>
            <w:r>
              <w:rPr>
                <w:rFonts w:ascii="Arial" w:cs="Arial" w:eastAsia="Arial" w:hAnsi="Arial"/>
                <w:sz w:val="13"/>
                <w:szCs w:val="13"/>
                <w:b w:val="1"/>
                <w:bCs w:val="1"/>
                <w:color w:val="auto"/>
              </w:rPr>
              <w:t>31, 2021</w:t>
            </w:r>
          </w:p>
        </w:tc>
        <w:tc>
          <w:tcPr>
            <w:tcW w:w="100" w:type="dxa"/>
            <w:vAlign w:val="bottom"/>
          </w:tcPr>
          <w:p>
            <w:pPr>
              <w:spacing w:after="0"/>
              <w:rPr>
                <w:sz w:val="14"/>
                <w:szCs w:val="14"/>
                <w:color w:val="auto"/>
              </w:rPr>
            </w:pPr>
          </w:p>
        </w:tc>
        <w:tc>
          <w:tcPr>
            <w:tcW w:w="1200" w:type="dxa"/>
            <w:vAlign w:val="bottom"/>
            <w:gridSpan w:val="2"/>
          </w:tcPr>
          <w:p>
            <w:pPr>
              <w:jc w:val="center"/>
              <w:spacing w:after="0"/>
              <w:rPr>
                <w:sz w:val="20"/>
                <w:szCs w:val="20"/>
                <w:color w:val="auto"/>
              </w:rPr>
            </w:pPr>
            <w:r>
              <w:rPr>
                <w:rFonts w:ascii="Arial" w:cs="Arial" w:eastAsia="Arial" w:hAnsi="Arial"/>
                <w:sz w:val="13"/>
                <w:szCs w:val="13"/>
                <w:b w:val="1"/>
                <w:bCs w:val="1"/>
                <w:color w:val="auto"/>
                <w:w w:val="87"/>
              </w:rPr>
              <w:t>at December 31, 2021</w:t>
            </w:r>
          </w:p>
        </w:tc>
        <w:tc>
          <w:tcPr>
            <w:tcW w:w="0" w:type="dxa"/>
            <w:vAlign w:val="bottom"/>
          </w:tcPr>
          <w:p>
            <w:pPr>
              <w:spacing w:after="0"/>
              <w:rPr>
                <w:sz w:val="1"/>
                <w:szCs w:val="1"/>
                <w:color w:val="auto"/>
              </w:rPr>
            </w:pPr>
          </w:p>
        </w:tc>
      </w:tr>
      <w:tr>
        <w:trPr>
          <w:trHeight w:val="158"/>
        </w:trPr>
        <w:tc>
          <w:tcPr>
            <w:tcW w:w="2180" w:type="dxa"/>
            <w:vAlign w:val="bottom"/>
            <w:tcBorders>
              <w:top w:val="single" w:sz="8" w:color="auto"/>
            </w:tcBorders>
          </w:tcPr>
          <w:p>
            <w:pPr>
              <w:ind w:left="20"/>
              <w:spacing w:after="0"/>
              <w:rPr>
                <w:sz w:val="20"/>
                <w:szCs w:val="20"/>
                <w:color w:val="auto"/>
              </w:rPr>
            </w:pPr>
            <w:r>
              <w:rPr>
                <w:rFonts w:ascii="Arial" w:cs="Arial" w:eastAsia="Arial" w:hAnsi="Arial"/>
                <w:sz w:val="13"/>
                <w:szCs w:val="13"/>
                <w:b w:val="1"/>
                <w:bCs w:val="1"/>
                <w:color w:val="auto"/>
              </w:rPr>
              <w:t>Assets</w:t>
            </w: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3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Other assets:</w:t>
            </w: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300" w:type="dxa"/>
            <w:vAlign w:val="bottom"/>
            <w:gridSpan w:val="2"/>
          </w:tcPr>
          <w:p>
            <w:pPr>
              <w:ind w:left="20"/>
              <w:spacing w:after="0"/>
              <w:rPr>
                <w:sz w:val="20"/>
                <w:szCs w:val="20"/>
                <w:color w:val="auto"/>
              </w:rPr>
            </w:pPr>
            <w:r>
              <w:rPr>
                <w:rFonts w:ascii="Arial" w:cs="Arial" w:eastAsia="Arial" w:hAnsi="Arial"/>
                <w:sz w:val="13"/>
                <w:szCs w:val="13"/>
                <w:color w:val="auto"/>
              </w:rPr>
              <w:t>Equity investment</w:t>
            </w:r>
          </w:p>
        </w:tc>
        <w:tc>
          <w:tcPr>
            <w:tcW w:w="220" w:type="dxa"/>
            <w:vAlign w:val="bottom"/>
          </w:tcPr>
          <w:p>
            <w:pPr>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66,030</w:t>
            </w:r>
          </w:p>
        </w:tc>
        <w:tc>
          <w:tcPr>
            <w:tcW w:w="100" w:type="dxa"/>
            <w:vAlign w:val="bottom"/>
          </w:tcPr>
          <w:p>
            <w:pPr>
              <w:spacing w:after="0"/>
              <w:rPr>
                <w:sz w:val="14"/>
                <w:szCs w:val="14"/>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110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15,328</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tcPr>
          <w:p>
            <w:pPr>
              <w:ind w:left="900"/>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797"/>
              <w:spacing w:after="0"/>
              <w:rPr>
                <w:sz w:val="20"/>
                <w:szCs w:val="20"/>
                <w:color w:val="auto"/>
              </w:rPr>
            </w:pPr>
            <w:r>
              <w:rPr>
                <w:rFonts w:ascii="Arial" w:cs="Arial" w:eastAsia="Arial" w:hAnsi="Arial"/>
                <w:sz w:val="13"/>
                <w:szCs w:val="13"/>
                <w:color w:val="auto"/>
                <w:w w:val="82"/>
              </w:rPr>
              <w:t>$</w:t>
            </w:r>
          </w:p>
        </w:tc>
        <w:tc>
          <w:tcPr>
            <w:tcW w:w="36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220" w:type="dxa"/>
            <w:vAlign w:val="bottom"/>
          </w:tcPr>
          <w:p>
            <w:pPr>
              <w:ind w:left="20"/>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81,358</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15,328</w:t>
            </w:r>
          </w:p>
        </w:tc>
        <w:tc>
          <w:tcPr>
            <w:tcW w:w="0" w:type="dxa"/>
            <w:vAlign w:val="bottom"/>
          </w:tcPr>
          <w:p>
            <w:pPr>
              <w:spacing w:after="0"/>
              <w:rPr>
                <w:sz w:val="1"/>
                <w:szCs w:val="1"/>
                <w:color w:val="auto"/>
              </w:rPr>
            </w:pPr>
          </w:p>
        </w:tc>
      </w:tr>
      <w:tr>
        <w:trPr>
          <w:trHeight w:val="164"/>
        </w:trPr>
        <w:tc>
          <w:tcPr>
            <w:tcW w:w="23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66,030</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15,328</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940" w:type="dxa"/>
            <w:vAlign w:val="bottom"/>
            <w:tcBorders>
              <w:top w:val="single" w:sz="8" w:color="auto"/>
              <w:bottom w:val="single" w:sz="8" w:color="auto"/>
            </w:tcBorders>
            <w:shd w:val="clear" w:color="auto" w:fill="CCEEFF"/>
          </w:tcPr>
          <w:p>
            <w:pPr>
              <w:jc w:val="right"/>
              <w:ind w:right="797"/>
              <w:spacing w:after="0"/>
              <w:rPr>
                <w:sz w:val="20"/>
                <w:szCs w:val="20"/>
                <w:color w:val="auto"/>
              </w:rPr>
            </w:pPr>
            <w:r>
              <w:rPr>
                <w:rFonts w:ascii="Arial" w:cs="Arial" w:eastAsia="Arial" w:hAnsi="Arial"/>
                <w:sz w:val="13"/>
                <w:szCs w:val="13"/>
                <w:color w:val="auto"/>
                <w:w w:val="82"/>
              </w:rPr>
              <w:t>$</w:t>
            </w:r>
          </w:p>
        </w:tc>
        <w:tc>
          <w:tcPr>
            <w:tcW w:w="24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81,358</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15,328</w:t>
            </w:r>
          </w:p>
        </w:tc>
        <w:tc>
          <w:tcPr>
            <w:tcW w:w="0" w:type="dxa"/>
            <w:vAlign w:val="bottom"/>
          </w:tcPr>
          <w:p>
            <w:pPr>
              <w:spacing w:after="0"/>
              <w:rPr>
                <w:sz w:val="1"/>
                <w:szCs w:val="1"/>
                <w:color w:val="auto"/>
              </w:rPr>
            </w:pPr>
          </w:p>
        </w:tc>
      </w:tr>
    </w:tbl>
    <w:p>
      <w:pPr>
        <w:ind w:left="20" w:right="180" w:hanging="10"/>
        <w:spacing w:after="0" w:line="220" w:lineRule="auto"/>
        <w:tabs>
          <w:tab w:leader="none" w:pos="199" w:val="left"/>
        </w:tabs>
        <w:numPr>
          <w:ilvl w:val="0"/>
          <w:numId w:val="34"/>
        </w:numPr>
        <w:rPr>
          <w:rFonts w:ascii="Arial" w:cs="Arial" w:eastAsia="Arial" w:hAnsi="Arial"/>
          <w:sz w:val="13"/>
          <w:szCs w:val="13"/>
          <w:color w:val="auto"/>
        </w:rPr>
      </w:pPr>
      <w:r>
        <w:rPr>
          <w:rFonts w:ascii="Arial" w:cs="Arial" w:eastAsia="Arial" w:hAnsi="Arial"/>
          <w:sz w:val="13"/>
          <w:szCs w:val="13"/>
          <w:color w:val="auto"/>
        </w:rPr>
        <w:t>Total realized and unrealized gains/(losses) includes gains and losses realized on the SBI Bonds (see Note 10 "Borrowings" for more details) due to fluctuations in currency rates as well as gains and losses recognized on changes in the fair value of the JNX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1454785</wp:posOffset>
            </wp:positionH>
            <wp:positionV relativeFrom="paragraph">
              <wp:posOffset>-165735</wp:posOffset>
            </wp:positionV>
            <wp:extent cx="5690870"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90870" cy="7620"/>
                    </a:xfrm>
                    <a:prstGeom prst="rect">
                      <a:avLst/>
                    </a:prstGeom>
                    <a:noFill/>
                  </pic:spPr>
                </pic:pic>
              </a:graphicData>
            </a:graphic>
          </wp:anchor>
        </w:drawing>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40" w:type="dxa"/>
            <w:vAlign w:val="bottom"/>
            <w:tcBorders>
              <w:bottom w:val="single" w:sz="8" w:color="auto"/>
            </w:tcBorders>
            <w:gridSpan w:val="6"/>
          </w:tcPr>
          <w:p>
            <w:pPr>
              <w:jc w:val="right"/>
              <w:ind w:right="717"/>
              <w:spacing w:after="0"/>
              <w:rPr>
                <w:sz w:val="20"/>
                <w:szCs w:val="20"/>
                <w:color w:val="auto"/>
              </w:rPr>
            </w:pPr>
            <w:r>
              <w:rPr>
                <w:rFonts w:ascii="Arial" w:cs="Arial" w:eastAsia="Arial" w:hAnsi="Arial"/>
                <w:sz w:val="13"/>
                <w:szCs w:val="13"/>
                <w:b w:val="1"/>
                <w:bCs w:val="1"/>
                <w:color w:val="auto"/>
              </w:rPr>
              <w:t>Year Ended December 31, 2020</w:t>
            </w: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jc w:val="center"/>
              <w:ind w:right="17"/>
              <w:spacing w:after="0" w:line="115" w:lineRule="exact"/>
              <w:rPr>
                <w:sz w:val="20"/>
                <w:szCs w:val="20"/>
                <w:color w:val="auto"/>
              </w:rPr>
            </w:pPr>
            <w:r>
              <w:rPr>
                <w:rFonts w:ascii="Arial" w:cs="Arial" w:eastAsia="Arial" w:hAnsi="Arial"/>
                <w:sz w:val="13"/>
                <w:szCs w:val="13"/>
                <w:b w:val="1"/>
                <w:bCs w:val="1"/>
                <w:color w:val="auto"/>
                <w:w w:val="86"/>
              </w:rPr>
              <w:t>Change in Net</w:t>
            </w:r>
          </w:p>
        </w:tc>
        <w:tc>
          <w:tcPr>
            <w:tcW w:w="0" w:type="dxa"/>
            <w:vAlign w:val="bottom"/>
          </w:tcPr>
          <w:p>
            <w:pPr>
              <w:spacing w:after="0"/>
              <w:rPr>
                <w:sz w:val="1"/>
                <w:szCs w:val="1"/>
                <w:color w:val="auto"/>
              </w:rPr>
            </w:pPr>
          </w:p>
        </w:tc>
      </w:tr>
      <w:tr>
        <w:trPr>
          <w:trHeight w:val="118"/>
        </w:trPr>
        <w:tc>
          <w:tcPr>
            <w:tcW w:w="2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7"/>
              </w:rPr>
              <w:t>Total Realized and</w:t>
            </w: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jc w:val="center"/>
              <w:ind w:right="17"/>
              <w:spacing w:after="0" w:line="119" w:lineRule="exact"/>
              <w:rPr>
                <w:sz w:val="20"/>
                <w:szCs w:val="20"/>
                <w:color w:val="auto"/>
              </w:rPr>
            </w:pPr>
            <w:r>
              <w:rPr>
                <w:rFonts w:ascii="Arial" w:cs="Arial" w:eastAsia="Arial" w:hAnsi="Arial"/>
                <w:sz w:val="13"/>
                <w:szCs w:val="13"/>
                <w:b w:val="1"/>
                <w:bCs w:val="1"/>
                <w:color w:val="auto"/>
                <w:w w:val="88"/>
              </w:rPr>
              <w:t>Unrealized Gains /</w:t>
            </w:r>
          </w:p>
        </w:tc>
        <w:tc>
          <w:tcPr>
            <w:tcW w:w="0" w:type="dxa"/>
            <w:vAlign w:val="bottom"/>
          </w:tcPr>
          <w:p>
            <w:pPr>
              <w:spacing w:after="0"/>
              <w:rPr>
                <w:sz w:val="1"/>
                <w:szCs w:val="1"/>
                <w:color w:val="auto"/>
              </w:rPr>
            </w:pPr>
          </w:p>
        </w:tc>
      </w:tr>
      <w:tr>
        <w:trPr>
          <w:trHeight w:val="118"/>
        </w:trPr>
        <w:tc>
          <w:tcPr>
            <w:tcW w:w="2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w w:val="94"/>
              </w:rPr>
              <w:t>Balance at December</w:t>
            </w: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8"/>
              </w:rPr>
              <w:t>Net Transfers into</w:t>
            </w: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w w:val="95"/>
              </w:rPr>
              <w:t>Balance at December</w:t>
            </w:r>
          </w:p>
        </w:tc>
        <w:tc>
          <w:tcPr>
            <w:tcW w:w="80" w:type="dxa"/>
            <w:vAlign w:val="bottom"/>
          </w:tcPr>
          <w:p>
            <w:pPr>
              <w:spacing w:after="0"/>
              <w:rPr>
                <w:sz w:val="10"/>
                <w:szCs w:val="10"/>
                <w:color w:val="auto"/>
              </w:rPr>
            </w:pPr>
          </w:p>
        </w:tc>
        <w:tc>
          <w:tcPr>
            <w:tcW w:w="1120" w:type="dxa"/>
            <w:vAlign w:val="bottom"/>
          </w:tcPr>
          <w:p>
            <w:pPr>
              <w:jc w:val="center"/>
              <w:ind w:right="17"/>
              <w:spacing w:after="0" w:line="119" w:lineRule="exact"/>
              <w:rPr>
                <w:sz w:val="20"/>
                <w:szCs w:val="20"/>
                <w:color w:val="auto"/>
              </w:rPr>
            </w:pPr>
            <w:r>
              <w:rPr>
                <w:rFonts w:ascii="Arial" w:cs="Arial" w:eastAsia="Arial" w:hAnsi="Arial"/>
                <w:sz w:val="13"/>
                <w:szCs w:val="13"/>
                <w:b w:val="1"/>
                <w:bCs w:val="1"/>
                <w:color w:val="auto"/>
                <w:w w:val="82"/>
              </w:rPr>
              <w:t>(Losses) on</w:t>
            </w:r>
          </w:p>
        </w:tc>
        <w:tc>
          <w:tcPr>
            <w:tcW w:w="0" w:type="dxa"/>
            <w:vAlign w:val="bottom"/>
          </w:tcPr>
          <w:p>
            <w:pPr>
              <w:spacing w:after="0"/>
              <w:rPr>
                <w:sz w:val="1"/>
                <w:szCs w:val="1"/>
                <w:color w:val="auto"/>
              </w:rPr>
            </w:pPr>
          </w:p>
        </w:tc>
      </w:tr>
      <w:tr>
        <w:trPr>
          <w:trHeight w:val="118"/>
        </w:trPr>
        <w:tc>
          <w:tcPr>
            <w:tcW w:w="23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(in thousands)</w:t>
            </w:r>
          </w:p>
        </w:tc>
        <w:tc>
          <w:tcPr>
            <w:tcW w:w="128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Purchases</w:t>
            </w:r>
          </w:p>
        </w:tc>
        <w:tc>
          <w:tcPr>
            <w:tcW w:w="80" w:type="dxa"/>
            <w:vAlign w:val="bottom"/>
          </w:tcPr>
          <w:p>
            <w:pPr>
              <w:spacing w:after="0"/>
              <w:rPr>
                <w:sz w:val="10"/>
                <w:szCs w:val="10"/>
                <w:color w:val="auto"/>
              </w:rPr>
            </w:pPr>
          </w:p>
        </w:tc>
        <w:tc>
          <w:tcPr>
            <w:tcW w:w="120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w w:val="88"/>
              </w:rPr>
              <w:t>Unrealized Gains /</w:t>
            </w:r>
          </w:p>
        </w:tc>
        <w:tc>
          <w:tcPr>
            <w:tcW w:w="1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Settlement</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12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86"/>
              </w:rPr>
              <w:t>Investments still held</w:t>
            </w:r>
          </w:p>
        </w:tc>
        <w:tc>
          <w:tcPr>
            <w:tcW w:w="0" w:type="dxa"/>
            <w:vAlign w:val="bottom"/>
          </w:tcPr>
          <w:p>
            <w:pPr>
              <w:spacing w:after="0"/>
              <w:rPr>
                <w:sz w:val="1"/>
                <w:szCs w:val="1"/>
                <w:color w:val="auto"/>
              </w:rPr>
            </w:pPr>
          </w:p>
        </w:tc>
      </w:tr>
      <w:tr>
        <w:trPr>
          <w:trHeight w:val="165"/>
        </w:trPr>
        <w:tc>
          <w:tcPr>
            <w:tcW w:w="23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317"/>
              <w:spacing w:after="0"/>
              <w:rPr>
                <w:sz w:val="20"/>
                <w:szCs w:val="20"/>
                <w:color w:val="auto"/>
              </w:rPr>
            </w:pPr>
            <w:r>
              <w:rPr>
                <w:rFonts w:ascii="Arial" w:cs="Arial" w:eastAsia="Arial" w:hAnsi="Arial"/>
                <w:sz w:val="13"/>
                <w:szCs w:val="13"/>
                <w:b w:val="1"/>
                <w:bCs w:val="1"/>
                <w:color w:val="auto"/>
              </w:rPr>
              <w:t>31, 2019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4"/>
              </w:rPr>
              <w:t>(Losses) (1)</w:t>
            </w:r>
          </w:p>
        </w:tc>
        <w:tc>
          <w:tcPr>
            <w:tcW w:w="100" w:type="dxa"/>
            <w:vAlign w:val="bottom"/>
          </w:tcPr>
          <w:p>
            <w:pPr>
              <w:spacing w:after="0"/>
              <w:rPr>
                <w:sz w:val="14"/>
                <w:szCs w:val="14"/>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(out of) Level 3</w:t>
            </w:r>
          </w:p>
        </w:tc>
        <w:tc>
          <w:tcPr>
            <w:tcW w:w="9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ind w:right="317"/>
              <w:spacing w:after="0"/>
              <w:rPr>
                <w:sz w:val="20"/>
                <w:szCs w:val="20"/>
                <w:color w:val="auto"/>
              </w:rPr>
            </w:pPr>
            <w:r>
              <w:rPr>
                <w:rFonts w:ascii="Arial" w:cs="Arial" w:eastAsia="Arial" w:hAnsi="Arial"/>
                <w:sz w:val="13"/>
                <w:szCs w:val="13"/>
                <w:b w:val="1"/>
                <w:bCs w:val="1"/>
                <w:color w:val="auto"/>
              </w:rPr>
              <w:t>31, 2020</w:t>
            </w:r>
          </w:p>
        </w:tc>
        <w:tc>
          <w:tcPr>
            <w:tcW w:w="100" w:type="dxa"/>
            <w:vAlign w:val="bottom"/>
          </w:tcPr>
          <w:p>
            <w:pPr>
              <w:spacing w:after="0"/>
              <w:rPr>
                <w:sz w:val="14"/>
                <w:szCs w:val="14"/>
                <w:color w:val="auto"/>
              </w:rPr>
            </w:pPr>
          </w:p>
        </w:tc>
        <w:tc>
          <w:tcPr>
            <w:tcW w:w="1200" w:type="dxa"/>
            <w:vAlign w:val="bottom"/>
            <w:gridSpan w:val="2"/>
          </w:tcPr>
          <w:p>
            <w:pPr>
              <w:jc w:val="center"/>
              <w:spacing w:after="0"/>
              <w:rPr>
                <w:sz w:val="20"/>
                <w:szCs w:val="20"/>
                <w:color w:val="auto"/>
              </w:rPr>
            </w:pPr>
            <w:r>
              <w:rPr>
                <w:rFonts w:ascii="Arial" w:cs="Arial" w:eastAsia="Arial" w:hAnsi="Arial"/>
                <w:sz w:val="13"/>
                <w:szCs w:val="13"/>
                <w:b w:val="1"/>
                <w:bCs w:val="1"/>
                <w:color w:val="auto"/>
                <w:w w:val="87"/>
              </w:rPr>
              <w:t>at December 31, 2020</w:t>
            </w:r>
          </w:p>
        </w:tc>
        <w:tc>
          <w:tcPr>
            <w:tcW w:w="0" w:type="dxa"/>
            <w:vAlign w:val="bottom"/>
          </w:tcPr>
          <w:p>
            <w:pPr>
              <w:spacing w:after="0"/>
              <w:rPr>
                <w:sz w:val="1"/>
                <w:szCs w:val="1"/>
                <w:color w:val="auto"/>
              </w:rPr>
            </w:pPr>
          </w:p>
        </w:tc>
      </w:tr>
      <w:tr>
        <w:trPr>
          <w:trHeight w:val="158"/>
        </w:trPr>
        <w:tc>
          <w:tcPr>
            <w:tcW w:w="2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Assets</w:t>
            </w:r>
          </w:p>
        </w:tc>
        <w:tc>
          <w:tcPr>
            <w:tcW w:w="1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300" w:type="dxa"/>
            <w:vAlign w:val="bottom"/>
            <w:gridSpan w:val="2"/>
          </w:tcPr>
          <w:p>
            <w:pPr>
              <w:ind w:left="20"/>
              <w:spacing w:after="0"/>
              <w:rPr>
                <w:sz w:val="20"/>
                <w:szCs w:val="20"/>
                <w:color w:val="auto"/>
              </w:rPr>
            </w:pPr>
            <w:r>
              <w:rPr>
                <w:rFonts w:ascii="Arial" w:cs="Arial" w:eastAsia="Arial" w:hAnsi="Arial"/>
                <w:sz w:val="13"/>
                <w:szCs w:val="13"/>
                <w:color w:val="auto"/>
              </w:rPr>
              <w:t>Other assets:</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3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Equity investment</w:t>
            </w:r>
          </w:p>
        </w:tc>
        <w:tc>
          <w:tcPr>
            <w:tcW w:w="2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46,245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19,785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ind w:left="900"/>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797"/>
              <w:spacing w:after="0"/>
              <w:rPr>
                <w:sz w:val="20"/>
                <w:szCs w:val="20"/>
                <w:color w:val="auto"/>
              </w:rPr>
            </w:pPr>
            <w:r>
              <w:rPr>
                <w:rFonts w:ascii="Arial" w:cs="Arial" w:eastAsia="Arial" w:hAnsi="Arial"/>
                <w:sz w:val="13"/>
                <w:szCs w:val="13"/>
                <w:color w:val="auto"/>
                <w:w w:val="82"/>
              </w:rPr>
              <w:t>$</w:t>
            </w:r>
          </w:p>
        </w:tc>
        <w:tc>
          <w:tcPr>
            <w:tcW w:w="36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66,030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19,785</w:t>
            </w:r>
          </w:p>
        </w:tc>
        <w:tc>
          <w:tcPr>
            <w:tcW w:w="0" w:type="dxa"/>
            <w:vAlign w:val="bottom"/>
          </w:tcPr>
          <w:p>
            <w:pPr>
              <w:spacing w:after="0"/>
              <w:rPr>
                <w:sz w:val="1"/>
                <w:szCs w:val="1"/>
                <w:color w:val="auto"/>
              </w:rPr>
            </w:pPr>
          </w:p>
        </w:tc>
      </w:tr>
      <w:tr>
        <w:trPr>
          <w:trHeight w:val="158"/>
        </w:trPr>
        <w:tc>
          <w:tcPr>
            <w:tcW w:w="2300" w:type="dxa"/>
            <w:vAlign w:val="bottom"/>
            <w:gridSpan w:val="2"/>
          </w:tcPr>
          <w:p>
            <w:pPr>
              <w:ind w:left="20"/>
              <w:spacing w:after="0"/>
              <w:rPr>
                <w:sz w:val="20"/>
                <w:szCs w:val="20"/>
                <w:color w:val="auto"/>
              </w:rPr>
            </w:pPr>
            <w:r>
              <w:rPr>
                <w:rFonts w:ascii="Arial" w:cs="Arial" w:eastAsia="Arial" w:hAnsi="Arial"/>
                <w:sz w:val="13"/>
                <w:szCs w:val="13"/>
                <w:color w:val="auto"/>
              </w:rPr>
              <w:t>Total</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46,245</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19,785</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940" w:type="dxa"/>
            <w:vAlign w:val="bottom"/>
            <w:tcBorders>
              <w:top w:val="single" w:sz="8" w:color="auto"/>
              <w:bottom w:val="single" w:sz="8" w:color="auto"/>
            </w:tcBorders>
          </w:tcPr>
          <w:p>
            <w:pPr>
              <w:jc w:val="right"/>
              <w:ind w:right="797"/>
              <w:spacing w:after="0"/>
              <w:rPr>
                <w:sz w:val="20"/>
                <w:szCs w:val="20"/>
                <w:color w:val="auto"/>
              </w:rPr>
            </w:pPr>
            <w:r>
              <w:rPr>
                <w:rFonts w:ascii="Arial" w:cs="Arial" w:eastAsia="Arial" w:hAnsi="Arial"/>
                <w:sz w:val="13"/>
                <w:szCs w:val="13"/>
                <w:color w:val="auto"/>
                <w:w w:val="82"/>
              </w:rPr>
              <w:t>$</w:t>
            </w:r>
          </w:p>
        </w:tc>
        <w:tc>
          <w:tcPr>
            <w:tcW w:w="2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66,030</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19,785</w:t>
            </w:r>
          </w:p>
        </w:tc>
        <w:tc>
          <w:tcPr>
            <w:tcW w:w="0" w:type="dxa"/>
            <w:vAlign w:val="bottom"/>
          </w:tcPr>
          <w:p>
            <w:pPr>
              <w:spacing w:after="0"/>
              <w:rPr>
                <w:sz w:val="1"/>
                <w:szCs w:val="1"/>
                <w:color w:val="auto"/>
              </w:rPr>
            </w:pPr>
          </w:p>
        </w:tc>
      </w:tr>
    </w:tbl>
    <w:p>
      <w:pPr>
        <w:spacing w:after="0" w:line="8" w:lineRule="exact"/>
        <w:rPr>
          <w:sz w:val="20"/>
          <w:szCs w:val="20"/>
          <w:color w:val="auto"/>
        </w:rPr>
      </w:pPr>
    </w:p>
    <w:p>
      <w:pPr>
        <w:ind w:left="20" w:right="180" w:hanging="10"/>
        <w:spacing w:after="0" w:line="223" w:lineRule="auto"/>
        <w:tabs>
          <w:tab w:leader="none" w:pos="199" w:val="left"/>
        </w:tabs>
        <w:numPr>
          <w:ilvl w:val="0"/>
          <w:numId w:val="35"/>
        </w:numPr>
        <w:rPr>
          <w:rFonts w:ascii="Arial" w:cs="Arial" w:eastAsia="Arial" w:hAnsi="Arial"/>
          <w:sz w:val="13"/>
          <w:szCs w:val="13"/>
          <w:color w:val="auto"/>
        </w:rPr>
      </w:pPr>
      <w:r>
        <w:rPr>
          <w:rFonts w:ascii="Arial" w:cs="Arial" w:eastAsia="Arial" w:hAnsi="Arial"/>
          <w:sz w:val="13"/>
          <w:szCs w:val="13"/>
          <w:color w:val="auto"/>
        </w:rPr>
        <w:t>Total realized and unrealized gains/(losses) includes gains and losses realized on the SBI Bonds (see Note 10 "Borrowings" for more details) due to fluctuations in currency rates as well as gains and losses recognized on changes in the fair value of the JNX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1454785</wp:posOffset>
            </wp:positionH>
            <wp:positionV relativeFrom="paragraph">
              <wp:posOffset>-165735</wp:posOffset>
            </wp:positionV>
            <wp:extent cx="5690870" cy="7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90870" cy="7620"/>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107" w:name="page108"/>
    <w:bookmarkEnd w:id="10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Financial Instruments Not Measured at Fair Value</w:t>
      </w:r>
    </w:p>
    <w:p>
      <w:pPr>
        <w:spacing w:after="0" w:line="219" w:lineRule="exact"/>
        <w:rPr>
          <w:sz w:val="20"/>
          <w:szCs w:val="20"/>
          <w:color w:val="auto"/>
        </w:rPr>
      </w:pPr>
    </w:p>
    <w:p>
      <w:pPr>
        <w:ind w:right="100" w:firstLine="568"/>
        <w:spacing w:after="0" w:line="302" w:lineRule="auto"/>
        <w:rPr>
          <w:sz w:val="20"/>
          <w:szCs w:val="20"/>
          <w:color w:val="auto"/>
        </w:rPr>
      </w:pPr>
      <w:r>
        <w:rPr>
          <w:rFonts w:ascii="Arial" w:cs="Arial" w:eastAsia="Arial" w:hAnsi="Arial"/>
          <w:sz w:val="14"/>
          <w:szCs w:val="14"/>
          <w:color w:val="auto"/>
        </w:rPr>
        <w:t>The table below presents the carrying value, fair value and fair value hierarchy category of certain financial instruments that are not measured at fair value on the Consolidated Statements of Financial Condition. The table below excludes non-financial assets and liabilities. The carrying value of financial instruments not measured at fair value categorized in the fair value hierarchy as Level 1 and Level 2 approximates fair value due to the relatively short-term nature of the underlying assets. The fair value of the Company’s long-term borrowings is based on quoted prices from the market for similar instruments, and is categorized as Level 2 in the fair value hierarchy.</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table below summarizes financial assets and liabilities not carried at fair value on a recurring basis as of December 31, 2021:</w:t>
      </w:r>
    </w:p>
    <w:p>
      <w:pPr>
        <w:spacing w:after="0" w:line="34" w:lineRule="exact"/>
        <w:rPr>
          <w:sz w:val="20"/>
          <w:szCs w:val="20"/>
          <w:color w:val="auto"/>
        </w:rPr>
      </w:pPr>
    </w:p>
    <w:tbl>
      <w:tblPr>
        <w:tblLayout w:type="fixed"/>
        <w:tblInd w:w="60" w:type="dxa"/>
        <w:tblCellMar>
          <w:top w:w="0" w:type="dxa"/>
          <w:left w:w="0" w:type="dxa"/>
          <w:bottom w:w="0" w:type="dxa"/>
          <w:right w:w="0" w:type="dxa"/>
        </w:tblCellMar>
      </w:tblPr>
      <w:tr>
        <w:trPr>
          <w:trHeight w:val="169"/>
        </w:trPr>
        <w:tc>
          <w:tcPr>
            <w:tcW w:w="4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3"/>
                <w:szCs w:val="13"/>
                <w:b w:val="1"/>
                <w:bCs w:val="1"/>
                <w:color w:val="auto"/>
                <w:w w:val="87"/>
              </w:rPr>
              <w:t>December 31, 2021</w:t>
            </w: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9"/>
        </w:trPr>
        <w:tc>
          <w:tcPr>
            <w:tcW w:w="4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gridSpan w:val="3"/>
          </w:tcPr>
          <w:p>
            <w:pPr>
              <w:ind w:left="20"/>
              <w:spacing w:after="0"/>
              <w:rPr>
                <w:sz w:val="20"/>
                <w:szCs w:val="20"/>
                <w:color w:val="auto"/>
              </w:rPr>
            </w:pPr>
            <w:r>
              <w:rPr>
                <w:rFonts w:ascii="Arial" w:cs="Arial" w:eastAsia="Arial" w:hAnsi="Arial"/>
                <w:sz w:val="13"/>
                <w:szCs w:val="13"/>
                <w:b w:val="1"/>
                <w:bCs w:val="1"/>
                <w:color w:val="auto"/>
                <w:w w:val="94"/>
              </w:rPr>
              <w:t>Quoted Prices in Active</w:t>
            </w:r>
          </w:p>
        </w:tc>
        <w:tc>
          <w:tcPr>
            <w:tcW w:w="100" w:type="dxa"/>
            <w:vAlign w:val="bottom"/>
          </w:tcPr>
          <w:p>
            <w:pPr>
              <w:spacing w:after="0"/>
              <w:rPr>
                <w:sz w:val="23"/>
                <w:szCs w:val="23"/>
                <w:color w:val="auto"/>
              </w:rPr>
            </w:pPr>
          </w:p>
        </w:tc>
        <w:tc>
          <w:tcPr>
            <w:tcW w:w="120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89"/>
              </w:rPr>
              <w:t>Significant Other</w:t>
            </w:r>
          </w:p>
        </w:tc>
        <w:tc>
          <w:tcPr>
            <w:tcW w:w="200" w:type="dxa"/>
            <w:vAlign w:val="bottom"/>
          </w:tcPr>
          <w:p>
            <w:pPr>
              <w:spacing w:after="0"/>
              <w:rPr>
                <w:sz w:val="23"/>
                <w:szCs w:val="23"/>
                <w:color w:val="auto"/>
              </w:rPr>
            </w:pPr>
          </w:p>
        </w:tc>
        <w:tc>
          <w:tcPr>
            <w:tcW w:w="1020" w:type="dxa"/>
            <w:vAlign w:val="bottom"/>
            <w:vMerge w:val="restart"/>
          </w:tcPr>
          <w:p>
            <w:pPr>
              <w:ind w:left="120"/>
              <w:spacing w:after="0"/>
              <w:rPr>
                <w:sz w:val="20"/>
                <w:szCs w:val="20"/>
                <w:color w:val="auto"/>
              </w:rPr>
            </w:pPr>
            <w:r>
              <w:rPr>
                <w:rFonts w:ascii="Arial" w:cs="Arial" w:eastAsia="Arial" w:hAnsi="Arial"/>
                <w:sz w:val="13"/>
                <w:szCs w:val="13"/>
                <w:b w:val="1"/>
                <w:bCs w:val="1"/>
                <w:color w:val="auto"/>
              </w:rPr>
              <w:t>Significant</w:t>
            </w:r>
          </w:p>
        </w:tc>
        <w:tc>
          <w:tcPr>
            <w:tcW w:w="0" w:type="dxa"/>
            <w:vAlign w:val="bottom"/>
          </w:tcPr>
          <w:p>
            <w:pPr>
              <w:spacing w:after="0"/>
              <w:rPr>
                <w:sz w:val="1"/>
                <w:szCs w:val="1"/>
                <w:color w:val="auto"/>
              </w:rPr>
            </w:pPr>
          </w:p>
        </w:tc>
      </w:tr>
      <w:tr>
        <w:trPr>
          <w:trHeight w:val="118"/>
        </w:trPr>
        <w:tc>
          <w:tcPr>
            <w:tcW w:w="4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1"/>
              </w:rPr>
              <w:t>Markets for</w:t>
            </w:r>
          </w:p>
        </w:tc>
        <w:tc>
          <w:tcPr>
            <w:tcW w:w="1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4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4"/>
              </w:rPr>
              <w:t>Identical Assets</w:t>
            </w:r>
          </w:p>
        </w:tc>
        <w:tc>
          <w:tcPr>
            <w:tcW w:w="100" w:type="dxa"/>
            <w:vAlign w:val="bottom"/>
          </w:tcPr>
          <w:p>
            <w:pPr>
              <w:spacing w:after="0"/>
              <w:rPr>
                <w:sz w:val="14"/>
                <w:szCs w:val="14"/>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Observable Inputs</w:t>
            </w:r>
          </w:p>
        </w:tc>
        <w:tc>
          <w:tcPr>
            <w:tcW w:w="1220" w:type="dxa"/>
            <w:vAlign w:val="bottom"/>
            <w:gridSpan w:val="2"/>
          </w:tcPr>
          <w:p>
            <w:pPr>
              <w:ind w:left="40"/>
              <w:spacing w:after="0"/>
              <w:rPr>
                <w:sz w:val="20"/>
                <w:szCs w:val="20"/>
                <w:color w:val="auto"/>
              </w:rPr>
            </w:pPr>
            <w:r>
              <w:rPr>
                <w:rFonts w:ascii="Arial" w:cs="Arial" w:eastAsia="Arial" w:hAnsi="Arial"/>
                <w:sz w:val="13"/>
                <w:szCs w:val="13"/>
                <w:b w:val="1"/>
                <w:bCs w:val="1"/>
                <w:color w:val="auto"/>
                <w:w w:val="90"/>
              </w:rPr>
              <w:t>Unobservable Inputs</w:t>
            </w:r>
          </w:p>
        </w:tc>
        <w:tc>
          <w:tcPr>
            <w:tcW w:w="0" w:type="dxa"/>
            <w:vAlign w:val="bottom"/>
          </w:tcPr>
          <w:p>
            <w:pPr>
              <w:spacing w:after="0"/>
              <w:rPr>
                <w:sz w:val="1"/>
                <w:szCs w:val="1"/>
                <w:color w:val="auto"/>
              </w:rPr>
            </w:pPr>
          </w:p>
        </w:tc>
      </w:tr>
      <w:tr>
        <w:trPr>
          <w:trHeight w:val="186"/>
        </w:trPr>
        <w:tc>
          <w:tcPr>
            <w:tcW w:w="4600" w:type="dxa"/>
            <w:vAlign w:val="bottom"/>
            <w:gridSpan w:val="2"/>
          </w:tcPr>
          <w:p>
            <w:pPr>
              <w:ind w:left="40"/>
              <w:spacing w:after="0"/>
              <w:rPr>
                <w:sz w:val="20"/>
                <w:szCs w:val="20"/>
                <w:color w:val="auto"/>
              </w:rPr>
            </w:pPr>
            <w:r>
              <w:rPr>
                <w:rFonts w:ascii="Arial" w:cs="Arial" w:eastAsia="Arial" w:hAnsi="Arial"/>
                <w:sz w:val="13"/>
                <w:szCs w:val="13"/>
                <w:b w:val="1"/>
                <w:bCs w:val="1"/>
                <w:color w:val="auto"/>
              </w:rPr>
              <w:t>(in thousands)</w:t>
            </w:r>
          </w:p>
        </w:tc>
        <w:tc>
          <w:tcPr>
            <w:tcW w:w="120" w:type="dxa"/>
            <w:vAlign w:val="bottom"/>
          </w:tcPr>
          <w:p>
            <w:pPr>
              <w:spacing w:after="0"/>
              <w:rPr>
                <w:sz w:val="16"/>
                <w:szCs w:val="16"/>
                <w:color w:val="auto"/>
              </w:rPr>
            </w:pPr>
          </w:p>
        </w:tc>
        <w:tc>
          <w:tcPr>
            <w:tcW w:w="1180" w:type="dxa"/>
            <w:vAlign w:val="bottom"/>
            <w:gridSpan w:val="2"/>
          </w:tcPr>
          <w:p>
            <w:pPr>
              <w:ind w:left="60"/>
              <w:spacing w:after="0"/>
              <w:rPr>
                <w:sz w:val="20"/>
                <w:szCs w:val="20"/>
                <w:color w:val="auto"/>
              </w:rPr>
            </w:pPr>
            <w:r>
              <w:rPr>
                <w:rFonts w:ascii="Arial" w:cs="Arial" w:eastAsia="Arial" w:hAnsi="Arial"/>
                <w:sz w:val="13"/>
                <w:szCs w:val="13"/>
                <w:b w:val="1"/>
                <w:bCs w:val="1"/>
                <w:color w:val="auto"/>
              </w:rPr>
              <w:t>Carrying Value</w:t>
            </w:r>
          </w:p>
        </w:tc>
        <w:tc>
          <w:tcPr>
            <w:tcW w:w="200" w:type="dxa"/>
            <w:vAlign w:val="bottom"/>
          </w:tcPr>
          <w:p>
            <w:pPr>
              <w:spacing w:after="0"/>
              <w:rPr>
                <w:sz w:val="16"/>
                <w:szCs w:val="16"/>
                <w:color w:val="auto"/>
              </w:rPr>
            </w:pPr>
          </w:p>
        </w:tc>
        <w:tc>
          <w:tcPr>
            <w:tcW w:w="1100" w:type="dxa"/>
            <w:vAlign w:val="bottom"/>
            <w:gridSpan w:val="2"/>
          </w:tcPr>
          <w:p>
            <w:pPr>
              <w:ind w:left="120"/>
              <w:spacing w:after="0"/>
              <w:rPr>
                <w:sz w:val="20"/>
                <w:szCs w:val="20"/>
                <w:color w:val="auto"/>
              </w:rPr>
            </w:pPr>
            <w:r>
              <w:rPr>
                <w:rFonts w:ascii="Arial" w:cs="Arial" w:eastAsia="Arial" w:hAnsi="Arial"/>
                <w:sz w:val="13"/>
                <w:szCs w:val="13"/>
                <w:b w:val="1"/>
                <w:bCs w:val="1"/>
                <w:color w:val="auto"/>
              </w:rPr>
              <w:t>Fair Value</w:t>
            </w:r>
          </w:p>
        </w:tc>
        <w:tc>
          <w:tcPr>
            <w:tcW w:w="120" w:type="dxa"/>
            <w:vAlign w:val="bottom"/>
          </w:tcPr>
          <w:p>
            <w:pPr>
              <w:spacing w:after="0"/>
              <w:rPr>
                <w:sz w:val="16"/>
                <w:szCs w:val="16"/>
                <w:color w:val="auto"/>
              </w:rPr>
            </w:pPr>
          </w:p>
        </w:tc>
        <w:tc>
          <w:tcPr>
            <w:tcW w:w="1300" w:type="dxa"/>
            <w:vAlign w:val="bottom"/>
            <w:gridSpan w:val="2"/>
          </w:tcPr>
          <w:p>
            <w:pPr>
              <w:ind w:left="280"/>
              <w:spacing w:after="0"/>
              <w:rPr>
                <w:sz w:val="20"/>
                <w:szCs w:val="20"/>
                <w:color w:val="auto"/>
              </w:rPr>
            </w:pPr>
            <w:r>
              <w:rPr>
                <w:rFonts w:ascii="Arial" w:cs="Arial" w:eastAsia="Arial" w:hAnsi="Arial"/>
                <w:sz w:val="13"/>
                <w:szCs w:val="13"/>
                <w:b w:val="1"/>
                <w:bCs w:val="1"/>
                <w:color w:val="auto"/>
              </w:rPr>
              <w:t>(Level 1)</w:t>
            </w:r>
          </w:p>
        </w:tc>
        <w:tc>
          <w:tcPr>
            <w:tcW w:w="100" w:type="dxa"/>
            <w:vAlign w:val="bottom"/>
          </w:tcPr>
          <w:p>
            <w:pPr>
              <w:spacing w:after="0"/>
              <w:rPr>
                <w:sz w:val="16"/>
                <w:szCs w:val="16"/>
                <w:color w:val="auto"/>
              </w:rPr>
            </w:pPr>
          </w:p>
        </w:tc>
        <w:tc>
          <w:tcPr>
            <w:tcW w:w="1200" w:type="dxa"/>
            <w:vAlign w:val="bottom"/>
            <w:gridSpan w:val="2"/>
          </w:tcPr>
          <w:p>
            <w:pPr>
              <w:ind w:left="240"/>
              <w:spacing w:after="0"/>
              <w:rPr>
                <w:sz w:val="20"/>
                <w:szCs w:val="20"/>
                <w:color w:val="auto"/>
              </w:rPr>
            </w:pPr>
            <w:r>
              <w:rPr>
                <w:rFonts w:ascii="Arial" w:cs="Arial" w:eastAsia="Arial" w:hAnsi="Arial"/>
                <w:sz w:val="13"/>
                <w:szCs w:val="13"/>
                <w:b w:val="1"/>
                <w:bCs w:val="1"/>
                <w:color w:val="auto"/>
              </w:rPr>
              <w:t>(Level 2)</w:t>
            </w:r>
          </w:p>
        </w:tc>
        <w:tc>
          <w:tcPr>
            <w:tcW w:w="200" w:type="dxa"/>
            <w:vAlign w:val="bottom"/>
          </w:tcPr>
          <w:p>
            <w:pPr>
              <w:spacing w:after="0"/>
              <w:rPr>
                <w:sz w:val="16"/>
                <w:szCs w:val="16"/>
                <w:color w:val="auto"/>
              </w:rPr>
            </w:pPr>
          </w:p>
        </w:tc>
        <w:tc>
          <w:tcPr>
            <w:tcW w:w="1020" w:type="dxa"/>
            <w:vAlign w:val="bottom"/>
          </w:tcPr>
          <w:p>
            <w:pPr>
              <w:ind w:left="160"/>
              <w:spacing w:after="0"/>
              <w:rPr>
                <w:sz w:val="20"/>
                <w:szCs w:val="20"/>
                <w:color w:val="auto"/>
              </w:rPr>
            </w:pPr>
            <w:r>
              <w:rPr>
                <w:rFonts w:ascii="Arial" w:cs="Arial" w:eastAsia="Arial" w:hAnsi="Arial"/>
                <w:sz w:val="13"/>
                <w:szCs w:val="13"/>
                <w:b w:val="1"/>
                <w:bCs w:val="1"/>
                <w:color w:val="auto"/>
              </w:rPr>
              <w:t>(Level 3)</w:t>
            </w:r>
          </w:p>
        </w:tc>
        <w:tc>
          <w:tcPr>
            <w:tcW w:w="0" w:type="dxa"/>
            <w:vAlign w:val="bottom"/>
          </w:tcPr>
          <w:p>
            <w:pPr>
              <w:spacing w:after="0"/>
              <w:rPr>
                <w:sz w:val="1"/>
                <w:szCs w:val="1"/>
                <w:color w:val="auto"/>
              </w:rPr>
            </w:pPr>
          </w:p>
        </w:tc>
      </w:tr>
      <w:tr>
        <w:trPr>
          <w:trHeight w:val="162"/>
        </w:trPr>
        <w:tc>
          <w:tcPr>
            <w:tcW w:w="450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Assets</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6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1,071,463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1,071,463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1,071,463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ind w:left="8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3"/>
        </w:trPr>
        <w:tc>
          <w:tcPr>
            <w:tcW w:w="4600" w:type="dxa"/>
            <w:vAlign w:val="bottom"/>
            <w:gridSpan w:val="2"/>
          </w:tcPr>
          <w:p>
            <w:pPr>
              <w:ind w:left="120"/>
              <w:spacing w:after="0"/>
              <w:rPr>
                <w:sz w:val="20"/>
                <w:szCs w:val="20"/>
                <w:color w:val="auto"/>
              </w:rPr>
            </w:pPr>
            <w:r>
              <w:rPr>
                <w:rFonts w:ascii="Arial" w:cs="Arial" w:eastAsia="Arial" w:hAnsi="Arial"/>
                <w:sz w:val="13"/>
                <w:szCs w:val="13"/>
                <w:color w:val="auto"/>
              </w:rPr>
              <w:t>Cash restricted or segregated under regulations and other</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49,490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49,490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49,490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20" w:type="dxa"/>
            <w:vAlign w:val="bottom"/>
          </w:tcPr>
          <w:p>
            <w:pPr>
              <w:ind w:left="8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46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Securities borrowed</w:t>
            </w: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1,349,322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1,349,322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1,349,322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ind w:left="8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3"/>
        </w:trPr>
        <w:tc>
          <w:tcPr>
            <w:tcW w:w="4600" w:type="dxa"/>
            <w:vAlign w:val="bottom"/>
            <w:gridSpan w:val="2"/>
          </w:tcPr>
          <w:p>
            <w:pPr>
              <w:ind w:left="120"/>
              <w:spacing w:after="0"/>
              <w:rPr>
                <w:sz w:val="20"/>
                <w:szCs w:val="20"/>
                <w:color w:val="auto"/>
              </w:rPr>
            </w:pPr>
            <w:r>
              <w:rPr>
                <w:rFonts w:ascii="Arial" w:cs="Arial" w:eastAsia="Arial" w:hAnsi="Arial"/>
                <w:sz w:val="13"/>
                <w:szCs w:val="13"/>
                <w:color w:val="auto"/>
              </w:rPr>
              <w:t>Securities purchased under agreements to resell</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119,453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119,453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119,453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ind w:left="8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46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Receivables from broker-dealers and clearing organizations</w:t>
            </w: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1,026,807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1,026,807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(24,037)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1,050,844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ind w:left="8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3"/>
        </w:trPr>
        <w:tc>
          <w:tcPr>
            <w:tcW w:w="4600" w:type="dxa"/>
            <w:vAlign w:val="bottom"/>
            <w:gridSpan w:val="2"/>
          </w:tcPr>
          <w:p>
            <w:pPr>
              <w:ind w:left="120"/>
              <w:spacing w:after="0"/>
              <w:rPr>
                <w:sz w:val="20"/>
                <w:szCs w:val="20"/>
                <w:color w:val="auto"/>
              </w:rPr>
            </w:pPr>
            <w:r>
              <w:rPr>
                <w:rFonts w:ascii="Arial" w:cs="Arial" w:eastAsia="Arial" w:hAnsi="Arial"/>
                <w:sz w:val="13"/>
                <w:szCs w:val="13"/>
                <w:color w:val="auto"/>
              </w:rPr>
              <w:t>Receivables from customers</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146,476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146,476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146,476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ind w:left="8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6"/>
        </w:trPr>
        <w:tc>
          <w:tcPr>
            <w:tcW w:w="46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Other assets (1)</w:t>
            </w: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20,266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20,266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20,266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ind w:left="8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4600" w:type="dxa"/>
            <w:vAlign w:val="bottom"/>
            <w:gridSpan w:val="2"/>
          </w:tcPr>
          <w:p>
            <w:pPr>
              <w:spacing w:after="0"/>
              <w:rPr>
                <w:sz w:val="20"/>
                <w:szCs w:val="20"/>
                <w:color w:val="auto"/>
              </w:rPr>
            </w:pPr>
            <w:r>
              <w:rPr>
                <w:rFonts w:ascii="Arial" w:cs="Arial" w:eastAsia="Arial" w:hAnsi="Arial"/>
                <w:sz w:val="13"/>
                <w:szCs w:val="13"/>
                <w:b w:val="1"/>
                <w:bCs w:val="1"/>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3,783,277</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3,783,277</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1,096,916</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2,686,361</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4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4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4600" w:type="dxa"/>
            <w:vAlign w:val="bottom"/>
            <w:gridSpan w:val="2"/>
          </w:tcPr>
          <w:p>
            <w:pPr>
              <w:spacing w:after="0"/>
              <w:rPr>
                <w:sz w:val="20"/>
                <w:szCs w:val="20"/>
                <w:color w:val="auto"/>
              </w:rPr>
            </w:pPr>
            <w:r>
              <w:rPr>
                <w:rFonts w:ascii="Arial" w:cs="Arial" w:eastAsia="Arial" w:hAnsi="Arial"/>
                <w:sz w:val="13"/>
                <w:szCs w:val="13"/>
                <w:b w:val="1"/>
                <w:bCs w:val="1"/>
                <w:color w:val="auto"/>
              </w:rPr>
              <w:t>Liabilities</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6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Short-term borrowings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61,510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63,046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63,046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ind w:left="8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3"/>
        </w:trPr>
        <w:tc>
          <w:tcPr>
            <w:tcW w:w="4600" w:type="dxa"/>
            <w:vAlign w:val="bottom"/>
            <w:gridSpan w:val="2"/>
          </w:tcPr>
          <w:p>
            <w:pPr>
              <w:ind w:left="120"/>
              <w:spacing w:after="0"/>
              <w:rPr>
                <w:sz w:val="20"/>
                <w:szCs w:val="20"/>
                <w:color w:val="auto"/>
              </w:rPr>
            </w:pPr>
            <w:r>
              <w:rPr>
                <w:rFonts w:ascii="Arial" w:cs="Arial" w:eastAsia="Arial" w:hAnsi="Arial"/>
                <w:sz w:val="13"/>
                <w:szCs w:val="13"/>
                <w:color w:val="auto"/>
              </w:rPr>
              <w:t>Long-term borrowings</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1,605,132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1,628,497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1,628,497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ind w:left="8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46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Securities loaned</w:t>
            </w: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1,142,048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1,142,048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1,142,048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ind w:left="8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3"/>
        </w:trPr>
        <w:tc>
          <w:tcPr>
            <w:tcW w:w="4600" w:type="dxa"/>
            <w:vAlign w:val="bottom"/>
            <w:gridSpan w:val="2"/>
          </w:tcPr>
          <w:p>
            <w:pPr>
              <w:ind w:left="120"/>
              <w:spacing w:after="0"/>
              <w:rPr>
                <w:sz w:val="20"/>
                <w:szCs w:val="20"/>
                <w:color w:val="auto"/>
              </w:rPr>
            </w:pPr>
            <w:r>
              <w:rPr>
                <w:rFonts w:ascii="Arial" w:cs="Arial" w:eastAsia="Arial" w:hAnsi="Arial"/>
                <w:sz w:val="13"/>
                <w:szCs w:val="13"/>
                <w:color w:val="auto"/>
              </w:rPr>
              <w:t>Securities sold under agreements to repurchase</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514,325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514,325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514,325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ind w:left="8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46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Payables to broker-dealers and clearing organizations (2)</w:t>
            </w: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571,526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571,526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571,291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ind w:left="8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3"/>
        </w:trPr>
        <w:tc>
          <w:tcPr>
            <w:tcW w:w="4600" w:type="dxa"/>
            <w:vAlign w:val="bottom"/>
            <w:gridSpan w:val="2"/>
          </w:tcPr>
          <w:p>
            <w:pPr>
              <w:ind w:left="100"/>
              <w:spacing w:after="0"/>
              <w:rPr>
                <w:sz w:val="20"/>
                <w:szCs w:val="20"/>
                <w:color w:val="auto"/>
              </w:rPr>
            </w:pPr>
            <w:r>
              <w:rPr>
                <w:rFonts w:ascii="Arial" w:cs="Arial" w:eastAsia="Arial" w:hAnsi="Arial"/>
                <w:sz w:val="13"/>
                <w:szCs w:val="13"/>
                <w:color w:val="auto"/>
              </w:rPr>
              <w:t>Payables to customers</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54,999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54,999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54,999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ind w:left="8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6"/>
        </w:trPr>
        <w:tc>
          <w:tcPr>
            <w:tcW w:w="46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Other liabilities (3)</w:t>
            </w: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9,414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9,414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9,414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ind w:left="8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4600" w:type="dxa"/>
            <w:vAlign w:val="bottom"/>
            <w:gridSpan w:val="2"/>
          </w:tcPr>
          <w:p>
            <w:pPr>
              <w:spacing w:after="0"/>
              <w:rPr>
                <w:sz w:val="20"/>
                <w:szCs w:val="20"/>
                <w:color w:val="auto"/>
              </w:rPr>
            </w:pPr>
            <w:r>
              <w:rPr>
                <w:rFonts w:ascii="Arial" w:cs="Arial" w:eastAsia="Arial" w:hAnsi="Arial"/>
                <w:sz w:val="13"/>
                <w:szCs w:val="13"/>
                <w:b w:val="1"/>
                <w:bCs w:val="1"/>
                <w:color w:val="auto"/>
              </w:rPr>
              <w:t>Total Liabilities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3,958,954</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3,983,855</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235</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3,983,620</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8" w:lineRule="exact"/>
        <w:rPr>
          <w:sz w:val="20"/>
          <w:szCs w:val="20"/>
          <w:color w:val="auto"/>
        </w:rPr>
      </w:pPr>
    </w:p>
    <w:p>
      <w:pPr>
        <w:ind w:left="240" w:hanging="170"/>
        <w:spacing w:after="0"/>
        <w:tabs>
          <w:tab w:leader="none" w:pos="240" w:val="left"/>
        </w:tabs>
        <w:numPr>
          <w:ilvl w:val="0"/>
          <w:numId w:val="36"/>
        </w:numPr>
        <w:rPr>
          <w:rFonts w:ascii="Arial" w:cs="Arial" w:eastAsia="Arial" w:hAnsi="Arial"/>
          <w:sz w:val="13"/>
          <w:szCs w:val="13"/>
          <w:color w:val="auto"/>
        </w:rPr>
      </w:pPr>
      <w:r>
        <w:rPr>
          <w:rFonts w:ascii="Arial" w:cs="Arial" w:eastAsia="Arial" w:hAnsi="Arial"/>
          <w:sz w:val="13"/>
          <w:szCs w:val="13"/>
          <w:color w:val="auto"/>
        </w:rPr>
        <w:t>Includes cash collateral and deposits, and interest and dividends receivables.</w:t>
      </w:r>
    </w:p>
    <w:p>
      <w:pPr>
        <w:spacing w:after="0" w:line="16" w:lineRule="exact"/>
        <w:rPr>
          <w:rFonts w:ascii="Arial" w:cs="Arial" w:eastAsia="Arial" w:hAnsi="Arial"/>
          <w:sz w:val="13"/>
          <w:szCs w:val="13"/>
          <w:color w:val="auto"/>
        </w:rPr>
      </w:pPr>
    </w:p>
    <w:p>
      <w:pPr>
        <w:ind w:left="240" w:hanging="170"/>
        <w:spacing w:after="0"/>
        <w:tabs>
          <w:tab w:leader="none" w:pos="240" w:val="left"/>
        </w:tabs>
        <w:numPr>
          <w:ilvl w:val="0"/>
          <w:numId w:val="36"/>
        </w:numPr>
        <w:rPr>
          <w:rFonts w:ascii="Arial" w:cs="Arial" w:eastAsia="Arial" w:hAnsi="Arial"/>
          <w:sz w:val="13"/>
          <w:szCs w:val="13"/>
          <w:color w:val="auto"/>
        </w:rPr>
      </w:pPr>
      <w:r>
        <w:rPr>
          <w:rFonts w:ascii="Arial" w:cs="Arial" w:eastAsia="Arial" w:hAnsi="Arial"/>
          <w:sz w:val="13"/>
          <w:szCs w:val="13"/>
          <w:color w:val="auto"/>
        </w:rPr>
        <w:t>Payables to broker-dealers and clearing organizations include interest rate swaps carried at fair value.</w:t>
      </w:r>
    </w:p>
    <w:p>
      <w:pPr>
        <w:spacing w:after="0" w:line="16" w:lineRule="exact"/>
        <w:rPr>
          <w:rFonts w:ascii="Arial" w:cs="Arial" w:eastAsia="Arial" w:hAnsi="Arial"/>
          <w:sz w:val="13"/>
          <w:szCs w:val="13"/>
          <w:color w:val="auto"/>
        </w:rPr>
      </w:pPr>
    </w:p>
    <w:p>
      <w:pPr>
        <w:ind w:left="240" w:hanging="170"/>
        <w:spacing w:after="0"/>
        <w:tabs>
          <w:tab w:leader="none" w:pos="240" w:val="left"/>
        </w:tabs>
        <w:numPr>
          <w:ilvl w:val="0"/>
          <w:numId w:val="36"/>
        </w:numPr>
        <w:rPr>
          <w:rFonts w:ascii="Arial" w:cs="Arial" w:eastAsia="Arial" w:hAnsi="Arial"/>
          <w:sz w:val="13"/>
          <w:szCs w:val="13"/>
          <w:color w:val="auto"/>
        </w:rPr>
      </w:pPr>
      <w:r>
        <w:rPr>
          <w:rFonts w:ascii="Arial" w:cs="Arial" w:eastAsia="Arial" w:hAnsi="Arial"/>
          <w:sz w:val="13"/>
          <w:szCs w:val="13"/>
          <w:color w:val="auto"/>
        </w:rPr>
        <w:t>Includes deposits, interest and dividends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-91440</wp:posOffset>
            </wp:positionV>
            <wp:extent cx="7073900" cy="1054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073900" cy="105410"/>
                    </a:xfrm>
                    <a:prstGeom prst="rect">
                      <a:avLst/>
                    </a:prstGeom>
                    <a:noFill/>
                  </pic:spPr>
                </pic:pic>
              </a:graphicData>
            </a:graphic>
          </wp:anchor>
        </w:drawing>
        <w:drawing>
          <wp:anchor simplePos="0" relativeHeight="251657728" behindDoc="1" locked="0" layoutInCell="0" allowOverlap="1">
            <wp:simplePos x="0" y="0"/>
            <wp:positionH relativeFrom="column">
              <wp:posOffset>34290</wp:posOffset>
            </wp:positionH>
            <wp:positionV relativeFrom="paragraph">
              <wp:posOffset>-302260</wp:posOffset>
            </wp:positionV>
            <wp:extent cx="7073900" cy="1054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073900" cy="105410"/>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108" w:name="page109"/>
    <w:bookmarkEnd w:id="10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table below summarizes financial assets and liabilities not carried at fair value on a recurring basis as of December 31, 2020:</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3"/>
                <w:szCs w:val="13"/>
                <w:b w:val="1"/>
                <w:bCs w:val="1"/>
                <w:color w:val="auto"/>
                <w:w w:val="87"/>
              </w:rPr>
              <w:t>December 31, 2020</w:t>
            </w: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9"/>
        </w:trPr>
        <w:tc>
          <w:tcPr>
            <w:tcW w:w="4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gridSpan w:val="3"/>
          </w:tcPr>
          <w:p>
            <w:pPr>
              <w:ind w:left="20"/>
              <w:spacing w:after="0"/>
              <w:rPr>
                <w:sz w:val="20"/>
                <w:szCs w:val="20"/>
                <w:color w:val="auto"/>
              </w:rPr>
            </w:pPr>
            <w:r>
              <w:rPr>
                <w:rFonts w:ascii="Arial" w:cs="Arial" w:eastAsia="Arial" w:hAnsi="Arial"/>
                <w:sz w:val="13"/>
                <w:szCs w:val="13"/>
                <w:b w:val="1"/>
                <w:bCs w:val="1"/>
                <w:color w:val="auto"/>
                <w:w w:val="94"/>
              </w:rPr>
              <w:t>Quoted Prices in Active</w:t>
            </w:r>
          </w:p>
        </w:tc>
        <w:tc>
          <w:tcPr>
            <w:tcW w:w="100" w:type="dxa"/>
            <w:vAlign w:val="bottom"/>
          </w:tcPr>
          <w:p>
            <w:pPr>
              <w:spacing w:after="0"/>
              <w:rPr>
                <w:sz w:val="23"/>
                <w:szCs w:val="23"/>
                <w:color w:val="auto"/>
              </w:rPr>
            </w:pPr>
          </w:p>
        </w:tc>
        <w:tc>
          <w:tcPr>
            <w:tcW w:w="120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7"/>
              </w:rPr>
              <w:t>Significant Other</w:t>
            </w:r>
          </w:p>
        </w:tc>
        <w:tc>
          <w:tcPr>
            <w:tcW w:w="200" w:type="dxa"/>
            <w:vAlign w:val="bottom"/>
          </w:tcPr>
          <w:p>
            <w:pPr>
              <w:spacing w:after="0"/>
              <w:rPr>
                <w:sz w:val="23"/>
                <w:szCs w:val="23"/>
                <w:color w:val="auto"/>
              </w:rPr>
            </w:pPr>
          </w:p>
        </w:tc>
        <w:tc>
          <w:tcPr>
            <w:tcW w:w="1020" w:type="dxa"/>
            <w:vAlign w:val="bottom"/>
            <w:vMerge w:val="restart"/>
          </w:tcPr>
          <w:p>
            <w:pPr>
              <w:ind w:left="120"/>
              <w:spacing w:after="0"/>
              <w:rPr>
                <w:sz w:val="20"/>
                <w:szCs w:val="20"/>
                <w:color w:val="auto"/>
              </w:rPr>
            </w:pPr>
            <w:r>
              <w:rPr>
                <w:rFonts w:ascii="Arial" w:cs="Arial" w:eastAsia="Arial" w:hAnsi="Arial"/>
                <w:sz w:val="13"/>
                <w:szCs w:val="13"/>
                <w:b w:val="1"/>
                <w:bCs w:val="1"/>
                <w:color w:val="auto"/>
              </w:rPr>
              <w:t>Significant</w:t>
            </w:r>
          </w:p>
        </w:tc>
        <w:tc>
          <w:tcPr>
            <w:tcW w:w="0" w:type="dxa"/>
            <w:vAlign w:val="bottom"/>
          </w:tcPr>
          <w:p>
            <w:pPr>
              <w:spacing w:after="0"/>
              <w:rPr>
                <w:sz w:val="1"/>
                <w:szCs w:val="1"/>
                <w:color w:val="auto"/>
              </w:rPr>
            </w:pPr>
          </w:p>
        </w:tc>
      </w:tr>
      <w:tr>
        <w:trPr>
          <w:trHeight w:val="118"/>
        </w:trPr>
        <w:tc>
          <w:tcPr>
            <w:tcW w:w="4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1"/>
              </w:rPr>
              <w:t>Markets for</w:t>
            </w:r>
          </w:p>
        </w:tc>
        <w:tc>
          <w:tcPr>
            <w:tcW w:w="1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4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4"/>
              </w:rPr>
              <w:t>Identical Assets</w:t>
            </w:r>
          </w:p>
        </w:tc>
        <w:tc>
          <w:tcPr>
            <w:tcW w:w="100" w:type="dxa"/>
            <w:vAlign w:val="bottom"/>
          </w:tcPr>
          <w:p>
            <w:pPr>
              <w:spacing w:after="0"/>
              <w:rPr>
                <w:sz w:val="14"/>
                <w:szCs w:val="14"/>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Observable Inputs</w:t>
            </w:r>
          </w:p>
        </w:tc>
        <w:tc>
          <w:tcPr>
            <w:tcW w:w="1220" w:type="dxa"/>
            <w:vAlign w:val="bottom"/>
            <w:gridSpan w:val="2"/>
          </w:tcPr>
          <w:p>
            <w:pPr>
              <w:ind w:left="40"/>
              <w:spacing w:after="0"/>
              <w:rPr>
                <w:sz w:val="20"/>
                <w:szCs w:val="20"/>
                <w:color w:val="auto"/>
              </w:rPr>
            </w:pPr>
            <w:r>
              <w:rPr>
                <w:rFonts w:ascii="Arial" w:cs="Arial" w:eastAsia="Arial" w:hAnsi="Arial"/>
                <w:sz w:val="13"/>
                <w:szCs w:val="13"/>
                <w:b w:val="1"/>
                <w:bCs w:val="1"/>
                <w:color w:val="auto"/>
                <w:w w:val="90"/>
              </w:rPr>
              <w:t>Unobservable Inputs</w:t>
            </w:r>
          </w:p>
        </w:tc>
        <w:tc>
          <w:tcPr>
            <w:tcW w:w="0" w:type="dxa"/>
            <w:vAlign w:val="bottom"/>
          </w:tcPr>
          <w:p>
            <w:pPr>
              <w:spacing w:after="0"/>
              <w:rPr>
                <w:sz w:val="1"/>
                <w:szCs w:val="1"/>
                <w:color w:val="auto"/>
              </w:rPr>
            </w:pPr>
          </w:p>
        </w:tc>
      </w:tr>
      <w:tr>
        <w:trPr>
          <w:trHeight w:val="186"/>
        </w:trPr>
        <w:tc>
          <w:tcPr>
            <w:tcW w:w="4720" w:type="dxa"/>
            <w:vAlign w:val="bottom"/>
            <w:gridSpan w:val="2"/>
          </w:tcPr>
          <w:p>
            <w:pPr>
              <w:ind w:left="40"/>
              <w:spacing w:after="0"/>
              <w:rPr>
                <w:sz w:val="20"/>
                <w:szCs w:val="20"/>
                <w:color w:val="auto"/>
              </w:rPr>
            </w:pPr>
            <w:r>
              <w:rPr>
                <w:rFonts w:ascii="Arial" w:cs="Arial" w:eastAsia="Arial" w:hAnsi="Arial"/>
                <w:sz w:val="13"/>
                <w:szCs w:val="13"/>
                <w:b w:val="1"/>
                <w:bCs w:val="1"/>
                <w:color w:val="auto"/>
              </w:rPr>
              <w:t>(in thousands)</w:t>
            </w:r>
          </w:p>
        </w:tc>
        <w:tc>
          <w:tcPr>
            <w:tcW w:w="120" w:type="dxa"/>
            <w:vAlign w:val="bottom"/>
          </w:tcPr>
          <w:p>
            <w:pPr>
              <w:spacing w:after="0"/>
              <w:rPr>
                <w:sz w:val="16"/>
                <w:szCs w:val="16"/>
                <w:color w:val="auto"/>
              </w:rPr>
            </w:pPr>
          </w:p>
        </w:tc>
        <w:tc>
          <w:tcPr>
            <w:tcW w:w="1180" w:type="dxa"/>
            <w:vAlign w:val="bottom"/>
            <w:gridSpan w:val="2"/>
          </w:tcPr>
          <w:p>
            <w:pPr>
              <w:ind w:left="60"/>
              <w:spacing w:after="0"/>
              <w:rPr>
                <w:sz w:val="20"/>
                <w:szCs w:val="20"/>
                <w:color w:val="auto"/>
              </w:rPr>
            </w:pPr>
            <w:r>
              <w:rPr>
                <w:rFonts w:ascii="Arial" w:cs="Arial" w:eastAsia="Arial" w:hAnsi="Arial"/>
                <w:sz w:val="13"/>
                <w:szCs w:val="13"/>
                <w:b w:val="1"/>
                <w:bCs w:val="1"/>
                <w:color w:val="auto"/>
              </w:rPr>
              <w:t>Carrying Value</w:t>
            </w:r>
          </w:p>
        </w:tc>
        <w:tc>
          <w:tcPr>
            <w:tcW w:w="200" w:type="dxa"/>
            <w:vAlign w:val="bottom"/>
          </w:tcPr>
          <w:p>
            <w:pPr>
              <w:spacing w:after="0"/>
              <w:rPr>
                <w:sz w:val="16"/>
                <w:szCs w:val="16"/>
                <w:color w:val="auto"/>
              </w:rPr>
            </w:pPr>
          </w:p>
        </w:tc>
        <w:tc>
          <w:tcPr>
            <w:tcW w:w="1100" w:type="dxa"/>
            <w:vAlign w:val="bottom"/>
            <w:gridSpan w:val="2"/>
          </w:tcPr>
          <w:p>
            <w:pPr>
              <w:ind w:left="120"/>
              <w:spacing w:after="0"/>
              <w:rPr>
                <w:sz w:val="20"/>
                <w:szCs w:val="20"/>
                <w:color w:val="auto"/>
              </w:rPr>
            </w:pPr>
            <w:r>
              <w:rPr>
                <w:rFonts w:ascii="Arial" w:cs="Arial" w:eastAsia="Arial" w:hAnsi="Arial"/>
                <w:sz w:val="13"/>
                <w:szCs w:val="13"/>
                <w:b w:val="1"/>
                <w:bCs w:val="1"/>
                <w:color w:val="auto"/>
              </w:rPr>
              <w:t>Fair Value</w:t>
            </w:r>
          </w:p>
        </w:tc>
        <w:tc>
          <w:tcPr>
            <w:tcW w:w="120" w:type="dxa"/>
            <w:vAlign w:val="bottom"/>
          </w:tcPr>
          <w:p>
            <w:pPr>
              <w:spacing w:after="0"/>
              <w:rPr>
                <w:sz w:val="16"/>
                <w:szCs w:val="16"/>
                <w:color w:val="auto"/>
              </w:rPr>
            </w:pPr>
          </w:p>
        </w:tc>
        <w:tc>
          <w:tcPr>
            <w:tcW w:w="1300" w:type="dxa"/>
            <w:vAlign w:val="bottom"/>
            <w:gridSpan w:val="2"/>
          </w:tcPr>
          <w:p>
            <w:pPr>
              <w:ind w:left="280"/>
              <w:spacing w:after="0"/>
              <w:rPr>
                <w:sz w:val="20"/>
                <w:szCs w:val="20"/>
                <w:color w:val="auto"/>
              </w:rPr>
            </w:pPr>
            <w:r>
              <w:rPr>
                <w:rFonts w:ascii="Arial" w:cs="Arial" w:eastAsia="Arial" w:hAnsi="Arial"/>
                <w:sz w:val="13"/>
                <w:szCs w:val="13"/>
                <w:b w:val="1"/>
                <w:bCs w:val="1"/>
                <w:color w:val="auto"/>
              </w:rPr>
              <w:t>(Level 1)</w:t>
            </w:r>
          </w:p>
        </w:tc>
        <w:tc>
          <w:tcPr>
            <w:tcW w:w="100" w:type="dxa"/>
            <w:vAlign w:val="bottom"/>
          </w:tcPr>
          <w:p>
            <w:pPr>
              <w:spacing w:after="0"/>
              <w:rPr>
                <w:sz w:val="16"/>
                <w:szCs w:val="16"/>
                <w:color w:val="auto"/>
              </w:rPr>
            </w:pPr>
          </w:p>
        </w:tc>
        <w:tc>
          <w:tcPr>
            <w:tcW w:w="1200" w:type="dxa"/>
            <w:vAlign w:val="bottom"/>
            <w:gridSpan w:val="2"/>
          </w:tcPr>
          <w:p>
            <w:pPr>
              <w:ind w:left="240"/>
              <w:spacing w:after="0"/>
              <w:rPr>
                <w:sz w:val="20"/>
                <w:szCs w:val="20"/>
                <w:color w:val="auto"/>
              </w:rPr>
            </w:pPr>
            <w:r>
              <w:rPr>
                <w:rFonts w:ascii="Arial" w:cs="Arial" w:eastAsia="Arial" w:hAnsi="Arial"/>
                <w:sz w:val="13"/>
                <w:szCs w:val="13"/>
                <w:b w:val="1"/>
                <w:bCs w:val="1"/>
                <w:color w:val="auto"/>
              </w:rPr>
              <w:t>(Level 2)</w:t>
            </w:r>
          </w:p>
        </w:tc>
        <w:tc>
          <w:tcPr>
            <w:tcW w:w="200" w:type="dxa"/>
            <w:vAlign w:val="bottom"/>
          </w:tcPr>
          <w:p>
            <w:pPr>
              <w:spacing w:after="0"/>
              <w:rPr>
                <w:sz w:val="16"/>
                <w:szCs w:val="16"/>
                <w:color w:val="auto"/>
              </w:rPr>
            </w:pPr>
          </w:p>
        </w:tc>
        <w:tc>
          <w:tcPr>
            <w:tcW w:w="1020" w:type="dxa"/>
            <w:vAlign w:val="bottom"/>
          </w:tcPr>
          <w:p>
            <w:pPr>
              <w:ind w:left="160"/>
              <w:spacing w:after="0"/>
              <w:rPr>
                <w:sz w:val="20"/>
                <w:szCs w:val="20"/>
                <w:color w:val="auto"/>
              </w:rPr>
            </w:pPr>
            <w:r>
              <w:rPr>
                <w:rFonts w:ascii="Arial" w:cs="Arial" w:eastAsia="Arial" w:hAnsi="Arial"/>
                <w:sz w:val="13"/>
                <w:szCs w:val="13"/>
                <w:b w:val="1"/>
                <w:bCs w:val="1"/>
                <w:color w:val="auto"/>
              </w:rPr>
              <w:t>(Level 3)</w:t>
            </w:r>
          </w:p>
        </w:tc>
        <w:tc>
          <w:tcPr>
            <w:tcW w:w="0" w:type="dxa"/>
            <w:vAlign w:val="bottom"/>
          </w:tcPr>
          <w:p>
            <w:pPr>
              <w:spacing w:after="0"/>
              <w:rPr>
                <w:sz w:val="1"/>
                <w:szCs w:val="1"/>
                <w:color w:val="auto"/>
              </w:rPr>
            </w:pPr>
          </w:p>
        </w:tc>
      </w:tr>
      <w:tr>
        <w:trPr>
          <w:trHeight w:val="162"/>
        </w:trPr>
        <w:tc>
          <w:tcPr>
            <w:tcW w:w="4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Assets</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720" w:type="dxa"/>
            <w:vAlign w:val="bottom"/>
            <w:gridSpan w:val="2"/>
          </w:tcPr>
          <w:p>
            <w:pPr>
              <w:ind w:left="120"/>
              <w:spacing w:after="0"/>
              <w:rPr>
                <w:sz w:val="20"/>
                <w:szCs w:val="20"/>
                <w:color w:val="auto"/>
              </w:rPr>
            </w:pPr>
            <w:r>
              <w:rPr>
                <w:rFonts w:ascii="Arial" w:cs="Arial" w:eastAsia="Arial" w:hAnsi="Arial"/>
                <w:sz w:val="13"/>
                <w:szCs w:val="13"/>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889,559</w:t>
            </w:r>
          </w:p>
        </w:tc>
        <w:tc>
          <w:tcPr>
            <w:tcW w:w="100" w:type="dxa"/>
            <w:vAlign w:val="bottom"/>
          </w:tcPr>
          <w:p>
            <w:pPr>
              <w:spacing w:after="0"/>
              <w:rPr>
                <w:sz w:val="14"/>
                <w:szCs w:val="14"/>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889,559</w:t>
            </w:r>
          </w:p>
        </w:tc>
        <w:tc>
          <w:tcPr>
            <w:tcW w:w="100" w:type="dxa"/>
            <w:vAlign w:val="bottom"/>
          </w:tcPr>
          <w:p>
            <w:pPr>
              <w:spacing w:after="0"/>
              <w:rPr>
                <w:sz w:val="14"/>
                <w:szCs w:val="14"/>
                <w:color w:val="auto"/>
              </w:rPr>
            </w:pP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889,559</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1020" w:type="dxa"/>
            <w:vAlign w:val="bottom"/>
          </w:tcPr>
          <w:p>
            <w:pPr>
              <w:ind w:left="8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47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Cash restricted or segregated under regulations and other</w:t>
            </w: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117,446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117,446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117,446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ind w:left="8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3"/>
        </w:trPr>
        <w:tc>
          <w:tcPr>
            <w:tcW w:w="4720" w:type="dxa"/>
            <w:vAlign w:val="bottom"/>
            <w:gridSpan w:val="2"/>
          </w:tcPr>
          <w:p>
            <w:pPr>
              <w:ind w:left="120"/>
              <w:spacing w:after="0"/>
              <w:rPr>
                <w:sz w:val="20"/>
                <w:szCs w:val="20"/>
                <w:color w:val="auto"/>
              </w:rPr>
            </w:pPr>
            <w:r>
              <w:rPr>
                <w:rFonts w:ascii="Arial" w:cs="Arial" w:eastAsia="Arial" w:hAnsi="Arial"/>
                <w:sz w:val="13"/>
                <w:szCs w:val="13"/>
                <w:color w:val="auto"/>
              </w:rPr>
              <w:t>Securities borrowed</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1,425,016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1,425,016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1,425,016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ind w:left="8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47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Securities purchased under agreements to resell</w:t>
            </w: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22,866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22,866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22,866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ind w:left="8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3"/>
        </w:trPr>
        <w:tc>
          <w:tcPr>
            <w:tcW w:w="4720" w:type="dxa"/>
            <w:vAlign w:val="bottom"/>
            <w:gridSpan w:val="2"/>
          </w:tcPr>
          <w:p>
            <w:pPr>
              <w:ind w:left="120"/>
              <w:spacing w:after="0"/>
              <w:rPr>
                <w:sz w:val="20"/>
                <w:szCs w:val="20"/>
                <w:color w:val="auto"/>
              </w:rPr>
            </w:pPr>
            <w:r>
              <w:rPr>
                <w:rFonts w:ascii="Arial" w:cs="Arial" w:eastAsia="Arial" w:hAnsi="Arial"/>
                <w:sz w:val="13"/>
                <w:szCs w:val="13"/>
                <w:color w:val="auto"/>
              </w:rPr>
              <w:t>Receivables from broker-dealers and clearing organizations</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1,684,006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1,684,006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173,578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1,510,428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ind w:left="8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47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Receivables from customers</w:t>
            </w: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214,478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214,478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214,478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ind w:left="8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3"/>
        </w:trPr>
        <w:tc>
          <w:tcPr>
            <w:tcW w:w="4720" w:type="dxa"/>
            <w:vAlign w:val="bottom"/>
            <w:gridSpan w:val="2"/>
          </w:tcPr>
          <w:p>
            <w:pPr>
              <w:ind w:left="120"/>
              <w:spacing w:after="0"/>
              <w:rPr>
                <w:sz w:val="20"/>
                <w:szCs w:val="20"/>
                <w:color w:val="auto"/>
              </w:rPr>
            </w:pPr>
            <w:r>
              <w:rPr>
                <w:rFonts w:ascii="Arial" w:cs="Arial" w:eastAsia="Arial" w:hAnsi="Arial"/>
                <w:sz w:val="13"/>
                <w:szCs w:val="13"/>
                <w:color w:val="auto"/>
              </w:rPr>
              <w:t>Other assets (1)</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21,735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21,735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21,735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ind w:left="8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5"/>
        </w:trPr>
        <w:tc>
          <w:tcPr>
            <w:tcW w:w="47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Total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4,375,106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4,375,106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1,180,583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3,194,523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shd w:val="clear" w:color="auto" w:fill="CCEEFF"/>
          </w:tcPr>
          <w:p>
            <w:pPr>
              <w:ind w:left="8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472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Liabilities</w:t>
            </w: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720" w:type="dxa"/>
            <w:vAlign w:val="bottom"/>
            <w:gridSpan w:val="2"/>
          </w:tcPr>
          <w:p>
            <w:pPr>
              <w:ind w:left="120"/>
              <w:spacing w:after="0"/>
              <w:rPr>
                <w:sz w:val="20"/>
                <w:szCs w:val="20"/>
                <w:color w:val="auto"/>
              </w:rPr>
            </w:pPr>
            <w:r>
              <w:rPr>
                <w:rFonts w:ascii="Arial" w:cs="Arial" w:eastAsia="Arial" w:hAnsi="Arial"/>
                <w:sz w:val="13"/>
                <w:szCs w:val="13"/>
                <w:color w:val="auto"/>
              </w:rPr>
              <w:t>Short-term borrowings</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64,686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65,073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65,073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ind w:left="8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47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Long-term borrowings</w:t>
            </w: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1,639,280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1,672,456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1,672,456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ind w:left="8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3"/>
        </w:trPr>
        <w:tc>
          <w:tcPr>
            <w:tcW w:w="4720" w:type="dxa"/>
            <w:vAlign w:val="bottom"/>
            <w:gridSpan w:val="2"/>
          </w:tcPr>
          <w:p>
            <w:pPr>
              <w:ind w:left="120"/>
              <w:spacing w:after="0"/>
              <w:rPr>
                <w:sz w:val="20"/>
                <w:szCs w:val="20"/>
                <w:color w:val="auto"/>
              </w:rPr>
            </w:pPr>
            <w:r>
              <w:rPr>
                <w:rFonts w:ascii="Arial" w:cs="Arial" w:eastAsia="Arial" w:hAnsi="Arial"/>
                <w:sz w:val="13"/>
                <w:szCs w:val="13"/>
                <w:color w:val="auto"/>
              </w:rPr>
              <w:t>Securities loaned</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948,256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948,256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948,256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ind w:left="8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47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Securities sold under agreements to repurchase</w:t>
            </w: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461,235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461,235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461,235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ind w:left="8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3"/>
        </w:trPr>
        <w:tc>
          <w:tcPr>
            <w:tcW w:w="4720" w:type="dxa"/>
            <w:vAlign w:val="bottom"/>
            <w:gridSpan w:val="2"/>
          </w:tcPr>
          <w:p>
            <w:pPr>
              <w:ind w:left="120"/>
              <w:spacing w:after="0"/>
              <w:rPr>
                <w:sz w:val="20"/>
                <w:szCs w:val="20"/>
                <w:color w:val="auto"/>
              </w:rPr>
            </w:pPr>
            <w:r>
              <w:rPr>
                <w:rFonts w:ascii="Arial" w:cs="Arial" w:eastAsia="Arial" w:hAnsi="Arial"/>
                <w:sz w:val="13"/>
                <w:szCs w:val="13"/>
                <w:color w:val="auto"/>
              </w:rPr>
              <w:t>Payables to broker dealer and clearing organizations (2)</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876,446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876,446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3,517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872,929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ind w:left="8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47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Payables to customers</w:t>
            </w: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118,826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118,826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118,826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ind w:left="8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3"/>
        </w:trPr>
        <w:tc>
          <w:tcPr>
            <w:tcW w:w="4720" w:type="dxa"/>
            <w:vAlign w:val="bottom"/>
            <w:gridSpan w:val="2"/>
          </w:tcPr>
          <w:p>
            <w:pPr>
              <w:ind w:left="100"/>
              <w:spacing w:after="0"/>
              <w:rPr>
                <w:sz w:val="20"/>
                <w:szCs w:val="20"/>
                <w:color w:val="auto"/>
              </w:rPr>
            </w:pPr>
            <w:r>
              <w:rPr>
                <w:rFonts w:ascii="Arial" w:cs="Arial" w:eastAsia="Arial" w:hAnsi="Arial"/>
                <w:sz w:val="13"/>
                <w:szCs w:val="13"/>
                <w:color w:val="auto"/>
              </w:rPr>
              <w:t>Other liabilities (3)</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9,208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9,208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9,208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ind w:left="8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4"/>
        </w:trPr>
        <w:tc>
          <w:tcPr>
            <w:tcW w:w="47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Total Liabilities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4,117,937</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4,151,500</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3,517</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4,147,983</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shd w:val="clear" w:color="auto" w:fill="CCEEFF"/>
          </w:tcPr>
          <w:p>
            <w:pPr>
              <w:ind w:left="8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ind w:left="180" w:hanging="170"/>
        <w:spacing w:after="0"/>
        <w:tabs>
          <w:tab w:leader="none" w:pos="1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Includes cash collateral and deposits, and interest and dividends receivables.</w:t>
      </w:r>
    </w:p>
    <w:p>
      <w:pPr>
        <w:spacing w:after="0" w:line="12" w:lineRule="exact"/>
        <w:rPr>
          <w:rFonts w:ascii="Arial" w:cs="Arial" w:eastAsia="Arial" w:hAnsi="Arial"/>
          <w:sz w:val="13"/>
          <w:szCs w:val="13"/>
          <w:color w:val="auto"/>
        </w:rPr>
      </w:pPr>
    </w:p>
    <w:p>
      <w:pPr>
        <w:ind w:left="180" w:hanging="170"/>
        <w:spacing w:after="0"/>
        <w:tabs>
          <w:tab w:leader="none" w:pos="1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Payables to broker-dealers and clearing organizations include interest rate swaps carried at fair value.</w:t>
      </w:r>
    </w:p>
    <w:p>
      <w:pPr>
        <w:spacing w:after="0" w:line="16" w:lineRule="exact"/>
        <w:rPr>
          <w:rFonts w:ascii="Arial" w:cs="Arial" w:eastAsia="Arial" w:hAnsi="Arial"/>
          <w:sz w:val="13"/>
          <w:szCs w:val="13"/>
          <w:color w:val="auto"/>
        </w:rPr>
      </w:pPr>
    </w:p>
    <w:p>
      <w:pPr>
        <w:ind w:left="180" w:hanging="170"/>
        <w:spacing w:after="0"/>
        <w:tabs>
          <w:tab w:leader="none" w:pos="1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Includes deposits, interest and dividends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-196850</wp:posOffset>
            </wp:positionV>
            <wp:extent cx="7149465" cy="1054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105410"/>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-294640</wp:posOffset>
            </wp:positionV>
            <wp:extent cx="4149725" cy="7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149725" cy="7620"/>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Offsetting of Financial Assets and Liabilities</w:t>
      </w:r>
    </w:p>
    <w:p>
      <w:pPr>
        <w:spacing w:after="0" w:line="219" w:lineRule="exact"/>
        <w:rPr>
          <w:sz w:val="20"/>
          <w:szCs w:val="20"/>
          <w:color w:val="auto"/>
        </w:rPr>
      </w:pPr>
    </w:p>
    <w:p>
      <w:pPr>
        <w:ind w:right="280" w:firstLine="568"/>
        <w:spacing w:after="0" w:line="252" w:lineRule="auto"/>
        <w:rPr>
          <w:sz w:val="20"/>
          <w:szCs w:val="20"/>
          <w:color w:val="auto"/>
        </w:rPr>
      </w:pPr>
      <w:r>
        <w:rPr>
          <w:rFonts w:ascii="Arial" w:cs="Arial" w:eastAsia="Arial" w:hAnsi="Arial"/>
          <w:sz w:val="16"/>
          <w:szCs w:val="16"/>
          <w:color w:val="auto"/>
        </w:rPr>
        <w:t>The Company does not net securities borrowed and securities loaned, or securities purchased under agreements to resell and securities sold under agreements to repurchase. These financial instruments are presented on a gross basis in the Consolidated Statements of Financial Condition. In the tables below, the amounts of financial instruments owned that are not offset in the Consolidated Statements of Financial Condition, but could be netted against financial liabilities with specific counterparties under legally enforceable master netting agreements in the event of default, are presented to provide financial statement readers with the Company’s estimate of its net exposure to counterparties for these financial instruments.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109" w:name="page110"/>
    <w:bookmarkEnd w:id="10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The following tables set forth the gross and net presentation of certain financial assets and financial liabilities as of December 31, 2021 and December 31, 2020:</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2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17"/>
              <w:spacing w:after="0"/>
              <w:rPr>
                <w:sz w:val="20"/>
                <w:szCs w:val="20"/>
                <w:color w:val="auto"/>
              </w:rPr>
            </w:pPr>
            <w:r>
              <w:rPr>
                <w:rFonts w:ascii="Arial" w:cs="Arial" w:eastAsia="Arial" w:hAnsi="Arial"/>
                <w:sz w:val="13"/>
                <w:szCs w:val="13"/>
                <w:b w:val="1"/>
                <w:bCs w:val="1"/>
                <w:color w:val="auto"/>
              </w:rPr>
              <w:t>December 31, 2021</w:t>
            </w:r>
          </w:p>
        </w:tc>
        <w:tc>
          <w:tcPr>
            <w:tcW w:w="1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0"/>
        </w:trPr>
        <w:tc>
          <w:tcPr>
            <w:tcW w:w="2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0" w:type="dxa"/>
            <w:vAlign w:val="bottom"/>
            <w:gridSpan w:val="5"/>
          </w:tcPr>
          <w:p>
            <w:pPr>
              <w:jc w:val="center"/>
              <w:ind w:right="260"/>
              <w:spacing w:after="0"/>
              <w:rPr>
                <w:sz w:val="20"/>
                <w:szCs w:val="20"/>
                <w:color w:val="auto"/>
              </w:rPr>
            </w:pPr>
            <w:r>
              <w:rPr>
                <w:rFonts w:ascii="Arial" w:cs="Arial" w:eastAsia="Arial" w:hAnsi="Arial"/>
                <w:sz w:val="13"/>
                <w:szCs w:val="13"/>
                <w:b w:val="1"/>
                <w:bCs w:val="1"/>
                <w:color w:val="auto"/>
                <w:w w:val="86"/>
              </w:rPr>
              <w:t>Amounts Not Offset in the Consolidated</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5"/>
              </w:rPr>
              <w:t>Net Amounts of Assets</w:t>
            </w:r>
          </w:p>
        </w:tc>
        <w:tc>
          <w:tcPr>
            <w:tcW w:w="160" w:type="dxa"/>
            <w:vAlign w:val="bottom"/>
          </w:tcPr>
          <w:p>
            <w:pPr>
              <w:spacing w:after="0"/>
              <w:rPr>
                <w:sz w:val="14"/>
                <w:szCs w:val="14"/>
                <w:color w:val="auto"/>
              </w:rPr>
            </w:pPr>
          </w:p>
        </w:tc>
        <w:tc>
          <w:tcPr>
            <w:tcW w:w="2600" w:type="dxa"/>
            <w:vAlign w:val="bottom"/>
            <w:gridSpan w:val="5"/>
          </w:tcPr>
          <w:p>
            <w:pPr>
              <w:jc w:val="center"/>
              <w:ind w:right="280"/>
              <w:spacing w:after="0"/>
              <w:rPr>
                <w:sz w:val="20"/>
                <w:szCs w:val="20"/>
                <w:color w:val="auto"/>
              </w:rPr>
            </w:pPr>
            <w:r>
              <w:rPr>
                <w:rFonts w:ascii="Arial" w:cs="Arial" w:eastAsia="Arial" w:hAnsi="Arial"/>
                <w:sz w:val="13"/>
                <w:szCs w:val="13"/>
                <w:b w:val="1"/>
                <w:bCs w:val="1"/>
                <w:color w:val="auto"/>
                <w:w w:val="87"/>
              </w:rPr>
              <w:t>Statements of Financial Condition</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2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8"/>
              </w:rPr>
              <w:t>Amounts Offset in the</w:t>
            </w:r>
          </w:p>
        </w:tc>
        <w:tc>
          <w:tcPr>
            <w:tcW w:w="120" w:type="dxa"/>
            <w:vAlign w:val="bottom"/>
          </w:tcPr>
          <w:p>
            <w:pPr>
              <w:spacing w:after="0"/>
              <w:rPr>
                <w:sz w:val="3"/>
                <w:szCs w:val="3"/>
                <w:color w:val="auto"/>
              </w:rPr>
            </w:pPr>
          </w:p>
        </w:tc>
        <w:tc>
          <w:tcPr>
            <w:tcW w:w="1500" w:type="dxa"/>
            <w:vAlign w:val="bottom"/>
            <w:gridSpan w:val="2"/>
            <w:vMerge w:val="continue"/>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12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10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8"/>
        </w:trPr>
        <w:tc>
          <w:tcPr>
            <w:tcW w:w="2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4"/>
              </w:rPr>
              <w:t>Gross Amounts of</w:t>
            </w:r>
          </w:p>
        </w:tc>
        <w:tc>
          <w:tcPr>
            <w:tcW w:w="1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84"/>
              </w:rPr>
              <w:t>Presented in the</w:t>
            </w:r>
          </w:p>
        </w:tc>
        <w:tc>
          <w:tcPr>
            <w:tcW w:w="1400" w:type="dxa"/>
            <w:vAlign w:val="bottom"/>
            <w:gridSpan w:val="3"/>
            <w:vMerge w:val="restart"/>
          </w:tcPr>
          <w:p>
            <w:pPr>
              <w:jc w:val="center"/>
              <w:ind w:right="140"/>
              <w:spacing w:after="0"/>
              <w:rPr>
                <w:sz w:val="20"/>
                <w:szCs w:val="20"/>
                <w:color w:val="auto"/>
              </w:rPr>
            </w:pPr>
            <w:r>
              <w:rPr>
                <w:rFonts w:ascii="Arial" w:cs="Arial" w:eastAsia="Arial" w:hAnsi="Arial"/>
                <w:sz w:val="13"/>
                <w:szCs w:val="13"/>
                <w:b w:val="1"/>
                <w:bCs w:val="1"/>
                <w:color w:val="auto"/>
                <w:w w:val="89"/>
              </w:rPr>
              <w:t>Financial Instrument</w:t>
            </w:r>
          </w:p>
        </w:tc>
        <w:tc>
          <w:tcPr>
            <w:tcW w:w="136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w w:val="98"/>
              </w:rPr>
              <w:t>Counterparty Netting/</w:t>
            </w: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7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(in thousands)</w:t>
            </w:r>
          </w:p>
        </w:tc>
        <w:tc>
          <w:tcPr>
            <w:tcW w:w="10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1640" w:type="dxa"/>
            <w:vAlign w:val="bottom"/>
            <w:gridSpan w:val="3"/>
          </w:tcPr>
          <w:p>
            <w:pPr>
              <w:jc w:val="center"/>
              <w:ind w:right="120"/>
              <w:spacing w:after="0" w:line="119" w:lineRule="exact"/>
              <w:rPr>
                <w:sz w:val="20"/>
                <w:szCs w:val="20"/>
                <w:color w:val="auto"/>
              </w:rPr>
            </w:pPr>
            <w:r>
              <w:rPr>
                <w:rFonts w:ascii="Arial" w:cs="Arial" w:eastAsia="Arial" w:hAnsi="Arial"/>
                <w:sz w:val="13"/>
                <w:szCs w:val="13"/>
                <w:b w:val="1"/>
                <w:bCs w:val="1"/>
                <w:color w:val="auto"/>
                <w:w w:val="86"/>
              </w:rPr>
              <w:t>Consolidated Statements of</w:t>
            </w:r>
          </w:p>
        </w:tc>
        <w:tc>
          <w:tcPr>
            <w:tcW w:w="162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w w:val="91"/>
              </w:rPr>
              <w:t>Consolidated Statements of</w:t>
            </w:r>
          </w:p>
        </w:tc>
        <w:tc>
          <w:tcPr>
            <w:tcW w:w="1400" w:type="dxa"/>
            <w:vAlign w:val="bottom"/>
            <w:gridSpan w:val="3"/>
            <w:vMerge w:val="continue"/>
          </w:tcPr>
          <w:p>
            <w:pPr>
              <w:spacing w:after="0"/>
              <w:rPr>
                <w:sz w:val="10"/>
                <w:szCs w:val="10"/>
                <w:color w:val="auto"/>
              </w:rPr>
            </w:pPr>
          </w:p>
        </w:tc>
        <w:tc>
          <w:tcPr>
            <w:tcW w:w="136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vMerge w:val="restart"/>
          </w:tcPr>
          <w:p>
            <w:pPr>
              <w:jc w:val="right"/>
              <w:ind w:right="137"/>
              <w:spacing w:after="0"/>
              <w:rPr>
                <w:sz w:val="20"/>
                <w:szCs w:val="20"/>
                <w:color w:val="auto"/>
              </w:rPr>
            </w:pPr>
            <w:r>
              <w:rPr>
                <w:rFonts w:ascii="Arial" w:cs="Arial" w:eastAsia="Arial" w:hAnsi="Arial"/>
                <w:sz w:val="13"/>
                <w:szCs w:val="13"/>
                <w:b w:val="1"/>
                <w:bCs w:val="1"/>
                <w:color w:val="auto"/>
                <w:w w:val="94"/>
              </w:rPr>
              <w:t>Net Amount</w:t>
            </w:r>
          </w:p>
        </w:tc>
        <w:tc>
          <w:tcPr>
            <w:tcW w:w="0" w:type="dxa"/>
            <w:vAlign w:val="bottom"/>
          </w:tcPr>
          <w:p>
            <w:pPr>
              <w:spacing w:after="0"/>
              <w:rPr>
                <w:sz w:val="1"/>
                <w:szCs w:val="1"/>
                <w:color w:val="auto"/>
              </w:rPr>
            </w:pPr>
          </w:p>
        </w:tc>
      </w:tr>
      <w:tr>
        <w:trPr>
          <w:trHeight w:val="165"/>
        </w:trPr>
        <w:tc>
          <w:tcPr>
            <w:tcW w:w="27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3"/>
              </w:rPr>
              <w:t>Recognized Assets</w:t>
            </w:r>
          </w:p>
        </w:tc>
        <w:tc>
          <w:tcPr>
            <w:tcW w:w="120" w:type="dxa"/>
            <w:vAlign w:val="bottom"/>
          </w:tcPr>
          <w:p>
            <w:pPr>
              <w:spacing w:after="0"/>
              <w:rPr>
                <w:sz w:val="14"/>
                <w:szCs w:val="14"/>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Financial Condition</w:t>
            </w:r>
          </w:p>
        </w:tc>
        <w:tc>
          <w:tcPr>
            <w:tcW w:w="120" w:type="dxa"/>
            <w:vAlign w:val="bottom"/>
          </w:tcPr>
          <w:p>
            <w:pPr>
              <w:spacing w:after="0"/>
              <w:rPr>
                <w:sz w:val="14"/>
                <w:szCs w:val="14"/>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Financial Condition</w:t>
            </w:r>
          </w:p>
        </w:tc>
        <w:tc>
          <w:tcPr>
            <w:tcW w:w="16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1"/>
              </w:rPr>
              <w:t>Collateral</w:t>
            </w:r>
          </w:p>
        </w:tc>
        <w:tc>
          <w:tcPr>
            <w:tcW w:w="14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3"/>
                <w:szCs w:val="13"/>
                <w:b w:val="1"/>
                <w:bCs w:val="1"/>
                <w:color w:val="auto"/>
              </w:rPr>
              <w:t>Cash Collateral</w:t>
            </w:r>
          </w:p>
        </w:tc>
        <w:tc>
          <w:tcPr>
            <w:tcW w:w="1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Offsetting of Financial Assets:</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4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4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720" w:type="dxa"/>
            <w:vAlign w:val="bottom"/>
            <w:gridSpan w:val="2"/>
          </w:tcPr>
          <w:p>
            <w:pPr>
              <w:ind w:left="100"/>
              <w:spacing w:after="0"/>
              <w:rPr>
                <w:sz w:val="20"/>
                <w:szCs w:val="20"/>
                <w:color w:val="auto"/>
              </w:rPr>
            </w:pPr>
            <w:r>
              <w:rPr>
                <w:rFonts w:ascii="Arial" w:cs="Arial" w:eastAsia="Arial" w:hAnsi="Arial"/>
                <w:sz w:val="13"/>
                <w:szCs w:val="13"/>
                <w:color w:val="auto"/>
              </w:rPr>
              <w:t>Securities borrowed</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1,349,322</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520" w:type="dxa"/>
            <w:vAlign w:val="bottom"/>
            <w:gridSpan w:val="2"/>
          </w:tcPr>
          <w:p>
            <w:pPr>
              <w:ind w:left="1240"/>
              <w:spacing w:after="0"/>
              <w:rPr>
                <w:sz w:val="20"/>
                <w:szCs w:val="20"/>
                <w:color w:val="auto"/>
              </w:rPr>
            </w:pPr>
            <w:r>
              <w:rPr>
                <w:rFonts w:ascii="Arial" w:cs="Arial" w:eastAsia="Arial" w:hAnsi="Arial"/>
                <w:sz w:val="13"/>
                <w:szCs w:val="13"/>
                <w:color w:val="auto"/>
              </w:rPr>
              <w:t>—</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1400" w:type="dxa"/>
            <w:vAlign w:val="bottom"/>
          </w:tcPr>
          <w:p>
            <w:pPr>
              <w:jc w:val="right"/>
              <w:spacing w:after="0"/>
              <w:rPr>
                <w:sz w:val="20"/>
                <w:szCs w:val="20"/>
                <w:color w:val="auto"/>
              </w:rPr>
            </w:pPr>
            <w:r>
              <w:rPr>
                <w:rFonts w:ascii="Arial" w:cs="Arial" w:eastAsia="Arial" w:hAnsi="Arial"/>
                <w:sz w:val="13"/>
                <w:szCs w:val="13"/>
                <w:color w:val="auto"/>
              </w:rPr>
              <w:t>1,349,322</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(1,299,270)</w:t>
            </w:r>
          </w:p>
        </w:tc>
        <w:tc>
          <w:tcPr>
            <w:tcW w:w="12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(5,054)</w:t>
            </w:r>
          </w:p>
        </w:tc>
        <w:tc>
          <w:tcPr>
            <w:tcW w:w="120" w:type="dxa"/>
            <w:vAlign w:val="bottom"/>
          </w:tcPr>
          <w:p>
            <w:pPr>
              <w:spacing w:after="0"/>
              <w:rPr>
                <w:sz w:val="14"/>
                <w:szCs w:val="14"/>
                <w:color w:val="auto"/>
              </w:rPr>
            </w:pP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44,998</w:t>
            </w:r>
          </w:p>
        </w:tc>
        <w:tc>
          <w:tcPr>
            <w:tcW w:w="0" w:type="dxa"/>
            <w:vAlign w:val="bottom"/>
          </w:tcPr>
          <w:p>
            <w:pPr>
              <w:spacing w:after="0"/>
              <w:rPr>
                <w:sz w:val="1"/>
                <w:szCs w:val="1"/>
                <w:color w:val="auto"/>
              </w:rPr>
            </w:pPr>
          </w:p>
        </w:tc>
      </w:tr>
      <w:tr>
        <w:trPr>
          <w:trHeight w:val="168"/>
        </w:trPr>
        <w:tc>
          <w:tcPr>
            <w:tcW w:w="27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w w:val="92"/>
              </w:rPr>
              <w:t>Securities purchased under agreements to resell</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119,453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ind w:left="1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119,453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(119,453)</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3"/>
        </w:trPr>
        <w:tc>
          <w:tcPr>
            <w:tcW w:w="2720" w:type="dxa"/>
            <w:vAlign w:val="bottom"/>
            <w:gridSpan w:val="2"/>
          </w:tcPr>
          <w:p>
            <w:pPr>
              <w:ind w:left="100"/>
              <w:spacing w:after="0"/>
              <w:rPr>
                <w:sz w:val="20"/>
                <w:szCs w:val="20"/>
                <w:color w:val="auto"/>
              </w:rPr>
            </w:pPr>
            <w:r>
              <w:rPr>
                <w:rFonts w:ascii="Arial" w:cs="Arial" w:eastAsia="Arial" w:hAnsi="Arial"/>
                <w:sz w:val="13"/>
                <w:szCs w:val="13"/>
                <w:color w:val="auto"/>
              </w:rPr>
              <w:t>Trading assets, at fair value:</w:t>
            </w: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7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Currency forwards</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206,258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20" w:type="dxa"/>
            <w:vAlign w:val="bottom"/>
            <w:shd w:val="clear" w:color="auto" w:fill="CCEEFF"/>
          </w:tcPr>
          <w:p>
            <w:pPr>
              <w:ind w:left="900"/>
              <w:spacing w:after="0"/>
              <w:rPr>
                <w:sz w:val="20"/>
                <w:szCs w:val="20"/>
                <w:color w:val="auto"/>
              </w:rPr>
            </w:pPr>
            <w:r>
              <w:rPr>
                <w:rFonts w:ascii="Arial" w:cs="Arial" w:eastAsia="Arial" w:hAnsi="Arial"/>
                <w:sz w:val="13"/>
                <w:szCs w:val="13"/>
                <w:color w:val="auto"/>
                <w:w w:val="89"/>
              </w:rPr>
              <w:t>(206,125)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ind w:left="9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w:t>
            </w:r>
          </w:p>
        </w:tc>
        <w:tc>
          <w:tcPr>
            <w:tcW w:w="0" w:type="dxa"/>
            <w:vAlign w:val="bottom"/>
          </w:tcPr>
          <w:p>
            <w:pPr>
              <w:spacing w:after="0"/>
              <w:rPr>
                <w:sz w:val="1"/>
                <w:szCs w:val="1"/>
                <w:color w:val="auto"/>
              </w:rPr>
            </w:pPr>
          </w:p>
        </w:tc>
      </w:tr>
      <w:tr>
        <w:trPr>
          <w:trHeight w:val="163"/>
        </w:trPr>
        <w:tc>
          <w:tcPr>
            <w:tcW w:w="2720" w:type="dxa"/>
            <w:vAlign w:val="bottom"/>
            <w:gridSpan w:val="2"/>
          </w:tcPr>
          <w:p>
            <w:pPr>
              <w:ind w:left="180"/>
              <w:spacing w:after="0"/>
              <w:rPr>
                <w:sz w:val="20"/>
                <w:szCs w:val="20"/>
                <w:color w:val="auto"/>
              </w:rPr>
            </w:pPr>
            <w:r>
              <w:rPr>
                <w:rFonts w:ascii="Arial" w:cs="Arial" w:eastAsia="Arial" w:hAnsi="Arial"/>
                <w:sz w:val="13"/>
                <w:szCs w:val="13"/>
                <w:color w:val="auto"/>
              </w:rPr>
              <w:t>Options</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8,543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ind w:left="1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400" w:type="dxa"/>
            <w:vAlign w:val="bottom"/>
          </w:tcPr>
          <w:p>
            <w:pPr>
              <w:jc w:val="right"/>
              <w:ind w:right="17"/>
              <w:spacing w:after="0"/>
              <w:rPr>
                <w:sz w:val="20"/>
                <w:szCs w:val="20"/>
                <w:color w:val="auto"/>
              </w:rPr>
            </w:pPr>
            <w:r>
              <w:rPr>
                <w:rFonts w:ascii="Arial" w:cs="Arial" w:eastAsia="Arial" w:hAnsi="Arial"/>
                <w:sz w:val="13"/>
                <w:szCs w:val="13"/>
                <w:color w:val="auto"/>
              </w:rPr>
              <w:t>8,543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ind w:left="9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(5,208)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3,335</w:t>
            </w:r>
          </w:p>
        </w:tc>
        <w:tc>
          <w:tcPr>
            <w:tcW w:w="0" w:type="dxa"/>
            <w:vAlign w:val="bottom"/>
          </w:tcPr>
          <w:p>
            <w:pPr>
              <w:spacing w:after="0"/>
              <w:rPr>
                <w:sz w:val="1"/>
                <w:szCs w:val="1"/>
                <w:color w:val="auto"/>
              </w:rPr>
            </w:pPr>
          </w:p>
        </w:tc>
      </w:tr>
      <w:tr>
        <w:trPr>
          <w:trHeight w:val="185"/>
        </w:trPr>
        <w:tc>
          <w:tcPr>
            <w:tcW w:w="27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1,683,576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2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3"/>
                <w:szCs w:val="13"/>
                <w:color w:val="auto"/>
                <w:w w:val="89"/>
              </w:rPr>
              <w:t>(206,125)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1,477,451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(1,418,723)</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(10,262)</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48,466</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9"/>
        </w:trPr>
        <w:tc>
          <w:tcPr>
            <w:tcW w:w="2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0" w:type="dxa"/>
            <w:vAlign w:val="bottom"/>
            <w:gridSpan w:val="5"/>
          </w:tcPr>
          <w:p>
            <w:pPr>
              <w:jc w:val="center"/>
              <w:ind w:right="260"/>
              <w:spacing w:after="0"/>
              <w:rPr>
                <w:sz w:val="20"/>
                <w:szCs w:val="20"/>
                <w:color w:val="auto"/>
              </w:rPr>
            </w:pPr>
            <w:r>
              <w:rPr>
                <w:rFonts w:ascii="Arial" w:cs="Arial" w:eastAsia="Arial" w:hAnsi="Arial"/>
                <w:sz w:val="13"/>
                <w:szCs w:val="13"/>
                <w:b w:val="1"/>
                <w:bCs w:val="1"/>
                <w:color w:val="auto"/>
                <w:w w:val="86"/>
              </w:rPr>
              <w:t>Amounts Not Offset in the Consolidated</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3"/>
            <w:vMerge w:val="restart"/>
          </w:tcPr>
          <w:p>
            <w:pPr>
              <w:jc w:val="center"/>
              <w:ind w:right="120"/>
              <w:spacing w:after="0"/>
              <w:rPr>
                <w:sz w:val="20"/>
                <w:szCs w:val="20"/>
                <w:color w:val="auto"/>
              </w:rPr>
            </w:pPr>
            <w:r>
              <w:rPr>
                <w:rFonts w:ascii="Arial" w:cs="Arial" w:eastAsia="Arial" w:hAnsi="Arial"/>
                <w:sz w:val="13"/>
                <w:szCs w:val="13"/>
                <w:b w:val="1"/>
                <w:bCs w:val="1"/>
                <w:color w:val="auto"/>
                <w:w w:val="88"/>
              </w:rPr>
              <w:t>Net Amounts of Liabilities</w:t>
            </w:r>
          </w:p>
        </w:tc>
        <w:tc>
          <w:tcPr>
            <w:tcW w:w="160" w:type="dxa"/>
            <w:vAlign w:val="bottom"/>
          </w:tcPr>
          <w:p>
            <w:pPr>
              <w:spacing w:after="0"/>
              <w:rPr>
                <w:sz w:val="14"/>
                <w:szCs w:val="14"/>
                <w:color w:val="auto"/>
              </w:rPr>
            </w:pPr>
          </w:p>
        </w:tc>
        <w:tc>
          <w:tcPr>
            <w:tcW w:w="2600" w:type="dxa"/>
            <w:vAlign w:val="bottom"/>
            <w:gridSpan w:val="5"/>
          </w:tcPr>
          <w:p>
            <w:pPr>
              <w:jc w:val="center"/>
              <w:ind w:right="280"/>
              <w:spacing w:after="0"/>
              <w:rPr>
                <w:sz w:val="20"/>
                <w:szCs w:val="20"/>
                <w:color w:val="auto"/>
              </w:rPr>
            </w:pPr>
            <w:r>
              <w:rPr>
                <w:rFonts w:ascii="Arial" w:cs="Arial" w:eastAsia="Arial" w:hAnsi="Arial"/>
                <w:sz w:val="13"/>
                <w:szCs w:val="13"/>
                <w:b w:val="1"/>
                <w:bCs w:val="1"/>
                <w:color w:val="auto"/>
                <w:w w:val="87"/>
              </w:rPr>
              <w:t>Statements of Financial Condition</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2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8"/>
              </w:rPr>
              <w:t>Amounts Offset in the</w:t>
            </w:r>
          </w:p>
        </w:tc>
        <w:tc>
          <w:tcPr>
            <w:tcW w:w="1620" w:type="dxa"/>
            <w:vAlign w:val="bottom"/>
            <w:gridSpan w:val="3"/>
            <w:vMerge w:val="continue"/>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12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10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8"/>
        </w:trPr>
        <w:tc>
          <w:tcPr>
            <w:tcW w:w="2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4"/>
              </w:rPr>
              <w:t>Gross Amounts of</w:t>
            </w:r>
          </w:p>
        </w:tc>
        <w:tc>
          <w:tcPr>
            <w:tcW w:w="1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84"/>
              </w:rPr>
              <w:t>Presented in the</w:t>
            </w:r>
          </w:p>
        </w:tc>
        <w:tc>
          <w:tcPr>
            <w:tcW w:w="1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w w:val="98"/>
              </w:rPr>
              <w:t>Counterparty Netting/</w:t>
            </w: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7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(in thousands)</w:t>
            </w:r>
          </w:p>
        </w:tc>
        <w:tc>
          <w:tcPr>
            <w:tcW w:w="10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1640" w:type="dxa"/>
            <w:vAlign w:val="bottom"/>
            <w:gridSpan w:val="3"/>
          </w:tcPr>
          <w:p>
            <w:pPr>
              <w:jc w:val="center"/>
              <w:ind w:right="120"/>
              <w:spacing w:after="0" w:line="119" w:lineRule="exact"/>
              <w:rPr>
                <w:sz w:val="20"/>
                <w:szCs w:val="20"/>
                <w:color w:val="auto"/>
              </w:rPr>
            </w:pPr>
            <w:r>
              <w:rPr>
                <w:rFonts w:ascii="Arial" w:cs="Arial" w:eastAsia="Arial" w:hAnsi="Arial"/>
                <w:sz w:val="13"/>
                <w:szCs w:val="13"/>
                <w:b w:val="1"/>
                <w:bCs w:val="1"/>
                <w:color w:val="auto"/>
                <w:w w:val="86"/>
              </w:rPr>
              <w:t>Consolidated Statements of</w:t>
            </w:r>
          </w:p>
        </w:tc>
        <w:tc>
          <w:tcPr>
            <w:tcW w:w="1620" w:type="dxa"/>
            <w:vAlign w:val="bottom"/>
            <w:gridSpan w:val="3"/>
          </w:tcPr>
          <w:p>
            <w:pPr>
              <w:jc w:val="center"/>
              <w:ind w:right="120"/>
              <w:spacing w:after="0" w:line="119" w:lineRule="exact"/>
              <w:rPr>
                <w:sz w:val="20"/>
                <w:szCs w:val="20"/>
                <w:color w:val="auto"/>
              </w:rPr>
            </w:pPr>
            <w:r>
              <w:rPr>
                <w:rFonts w:ascii="Arial" w:cs="Arial" w:eastAsia="Arial" w:hAnsi="Arial"/>
                <w:sz w:val="13"/>
                <w:szCs w:val="13"/>
                <w:b w:val="1"/>
                <w:bCs w:val="1"/>
                <w:color w:val="auto"/>
                <w:w w:val="86"/>
              </w:rPr>
              <w:t>Consolidated Statement of</w:t>
            </w:r>
          </w:p>
        </w:tc>
        <w:tc>
          <w:tcPr>
            <w:tcW w:w="140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Financial Instruments</w:t>
            </w:r>
          </w:p>
        </w:tc>
        <w:tc>
          <w:tcPr>
            <w:tcW w:w="136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vMerge w:val="restart"/>
          </w:tcPr>
          <w:p>
            <w:pPr>
              <w:jc w:val="right"/>
              <w:ind w:right="157"/>
              <w:spacing w:after="0"/>
              <w:rPr>
                <w:sz w:val="20"/>
                <w:szCs w:val="20"/>
                <w:color w:val="auto"/>
              </w:rPr>
            </w:pPr>
            <w:r>
              <w:rPr>
                <w:rFonts w:ascii="Arial" w:cs="Arial" w:eastAsia="Arial" w:hAnsi="Arial"/>
                <w:sz w:val="13"/>
                <w:szCs w:val="13"/>
                <w:b w:val="1"/>
                <w:bCs w:val="1"/>
                <w:color w:val="auto"/>
                <w:w w:val="92"/>
              </w:rPr>
              <w:t>Net Amount</w:t>
            </w:r>
          </w:p>
        </w:tc>
        <w:tc>
          <w:tcPr>
            <w:tcW w:w="0" w:type="dxa"/>
            <w:vAlign w:val="bottom"/>
          </w:tcPr>
          <w:p>
            <w:pPr>
              <w:spacing w:after="0"/>
              <w:rPr>
                <w:sz w:val="1"/>
                <w:szCs w:val="1"/>
                <w:color w:val="auto"/>
              </w:rPr>
            </w:pPr>
          </w:p>
        </w:tc>
      </w:tr>
      <w:tr>
        <w:trPr>
          <w:trHeight w:val="165"/>
        </w:trPr>
        <w:tc>
          <w:tcPr>
            <w:tcW w:w="2720" w:type="dxa"/>
            <w:vAlign w:val="bottom"/>
            <w:gridSpan w:val="2"/>
            <w:vMerge w:val="continue"/>
          </w:tcPr>
          <w:p>
            <w:pPr>
              <w:spacing w:after="0"/>
              <w:rPr>
                <w:sz w:val="14"/>
                <w:szCs w:val="14"/>
                <w:color w:val="auto"/>
              </w:rPr>
            </w:pPr>
          </w:p>
        </w:tc>
        <w:tc>
          <w:tcPr>
            <w:tcW w:w="140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7"/>
              </w:rPr>
              <w:t>Recognized Liabilities</w:t>
            </w:r>
          </w:p>
        </w:tc>
        <w:tc>
          <w:tcPr>
            <w:tcW w:w="120" w:type="dxa"/>
            <w:vAlign w:val="bottom"/>
          </w:tcPr>
          <w:p>
            <w:pPr>
              <w:spacing w:after="0"/>
              <w:rPr>
                <w:sz w:val="14"/>
                <w:szCs w:val="14"/>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Financial Condition</w:t>
            </w:r>
          </w:p>
        </w:tc>
        <w:tc>
          <w:tcPr>
            <w:tcW w:w="120" w:type="dxa"/>
            <w:vAlign w:val="bottom"/>
          </w:tcPr>
          <w:p>
            <w:pPr>
              <w:spacing w:after="0"/>
              <w:rPr>
                <w:sz w:val="14"/>
                <w:szCs w:val="14"/>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Financial Condition</w:t>
            </w:r>
          </w:p>
        </w:tc>
        <w:tc>
          <w:tcPr>
            <w:tcW w:w="14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3"/>
                <w:szCs w:val="13"/>
                <w:b w:val="1"/>
                <w:bCs w:val="1"/>
                <w:color w:val="auto"/>
              </w:rPr>
              <w:t>Cash Collateral</w:t>
            </w:r>
          </w:p>
        </w:tc>
        <w:tc>
          <w:tcPr>
            <w:tcW w:w="1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Offsetting of Financial Liabilities:</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4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4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720" w:type="dxa"/>
            <w:vAlign w:val="bottom"/>
            <w:gridSpan w:val="2"/>
          </w:tcPr>
          <w:p>
            <w:pPr>
              <w:ind w:left="100"/>
              <w:spacing w:after="0"/>
              <w:rPr>
                <w:sz w:val="20"/>
                <w:szCs w:val="20"/>
                <w:color w:val="auto"/>
              </w:rPr>
            </w:pPr>
            <w:r>
              <w:rPr>
                <w:rFonts w:ascii="Arial" w:cs="Arial" w:eastAsia="Arial" w:hAnsi="Arial"/>
                <w:sz w:val="13"/>
                <w:szCs w:val="13"/>
                <w:color w:val="auto"/>
              </w:rPr>
              <w:t>Securities loaned</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1,142,048</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520" w:type="dxa"/>
            <w:vAlign w:val="bottom"/>
            <w:gridSpan w:val="2"/>
          </w:tcPr>
          <w:p>
            <w:pPr>
              <w:ind w:left="1240"/>
              <w:spacing w:after="0"/>
              <w:rPr>
                <w:sz w:val="20"/>
                <w:szCs w:val="20"/>
                <w:color w:val="auto"/>
              </w:rPr>
            </w:pPr>
            <w:r>
              <w:rPr>
                <w:rFonts w:ascii="Arial" w:cs="Arial" w:eastAsia="Arial" w:hAnsi="Arial"/>
                <w:sz w:val="13"/>
                <w:szCs w:val="13"/>
                <w:color w:val="auto"/>
              </w:rPr>
              <w:t>—</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1400" w:type="dxa"/>
            <w:vAlign w:val="bottom"/>
          </w:tcPr>
          <w:p>
            <w:pPr>
              <w:jc w:val="right"/>
              <w:spacing w:after="0"/>
              <w:rPr>
                <w:sz w:val="20"/>
                <w:szCs w:val="20"/>
                <w:color w:val="auto"/>
              </w:rPr>
            </w:pPr>
            <w:r>
              <w:rPr>
                <w:rFonts w:ascii="Arial" w:cs="Arial" w:eastAsia="Arial" w:hAnsi="Arial"/>
                <w:sz w:val="13"/>
                <w:szCs w:val="13"/>
                <w:color w:val="auto"/>
              </w:rPr>
              <w:t>1,142,048</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(1,107,688)</w:t>
            </w:r>
          </w:p>
        </w:tc>
        <w:tc>
          <w:tcPr>
            <w:tcW w:w="12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(17,272)</w:t>
            </w:r>
          </w:p>
        </w:tc>
        <w:tc>
          <w:tcPr>
            <w:tcW w:w="120" w:type="dxa"/>
            <w:vAlign w:val="bottom"/>
          </w:tcPr>
          <w:p>
            <w:pPr>
              <w:spacing w:after="0"/>
              <w:rPr>
                <w:sz w:val="14"/>
                <w:szCs w:val="14"/>
                <w:color w:val="auto"/>
              </w:rPr>
            </w:pP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17,088</w:t>
            </w:r>
          </w:p>
        </w:tc>
        <w:tc>
          <w:tcPr>
            <w:tcW w:w="0" w:type="dxa"/>
            <w:vAlign w:val="bottom"/>
          </w:tcPr>
          <w:p>
            <w:pPr>
              <w:spacing w:after="0"/>
              <w:rPr>
                <w:sz w:val="1"/>
                <w:szCs w:val="1"/>
                <w:color w:val="auto"/>
              </w:rPr>
            </w:pPr>
          </w:p>
        </w:tc>
      </w:tr>
      <w:tr>
        <w:trPr>
          <w:trHeight w:val="168"/>
        </w:trPr>
        <w:tc>
          <w:tcPr>
            <w:tcW w:w="27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w w:val="93"/>
              </w:rPr>
              <w:t>Securities sold under agreements to repurchase</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514,325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ind w:left="1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4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514,325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(514,325)</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8"/>
        </w:trPr>
        <w:tc>
          <w:tcPr>
            <w:tcW w:w="2720" w:type="dxa"/>
            <w:vAlign w:val="bottom"/>
            <w:gridSpan w:val="2"/>
          </w:tcPr>
          <w:p>
            <w:pPr>
              <w:ind w:left="100"/>
              <w:spacing w:after="0" w:line="119" w:lineRule="exact"/>
              <w:rPr>
                <w:sz w:val="20"/>
                <w:szCs w:val="20"/>
                <w:color w:val="auto"/>
              </w:rPr>
            </w:pPr>
            <w:r>
              <w:rPr>
                <w:rFonts w:ascii="Arial" w:cs="Arial" w:eastAsia="Arial" w:hAnsi="Arial"/>
                <w:sz w:val="13"/>
                <w:szCs w:val="13"/>
                <w:color w:val="auto"/>
              </w:rPr>
              <w:t>Payable to broker-dealers and clearing</w:t>
            </w: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720" w:type="dxa"/>
            <w:vAlign w:val="bottom"/>
            <w:gridSpan w:val="2"/>
          </w:tcPr>
          <w:p>
            <w:pPr>
              <w:ind w:left="100"/>
              <w:spacing w:after="0"/>
              <w:rPr>
                <w:sz w:val="20"/>
                <w:szCs w:val="20"/>
                <w:color w:val="auto"/>
              </w:rPr>
            </w:pPr>
            <w:r>
              <w:rPr>
                <w:rFonts w:ascii="Arial" w:cs="Arial" w:eastAsia="Arial" w:hAnsi="Arial"/>
                <w:sz w:val="13"/>
                <w:szCs w:val="13"/>
                <w:color w:val="auto"/>
              </w:rPr>
              <w:t>organizations</w:t>
            </w: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7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Interest rate swaps</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21,037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ind w:left="1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4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21,037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ind w:left="9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21,037</w:t>
            </w:r>
          </w:p>
        </w:tc>
        <w:tc>
          <w:tcPr>
            <w:tcW w:w="0" w:type="dxa"/>
            <w:vAlign w:val="bottom"/>
          </w:tcPr>
          <w:p>
            <w:pPr>
              <w:spacing w:after="0"/>
              <w:rPr>
                <w:sz w:val="1"/>
                <w:szCs w:val="1"/>
                <w:color w:val="auto"/>
              </w:rPr>
            </w:pPr>
          </w:p>
        </w:tc>
      </w:tr>
      <w:tr>
        <w:trPr>
          <w:trHeight w:val="163"/>
        </w:trPr>
        <w:tc>
          <w:tcPr>
            <w:tcW w:w="2720" w:type="dxa"/>
            <w:vAlign w:val="bottom"/>
            <w:gridSpan w:val="2"/>
          </w:tcPr>
          <w:p>
            <w:pPr>
              <w:ind w:left="100"/>
              <w:spacing w:after="0"/>
              <w:rPr>
                <w:sz w:val="20"/>
                <w:szCs w:val="20"/>
                <w:color w:val="auto"/>
              </w:rPr>
            </w:pPr>
            <w:r>
              <w:rPr>
                <w:rFonts w:ascii="Arial" w:cs="Arial" w:eastAsia="Arial" w:hAnsi="Arial"/>
                <w:sz w:val="13"/>
                <w:szCs w:val="13"/>
                <w:color w:val="auto"/>
              </w:rPr>
              <w:t>Trading liabilities, at fair value:</w:t>
            </w: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7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Currency forwards</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208,357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20" w:type="dxa"/>
            <w:vAlign w:val="bottom"/>
            <w:shd w:val="clear" w:color="auto" w:fill="CCEEFF"/>
          </w:tcPr>
          <w:p>
            <w:pPr>
              <w:ind w:left="900"/>
              <w:spacing w:after="0"/>
              <w:rPr>
                <w:sz w:val="20"/>
                <w:szCs w:val="20"/>
                <w:color w:val="auto"/>
              </w:rPr>
            </w:pPr>
            <w:r>
              <w:rPr>
                <w:rFonts w:ascii="Arial" w:cs="Arial" w:eastAsia="Arial" w:hAnsi="Arial"/>
                <w:sz w:val="13"/>
                <w:szCs w:val="13"/>
                <w:color w:val="auto"/>
                <w:w w:val="89"/>
              </w:rPr>
              <w:t>(208,356)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ind w:left="9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63"/>
        </w:trPr>
        <w:tc>
          <w:tcPr>
            <w:tcW w:w="2720" w:type="dxa"/>
            <w:vAlign w:val="bottom"/>
            <w:gridSpan w:val="2"/>
          </w:tcPr>
          <w:p>
            <w:pPr>
              <w:ind w:left="180"/>
              <w:spacing w:after="0"/>
              <w:rPr>
                <w:sz w:val="20"/>
                <w:szCs w:val="20"/>
                <w:color w:val="auto"/>
              </w:rPr>
            </w:pPr>
            <w:r>
              <w:rPr>
                <w:rFonts w:ascii="Arial" w:cs="Arial" w:eastAsia="Arial" w:hAnsi="Arial"/>
                <w:sz w:val="13"/>
                <w:szCs w:val="13"/>
                <w:color w:val="auto"/>
              </w:rPr>
              <w:t>Options</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5,208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ind w:left="1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400" w:type="dxa"/>
            <w:vAlign w:val="bottom"/>
          </w:tcPr>
          <w:p>
            <w:pPr>
              <w:jc w:val="right"/>
              <w:ind w:right="17"/>
              <w:spacing w:after="0"/>
              <w:rPr>
                <w:sz w:val="20"/>
                <w:szCs w:val="20"/>
                <w:color w:val="auto"/>
              </w:rPr>
            </w:pPr>
            <w:r>
              <w:rPr>
                <w:rFonts w:ascii="Arial" w:cs="Arial" w:eastAsia="Arial" w:hAnsi="Arial"/>
                <w:sz w:val="13"/>
                <w:szCs w:val="13"/>
                <w:color w:val="auto"/>
              </w:rPr>
              <w:t>5,208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ind w:left="9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(5,208)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5"/>
        </w:trPr>
        <w:tc>
          <w:tcPr>
            <w:tcW w:w="27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1,890,975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2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3"/>
                <w:szCs w:val="13"/>
                <w:color w:val="auto"/>
                <w:w w:val="89"/>
              </w:rPr>
              <w:t>(208,356)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1,682,619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(1,622,013)</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(22,480)</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38,126</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2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right"/>
              <w:ind w:right="17"/>
              <w:spacing w:after="0"/>
              <w:rPr>
                <w:sz w:val="20"/>
                <w:szCs w:val="20"/>
                <w:color w:val="auto"/>
              </w:rPr>
            </w:pPr>
            <w:r>
              <w:rPr>
                <w:rFonts w:ascii="Arial" w:cs="Arial" w:eastAsia="Arial" w:hAnsi="Arial"/>
                <w:sz w:val="13"/>
                <w:szCs w:val="13"/>
                <w:b w:val="1"/>
                <w:bCs w:val="1"/>
                <w:color w:val="auto"/>
              </w:rPr>
              <w:t>December 31, 2020</w:t>
            </w: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70"/>
        </w:trPr>
        <w:tc>
          <w:tcPr>
            <w:tcW w:w="2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0" w:type="dxa"/>
            <w:vAlign w:val="bottom"/>
            <w:gridSpan w:val="5"/>
          </w:tcPr>
          <w:p>
            <w:pPr>
              <w:jc w:val="center"/>
              <w:ind w:right="260"/>
              <w:spacing w:after="0"/>
              <w:rPr>
                <w:sz w:val="20"/>
                <w:szCs w:val="20"/>
                <w:color w:val="auto"/>
              </w:rPr>
            </w:pPr>
            <w:r>
              <w:rPr>
                <w:rFonts w:ascii="Arial" w:cs="Arial" w:eastAsia="Arial" w:hAnsi="Arial"/>
                <w:sz w:val="13"/>
                <w:szCs w:val="13"/>
                <w:b w:val="1"/>
                <w:bCs w:val="1"/>
                <w:color w:val="auto"/>
                <w:w w:val="86"/>
              </w:rPr>
              <w:t>Amounts Not Offset in the Consolidated</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5"/>
              </w:rPr>
              <w:t>Net Amounts of Assets</w:t>
            </w:r>
          </w:p>
        </w:tc>
        <w:tc>
          <w:tcPr>
            <w:tcW w:w="160" w:type="dxa"/>
            <w:vAlign w:val="bottom"/>
          </w:tcPr>
          <w:p>
            <w:pPr>
              <w:spacing w:after="0"/>
              <w:rPr>
                <w:sz w:val="14"/>
                <w:szCs w:val="14"/>
                <w:color w:val="auto"/>
              </w:rPr>
            </w:pPr>
          </w:p>
        </w:tc>
        <w:tc>
          <w:tcPr>
            <w:tcW w:w="2600" w:type="dxa"/>
            <w:vAlign w:val="bottom"/>
            <w:gridSpan w:val="5"/>
          </w:tcPr>
          <w:p>
            <w:pPr>
              <w:jc w:val="center"/>
              <w:ind w:right="280"/>
              <w:spacing w:after="0"/>
              <w:rPr>
                <w:sz w:val="20"/>
                <w:szCs w:val="20"/>
                <w:color w:val="auto"/>
              </w:rPr>
            </w:pPr>
            <w:r>
              <w:rPr>
                <w:rFonts w:ascii="Arial" w:cs="Arial" w:eastAsia="Arial" w:hAnsi="Arial"/>
                <w:sz w:val="13"/>
                <w:szCs w:val="13"/>
                <w:b w:val="1"/>
                <w:bCs w:val="1"/>
                <w:color w:val="auto"/>
                <w:w w:val="87"/>
              </w:rPr>
              <w:t>Statements of Financial Condition</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2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8"/>
              </w:rPr>
              <w:t>Amounts Offset in the</w:t>
            </w:r>
          </w:p>
        </w:tc>
        <w:tc>
          <w:tcPr>
            <w:tcW w:w="120" w:type="dxa"/>
            <w:vAlign w:val="bottom"/>
          </w:tcPr>
          <w:p>
            <w:pPr>
              <w:spacing w:after="0"/>
              <w:rPr>
                <w:sz w:val="3"/>
                <w:szCs w:val="3"/>
                <w:color w:val="auto"/>
              </w:rPr>
            </w:pPr>
          </w:p>
        </w:tc>
        <w:tc>
          <w:tcPr>
            <w:tcW w:w="1500" w:type="dxa"/>
            <w:vAlign w:val="bottom"/>
            <w:gridSpan w:val="2"/>
            <w:vMerge w:val="continue"/>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12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10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8"/>
        </w:trPr>
        <w:tc>
          <w:tcPr>
            <w:tcW w:w="2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4"/>
              </w:rPr>
              <w:t>Gross Amounts of</w:t>
            </w:r>
          </w:p>
        </w:tc>
        <w:tc>
          <w:tcPr>
            <w:tcW w:w="1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84"/>
              </w:rPr>
              <w:t>Presented in the</w:t>
            </w:r>
          </w:p>
        </w:tc>
        <w:tc>
          <w:tcPr>
            <w:tcW w:w="1400" w:type="dxa"/>
            <w:vAlign w:val="bottom"/>
            <w:gridSpan w:val="3"/>
            <w:vMerge w:val="restart"/>
          </w:tcPr>
          <w:p>
            <w:pPr>
              <w:jc w:val="center"/>
              <w:ind w:right="140"/>
              <w:spacing w:after="0"/>
              <w:rPr>
                <w:sz w:val="20"/>
                <w:szCs w:val="20"/>
                <w:color w:val="auto"/>
              </w:rPr>
            </w:pPr>
            <w:r>
              <w:rPr>
                <w:rFonts w:ascii="Arial" w:cs="Arial" w:eastAsia="Arial" w:hAnsi="Arial"/>
                <w:sz w:val="13"/>
                <w:szCs w:val="13"/>
                <w:b w:val="1"/>
                <w:bCs w:val="1"/>
                <w:color w:val="auto"/>
                <w:w w:val="89"/>
              </w:rPr>
              <w:t>Financial Instrument</w:t>
            </w:r>
          </w:p>
        </w:tc>
        <w:tc>
          <w:tcPr>
            <w:tcW w:w="136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w w:val="98"/>
              </w:rPr>
              <w:t>Counterparty Netting/</w:t>
            </w: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7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(in thousands)</w:t>
            </w:r>
          </w:p>
        </w:tc>
        <w:tc>
          <w:tcPr>
            <w:tcW w:w="10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1640" w:type="dxa"/>
            <w:vAlign w:val="bottom"/>
            <w:gridSpan w:val="3"/>
          </w:tcPr>
          <w:p>
            <w:pPr>
              <w:jc w:val="center"/>
              <w:ind w:right="120"/>
              <w:spacing w:after="0" w:line="119" w:lineRule="exact"/>
              <w:rPr>
                <w:sz w:val="20"/>
                <w:szCs w:val="20"/>
                <w:color w:val="auto"/>
              </w:rPr>
            </w:pPr>
            <w:r>
              <w:rPr>
                <w:rFonts w:ascii="Arial" w:cs="Arial" w:eastAsia="Arial" w:hAnsi="Arial"/>
                <w:sz w:val="13"/>
                <w:szCs w:val="13"/>
                <w:b w:val="1"/>
                <w:bCs w:val="1"/>
                <w:color w:val="auto"/>
                <w:w w:val="86"/>
              </w:rPr>
              <w:t>Consolidated Statements of</w:t>
            </w:r>
          </w:p>
        </w:tc>
        <w:tc>
          <w:tcPr>
            <w:tcW w:w="1620" w:type="dxa"/>
            <w:vAlign w:val="bottom"/>
            <w:gridSpan w:val="3"/>
          </w:tcPr>
          <w:p>
            <w:pPr>
              <w:jc w:val="center"/>
              <w:ind w:right="120"/>
              <w:spacing w:after="0" w:line="119" w:lineRule="exact"/>
              <w:rPr>
                <w:sz w:val="20"/>
                <w:szCs w:val="20"/>
                <w:color w:val="auto"/>
              </w:rPr>
            </w:pPr>
            <w:r>
              <w:rPr>
                <w:rFonts w:ascii="Arial" w:cs="Arial" w:eastAsia="Arial" w:hAnsi="Arial"/>
                <w:sz w:val="13"/>
                <w:szCs w:val="13"/>
                <w:b w:val="1"/>
                <w:bCs w:val="1"/>
                <w:color w:val="auto"/>
                <w:w w:val="84"/>
              </w:rPr>
              <w:t>Consolidated Statements of</w:t>
            </w:r>
          </w:p>
        </w:tc>
        <w:tc>
          <w:tcPr>
            <w:tcW w:w="1400" w:type="dxa"/>
            <w:vAlign w:val="bottom"/>
            <w:gridSpan w:val="3"/>
            <w:vMerge w:val="continue"/>
          </w:tcPr>
          <w:p>
            <w:pPr>
              <w:spacing w:after="0"/>
              <w:rPr>
                <w:sz w:val="10"/>
                <w:szCs w:val="10"/>
                <w:color w:val="auto"/>
              </w:rPr>
            </w:pPr>
          </w:p>
        </w:tc>
        <w:tc>
          <w:tcPr>
            <w:tcW w:w="136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vMerge w:val="restart"/>
          </w:tcPr>
          <w:p>
            <w:pPr>
              <w:jc w:val="right"/>
              <w:ind w:right="137"/>
              <w:spacing w:after="0"/>
              <w:rPr>
                <w:sz w:val="20"/>
                <w:szCs w:val="20"/>
                <w:color w:val="auto"/>
              </w:rPr>
            </w:pPr>
            <w:r>
              <w:rPr>
                <w:rFonts w:ascii="Arial" w:cs="Arial" w:eastAsia="Arial" w:hAnsi="Arial"/>
                <w:sz w:val="13"/>
                <w:szCs w:val="13"/>
                <w:b w:val="1"/>
                <w:bCs w:val="1"/>
                <w:color w:val="auto"/>
                <w:w w:val="94"/>
              </w:rPr>
              <w:t>Net Amount</w:t>
            </w:r>
          </w:p>
        </w:tc>
        <w:tc>
          <w:tcPr>
            <w:tcW w:w="0" w:type="dxa"/>
            <w:vAlign w:val="bottom"/>
          </w:tcPr>
          <w:p>
            <w:pPr>
              <w:spacing w:after="0"/>
              <w:rPr>
                <w:sz w:val="1"/>
                <w:szCs w:val="1"/>
                <w:color w:val="auto"/>
              </w:rPr>
            </w:pPr>
          </w:p>
        </w:tc>
      </w:tr>
      <w:tr>
        <w:trPr>
          <w:trHeight w:val="165"/>
        </w:trPr>
        <w:tc>
          <w:tcPr>
            <w:tcW w:w="27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3"/>
              </w:rPr>
              <w:t>Recognized Assets</w:t>
            </w:r>
          </w:p>
        </w:tc>
        <w:tc>
          <w:tcPr>
            <w:tcW w:w="120" w:type="dxa"/>
            <w:vAlign w:val="bottom"/>
          </w:tcPr>
          <w:p>
            <w:pPr>
              <w:spacing w:after="0"/>
              <w:rPr>
                <w:sz w:val="14"/>
                <w:szCs w:val="14"/>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Financial Condition</w:t>
            </w:r>
          </w:p>
        </w:tc>
        <w:tc>
          <w:tcPr>
            <w:tcW w:w="120" w:type="dxa"/>
            <w:vAlign w:val="bottom"/>
          </w:tcPr>
          <w:p>
            <w:pPr>
              <w:spacing w:after="0"/>
              <w:rPr>
                <w:sz w:val="14"/>
                <w:szCs w:val="14"/>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Financial Condition</w:t>
            </w:r>
          </w:p>
        </w:tc>
        <w:tc>
          <w:tcPr>
            <w:tcW w:w="16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1"/>
              </w:rPr>
              <w:t>Collateral</w:t>
            </w:r>
          </w:p>
        </w:tc>
        <w:tc>
          <w:tcPr>
            <w:tcW w:w="14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3"/>
                <w:szCs w:val="13"/>
                <w:b w:val="1"/>
                <w:bCs w:val="1"/>
                <w:color w:val="auto"/>
              </w:rPr>
              <w:t>Cash Collateral</w:t>
            </w:r>
          </w:p>
        </w:tc>
        <w:tc>
          <w:tcPr>
            <w:tcW w:w="1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Offsetting of Financial Assets:</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4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4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720" w:type="dxa"/>
            <w:vAlign w:val="bottom"/>
            <w:gridSpan w:val="2"/>
          </w:tcPr>
          <w:p>
            <w:pPr>
              <w:ind w:left="100"/>
              <w:spacing w:after="0"/>
              <w:rPr>
                <w:sz w:val="20"/>
                <w:szCs w:val="20"/>
                <w:color w:val="auto"/>
              </w:rPr>
            </w:pPr>
            <w:r>
              <w:rPr>
                <w:rFonts w:ascii="Arial" w:cs="Arial" w:eastAsia="Arial" w:hAnsi="Arial"/>
                <w:sz w:val="13"/>
                <w:szCs w:val="13"/>
                <w:color w:val="auto"/>
              </w:rPr>
              <w:t>Securities borrowed</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1,425,016</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520" w:type="dxa"/>
            <w:vAlign w:val="bottom"/>
            <w:gridSpan w:val="2"/>
          </w:tcPr>
          <w:p>
            <w:pPr>
              <w:ind w:left="1240"/>
              <w:spacing w:after="0"/>
              <w:rPr>
                <w:sz w:val="20"/>
                <w:szCs w:val="20"/>
                <w:color w:val="auto"/>
              </w:rPr>
            </w:pPr>
            <w:r>
              <w:rPr>
                <w:rFonts w:ascii="Arial" w:cs="Arial" w:eastAsia="Arial" w:hAnsi="Arial"/>
                <w:sz w:val="13"/>
                <w:szCs w:val="13"/>
                <w:color w:val="auto"/>
              </w:rPr>
              <w:t>—</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1400" w:type="dxa"/>
            <w:vAlign w:val="bottom"/>
          </w:tcPr>
          <w:p>
            <w:pPr>
              <w:jc w:val="right"/>
              <w:spacing w:after="0"/>
              <w:rPr>
                <w:sz w:val="20"/>
                <w:szCs w:val="20"/>
                <w:color w:val="auto"/>
              </w:rPr>
            </w:pPr>
            <w:r>
              <w:rPr>
                <w:rFonts w:ascii="Arial" w:cs="Arial" w:eastAsia="Arial" w:hAnsi="Arial"/>
                <w:sz w:val="13"/>
                <w:szCs w:val="13"/>
                <w:color w:val="auto"/>
              </w:rPr>
              <w:t>1,425,016</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(1,374,266)</w:t>
            </w:r>
          </w:p>
        </w:tc>
        <w:tc>
          <w:tcPr>
            <w:tcW w:w="12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(9,686)</w:t>
            </w:r>
          </w:p>
        </w:tc>
        <w:tc>
          <w:tcPr>
            <w:tcW w:w="120" w:type="dxa"/>
            <w:vAlign w:val="bottom"/>
          </w:tcPr>
          <w:p>
            <w:pPr>
              <w:spacing w:after="0"/>
              <w:rPr>
                <w:sz w:val="14"/>
                <w:szCs w:val="14"/>
                <w:color w:val="auto"/>
              </w:rPr>
            </w:pP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41,064</w:t>
            </w:r>
          </w:p>
        </w:tc>
        <w:tc>
          <w:tcPr>
            <w:tcW w:w="0" w:type="dxa"/>
            <w:vAlign w:val="bottom"/>
          </w:tcPr>
          <w:p>
            <w:pPr>
              <w:spacing w:after="0"/>
              <w:rPr>
                <w:sz w:val="1"/>
                <w:szCs w:val="1"/>
                <w:color w:val="auto"/>
              </w:rPr>
            </w:pPr>
          </w:p>
        </w:tc>
      </w:tr>
      <w:tr>
        <w:trPr>
          <w:trHeight w:val="168"/>
        </w:trPr>
        <w:tc>
          <w:tcPr>
            <w:tcW w:w="27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w w:val="92"/>
              </w:rPr>
              <w:t>Securities purchased under agreements to resell</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22,866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ind w:left="1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4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22,866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(22,866)</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3"/>
        </w:trPr>
        <w:tc>
          <w:tcPr>
            <w:tcW w:w="2720" w:type="dxa"/>
            <w:vAlign w:val="bottom"/>
            <w:gridSpan w:val="2"/>
          </w:tcPr>
          <w:p>
            <w:pPr>
              <w:ind w:left="100"/>
              <w:spacing w:after="0"/>
              <w:rPr>
                <w:sz w:val="20"/>
                <w:szCs w:val="20"/>
                <w:color w:val="auto"/>
              </w:rPr>
            </w:pPr>
            <w:r>
              <w:rPr>
                <w:rFonts w:ascii="Arial" w:cs="Arial" w:eastAsia="Arial" w:hAnsi="Arial"/>
                <w:sz w:val="13"/>
                <w:szCs w:val="13"/>
                <w:color w:val="auto"/>
              </w:rPr>
              <w:t>Trading assets, at fair value:</w:t>
            </w: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7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Currency forwards</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341,360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20" w:type="dxa"/>
            <w:vAlign w:val="bottom"/>
            <w:shd w:val="clear" w:color="auto" w:fill="CCEEFF"/>
          </w:tcPr>
          <w:p>
            <w:pPr>
              <w:ind w:left="900"/>
              <w:spacing w:after="0"/>
              <w:rPr>
                <w:sz w:val="20"/>
                <w:szCs w:val="20"/>
                <w:color w:val="auto"/>
              </w:rPr>
            </w:pPr>
            <w:r>
              <w:rPr>
                <w:rFonts w:ascii="Arial" w:cs="Arial" w:eastAsia="Arial" w:hAnsi="Arial"/>
                <w:sz w:val="13"/>
                <w:szCs w:val="13"/>
                <w:color w:val="auto"/>
                <w:w w:val="89"/>
              </w:rPr>
              <w:t>(291,964)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49,396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ind w:left="9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49,396</w:t>
            </w:r>
          </w:p>
        </w:tc>
        <w:tc>
          <w:tcPr>
            <w:tcW w:w="0" w:type="dxa"/>
            <w:vAlign w:val="bottom"/>
          </w:tcPr>
          <w:p>
            <w:pPr>
              <w:spacing w:after="0"/>
              <w:rPr>
                <w:sz w:val="1"/>
                <w:szCs w:val="1"/>
                <w:color w:val="auto"/>
              </w:rPr>
            </w:pPr>
          </w:p>
        </w:tc>
      </w:tr>
      <w:tr>
        <w:trPr>
          <w:trHeight w:val="163"/>
        </w:trPr>
        <w:tc>
          <w:tcPr>
            <w:tcW w:w="2720" w:type="dxa"/>
            <w:vAlign w:val="bottom"/>
            <w:gridSpan w:val="2"/>
          </w:tcPr>
          <w:p>
            <w:pPr>
              <w:ind w:left="180"/>
              <w:spacing w:after="0"/>
              <w:rPr>
                <w:sz w:val="20"/>
                <w:szCs w:val="20"/>
                <w:color w:val="auto"/>
              </w:rPr>
            </w:pPr>
            <w:r>
              <w:rPr>
                <w:rFonts w:ascii="Arial" w:cs="Arial" w:eastAsia="Arial" w:hAnsi="Arial"/>
                <w:sz w:val="13"/>
                <w:szCs w:val="13"/>
                <w:color w:val="auto"/>
              </w:rPr>
              <w:t>Options</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9,080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ind w:left="1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400" w:type="dxa"/>
            <w:vAlign w:val="bottom"/>
          </w:tcPr>
          <w:p>
            <w:pPr>
              <w:jc w:val="right"/>
              <w:ind w:right="17"/>
              <w:spacing w:after="0"/>
              <w:rPr>
                <w:sz w:val="20"/>
                <w:szCs w:val="20"/>
                <w:color w:val="auto"/>
              </w:rPr>
            </w:pPr>
            <w:r>
              <w:rPr>
                <w:rFonts w:ascii="Arial" w:cs="Arial" w:eastAsia="Arial" w:hAnsi="Arial"/>
                <w:sz w:val="13"/>
                <w:szCs w:val="13"/>
                <w:color w:val="auto"/>
              </w:rPr>
              <w:t>9,080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ind w:left="9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(9,080)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5"/>
        </w:trPr>
        <w:tc>
          <w:tcPr>
            <w:tcW w:w="27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1,798,322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2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3"/>
                <w:szCs w:val="13"/>
                <w:color w:val="auto"/>
                <w:w w:val="89"/>
              </w:rPr>
              <w:t>(291,964)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1,506,358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(1,397,132)</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(18,766)</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90,460</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10" w:name="page111"/>
    <w:bookmarkEnd w:id="11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0" w:type="dxa"/>
            <w:vAlign w:val="bottom"/>
            <w:gridSpan w:val="5"/>
          </w:tcPr>
          <w:p>
            <w:pPr>
              <w:jc w:val="center"/>
              <w:ind w:right="260"/>
              <w:spacing w:after="0"/>
              <w:rPr>
                <w:sz w:val="20"/>
                <w:szCs w:val="20"/>
                <w:color w:val="auto"/>
              </w:rPr>
            </w:pPr>
            <w:r>
              <w:rPr>
                <w:rFonts w:ascii="Arial" w:cs="Arial" w:eastAsia="Arial" w:hAnsi="Arial"/>
                <w:sz w:val="13"/>
                <w:szCs w:val="13"/>
                <w:b w:val="1"/>
                <w:bCs w:val="1"/>
                <w:color w:val="auto"/>
                <w:w w:val="86"/>
              </w:rPr>
              <w:t>Amounts Not Offset in the Consolidated</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Net Amounts of Assets</w:t>
            </w:r>
          </w:p>
        </w:tc>
        <w:tc>
          <w:tcPr>
            <w:tcW w:w="160" w:type="dxa"/>
            <w:vAlign w:val="bottom"/>
          </w:tcPr>
          <w:p>
            <w:pPr>
              <w:spacing w:after="0"/>
              <w:rPr>
                <w:sz w:val="14"/>
                <w:szCs w:val="14"/>
                <w:color w:val="auto"/>
              </w:rPr>
            </w:pPr>
          </w:p>
        </w:tc>
        <w:tc>
          <w:tcPr>
            <w:tcW w:w="2600" w:type="dxa"/>
            <w:vAlign w:val="bottom"/>
            <w:gridSpan w:val="5"/>
          </w:tcPr>
          <w:p>
            <w:pPr>
              <w:jc w:val="center"/>
              <w:ind w:right="280"/>
              <w:spacing w:after="0"/>
              <w:rPr>
                <w:sz w:val="20"/>
                <w:szCs w:val="20"/>
                <w:color w:val="auto"/>
              </w:rPr>
            </w:pPr>
            <w:r>
              <w:rPr>
                <w:rFonts w:ascii="Arial" w:cs="Arial" w:eastAsia="Arial" w:hAnsi="Arial"/>
                <w:sz w:val="13"/>
                <w:szCs w:val="13"/>
                <w:b w:val="1"/>
                <w:bCs w:val="1"/>
                <w:color w:val="auto"/>
                <w:w w:val="87"/>
              </w:rPr>
              <w:t>Statements of Financial Condition</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2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8"/>
              </w:rPr>
              <w:t>Amounts Offset in the</w:t>
            </w:r>
          </w:p>
        </w:tc>
        <w:tc>
          <w:tcPr>
            <w:tcW w:w="120" w:type="dxa"/>
            <w:vAlign w:val="bottom"/>
          </w:tcPr>
          <w:p>
            <w:pPr>
              <w:spacing w:after="0"/>
              <w:rPr>
                <w:sz w:val="3"/>
                <w:szCs w:val="3"/>
                <w:color w:val="auto"/>
              </w:rPr>
            </w:pPr>
          </w:p>
        </w:tc>
        <w:tc>
          <w:tcPr>
            <w:tcW w:w="1500" w:type="dxa"/>
            <w:vAlign w:val="bottom"/>
            <w:gridSpan w:val="2"/>
            <w:vMerge w:val="continue"/>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12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10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8"/>
        </w:trPr>
        <w:tc>
          <w:tcPr>
            <w:tcW w:w="2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Gross Amounts of</w:t>
            </w:r>
          </w:p>
        </w:tc>
        <w:tc>
          <w:tcPr>
            <w:tcW w:w="1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84"/>
              </w:rPr>
              <w:t>Presented in the</w:t>
            </w:r>
          </w:p>
        </w:tc>
        <w:tc>
          <w:tcPr>
            <w:tcW w:w="1400" w:type="dxa"/>
            <w:vAlign w:val="bottom"/>
            <w:gridSpan w:val="3"/>
            <w:vMerge w:val="restart"/>
          </w:tcPr>
          <w:p>
            <w:pPr>
              <w:jc w:val="center"/>
              <w:ind w:right="140"/>
              <w:spacing w:after="0"/>
              <w:rPr>
                <w:sz w:val="20"/>
                <w:szCs w:val="20"/>
                <w:color w:val="auto"/>
              </w:rPr>
            </w:pPr>
            <w:r>
              <w:rPr>
                <w:rFonts w:ascii="Arial" w:cs="Arial" w:eastAsia="Arial" w:hAnsi="Arial"/>
                <w:sz w:val="13"/>
                <w:szCs w:val="13"/>
                <w:b w:val="1"/>
                <w:bCs w:val="1"/>
                <w:color w:val="auto"/>
                <w:w w:val="89"/>
              </w:rPr>
              <w:t>Financial Instrument</w:t>
            </w:r>
          </w:p>
        </w:tc>
        <w:tc>
          <w:tcPr>
            <w:tcW w:w="136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w w:val="98"/>
              </w:rPr>
              <w:t>Counterparty Netting/</w:t>
            </w: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7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(in thousands)</w:t>
            </w:r>
          </w:p>
        </w:tc>
        <w:tc>
          <w:tcPr>
            <w:tcW w:w="10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1640" w:type="dxa"/>
            <w:vAlign w:val="bottom"/>
            <w:gridSpan w:val="3"/>
          </w:tcPr>
          <w:p>
            <w:pPr>
              <w:jc w:val="center"/>
              <w:ind w:right="120"/>
              <w:spacing w:after="0" w:line="119" w:lineRule="exact"/>
              <w:rPr>
                <w:sz w:val="20"/>
                <w:szCs w:val="20"/>
                <w:color w:val="auto"/>
              </w:rPr>
            </w:pPr>
            <w:r>
              <w:rPr>
                <w:rFonts w:ascii="Arial" w:cs="Arial" w:eastAsia="Arial" w:hAnsi="Arial"/>
                <w:sz w:val="13"/>
                <w:szCs w:val="13"/>
                <w:b w:val="1"/>
                <w:bCs w:val="1"/>
                <w:color w:val="auto"/>
                <w:w w:val="86"/>
              </w:rPr>
              <w:t>Consolidated Statements of</w:t>
            </w:r>
          </w:p>
        </w:tc>
        <w:tc>
          <w:tcPr>
            <w:tcW w:w="162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w w:val="91"/>
              </w:rPr>
              <w:t>Consolidated Statements of</w:t>
            </w:r>
          </w:p>
        </w:tc>
        <w:tc>
          <w:tcPr>
            <w:tcW w:w="1400" w:type="dxa"/>
            <w:vAlign w:val="bottom"/>
            <w:gridSpan w:val="3"/>
            <w:vMerge w:val="continue"/>
          </w:tcPr>
          <w:p>
            <w:pPr>
              <w:spacing w:after="0"/>
              <w:rPr>
                <w:sz w:val="10"/>
                <w:szCs w:val="10"/>
                <w:color w:val="auto"/>
              </w:rPr>
            </w:pPr>
          </w:p>
        </w:tc>
        <w:tc>
          <w:tcPr>
            <w:tcW w:w="136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vMerge w:val="restart"/>
          </w:tcPr>
          <w:p>
            <w:pPr>
              <w:jc w:val="right"/>
              <w:ind w:right="137"/>
              <w:spacing w:after="0"/>
              <w:rPr>
                <w:sz w:val="20"/>
                <w:szCs w:val="20"/>
                <w:color w:val="auto"/>
              </w:rPr>
            </w:pPr>
            <w:r>
              <w:rPr>
                <w:rFonts w:ascii="Arial" w:cs="Arial" w:eastAsia="Arial" w:hAnsi="Arial"/>
                <w:sz w:val="13"/>
                <w:szCs w:val="13"/>
                <w:b w:val="1"/>
                <w:bCs w:val="1"/>
                <w:color w:val="auto"/>
                <w:w w:val="94"/>
              </w:rPr>
              <w:t>Net Amount</w:t>
            </w:r>
          </w:p>
        </w:tc>
        <w:tc>
          <w:tcPr>
            <w:tcW w:w="0" w:type="dxa"/>
            <w:vAlign w:val="bottom"/>
          </w:tcPr>
          <w:p>
            <w:pPr>
              <w:spacing w:after="0"/>
              <w:rPr>
                <w:sz w:val="1"/>
                <w:szCs w:val="1"/>
                <w:color w:val="auto"/>
              </w:rPr>
            </w:pPr>
          </w:p>
        </w:tc>
      </w:tr>
      <w:tr>
        <w:trPr>
          <w:trHeight w:val="165"/>
        </w:trPr>
        <w:tc>
          <w:tcPr>
            <w:tcW w:w="27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Arial" w:cs="Arial" w:eastAsia="Arial" w:hAnsi="Arial"/>
                <w:sz w:val="13"/>
                <w:szCs w:val="13"/>
                <w:b w:val="1"/>
                <w:bCs w:val="1"/>
                <w:color w:val="auto"/>
              </w:rPr>
              <w:t>Recognized Assets</w:t>
            </w:r>
          </w:p>
        </w:tc>
        <w:tc>
          <w:tcPr>
            <w:tcW w:w="120" w:type="dxa"/>
            <w:vAlign w:val="bottom"/>
          </w:tcPr>
          <w:p>
            <w:pPr>
              <w:spacing w:after="0"/>
              <w:rPr>
                <w:sz w:val="14"/>
                <w:szCs w:val="14"/>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Financial Condition</w:t>
            </w:r>
          </w:p>
        </w:tc>
        <w:tc>
          <w:tcPr>
            <w:tcW w:w="120" w:type="dxa"/>
            <w:vAlign w:val="bottom"/>
          </w:tcPr>
          <w:p>
            <w:pPr>
              <w:spacing w:after="0"/>
              <w:rPr>
                <w:sz w:val="14"/>
                <w:szCs w:val="14"/>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Financial Condition</w:t>
            </w:r>
          </w:p>
        </w:tc>
        <w:tc>
          <w:tcPr>
            <w:tcW w:w="16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1"/>
              </w:rPr>
              <w:t>Collateral</w:t>
            </w:r>
          </w:p>
        </w:tc>
        <w:tc>
          <w:tcPr>
            <w:tcW w:w="14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3"/>
                <w:szCs w:val="13"/>
                <w:b w:val="1"/>
                <w:bCs w:val="1"/>
                <w:color w:val="auto"/>
              </w:rPr>
              <w:t>Cash Collateral</w:t>
            </w:r>
          </w:p>
        </w:tc>
        <w:tc>
          <w:tcPr>
            <w:tcW w:w="1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Offsetting of Financial Liabilities:</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4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4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720" w:type="dxa"/>
            <w:vAlign w:val="bottom"/>
            <w:gridSpan w:val="2"/>
          </w:tcPr>
          <w:p>
            <w:pPr>
              <w:ind w:left="100"/>
              <w:spacing w:after="0"/>
              <w:rPr>
                <w:sz w:val="20"/>
                <w:szCs w:val="20"/>
                <w:color w:val="auto"/>
              </w:rPr>
            </w:pPr>
            <w:r>
              <w:rPr>
                <w:rFonts w:ascii="Arial" w:cs="Arial" w:eastAsia="Arial" w:hAnsi="Arial"/>
                <w:sz w:val="13"/>
                <w:szCs w:val="13"/>
                <w:color w:val="auto"/>
              </w:rPr>
              <w:t>Securities loaned</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948,256</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520" w:type="dxa"/>
            <w:vAlign w:val="bottom"/>
            <w:gridSpan w:val="2"/>
          </w:tcPr>
          <w:p>
            <w:pPr>
              <w:ind w:left="1240"/>
              <w:spacing w:after="0"/>
              <w:rPr>
                <w:sz w:val="20"/>
                <w:szCs w:val="20"/>
                <w:color w:val="auto"/>
              </w:rPr>
            </w:pPr>
            <w:r>
              <w:rPr>
                <w:rFonts w:ascii="Arial" w:cs="Arial" w:eastAsia="Arial" w:hAnsi="Arial"/>
                <w:sz w:val="13"/>
                <w:szCs w:val="13"/>
                <w:color w:val="auto"/>
              </w:rPr>
              <w:t>—</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1400" w:type="dxa"/>
            <w:vAlign w:val="bottom"/>
          </w:tcPr>
          <w:p>
            <w:pPr>
              <w:jc w:val="right"/>
              <w:ind w:right="17"/>
              <w:spacing w:after="0"/>
              <w:rPr>
                <w:sz w:val="20"/>
                <w:szCs w:val="20"/>
                <w:color w:val="auto"/>
              </w:rPr>
            </w:pPr>
            <w:r>
              <w:rPr>
                <w:rFonts w:ascii="Arial" w:cs="Arial" w:eastAsia="Arial" w:hAnsi="Arial"/>
                <w:sz w:val="13"/>
                <w:szCs w:val="13"/>
                <w:color w:val="auto"/>
              </w:rPr>
              <w:t>948,256</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(921,593)</w:t>
            </w:r>
          </w:p>
        </w:tc>
        <w:tc>
          <w:tcPr>
            <w:tcW w:w="12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(17,800)</w:t>
            </w:r>
          </w:p>
        </w:tc>
        <w:tc>
          <w:tcPr>
            <w:tcW w:w="120" w:type="dxa"/>
            <w:vAlign w:val="bottom"/>
          </w:tcPr>
          <w:p>
            <w:pPr>
              <w:spacing w:after="0"/>
              <w:rPr>
                <w:sz w:val="14"/>
                <w:szCs w:val="14"/>
                <w:color w:val="auto"/>
              </w:rPr>
            </w:pP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8,863</w:t>
            </w:r>
          </w:p>
        </w:tc>
        <w:tc>
          <w:tcPr>
            <w:tcW w:w="0" w:type="dxa"/>
            <w:vAlign w:val="bottom"/>
          </w:tcPr>
          <w:p>
            <w:pPr>
              <w:spacing w:after="0"/>
              <w:rPr>
                <w:sz w:val="1"/>
                <w:szCs w:val="1"/>
                <w:color w:val="auto"/>
              </w:rPr>
            </w:pPr>
          </w:p>
        </w:tc>
      </w:tr>
      <w:tr>
        <w:trPr>
          <w:trHeight w:val="168"/>
        </w:trPr>
        <w:tc>
          <w:tcPr>
            <w:tcW w:w="27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w w:val="93"/>
              </w:rPr>
              <w:t>Securities sold under agreements to repurchase</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461,235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ind w:left="1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4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461,235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(461,235)</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3"/>
        </w:trPr>
        <w:tc>
          <w:tcPr>
            <w:tcW w:w="2720" w:type="dxa"/>
            <w:vAlign w:val="bottom"/>
            <w:gridSpan w:val="2"/>
          </w:tcPr>
          <w:p>
            <w:pPr>
              <w:ind w:left="100"/>
              <w:spacing w:after="0"/>
              <w:rPr>
                <w:sz w:val="20"/>
                <w:szCs w:val="20"/>
                <w:color w:val="auto"/>
              </w:rPr>
            </w:pPr>
            <w:r>
              <w:rPr>
                <w:rFonts w:ascii="Arial" w:cs="Arial" w:eastAsia="Arial" w:hAnsi="Arial"/>
                <w:sz w:val="13"/>
                <w:szCs w:val="13"/>
                <w:color w:val="auto"/>
              </w:rPr>
              <w:t>Interest rate swaps</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63,513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ind w:left="1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400" w:type="dxa"/>
            <w:vAlign w:val="bottom"/>
          </w:tcPr>
          <w:p>
            <w:pPr>
              <w:jc w:val="right"/>
              <w:ind w:right="17"/>
              <w:spacing w:after="0"/>
              <w:rPr>
                <w:sz w:val="20"/>
                <w:szCs w:val="20"/>
                <w:color w:val="auto"/>
              </w:rPr>
            </w:pPr>
            <w:r>
              <w:rPr>
                <w:rFonts w:ascii="Arial" w:cs="Arial" w:eastAsia="Arial" w:hAnsi="Arial"/>
                <w:sz w:val="13"/>
                <w:szCs w:val="13"/>
                <w:color w:val="auto"/>
              </w:rPr>
              <w:t>63,513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ind w:left="9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(63,162)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351</w:t>
            </w:r>
          </w:p>
        </w:tc>
        <w:tc>
          <w:tcPr>
            <w:tcW w:w="0" w:type="dxa"/>
            <w:vAlign w:val="bottom"/>
          </w:tcPr>
          <w:p>
            <w:pPr>
              <w:spacing w:after="0"/>
              <w:rPr>
                <w:sz w:val="1"/>
                <w:szCs w:val="1"/>
                <w:color w:val="auto"/>
              </w:rPr>
            </w:pPr>
          </w:p>
        </w:tc>
      </w:tr>
      <w:tr>
        <w:trPr>
          <w:trHeight w:val="168"/>
        </w:trPr>
        <w:tc>
          <w:tcPr>
            <w:tcW w:w="27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Trading liabilities, at fair value:</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720" w:type="dxa"/>
            <w:vAlign w:val="bottom"/>
            <w:gridSpan w:val="2"/>
          </w:tcPr>
          <w:p>
            <w:pPr>
              <w:ind w:left="180"/>
              <w:spacing w:after="0"/>
              <w:rPr>
                <w:sz w:val="20"/>
                <w:szCs w:val="20"/>
                <w:color w:val="auto"/>
              </w:rPr>
            </w:pPr>
            <w:r>
              <w:rPr>
                <w:rFonts w:ascii="Arial" w:cs="Arial" w:eastAsia="Arial" w:hAnsi="Arial"/>
                <w:sz w:val="13"/>
                <w:szCs w:val="13"/>
                <w:color w:val="auto"/>
              </w:rPr>
              <w:t>Currency forwards</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292,965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ind w:left="900"/>
              <w:spacing w:after="0"/>
              <w:rPr>
                <w:sz w:val="20"/>
                <w:szCs w:val="20"/>
                <w:color w:val="auto"/>
              </w:rPr>
            </w:pPr>
            <w:r>
              <w:rPr>
                <w:rFonts w:ascii="Arial" w:cs="Arial" w:eastAsia="Arial" w:hAnsi="Arial"/>
                <w:sz w:val="13"/>
                <w:szCs w:val="13"/>
                <w:color w:val="auto"/>
                <w:w w:val="89"/>
              </w:rPr>
              <w:t>(292,870)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95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ind w:left="9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220" w:type="dxa"/>
            <w:vAlign w:val="bottom"/>
            <w:gridSpan w:val="2"/>
          </w:tcPr>
          <w:p>
            <w:pPr>
              <w:ind w:left="9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95</w:t>
            </w:r>
          </w:p>
        </w:tc>
        <w:tc>
          <w:tcPr>
            <w:tcW w:w="0" w:type="dxa"/>
            <w:vAlign w:val="bottom"/>
          </w:tcPr>
          <w:p>
            <w:pPr>
              <w:spacing w:after="0"/>
              <w:rPr>
                <w:sz w:val="1"/>
                <w:szCs w:val="1"/>
                <w:color w:val="auto"/>
              </w:rPr>
            </w:pPr>
          </w:p>
        </w:tc>
      </w:tr>
      <w:tr>
        <w:trPr>
          <w:trHeight w:val="166"/>
        </w:trPr>
        <w:tc>
          <w:tcPr>
            <w:tcW w:w="27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Options</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9,241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ind w:left="1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4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9,241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ind w:left="9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(9,080)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w:t>
            </w:r>
          </w:p>
        </w:tc>
        <w:tc>
          <w:tcPr>
            <w:tcW w:w="0" w:type="dxa"/>
            <w:vAlign w:val="bottom"/>
          </w:tcPr>
          <w:p>
            <w:pPr>
              <w:spacing w:after="0"/>
              <w:rPr>
                <w:sz w:val="1"/>
                <w:szCs w:val="1"/>
                <w:color w:val="auto"/>
              </w:rPr>
            </w:pPr>
          </w:p>
        </w:tc>
      </w:tr>
      <w:tr>
        <w:trPr>
          <w:trHeight w:val="160"/>
        </w:trPr>
        <w:tc>
          <w:tcPr>
            <w:tcW w:w="2720" w:type="dxa"/>
            <w:vAlign w:val="bottom"/>
            <w:gridSpan w:val="2"/>
          </w:tcPr>
          <w:p>
            <w:pPr>
              <w:spacing w:after="0"/>
              <w:rPr>
                <w:sz w:val="20"/>
                <w:szCs w:val="20"/>
                <w:color w:val="auto"/>
              </w:rPr>
            </w:pPr>
            <w:r>
              <w:rPr>
                <w:rFonts w:ascii="Arial" w:cs="Arial" w:eastAsia="Arial" w:hAnsi="Arial"/>
                <w:sz w:val="13"/>
                <w:szCs w:val="13"/>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1,775,210</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42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3"/>
                <w:szCs w:val="13"/>
                <w:color w:val="auto"/>
                <w:w w:val="89"/>
              </w:rPr>
              <w:t>(292,870)</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1,482,340</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(1,382,828)</w:t>
            </w:r>
          </w:p>
        </w:tc>
        <w:tc>
          <w:tcPr>
            <w:tcW w:w="1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(90,042)</w:t>
            </w:r>
          </w:p>
        </w:tc>
        <w:tc>
          <w:tcPr>
            <w:tcW w:w="1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9"/>
                <w:szCs w:val="9"/>
                <w:color w:val="auto"/>
                <w:w w:val="7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9,470</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ind w:right="500" w:firstLine="568"/>
        <w:spacing w:after="0" w:line="268" w:lineRule="auto"/>
        <w:rPr>
          <w:sz w:val="20"/>
          <w:szCs w:val="20"/>
          <w:color w:val="auto"/>
        </w:rPr>
      </w:pPr>
      <w:r>
        <w:rPr>
          <w:rFonts w:ascii="Arial" w:cs="Arial" w:eastAsia="Arial" w:hAnsi="Arial"/>
          <w:sz w:val="16"/>
          <w:szCs w:val="16"/>
          <w:color w:val="auto"/>
        </w:rPr>
        <w:t>The following table presents gross obligations for securities sold under agreements to repurchase and for securities lending transactions by remaining contractual maturity and the class of collateral pledged:</w:t>
      </w:r>
    </w:p>
    <w:p>
      <w:pPr>
        <w:spacing w:after="0" w:line="20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3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center"/>
              <w:ind w:left="297"/>
              <w:spacing w:after="0"/>
              <w:rPr>
                <w:sz w:val="20"/>
                <w:szCs w:val="20"/>
                <w:color w:val="auto"/>
              </w:rPr>
            </w:pPr>
            <w:r>
              <w:rPr>
                <w:rFonts w:ascii="Arial" w:cs="Arial" w:eastAsia="Arial" w:hAnsi="Arial"/>
                <w:sz w:val="13"/>
                <w:szCs w:val="13"/>
                <w:b w:val="1"/>
                <w:bCs w:val="1"/>
                <w:color w:val="auto"/>
                <w:w w:val="87"/>
              </w:rPr>
              <w:t>December 31, 2021</w:t>
            </w: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5"/>
          </w:tcPr>
          <w:p>
            <w:pPr>
              <w:jc w:val="center"/>
              <w:ind w:right="520"/>
              <w:spacing w:after="0"/>
              <w:rPr>
                <w:sz w:val="20"/>
                <w:szCs w:val="20"/>
                <w:color w:val="auto"/>
              </w:rPr>
            </w:pPr>
            <w:r>
              <w:rPr>
                <w:rFonts w:ascii="Arial" w:cs="Arial" w:eastAsia="Arial" w:hAnsi="Arial"/>
                <w:sz w:val="13"/>
                <w:szCs w:val="13"/>
                <w:b w:val="1"/>
                <w:bCs w:val="1"/>
                <w:color w:val="auto"/>
                <w:w w:val="90"/>
              </w:rPr>
              <w:t>Remaining Contractual Maturity</w:t>
            </w: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35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(in thousands)</w:t>
            </w:r>
          </w:p>
        </w:tc>
        <w:tc>
          <w:tcPr>
            <w:tcW w:w="200" w:type="dxa"/>
            <w:vAlign w:val="bottom"/>
          </w:tcPr>
          <w:p>
            <w:pPr>
              <w:spacing w:after="0"/>
              <w:rPr>
                <w:sz w:val="9"/>
                <w:szCs w:val="9"/>
                <w:color w:val="auto"/>
              </w:rPr>
            </w:pPr>
          </w:p>
        </w:tc>
        <w:tc>
          <w:tcPr>
            <w:tcW w:w="1320" w:type="dxa"/>
            <w:vAlign w:val="bottom"/>
            <w:gridSpan w:val="2"/>
          </w:tcPr>
          <w:p>
            <w:pPr>
              <w:jc w:val="center"/>
              <w:ind w:right="300"/>
              <w:spacing w:after="0" w:line="111" w:lineRule="exact"/>
              <w:rPr>
                <w:sz w:val="20"/>
                <w:szCs w:val="20"/>
                <w:color w:val="auto"/>
              </w:rPr>
            </w:pPr>
            <w:r>
              <w:rPr>
                <w:rFonts w:ascii="Arial" w:cs="Arial" w:eastAsia="Arial" w:hAnsi="Arial"/>
                <w:sz w:val="12"/>
                <w:szCs w:val="12"/>
                <w:b w:val="1"/>
                <w:bCs w:val="1"/>
                <w:color w:val="auto"/>
                <w:w w:val="95"/>
              </w:rPr>
              <w:t>Overnight and</w:t>
            </w:r>
          </w:p>
        </w:tc>
        <w:tc>
          <w:tcPr>
            <w:tcW w:w="80" w:type="dxa"/>
            <w:vAlign w:val="bottom"/>
          </w:tcPr>
          <w:p>
            <w:pPr>
              <w:spacing w:after="0"/>
              <w:rPr>
                <w:sz w:val="9"/>
                <w:szCs w:val="9"/>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99"/>
              </w:rPr>
              <w:t>Less than 30 days</w:t>
            </w:r>
          </w:p>
        </w:tc>
        <w:tc>
          <w:tcPr>
            <w:tcW w:w="100" w:type="dxa"/>
            <w:vAlign w:val="bottom"/>
          </w:tcPr>
          <w:p>
            <w:pPr>
              <w:spacing w:after="0"/>
              <w:rPr>
                <w:sz w:val="9"/>
                <w:szCs w:val="9"/>
                <w:color w:val="auto"/>
              </w:rPr>
            </w:pPr>
          </w:p>
        </w:tc>
        <w:tc>
          <w:tcPr>
            <w:tcW w:w="1020" w:type="dxa"/>
            <w:vAlign w:val="bottom"/>
          </w:tcPr>
          <w:p>
            <w:pPr>
              <w:jc w:val="center"/>
              <w:ind w:right="37"/>
              <w:spacing w:after="0" w:line="111" w:lineRule="exact"/>
              <w:rPr>
                <w:sz w:val="20"/>
                <w:szCs w:val="20"/>
                <w:color w:val="auto"/>
              </w:rPr>
            </w:pPr>
            <w:r>
              <w:rPr>
                <w:rFonts w:ascii="Arial" w:cs="Arial" w:eastAsia="Arial" w:hAnsi="Arial"/>
                <w:sz w:val="12"/>
                <w:szCs w:val="12"/>
                <w:b w:val="1"/>
                <w:bCs w:val="1"/>
                <w:color w:val="auto"/>
                <w:w w:val="96"/>
              </w:rPr>
              <w:t>30 - 60</w:t>
            </w: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jc w:val="center"/>
              <w:ind w:right="278"/>
              <w:spacing w:after="0" w:line="111" w:lineRule="exact"/>
              <w:rPr>
                <w:sz w:val="20"/>
                <w:szCs w:val="20"/>
                <w:color w:val="auto"/>
              </w:rPr>
            </w:pPr>
            <w:r>
              <w:rPr>
                <w:rFonts w:ascii="Arial" w:cs="Arial" w:eastAsia="Arial" w:hAnsi="Arial"/>
                <w:sz w:val="12"/>
                <w:szCs w:val="12"/>
                <w:b w:val="1"/>
                <w:bCs w:val="1"/>
                <w:color w:val="auto"/>
                <w:w w:val="90"/>
              </w:rPr>
              <w:t>61 - 90</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tcPr>
          <w:p>
            <w:pPr>
              <w:jc w:val="center"/>
              <w:ind w:right="200"/>
              <w:spacing w:after="0" w:line="111" w:lineRule="exact"/>
              <w:rPr>
                <w:sz w:val="20"/>
                <w:szCs w:val="20"/>
                <w:color w:val="auto"/>
              </w:rPr>
            </w:pPr>
            <w:r>
              <w:rPr>
                <w:rFonts w:ascii="Arial" w:cs="Arial" w:eastAsia="Arial" w:hAnsi="Arial"/>
                <w:sz w:val="12"/>
                <w:szCs w:val="12"/>
                <w:b w:val="1"/>
                <w:bCs w:val="1"/>
                <w:color w:val="auto"/>
                <w:w w:val="97"/>
              </w:rPr>
              <w:t>Greater than 90</w:t>
            </w: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vMerge w:val="restart"/>
          </w:tcPr>
          <w:p>
            <w:pPr>
              <w:jc w:val="right"/>
              <w:ind w:right="377"/>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35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5"/>
              </w:rPr>
              <w:t>Continuous</w:t>
            </w:r>
          </w:p>
        </w:tc>
        <w:tc>
          <w:tcPr>
            <w:tcW w:w="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0"/>
              </w:rPr>
              <w:t>days</w:t>
            </w:r>
          </w:p>
        </w:tc>
        <w:tc>
          <w:tcPr>
            <w:tcW w:w="340" w:type="dxa"/>
            <w:vAlign w:val="bottom"/>
          </w:tcPr>
          <w:p>
            <w:pPr>
              <w:spacing w:after="0"/>
              <w:rPr>
                <w:sz w:val="14"/>
                <w:szCs w:val="14"/>
                <w:color w:val="auto"/>
              </w:rPr>
            </w:pPr>
          </w:p>
        </w:tc>
        <w:tc>
          <w:tcPr>
            <w:tcW w:w="88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83"/>
              </w:rPr>
              <w:t>Days</w:t>
            </w:r>
          </w:p>
        </w:tc>
        <w:tc>
          <w:tcPr>
            <w:tcW w:w="100" w:type="dxa"/>
            <w:vAlign w:val="bottom"/>
          </w:tcPr>
          <w:p>
            <w:pPr>
              <w:spacing w:after="0"/>
              <w:rPr>
                <w:sz w:val="14"/>
                <w:szCs w:val="14"/>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0"/>
              </w:rPr>
              <w:t>days</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540" w:type="dxa"/>
            <w:vAlign w:val="bottom"/>
            <w:gridSpan w:val="2"/>
          </w:tcPr>
          <w:p>
            <w:pPr>
              <w:ind w:left="20"/>
              <w:spacing w:after="0"/>
              <w:rPr>
                <w:sz w:val="20"/>
                <w:szCs w:val="20"/>
                <w:color w:val="auto"/>
              </w:rPr>
            </w:pPr>
            <w:r>
              <w:rPr>
                <w:rFonts w:ascii="Arial" w:cs="Arial" w:eastAsia="Arial" w:hAnsi="Arial"/>
                <w:sz w:val="13"/>
                <w:szCs w:val="13"/>
                <w:color w:val="auto"/>
              </w:rPr>
              <w:t>Securities sold under agreements to repurchase:</w:t>
            </w: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5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Equity securities</w:t>
            </w: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140,000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210,000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3"/>
                <w:szCs w:val="13"/>
                <w:color w:val="auto"/>
              </w:rPr>
              <w:t>—</w:t>
            </w:r>
          </w:p>
        </w:tc>
        <w:tc>
          <w:tcPr>
            <w:tcW w:w="260" w:type="dxa"/>
            <w:vAlign w:val="bottom"/>
            <w:gridSpan w:val="2"/>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540" w:type="dxa"/>
            <w:vAlign w:val="bottom"/>
            <w:gridSpan w:val="2"/>
          </w:tcPr>
          <w:p>
            <w:pPr>
              <w:ind w:left="140"/>
              <w:spacing w:after="0"/>
              <w:rPr>
                <w:sz w:val="20"/>
                <w:szCs w:val="20"/>
                <w:color w:val="auto"/>
              </w:rPr>
            </w:pPr>
            <w:r>
              <w:rPr>
                <w:rFonts w:ascii="Arial" w:cs="Arial" w:eastAsia="Arial" w:hAnsi="Arial"/>
                <w:sz w:val="13"/>
                <w:szCs w:val="13"/>
                <w:color w:val="auto"/>
              </w:rPr>
              <w:t>U.S. and Non-U.S. government obligations</w:t>
            </w:r>
          </w:p>
        </w:tc>
        <w:tc>
          <w:tcPr>
            <w:tcW w:w="2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114,325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114,325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5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2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114,325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140,000</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50,000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210,000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bottom w:val="single" w:sz="8" w:color="auto"/>
            </w:tcBorders>
            <w:gridSpan w:val="2"/>
            <w:shd w:val="clear" w:color="auto" w:fill="CCEEFF"/>
          </w:tcPr>
          <w:p>
            <w:pPr>
              <w:ind w:left="840"/>
              <w:spacing w:after="0"/>
              <w:rPr>
                <w:sz w:val="20"/>
                <w:szCs w:val="20"/>
                <w:color w:val="auto"/>
              </w:rPr>
            </w:pPr>
            <w:r>
              <w:rPr>
                <w:rFonts w:ascii="Arial" w:cs="Arial" w:eastAsia="Arial" w:hAnsi="Arial"/>
                <w:sz w:val="13"/>
                <w:szCs w:val="13"/>
                <w:color w:val="auto"/>
              </w:rPr>
              <w:t>—</w:t>
            </w:r>
          </w:p>
        </w:tc>
        <w:tc>
          <w:tcPr>
            <w:tcW w:w="260" w:type="dxa"/>
            <w:vAlign w:val="bottom"/>
            <w:tcBorders>
              <w:top w:val="single" w:sz="8" w:color="auto"/>
              <w:bottom w:val="single" w:sz="8" w:color="auto"/>
            </w:tcBorders>
            <w:gridSpan w:val="2"/>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514,325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35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Securities loaned:</w:t>
            </w: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540" w:type="dxa"/>
            <w:vAlign w:val="bottom"/>
            <w:gridSpan w:val="2"/>
          </w:tcPr>
          <w:p>
            <w:pPr>
              <w:ind w:left="140"/>
              <w:spacing w:after="0"/>
              <w:rPr>
                <w:sz w:val="20"/>
                <w:szCs w:val="20"/>
                <w:color w:val="auto"/>
              </w:rPr>
            </w:pPr>
            <w:r>
              <w:rPr>
                <w:rFonts w:ascii="Arial" w:cs="Arial" w:eastAsia="Arial" w:hAnsi="Arial"/>
                <w:sz w:val="13"/>
                <w:szCs w:val="13"/>
                <w:color w:val="auto"/>
              </w:rPr>
              <w:t>Equity securities</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1,142,048</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jc w:val="right"/>
              <w:ind w:right="197"/>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tcPr>
          <w:p>
            <w:pPr>
              <w:ind w:left="840"/>
              <w:spacing w:after="0"/>
              <w:rPr>
                <w:sz w:val="20"/>
                <w:szCs w:val="20"/>
                <w:color w:val="auto"/>
              </w:rPr>
            </w:pPr>
            <w:r>
              <w:rPr>
                <w:rFonts w:ascii="Arial" w:cs="Arial" w:eastAsia="Arial" w:hAnsi="Arial"/>
                <w:sz w:val="13"/>
                <w:szCs w:val="13"/>
                <w:color w:val="auto"/>
              </w:rPr>
              <w:t>—</w:t>
            </w:r>
          </w:p>
        </w:tc>
        <w:tc>
          <w:tcPr>
            <w:tcW w:w="260" w:type="dxa"/>
            <w:vAlign w:val="bottom"/>
            <w:gridSpan w:val="2"/>
          </w:tcPr>
          <w:p>
            <w:pPr>
              <w:jc w:val="right"/>
              <w:ind w:right="117"/>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1,142,048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5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2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1,142,048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shd w:val="clear" w:color="auto" w:fill="CCEEFF"/>
          </w:tcPr>
          <w:p>
            <w:pPr>
              <w:ind w:left="840"/>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bottom w:val="single" w:sz="8" w:color="auto"/>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gridSpan w:val="2"/>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1,142,048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center"/>
              <w:ind w:left="297"/>
              <w:spacing w:after="0"/>
              <w:rPr>
                <w:sz w:val="20"/>
                <w:szCs w:val="20"/>
                <w:color w:val="auto"/>
              </w:rPr>
            </w:pPr>
            <w:r>
              <w:rPr>
                <w:rFonts w:ascii="Arial" w:cs="Arial" w:eastAsia="Arial" w:hAnsi="Arial"/>
                <w:sz w:val="13"/>
                <w:szCs w:val="13"/>
                <w:b w:val="1"/>
                <w:bCs w:val="1"/>
                <w:color w:val="auto"/>
                <w:w w:val="87"/>
              </w:rPr>
              <w:t>December 31, 2020</w:t>
            </w: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5"/>
          </w:tcPr>
          <w:p>
            <w:pPr>
              <w:jc w:val="center"/>
              <w:ind w:right="500"/>
              <w:spacing w:after="0"/>
              <w:rPr>
                <w:sz w:val="20"/>
                <w:szCs w:val="20"/>
                <w:color w:val="auto"/>
              </w:rPr>
            </w:pPr>
            <w:r>
              <w:rPr>
                <w:rFonts w:ascii="Arial" w:cs="Arial" w:eastAsia="Arial" w:hAnsi="Arial"/>
                <w:sz w:val="13"/>
                <w:szCs w:val="13"/>
                <w:b w:val="1"/>
                <w:bCs w:val="1"/>
                <w:color w:val="auto"/>
                <w:w w:val="91"/>
              </w:rPr>
              <w:t>Remaining Contractual Maturity</w:t>
            </w: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35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(in thousands)</w:t>
            </w:r>
          </w:p>
        </w:tc>
        <w:tc>
          <w:tcPr>
            <w:tcW w:w="200" w:type="dxa"/>
            <w:vAlign w:val="bottom"/>
          </w:tcPr>
          <w:p>
            <w:pPr>
              <w:spacing w:after="0"/>
              <w:rPr>
                <w:sz w:val="9"/>
                <w:szCs w:val="9"/>
                <w:color w:val="auto"/>
              </w:rPr>
            </w:pPr>
          </w:p>
        </w:tc>
        <w:tc>
          <w:tcPr>
            <w:tcW w:w="1320" w:type="dxa"/>
            <w:vAlign w:val="bottom"/>
            <w:gridSpan w:val="2"/>
          </w:tcPr>
          <w:p>
            <w:pPr>
              <w:jc w:val="center"/>
              <w:ind w:right="300"/>
              <w:spacing w:after="0" w:line="111" w:lineRule="exact"/>
              <w:rPr>
                <w:sz w:val="20"/>
                <w:szCs w:val="20"/>
                <w:color w:val="auto"/>
              </w:rPr>
            </w:pPr>
            <w:r>
              <w:rPr>
                <w:rFonts w:ascii="Arial" w:cs="Arial" w:eastAsia="Arial" w:hAnsi="Arial"/>
                <w:sz w:val="12"/>
                <w:szCs w:val="12"/>
                <w:b w:val="1"/>
                <w:bCs w:val="1"/>
                <w:color w:val="auto"/>
                <w:w w:val="95"/>
              </w:rPr>
              <w:t>Overnight and</w:t>
            </w:r>
          </w:p>
        </w:tc>
        <w:tc>
          <w:tcPr>
            <w:tcW w:w="80" w:type="dxa"/>
            <w:vAlign w:val="bottom"/>
          </w:tcPr>
          <w:p>
            <w:pPr>
              <w:spacing w:after="0"/>
              <w:rPr>
                <w:sz w:val="9"/>
                <w:szCs w:val="9"/>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99"/>
              </w:rPr>
              <w:t>Less than 30 days</w:t>
            </w:r>
          </w:p>
        </w:tc>
        <w:tc>
          <w:tcPr>
            <w:tcW w:w="100" w:type="dxa"/>
            <w:vAlign w:val="bottom"/>
          </w:tcPr>
          <w:p>
            <w:pPr>
              <w:spacing w:after="0"/>
              <w:rPr>
                <w:sz w:val="9"/>
                <w:szCs w:val="9"/>
                <w:color w:val="auto"/>
              </w:rPr>
            </w:pPr>
          </w:p>
        </w:tc>
        <w:tc>
          <w:tcPr>
            <w:tcW w:w="1020" w:type="dxa"/>
            <w:vAlign w:val="bottom"/>
          </w:tcPr>
          <w:p>
            <w:pPr>
              <w:jc w:val="center"/>
              <w:ind w:right="37"/>
              <w:spacing w:after="0" w:line="111" w:lineRule="exact"/>
              <w:rPr>
                <w:sz w:val="20"/>
                <w:szCs w:val="20"/>
                <w:color w:val="auto"/>
              </w:rPr>
            </w:pPr>
            <w:r>
              <w:rPr>
                <w:rFonts w:ascii="Arial" w:cs="Arial" w:eastAsia="Arial" w:hAnsi="Arial"/>
                <w:sz w:val="12"/>
                <w:szCs w:val="12"/>
                <w:b w:val="1"/>
                <w:bCs w:val="1"/>
                <w:color w:val="auto"/>
                <w:w w:val="96"/>
              </w:rPr>
              <w:t>30 - 60</w:t>
            </w: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jc w:val="center"/>
              <w:ind w:right="278"/>
              <w:spacing w:after="0" w:line="111" w:lineRule="exact"/>
              <w:rPr>
                <w:sz w:val="20"/>
                <w:szCs w:val="20"/>
                <w:color w:val="auto"/>
              </w:rPr>
            </w:pPr>
            <w:r>
              <w:rPr>
                <w:rFonts w:ascii="Arial" w:cs="Arial" w:eastAsia="Arial" w:hAnsi="Arial"/>
                <w:sz w:val="12"/>
                <w:szCs w:val="12"/>
                <w:b w:val="1"/>
                <w:bCs w:val="1"/>
                <w:color w:val="auto"/>
                <w:w w:val="90"/>
              </w:rPr>
              <w:t>61 - 90</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tcPr>
          <w:p>
            <w:pPr>
              <w:jc w:val="center"/>
              <w:ind w:right="200"/>
              <w:spacing w:after="0" w:line="111" w:lineRule="exact"/>
              <w:rPr>
                <w:sz w:val="20"/>
                <w:szCs w:val="20"/>
                <w:color w:val="auto"/>
              </w:rPr>
            </w:pPr>
            <w:r>
              <w:rPr>
                <w:rFonts w:ascii="Arial" w:cs="Arial" w:eastAsia="Arial" w:hAnsi="Arial"/>
                <w:sz w:val="12"/>
                <w:szCs w:val="12"/>
                <w:b w:val="1"/>
                <w:bCs w:val="1"/>
                <w:color w:val="auto"/>
                <w:w w:val="97"/>
              </w:rPr>
              <w:t>Greater than 90</w:t>
            </w: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vMerge w:val="restart"/>
          </w:tcPr>
          <w:p>
            <w:pPr>
              <w:jc w:val="right"/>
              <w:ind w:right="357"/>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35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5"/>
              </w:rPr>
              <w:t>Continuous</w:t>
            </w:r>
          </w:p>
        </w:tc>
        <w:tc>
          <w:tcPr>
            <w:tcW w:w="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0"/>
              </w:rPr>
              <w:t>days</w:t>
            </w:r>
          </w:p>
        </w:tc>
        <w:tc>
          <w:tcPr>
            <w:tcW w:w="340" w:type="dxa"/>
            <w:vAlign w:val="bottom"/>
          </w:tcPr>
          <w:p>
            <w:pPr>
              <w:spacing w:after="0"/>
              <w:rPr>
                <w:sz w:val="14"/>
                <w:szCs w:val="14"/>
                <w:color w:val="auto"/>
              </w:rPr>
            </w:pPr>
          </w:p>
        </w:tc>
        <w:tc>
          <w:tcPr>
            <w:tcW w:w="88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83"/>
              </w:rPr>
              <w:t>Days</w:t>
            </w:r>
          </w:p>
        </w:tc>
        <w:tc>
          <w:tcPr>
            <w:tcW w:w="100" w:type="dxa"/>
            <w:vAlign w:val="bottom"/>
          </w:tcPr>
          <w:p>
            <w:pPr>
              <w:spacing w:after="0"/>
              <w:rPr>
                <w:sz w:val="14"/>
                <w:szCs w:val="14"/>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0"/>
              </w:rPr>
              <w:t>days</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540" w:type="dxa"/>
            <w:vAlign w:val="bottom"/>
            <w:gridSpan w:val="2"/>
          </w:tcPr>
          <w:p>
            <w:pPr>
              <w:ind w:left="20"/>
              <w:spacing w:after="0"/>
              <w:rPr>
                <w:sz w:val="20"/>
                <w:szCs w:val="20"/>
                <w:color w:val="auto"/>
              </w:rPr>
            </w:pPr>
            <w:r>
              <w:rPr>
                <w:rFonts w:ascii="Arial" w:cs="Arial" w:eastAsia="Arial" w:hAnsi="Arial"/>
                <w:sz w:val="13"/>
                <w:szCs w:val="13"/>
                <w:color w:val="auto"/>
              </w:rPr>
              <w:t>Securities sold under agreements to repurchase:</w:t>
            </w: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54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Equity securities</w:t>
            </w: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125,000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200,000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3"/>
                <w:szCs w:val="13"/>
                <w:color w:val="auto"/>
              </w:rPr>
              <w:t>—</w:t>
            </w:r>
          </w:p>
        </w:tc>
        <w:tc>
          <w:tcPr>
            <w:tcW w:w="260" w:type="dxa"/>
            <w:vAlign w:val="bottom"/>
            <w:gridSpan w:val="2"/>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375,000</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540" w:type="dxa"/>
            <w:vAlign w:val="bottom"/>
            <w:gridSpan w:val="2"/>
          </w:tcPr>
          <w:p>
            <w:pPr>
              <w:ind w:left="120"/>
              <w:spacing w:after="0"/>
              <w:rPr>
                <w:sz w:val="20"/>
                <w:szCs w:val="20"/>
                <w:color w:val="auto"/>
              </w:rPr>
            </w:pPr>
            <w:r>
              <w:rPr>
                <w:rFonts w:ascii="Arial" w:cs="Arial" w:eastAsia="Arial" w:hAnsi="Arial"/>
                <w:sz w:val="13"/>
                <w:szCs w:val="13"/>
                <w:color w:val="auto"/>
              </w:rPr>
              <w:t>U.S. and Non-U.S. government obligations</w:t>
            </w:r>
          </w:p>
        </w:tc>
        <w:tc>
          <w:tcPr>
            <w:tcW w:w="2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86,235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00" w:type="dxa"/>
            <w:vAlign w:val="bottom"/>
            <w:gridSpan w:val="2"/>
          </w:tcPr>
          <w:p>
            <w:pPr>
              <w:ind w:left="8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86,235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5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2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86,235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125,000</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50,000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200,000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shd w:val="clear" w:color="auto" w:fill="CCEEFF"/>
          </w:tcPr>
          <w:p>
            <w:pPr>
              <w:ind w:left="840"/>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461,235</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35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Securities loaned:</w:t>
            </w: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540" w:type="dxa"/>
            <w:vAlign w:val="bottom"/>
            <w:gridSpan w:val="2"/>
          </w:tcPr>
          <w:p>
            <w:pPr>
              <w:ind w:left="120"/>
              <w:spacing w:after="0"/>
              <w:rPr>
                <w:sz w:val="20"/>
                <w:szCs w:val="20"/>
                <w:color w:val="auto"/>
              </w:rPr>
            </w:pPr>
            <w:r>
              <w:rPr>
                <w:rFonts w:ascii="Arial" w:cs="Arial" w:eastAsia="Arial" w:hAnsi="Arial"/>
                <w:sz w:val="13"/>
                <w:szCs w:val="13"/>
                <w:color w:val="auto"/>
              </w:rPr>
              <w:t>Equity securities</w:t>
            </w:r>
          </w:p>
        </w:tc>
        <w:tc>
          <w:tcPr>
            <w:tcW w:w="2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948,256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00" w:type="dxa"/>
            <w:vAlign w:val="bottom"/>
            <w:gridSpan w:val="2"/>
          </w:tcPr>
          <w:p>
            <w:pPr>
              <w:ind w:left="8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948,256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5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2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948,256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shd w:val="clear" w:color="auto" w:fill="CCEEFF"/>
          </w:tcPr>
          <w:p>
            <w:pPr>
              <w:ind w:left="840"/>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948,256</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11" w:name="page112"/>
    <w:bookmarkEnd w:id="11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Derivative Instruments</w:t>
      </w:r>
    </w:p>
    <w:p>
      <w:pPr>
        <w:spacing w:after="0" w:line="3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fair value of the Company’s derivative instruments on a gross basis consisted of the following at December 31, 2021 and December 31, 2020:</w:t>
      </w: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294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3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0" w:type="dxa"/>
            <w:vAlign w:val="bottom"/>
            <w:gridSpan w:val="5"/>
          </w:tcPr>
          <w:p>
            <w:pPr>
              <w:ind w:left="540"/>
              <w:spacing w:after="0"/>
              <w:rPr>
                <w:sz w:val="20"/>
                <w:szCs w:val="20"/>
                <w:color w:val="auto"/>
              </w:rPr>
            </w:pPr>
            <w:r>
              <w:rPr>
                <w:rFonts w:ascii="Arial" w:cs="Arial" w:eastAsia="Arial" w:hAnsi="Arial"/>
                <w:sz w:val="13"/>
                <w:szCs w:val="13"/>
                <w:b w:val="1"/>
                <w:bCs w:val="1"/>
                <w:color w:val="auto"/>
              </w:rPr>
              <w:t>December 31, 2021</w:t>
            </w:r>
          </w:p>
        </w:tc>
        <w:tc>
          <w:tcPr>
            <w:tcW w:w="200" w:type="dxa"/>
            <w:vAlign w:val="bottom"/>
          </w:tcPr>
          <w:p>
            <w:pPr>
              <w:spacing w:after="0"/>
              <w:rPr>
                <w:sz w:val="14"/>
                <w:szCs w:val="14"/>
                <w:color w:val="auto"/>
              </w:rPr>
            </w:pPr>
          </w:p>
        </w:tc>
        <w:tc>
          <w:tcPr>
            <w:tcW w:w="2300" w:type="dxa"/>
            <w:vAlign w:val="bottom"/>
            <w:gridSpan w:val="4"/>
          </w:tcPr>
          <w:p>
            <w:pPr>
              <w:jc w:val="right"/>
              <w:ind w:right="677"/>
              <w:spacing w:after="0"/>
              <w:rPr>
                <w:sz w:val="20"/>
                <w:szCs w:val="20"/>
                <w:color w:val="auto"/>
              </w:rPr>
            </w:pPr>
            <w:r>
              <w:rPr>
                <w:rFonts w:ascii="Arial" w:cs="Arial" w:eastAsia="Arial" w:hAnsi="Arial"/>
                <w:sz w:val="13"/>
                <w:szCs w:val="13"/>
                <w:b w:val="1"/>
                <w:bCs w:val="1"/>
                <w:color w:val="auto"/>
              </w:rPr>
              <w:t>December 31, 2020</w:t>
            </w:r>
          </w:p>
        </w:tc>
        <w:tc>
          <w:tcPr>
            <w:tcW w:w="0" w:type="dxa"/>
            <w:vAlign w:val="bottom"/>
          </w:tcPr>
          <w:p>
            <w:pPr>
              <w:spacing w:after="0"/>
              <w:rPr>
                <w:sz w:val="1"/>
                <w:szCs w:val="1"/>
                <w:color w:val="auto"/>
              </w:rPr>
            </w:pPr>
          </w:p>
        </w:tc>
      </w:tr>
      <w:tr>
        <w:trPr>
          <w:trHeight w:val="162"/>
        </w:trPr>
        <w:tc>
          <w:tcPr>
            <w:tcW w:w="29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3"/>
                <w:szCs w:val="13"/>
                <w:b w:val="1"/>
                <w:bCs w:val="1"/>
                <w:color w:val="auto"/>
              </w:rPr>
              <w:t>Derivatives Assets</w:t>
            </w:r>
          </w:p>
        </w:tc>
        <w:tc>
          <w:tcPr>
            <w:tcW w:w="31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Financial Statement Location</w:t>
            </w:r>
          </w:p>
        </w:tc>
        <w:tc>
          <w:tcPr>
            <w:tcW w:w="20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gridSpan w:val="2"/>
            <w:shd w:val="clear" w:color="auto" w:fill="CCEEFF"/>
          </w:tcPr>
          <w:p>
            <w:pPr>
              <w:ind w:left="120"/>
              <w:spacing w:after="0"/>
              <w:rPr>
                <w:sz w:val="20"/>
                <w:szCs w:val="20"/>
                <w:color w:val="auto"/>
              </w:rPr>
            </w:pPr>
            <w:r>
              <w:rPr>
                <w:rFonts w:ascii="Arial" w:cs="Arial" w:eastAsia="Arial" w:hAnsi="Arial"/>
                <w:sz w:val="13"/>
                <w:szCs w:val="13"/>
                <w:b w:val="1"/>
                <w:bCs w:val="1"/>
                <w:color w:val="auto"/>
              </w:rPr>
              <w:t>Fair Value</w:t>
            </w:r>
          </w:p>
        </w:tc>
        <w:tc>
          <w:tcPr>
            <w:tcW w:w="2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ind w:right="317"/>
              <w:spacing w:after="0"/>
              <w:rPr>
                <w:sz w:val="20"/>
                <w:szCs w:val="20"/>
                <w:color w:val="auto"/>
              </w:rPr>
            </w:pPr>
            <w:r>
              <w:rPr>
                <w:rFonts w:ascii="Arial" w:cs="Arial" w:eastAsia="Arial" w:hAnsi="Arial"/>
                <w:sz w:val="13"/>
                <w:szCs w:val="13"/>
                <w:b w:val="1"/>
                <w:bCs w:val="1"/>
                <w:color w:val="auto"/>
              </w:rPr>
              <w:t>Notional</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gridSpan w:val="2"/>
            <w:shd w:val="clear" w:color="auto" w:fill="CCEEFF"/>
          </w:tcPr>
          <w:p>
            <w:pPr>
              <w:ind w:left="120"/>
              <w:spacing w:after="0"/>
              <w:rPr>
                <w:sz w:val="20"/>
                <w:szCs w:val="20"/>
                <w:color w:val="auto"/>
              </w:rPr>
            </w:pPr>
            <w:r>
              <w:rPr>
                <w:rFonts w:ascii="Arial" w:cs="Arial" w:eastAsia="Arial" w:hAnsi="Arial"/>
                <w:sz w:val="13"/>
                <w:szCs w:val="13"/>
                <w:b w:val="1"/>
                <w:bCs w:val="1"/>
                <w:color w:val="auto"/>
              </w:rPr>
              <w:t>Fair Value</w:t>
            </w:r>
          </w:p>
        </w:tc>
        <w:tc>
          <w:tcPr>
            <w:tcW w:w="2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ind w:right="297"/>
              <w:spacing w:after="0"/>
              <w:rPr>
                <w:sz w:val="20"/>
                <w:szCs w:val="20"/>
                <w:color w:val="auto"/>
              </w:rPr>
            </w:pPr>
            <w:r>
              <w:rPr>
                <w:rFonts w:ascii="Arial" w:cs="Arial" w:eastAsia="Arial" w:hAnsi="Arial"/>
                <w:sz w:val="13"/>
                <w:szCs w:val="13"/>
                <w:b w:val="1"/>
                <w:bCs w:val="1"/>
                <w:color w:val="auto"/>
              </w:rPr>
              <w:t>Notional</w:t>
            </w:r>
          </w:p>
        </w:tc>
        <w:tc>
          <w:tcPr>
            <w:tcW w:w="0" w:type="dxa"/>
            <w:vAlign w:val="bottom"/>
          </w:tcPr>
          <w:p>
            <w:pPr>
              <w:spacing w:after="0"/>
              <w:rPr>
                <w:sz w:val="1"/>
                <w:szCs w:val="1"/>
                <w:color w:val="auto"/>
              </w:rPr>
            </w:pPr>
          </w:p>
        </w:tc>
      </w:tr>
      <w:tr>
        <w:trPr>
          <w:trHeight w:val="110"/>
        </w:trPr>
        <w:tc>
          <w:tcPr>
            <w:tcW w:w="2840" w:type="dxa"/>
            <w:vAlign w:val="bottom"/>
            <w:tcBorders>
              <w:top w:val="single" w:sz="8" w:color="auto"/>
            </w:tcBorders>
          </w:tcPr>
          <w:p>
            <w:pPr>
              <w:spacing w:after="0" w:line="110" w:lineRule="exact"/>
              <w:rPr>
                <w:sz w:val="20"/>
                <w:szCs w:val="20"/>
                <w:color w:val="auto"/>
              </w:rPr>
            </w:pPr>
            <w:r>
              <w:rPr>
                <w:rFonts w:ascii="Arial" w:cs="Arial" w:eastAsia="Arial" w:hAnsi="Arial"/>
                <w:sz w:val="12"/>
                <w:szCs w:val="12"/>
                <w:b w:val="1"/>
                <w:bCs w:val="1"/>
                <w:color w:val="auto"/>
                <w:w w:val="99"/>
              </w:rPr>
              <w:t>Derivative instruments not designated as hedging</w:t>
            </w:r>
          </w:p>
        </w:tc>
        <w:tc>
          <w:tcPr>
            <w:tcW w:w="100" w:type="dxa"/>
            <w:vAlign w:val="bottom"/>
          </w:tcPr>
          <w:p>
            <w:pPr>
              <w:spacing w:after="0"/>
              <w:rPr>
                <w:sz w:val="9"/>
                <w:szCs w:val="9"/>
                <w:color w:val="auto"/>
              </w:rPr>
            </w:pPr>
          </w:p>
        </w:tc>
        <w:tc>
          <w:tcPr>
            <w:tcW w:w="30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2940" w:type="dxa"/>
            <w:vAlign w:val="bottom"/>
            <w:gridSpan w:val="2"/>
          </w:tcPr>
          <w:p>
            <w:pPr>
              <w:spacing w:after="0"/>
              <w:rPr>
                <w:sz w:val="20"/>
                <w:szCs w:val="20"/>
                <w:color w:val="auto"/>
              </w:rPr>
            </w:pPr>
            <w:r>
              <w:rPr>
                <w:rFonts w:ascii="Arial" w:cs="Arial" w:eastAsia="Arial" w:hAnsi="Arial"/>
                <w:sz w:val="13"/>
                <w:szCs w:val="13"/>
                <w:b w:val="1"/>
                <w:bCs w:val="1"/>
                <w:color w:val="auto"/>
              </w:rPr>
              <w:t>instruments:</w:t>
            </w:r>
          </w:p>
        </w:tc>
        <w:tc>
          <w:tcPr>
            <w:tcW w:w="3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940" w:type="dxa"/>
            <w:vAlign w:val="bottom"/>
            <w:gridSpan w:val="2"/>
            <w:shd w:val="clear" w:color="auto" w:fill="CCEEFF"/>
          </w:tcPr>
          <w:p>
            <w:pPr>
              <w:spacing w:after="0" w:line="119" w:lineRule="exact"/>
              <w:rPr>
                <w:sz w:val="20"/>
                <w:szCs w:val="20"/>
                <w:color w:val="auto"/>
              </w:rPr>
            </w:pPr>
            <w:r>
              <w:rPr>
                <w:rFonts w:ascii="Arial" w:cs="Arial" w:eastAsia="Arial" w:hAnsi="Arial"/>
                <w:sz w:val="13"/>
                <w:szCs w:val="13"/>
                <w:color w:val="auto"/>
              </w:rPr>
              <w:t>Equities futures</w:t>
            </w:r>
          </w:p>
        </w:tc>
        <w:tc>
          <w:tcPr>
            <w:tcW w:w="3140" w:type="dxa"/>
            <w:vAlign w:val="bottom"/>
            <w:gridSpan w:val="2"/>
            <w:shd w:val="clear" w:color="auto" w:fill="CCEEFF"/>
          </w:tcPr>
          <w:p>
            <w:pPr>
              <w:ind w:left="20"/>
              <w:spacing w:after="0" w:line="119" w:lineRule="exact"/>
              <w:rPr>
                <w:sz w:val="20"/>
                <w:szCs w:val="20"/>
                <w:color w:val="auto"/>
              </w:rPr>
            </w:pPr>
            <w:r>
              <w:rPr>
                <w:rFonts w:ascii="Arial" w:cs="Arial" w:eastAsia="Arial" w:hAnsi="Arial"/>
                <w:sz w:val="13"/>
                <w:szCs w:val="13"/>
                <w:color w:val="auto"/>
              </w:rPr>
              <w:t>Receivables from broker-dealers and clearing</w:t>
            </w:r>
          </w:p>
        </w:tc>
        <w:tc>
          <w:tcPr>
            <w:tcW w:w="20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1,619</w:t>
            </w:r>
          </w:p>
        </w:tc>
        <w:tc>
          <w:tcPr>
            <w:tcW w:w="100" w:type="dxa"/>
            <w:vAlign w:val="bottom"/>
            <w:shd w:val="clear" w:color="auto" w:fill="CCEEFF"/>
          </w:tcPr>
          <w:p>
            <w:pPr>
              <w:spacing w:after="0"/>
              <w:rPr>
                <w:sz w:val="10"/>
                <w:szCs w:val="10"/>
                <w:color w:val="auto"/>
              </w:rPr>
            </w:pPr>
          </w:p>
        </w:tc>
        <w:tc>
          <w:tcPr>
            <w:tcW w:w="220" w:type="dxa"/>
            <w:vAlign w:val="bottom"/>
            <w:vMerge w:val="restart"/>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406,420</w:t>
            </w:r>
          </w:p>
        </w:tc>
        <w:tc>
          <w:tcPr>
            <w:tcW w:w="10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4,669</w:t>
            </w:r>
          </w:p>
        </w:tc>
        <w:tc>
          <w:tcPr>
            <w:tcW w:w="100" w:type="dxa"/>
            <w:vAlign w:val="bottom"/>
            <w:shd w:val="clear" w:color="auto" w:fill="CCEEFF"/>
          </w:tcPr>
          <w:p>
            <w:pPr>
              <w:spacing w:after="0"/>
              <w:rPr>
                <w:sz w:val="10"/>
                <w:szCs w:val="10"/>
                <w:color w:val="auto"/>
              </w:rPr>
            </w:pPr>
          </w:p>
        </w:tc>
        <w:tc>
          <w:tcPr>
            <w:tcW w:w="220" w:type="dxa"/>
            <w:vAlign w:val="bottom"/>
            <w:vMerge w:val="restart"/>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2,208,899</w:t>
            </w:r>
          </w:p>
        </w:tc>
        <w:tc>
          <w:tcPr>
            <w:tcW w:w="0" w:type="dxa"/>
            <w:vAlign w:val="bottom"/>
          </w:tcPr>
          <w:p>
            <w:pPr>
              <w:spacing w:after="0"/>
              <w:rPr>
                <w:sz w:val="1"/>
                <w:szCs w:val="1"/>
                <w:color w:val="auto"/>
              </w:rPr>
            </w:pPr>
          </w:p>
        </w:tc>
      </w:tr>
      <w:tr>
        <w:trPr>
          <w:trHeight w:val="166"/>
        </w:trPr>
        <w:tc>
          <w:tcPr>
            <w:tcW w:w="2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1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organizations</w:t>
            </w:r>
          </w:p>
        </w:tc>
        <w:tc>
          <w:tcPr>
            <w:tcW w:w="200" w:type="dxa"/>
            <w:vAlign w:val="bottom"/>
            <w:vMerge w:val="continue"/>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940" w:type="dxa"/>
            <w:vAlign w:val="bottom"/>
            <w:gridSpan w:val="2"/>
          </w:tcPr>
          <w:p>
            <w:pPr>
              <w:spacing w:after="0" w:line="119" w:lineRule="exact"/>
              <w:rPr>
                <w:sz w:val="20"/>
                <w:szCs w:val="20"/>
                <w:color w:val="auto"/>
              </w:rPr>
            </w:pPr>
            <w:r>
              <w:rPr>
                <w:rFonts w:ascii="Arial" w:cs="Arial" w:eastAsia="Arial" w:hAnsi="Arial"/>
                <w:sz w:val="13"/>
                <w:szCs w:val="13"/>
                <w:color w:val="auto"/>
              </w:rPr>
              <w:t>Commodity futures</w:t>
            </w:r>
          </w:p>
        </w:tc>
        <w:tc>
          <w:tcPr>
            <w:tcW w:w="3140" w:type="dxa"/>
            <w:vAlign w:val="bottom"/>
            <w:gridSpan w:val="2"/>
          </w:tcPr>
          <w:p>
            <w:pPr>
              <w:ind w:left="20"/>
              <w:spacing w:after="0" w:line="119" w:lineRule="exact"/>
              <w:rPr>
                <w:sz w:val="20"/>
                <w:szCs w:val="20"/>
                <w:color w:val="auto"/>
              </w:rPr>
            </w:pPr>
            <w:r>
              <w:rPr>
                <w:rFonts w:ascii="Arial" w:cs="Arial" w:eastAsia="Arial" w:hAnsi="Arial"/>
                <w:sz w:val="13"/>
                <w:szCs w:val="13"/>
                <w:color w:val="auto"/>
              </w:rPr>
              <w:t>Receivables from broker-dealers and clearing</w:t>
            </w:r>
          </w:p>
        </w:tc>
        <w:tc>
          <w:tcPr>
            <w:tcW w:w="20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(24,405)</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5,285,216</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173,889</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6,237,389</w:t>
            </w:r>
          </w:p>
        </w:tc>
        <w:tc>
          <w:tcPr>
            <w:tcW w:w="0" w:type="dxa"/>
            <w:vAlign w:val="bottom"/>
          </w:tcPr>
          <w:p>
            <w:pPr>
              <w:spacing w:after="0"/>
              <w:rPr>
                <w:sz w:val="1"/>
                <w:szCs w:val="1"/>
                <w:color w:val="auto"/>
              </w:rPr>
            </w:pPr>
          </w:p>
        </w:tc>
      </w:tr>
      <w:tr>
        <w:trPr>
          <w:trHeight w:val="163"/>
        </w:trPr>
        <w:tc>
          <w:tcPr>
            <w:tcW w:w="2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40" w:type="dxa"/>
            <w:vAlign w:val="bottom"/>
            <w:gridSpan w:val="2"/>
          </w:tcPr>
          <w:p>
            <w:pPr>
              <w:ind w:left="20"/>
              <w:spacing w:after="0"/>
              <w:rPr>
                <w:sz w:val="20"/>
                <w:szCs w:val="20"/>
                <w:color w:val="auto"/>
              </w:rPr>
            </w:pPr>
            <w:r>
              <w:rPr>
                <w:rFonts w:ascii="Arial" w:cs="Arial" w:eastAsia="Arial" w:hAnsi="Arial"/>
                <w:sz w:val="13"/>
                <w:szCs w:val="13"/>
                <w:color w:val="auto"/>
              </w:rPr>
              <w:t>organizations</w:t>
            </w:r>
          </w:p>
        </w:tc>
        <w:tc>
          <w:tcPr>
            <w:tcW w:w="2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9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Currency futures</w:t>
            </w:r>
          </w:p>
        </w:tc>
        <w:tc>
          <w:tcPr>
            <w:tcW w:w="3140" w:type="dxa"/>
            <w:vAlign w:val="bottom"/>
            <w:gridSpan w:val="2"/>
            <w:shd w:val="clear" w:color="auto" w:fill="CCEEFF"/>
          </w:tcPr>
          <w:p>
            <w:pPr>
              <w:ind w:left="20"/>
              <w:spacing w:after="0" w:line="121" w:lineRule="exact"/>
              <w:rPr>
                <w:sz w:val="20"/>
                <w:szCs w:val="20"/>
                <w:color w:val="auto"/>
              </w:rPr>
            </w:pPr>
            <w:r>
              <w:rPr>
                <w:rFonts w:ascii="Arial" w:cs="Arial" w:eastAsia="Arial" w:hAnsi="Arial"/>
                <w:sz w:val="13"/>
                <w:szCs w:val="13"/>
                <w:color w:val="auto"/>
              </w:rPr>
              <w:t>Receivables from broker-dealers and clearing</w:t>
            </w:r>
          </w:p>
        </w:tc>
        <w:tc>
          <w:tcPr>
            <w:tcW w:w="200" w:type="dxa"/>
            <w:vAlign w:val="bottom"/>
            <w:shd w:val="clear" w:color="auto" w:fill="CCEEFF"/>
          </w:tcPr>
          <w:p>
            <w:pPr>
              <w:spacing w:after="0"/>
              <w:rPr>
                <w:sz w:val="10"/>
                <w:szCs w:val="10"/>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(8,205)</w:t>
            </w: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4,760,173</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(11,736)</w:t>
            </w: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2,823,277</w:t>
            </w:r>
          </w:p>
        </w:tc>
        <w:tc>
          <w:tcPr>
            <w:tcW w:w="0" w:type="dxa"/>
            <w:vAlign w:val="bottom"/>
          </w:tcPr>
          <w:p>
            <w:pPr>
              <w:spacing w:after="0"/>
              <w:rPr>
                <w:sz w:val="1"/>
                <w:szCs w:val="1"/>
                <w:color w:val="auto"/>
              </w:rPr>
            </w:pPr>
          </w:p>
        </w:tc>
      </w:tr>
      <w:tr>
        <w:trPr>
          <w:trHeight w:val="166"/>
        </w:trPr>
        <w:tc>
          <w:tcPr>
            <w:tcW w:w="2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1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organizations</w:t>
            </w:r>
          </w:p>
        </w:tc>
        <w:tc>
          <w:tcPr>
            <w:tcW w:w="20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940" w:type="dxa"/>
            <w:vAlign w:val="bottom"/>
            <w:gridSpan w:val="2"/>
          </w:tcPr>
          <w:p>
            <w:pPr>
              <w:spacing w:after="0" w:line="119" w:lineRule="exact"/>
              <w:rPr>
                <w:sz w:val="20"/>
                <w:szCs w:val="20"/>
                <w:color w:val="auto"/>
              </w:rPr>
            </w:pPr>
            <w:r>
              <w:rPr>
                <w:rFonts w:ascii="Arial" w:cs="Arial" w:eastAsia="Arial" w:hAnsi="Arial"/>
                <w:sz w:val="13"/>
                <w:szCs w:val="13"/>
                <w:color w:val="auto"/>
              </w:rPr>
              <w:t>Fixed income futures</w:t>
            </w:r>
          </w:p>
        </w:tc>
        <w:tc>
          <w:tcPr>
            <w:tcW w:w="3140" w:type="dxa"/>
            <w:vAlign w:val="bottom"/>
            <w:gridSpan w:val="2"/>
          </w:tcPr>
          <w:p>
            <w:pPr>
              <w:ind w:left="20"/>
              <w:spacing w:after="0" w:line="119" w:lineRule="exact"/>
              <w:rPr>
                <w:sz w:val="20"/>
                <w:szCs w:val="20"/>
                <w:color w:val="auto"/>
              </w:rPr>
            </w:pPr>
            <w:r>
              <w:rPr>
                <w:rFonts w:ascii="Arial" w:cs="Arial" w:eastAsia="Arial" w:hAnsi="Arial"/>
                <w:sz w:val="13"/>
                <w:szCs w:val="13"/>
                <w:color w:val="auto"/>
              </w:rPr>
              <w:t>Receivables from broker-dealers and clearing</w:t>
            </w:r>
          </w:p>
        </w:tc>
        <w:tc>
          <w:tcPr>
            <w:tcW w:w="20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147</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8,489</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42</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102,476</w:t>
            </w:r>
          </w:p>
        </w:tc>
        <w:tc>
          <w:tcPr>
            <w:tcW w:w="0" w:type="dxa"/>
            <w:vAlign w:val="bottom"/>
          </w:tcPr>
          <w:p>
            <w:pPr>
              <w:spacing w:after="0"/>
              <w:rPr>
                <w:sz w:val="1"/>
                <w:szCs w:val="1"/>
                <w:color w:val="auto"/>
              </w:rPr>
            </w:pPr>
          </w:p>
        </w:tc>
      </w:tr>
      <w:tr>
        <w:trPr>
          <w:trHeight w:val="163"/>
        </w:trPr>
        <w:tc>
          <w:tcPr>
            <w:tcW w:w="2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40" w:type="dxa"/>
            <w:vAlign w:val="bottom"/>
            <w:gridSpan w:val="2"/>
          </w:tcPr>
          <w:p>
            <w:pPr>
              <w:ind w:left="20"/>
              <w:spacing w:after="0"/>
              <w:rPr>
                <w:sz w:val="20"/>
                <w:szCs w:val="20"/>
                <w:color w:val="auto"/>
              </w:rPr>
            </w:pPr>
            <w:r>
              <w:rPr>
                <w:rFonts w:ascii="Arial" w:cs="Arial" w:eastAsia="Arial" w:hAnsi="Arial"/>
                <w:sz w:val="13"/>
                <w:szCs w:val="13"/>
                <w:color w:val="auto"/>
              </w:rPr>
              <w:t>organizations</w:t>
            </w:r>
          </w:p>
        </w:tc>
        <w:tc>
          <w:tcPr>
            <w:tcW w:w="2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9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Options</w:t>
            </w:r>
          </w:p>
        </w:tc>
        <w:tc>
          <w:tcPr>
            <w:tcW w:w="31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Financial instruments owned</w:t>
            </w: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8,543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1,063,686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9,080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746,723</w:t>
            </w:r>
          </w:p>
        </w:tc>
        <w:tc>
          <w:tcPr>
            <w:tcW w:w="0" w:type="dxa"/>
            <w:vAlign w:val="bottom"/>
          </w:tcPr>
          <w:p>
            <w:pPr>
              <w:spacing w:after="0"/>
              <w:rPr>
                <w:sz w:val="1"/>
                <w:szCs w:val="1"/>
                <w:color w:val="auto"/>
              </w:rPr>
            </w:pPr>
          </w:p>
        </w:tc>
      </w:tr>
      <w:tr>
        <w:trPr>
          <w:trHeight w:val="163"/>
        </w:trPr>
        <w:tc>
          <w:tcPr>
            <w:tcW w:w="2940" w:type="dxa"/>
            <w:vAlign w:val="bottom"/>
            <w:gridSpan w:val="2"/>
          </w:tcPr>
          <w:p>
            <w:pPr>
              <w:spacing w:after="0"/>
              <w:rPr>
                <w:sz w:val="20"/>
                <w:szCs w:val="20"/>
                <w:color w:val="auto"/>
              </w:rPr>
            </w:pPr>
            <w:r>
              <w:rPr>
                <w:rFonts w:ascii="Arial" w:cs="Arial" w:eastAsia="Arial" w:hAnsi="Arial"/>
                <w:sz w:val="13"/>
                <w:szCs w:val="13"/>
                <w:color w:val="auto"/>
              </w:rPr>
              <w:t>Currency forwards</w:t>
            </w:r>
          </w:p>
        </w:tc>
        <w:tc>
          <w:tcPr>
            <w:tcW w:w="3140" w:type="dxa"/>
            <w:vAlign w:val="bottom"/>
            <w:gridSpan w:val="2"/>
          </w:tcPr>
          <w:p>
            <w:pPr>
              <w:ind w:left="20"/>
              <w:spacing w:after="0"/>
              <w:rPr>
                <w:sz w:val="20"/>
                <w:szCs w:val="20"/>
                <w:color w:val="auto"/>
              </w:rPr>
            </w:pPr>
            <w:r>
              <w:rPr>
                <w:rFonts w:ascii="Arial" w:cs="Arial" w:eastAsia="Arial" w:hAnsi="Arial"/>
                <w:sz w:val="13"/>
                <w:szCs w:val="13"/>
                <w:color w:val="auto"/>
              </w:rPr>
              <w:t>Financial instruments owned</w:t>
            </w:r>
          </w:p>
        </w:tc>
        <w:tc>
          <w:tcPr>
            <w:tcW w:w="2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206,258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21,445,374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341,360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30,596,681</w:t>
            </w:r>
          </w:p>
        </w:tc>
        <w:tc>
          <w:tcPr>
            <w:tcW w:w="0" w:type="dxa"/>
            <w:vAlign w:val="bottom"/>
          </w:tcPr>
          <w:p>
            <w:pPr>
              <w:spacing w:after="0"/>
              <w:rPr>
                <w:sz w:val="1"/>
                <w:szCs w:val="1"/>
                <w:color w:val="auto"/>
              </w:rPr>
            </w:pPr>
          </w:p>
        </w:tc>
      </w:tr>
      <w:tr>
        <w:trPr>
          <w:trHeight w:val="192"/>
        </w:trPr>
        <w:tc>
          <w:tcPr>
            <w:tcW w:w="2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2940" w:type="dxa"/>
            <w:vAlign w:val="bottom"/>
            <w:gridSpan w:val="2"/>
          </w:tcPr>
          <w:p>
            <w:pPr>
              <w:spacing w:after="0"/>
              <w:rPr>
                <w:sz w:val="20"/>
                <w:szCs w:val="20"/>
                <w:color w:val="auto"/>
              </w:rPr>
            </w:pPr>
            <w:r>
              <w:rPr>
                <w:rFonts w:ascii="Arial" w:cs="Arial" w:eastAsia="Arial" w:hAnsi="Arial"/>
                <w:sz w:val="13"/>
                <w:szCs w:val="13"/>
                <w:b w:val="1"/>
                <w:bCs w:val="1"/>
                <w:color w:val="auto"/>
              </w:rPr>
              <w:t>Derivatives Liabilities</w:t>
            </w:r>
          </w:p>
        </w:tc>
        <w:tc>
          <w:tcPr>
            <w:tcW w:w="3140" w:type="dxa"/>
            <w:vAlign w:val="bottom"/>
            <w:gridSpan w:val="2"/>
          </w:tcPr>
          <w:p>
            <w:pPr>
              <w:ind w:left="20"/>
              <w:spacing w:after="0"/>
              <w:rPr>
                <w:sz w:val="20"/>
                <w:szCs w:val="20"/>
                <w:color w:val="auto"/>
              </w:rPr>
            </w:pPr>
            <w:r>
              <w:rPr>
                <w:rFonts w:ascii="Arial" w:cs="Arial" w:eastAsia="Arial" w:hAnsi="Arial"/>
                <w:sz w:val="13"/>
                <w:szCs w:val="13"/>
                <w:b w:val="1"/>
                <w:bCs w:val="1"/>
                <w:color w:val="auto"/>
              </w:rPr>
              <w:t>Financial Statement Location</w:t>
            </w:r>
          </w:p>
        </w:tc>
        <w:tc>
          <w:tcPr>
            <w:tcW w:w="200" w:type="dxa"/>
            <w:vAlign w:val="bottom"/>
          </w:tcPr>
          <w:p>
            <w:pPr>
              <w:spacing w:after="0"/>
              <w:rPr>
                <w:sz w:val="14"/>
                <w:szCs w:val="14"/>
                <w:color w:val="auto"/>
              </w:rPr>
            </w:pPr>
          </w:p>
        </w:tc>
        <w:tc>
          <w:tcPr>
            <w:tcW w:w="1100" w:type="dxa"/>
            <w:vAlign w:val="bottom"/>
            <w:gridSpan w:val="2"/>
          </w:tcPr>
          <w:p>
            <w:pPr>
              <w:ind w:left="120"/>
              <w:spacing w:after="0"/>
              <w:rPr>
                <w:sz w:val="20"/>
                <w:szCs w:val="20"/>
                <w:color w:val="auto"/>
              </w:rPr>
            </w:pPr>
            <w:r>
              <w:rPr>
                <w:rFonts w:ascii="Arial" w:cs="Arial" w:eastAsia="Arial" w:hAnsi="Arial"/>
                <w:sz w:val="13"/>
                <w:szCs w:val="13"/>
                <w:b w:val="1"/>
                <w:bCs w:val="1"/>
                <w:color w:val="auto"/>
              </w:rPr>
              <w:t>Fair Value</w:t>
            </w:r>
          </w:p>
        </w:tc>
        <w:tc>
          <w:tcPr>
            <w:tcW w:w="220" w:type="dxa"/>
            <w:vAlign w:val="bottom"/>
          </w:tcPr>
          <w:p>
            <w:pPr>
              <w:spacing w:after="0"/>
              <w:rPr>
                <w:sz w:val="14"/>
                <w:szCs w:val="14"/>
                <w:color w:val="auto"/>
              </w:rPr>
            </w:pPr>
          </w:p>
        </w:tc>
        <w:tc>
          <w:tcPr>
            <w:tcW w:w="1080" w:type="dxa"/>
            <w:vAlign w:val="bottom"/>
            <w:gridSpan w:val="2"/>
          </w:tcPr>
          <w:p>
            <w:pPr>
              <w:ind w:left="140"/>
              <w:spacing w:after="0"/>
              <w:rPr>
                <w:sz w:val="20"/>
                <w:szCs w:val="20"/>
                <w:color w:val="auto"/>
              </w:rPr>
            </w:pPr>
            <w:r>
              <w:rPr>
                <w:rFonts w:ascii="Arial" w:cs="Arial" w:eastAsia="Arial" w:hAnsi="Arial"/>
                <w:sz w:val="13"/>
                <w:szCs w:val="13"/>
                <w:b w:val="1"/>
                <w:bCs w:val="1"/>
                <w:color w:val="auto"/>
              </w:rPr>
              <w:t>Notional</w:t>
            </w:r>
          </w:p>
        </w:tc>
        <w:tc>
          <w:tcPr>
            <w:tcW w:w="200" w:type="dxa"/>
            <w:vAlign w:val="bottom"/>
          </w:tcPr>
          <w:p>
            <w:pPr>
              <w:spacing w:after="0"/>
              <w:rPr>
                <w:sz w:val="14"/>
                <w:szCs w:val="14"/>
                <w:color w:val="auto"/>
              </w:rPr>
            </w:pPr>
          </w:p>
        </w:tc>
        <w:tc>
          <w:tcPr>
            <w:tcW w:w="1100" w:type="dxa"/>
            <w:vAlign w:val="bottom"/>
            <w:gridSpan w:val="2"/>
          </w:tcPr>
          <w:p>
            <w:pPr>
              <w:ind w:left="120"/>
              <w:spacing w:after="0"/>
              <w:rPr>
                <w:sz w:val="20"/>
                <w:szCs w:val="20"/>
                <w:color w:val="auto"/>
              </w:rPr>
            </w:pPr>
            <w:r>
              <w:rPr>
                <w:rFonts w:ascii="Arial" w:cs="Arial" w:eastAsia="Arial" w:hAnsi="Arial"/>
                <w:sz w:val="13"/>
                <w:szCs w:val="13"/>
                <w:b w:val="1"/>
                <w:bCs w:val="1"/>
                <w:color w:val="auto"/>
              </w:rPr>
              <w:t>Fair Value</w:t>
            </w:r>
          </w:p>
        </w:tc>
        <w:tc>
          <w:tcPr>
            <w:tcW w:w="220" w:type="dxa"/>
            <w:vAlign w:val="bottom"/>
          </w:tcPr>
          <w:p>
            <w:pPr>
              <w:spacing w:after="0"/>
              <w:rPr>
                <w:sz w:val="14"/>
                <w:szCs w:val="14"/>
                <w:color w:val="auto"/>
              </w:rPr>
            </w:pPr>
          </w:p>
        </w:tc>
        <w:tc>
          <w:tcPr>
            <w:tcW w:w="980" w:type="dxa"/>
            <w:vAlign w:val="bottom"/>
          </w:tcPr>
          <w:p>
            <w:pPr>
              <w:jc w:val="right"/>
              <w:ind w:right="297"/>
              <w:spacing w:after="0"/>
              <w:rPr>
                <w:sz w:val="20"/>
                <w:szCs w:val="20"/>
                <w:color w:val="auto"/>
              </w:rPr>
            </w:pPr>
            <w:r>
              <w:rPr>
                <w:rFonts w:ascii="Arial" w:cs="Arial" w:eastAsia="Arial" w:hAnsi="Arial"/>
                <w:sz w:val="13"/>
                <w:szCs w:val="13"/>
                <w:b w:val="1"/>
                <w:bCs w:val="1"/>
                <w:color w:val="auto"/>
              </w:rPr>
              <w:t>Notional</w:t>
            </w:r>
          </w:p>
        </w:tc>
      </w:tr>
      <w:tr>
        <w:trPr>
          <w:trHeight w:val="111"/>
        </w:trPr>
        <w:tc>
          <w:tcPr>
            <w:tcW w:w="2840" w:type="dxa"/>
            <w:vAlign w:val="bottom"/>
            <w:tcBorders>
              <w:top w:val="single" w:sz="8" w:color="auto"/>
            </w:tcBorders>
            <w:shd w:val="clear" w:color="auto" w:fill="CCEEFF"/>
          </w:tcPr>
          <w:p>
            <w:pPr>
              <w:spacing w:after="0" w:line="111" w:lineRule="exact"/>
              <w:rPr>
                <w:sz w:val="20"/>
                <w:szCs w:val="20"/>
                <w:color w:val="auto"/>
              </w:rPr>
            </w:pPr>
            <w:r>
              <w:rPr>
                <w:rFonts w:ascii="Arial" w:cs="Arial" w:eastAsia="Arial" w:hAnsi="Arial"/>
                <w:sz w:val="12"/>
                <w:szCs w:val="12"/>
                <w:b w:val="1"/>
                <w:bCs w:val="1"/>
                <w:color w:val="auto"/>
                <w:w w:val="99"/>
              </w:rPr>
              <w:t>Derivative instruments not designated as hedging</w:t>
            </w:r>
          </w:p>
        </w:tc>
        <w:tc>
          <w:tcPr>
            <w:tcW w:w="100" w:type="dxa"/>
            <w:vAlign w:val="bottom"/>
            <w:tcBorders>
              <w:top w:val="single" w:sz="8" w:color="CCEEFF"/>
            </w:tcBorders>
            <w:shd w:val="clear" w:color="auto" w:fill="CCEEFF"/>
          </w:tcPr>
          <w:p>
            <w:pPr>
              <w:spacing w:after="0"/>
              <w:rPr>
                <w:sz w:val="9"/>
                <w:szCs w:val="9"/>
                <w:color w:val="auto"/>
              </w:rPr>
            </w:pPr>
          </w:p>
        </w:tc>
        <w:tc>
          <w:tcPr>
            <w:tcW w:w="30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10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9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10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980" w:type="dxa"/>
            <w:vAlign w:val="bottom"/>
            <w:tcBorders>
              <w:top w:val="single" w:sz="8" w:color="auto"/>
            </w:tcBorders>
            <w:shd w:val="clear" w:color="auto" w:fill="CCEEFF"/>
          </w:tcPr>
          <w:p>
            <w:pPr>
              <w:spacing w:after="0"/>
              <w:rPr>
                <w:sz w:val="9"/>
                <w:szCs w:val="9"/>
                <w:color w:val="auto"/>
              </w:rPr>
            </w:pPr>
          </w:p>
        </w:tc>
      </w:tr>
      <w:tr>
        <w:trPr>
          <w:trHeight w:val="166"/>
        </w:trPr>
        <w:tc>
          <w:tcPr>
            <w:tcW w:w="29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instruments:</w:t>
            </w:r>
          </w:p>
        </w:tc>
        <w:tc>
          <w:tcPr>
            <w:tcW w:w="3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63"/>
        </w:trPr>
        <w:tc>
          <w:tcPr>
            <w:tcW w:w="2940" w:type="dxa"/>
            <w:vAlign w:val="bottom"/>
            <w:gridSpan w:val="2"/>
          </w:tcPr>
          <w:p>
            <w:pPr>
              <w:spacing w:after="0"/>
              <w:rPr>
                <w:sz w:val="20"/>
                <w:szCs w:val="20"/>
                <w:color w:val="auto"/>
              </w:rPr>
            </w:pPr>
            <w:r>
              <w:rPr>
                <w:rFonts w:ascii="Arial" w:cs="Arial" w:eastAsia="Arial" w:hAnsi="Arial"/>
                <w:sz w:val="13"/>
                <w:szCs w:val="13"/>
                <w:color w:val="auto"/>
              </w:rPr>
              <w:t>Equities futures</w:t>
            </w:r>
          </w:p>
        </w:tc>
        <w:tc>
          <w:tcPr>
            <w:tcW w:w="3140" w:type="dxa"/>
            <w:vAlign w:val="bottom"/>
            <w:gridSpan w:val="2"/>
          </w:tcPr>
          <w:p>
            <w:pPr>
              <w:ind w:left="20"/>
              <w:spacing w:after="0"/>
              <w:rPr>
                <w:sz w:val="20"/>
                <w:szCs w:val="20"/>
                <w:color w:val="auto"/>
              </w:rPr>
            </w:pPr>
            <w:r>
              <w:rPr>
                <w:rFonts w:ascii="Arial" w:cs="Arial" w:eastAsia="Arial" w:hAnsi="Arial"/>
                <w:sz w:val="13"/>
                <w:szCs w:val="13"/>
                <w:color w:val="auto"/>
                <w:w w:val="99"/>
              </w:rPr>
              <w:t>Payables to broker-dealers and clearing organizations</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791</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1,362,684</w:t>
            </w:r>
          </w:p>
        </w:tc>
        <w:tc>
          <w:tcPr>
            <w:tcW w:w="100" w:type="dxa"/>
            <w:vAlign w:val="bottom"/>
          </w:tcPr>
          <w:p>
            <w:pPr>
              <w:spacing w:after="0"/>
              <w:rPr>
                <w:sz w:val="14"/>
                <w:szCs w:val="14"/>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90,219</w:t>
            </w:r>
          </w:p>
        </w:tc>
      </w:tr>
      <w:tr>
        <w:trPr>
          <w:trHeight w:val="168"/>
        </w:trPr>
        <w:tc>
          <w:tcPr>
            <w:tcW w:w="29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Commodity futures</w:t>
            </w:r>
          </w:p>
        </w:tc>
        <w:tc>
          <w:tcPr>
            <w:tcW w:w="31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w w:val="99"/>
              </w:rPr>
              <w:t>Payables to broker-dealers and clearing organizations</w:t>
            </w: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27,224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(5,397)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27,287</w:t>
            </w:r>
          </w:p>
        </w:tc>
      </w:tr>
      <w:tr>
        <w:trPr>
          <w:trHeight w:val="163"/>
        </w:trPr>
        <w:tc>
          <w:tcPr>
            <w:tcW w:w="2940" w:type="dxa"/>
            <w:vAlign w:val="bottom"/>
            <w:gridSpan w:val="2"/>
          </w:tcPr>
          <w:p>
            <w:pPr>
              <w:spacing w:after="0"/>
              <w:rPr>
                <w:sz w:val="20"/>
                <w:szCs w:val="20"/>
                <w:color w:val="auto"/>
              </w:rPr>
            </w:pPr>
            <w:r>
              <w:rPr>
                <w:rFonts w:ascii="Arial" w:cs="Arial" w:eastAsia="Arial" w:hAnsi="Arial"/>
                <w:sz w:val="13"/>
                <w:szCs w:val="13"/>
                <w:color w:val="auto"/>
              </w:rPr>
              <w:t>Currency futures</w:t>
            </w:r>
          </w:p>
        </w:tc>
        <w:tc>
          <w:tcPr>
            <w:tcW w:w="3140" w:type="dxa"/>
            <w:vAlign w:val="bottom"/>
            <w:gridSpan w:val="2"/>
          </w:tcPr>
          <w:p>
            <w:pPr>
              <w:ind w:left="20"/>
              <w:spacing w:after="0"/>
              <w:rPr>
                <w:sz w:val="20"/>
                <w:szCs w:val="20"/>
                <w:color w:val="auto"/>
              </w:rPr>
            </w:pPr>
            <w:r>
              <w:rPr>
                <w:rFonts w:ascii="Arial" w:cs="Arial" w:eastAsia="Arial" w:hAnsi="Arial"/>
                <w:sz w:val="13"/>
                <w:szCs w:val="13"/>
                <w:color w:val="auto"/>
                <w:w w:val="99"/>
              </w:rPr>
              <w:t>Payables to broker-dealers and clearing organizations</w:t>
            </w:r>
          </w:p>
        </w:tc>
        <w:tc>
          <w:tcPr>
            <w:tcW w:w="2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1,671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725,162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3,598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2,269,898</w:t>
            </w:r>
          </w:p>
        </w:tc>
      </w:tr>
      <w:tr>
        <w:trPr>
          <w:trHeight w:val="168"/>
        </w:trPr>
        <w:tc>
          <w:tcPr>
            <w:tcW w:w="29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Fixed income futures</w:t>
            </w:r>
          </w:p>
        </w:tc>
        <w:tc>
          <w:tcPr>
            <w:tcW w:w="31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w w:val="99"/>
              </w:rPr>
              <w:t>Payables to broker-dealers and clearing organizations</w:t>
            </w: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120,212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1,566</w:t>
            </w:r>
          </w:p>
        </w:tc>
      </w:tr>
      <w:tr>
        <w:trPr>
          <w:trHeight w:val="163"/>
        </w:trPr>
        <w:tc>
          <w:tcPr>
            <w:tcW w:w="2940" w:type="dxa"/>
            <w:vAlign w:val="bottom"/>
            <w:gridSpan w:val="2"/>
          </w:tcPr>
          <w:p>
            <w:pPr>
              <w:spacing w:after="0"/>
              <w:rPr>
                <w:sz w:val="20"/>
                <w:szCs w:val="20"/>
                <w:color w:val="auto"/>
              </w:rPr>
            </w:pPr>
            <w:r>
              <w:rPr>
                <w:rFonts w:ascii="Arial" w:cs="Arial" w:eastAsia="Arial" w:hAnsi="Arial"/>
                <w:sz w:val="13"/>
                <w:szCs w:val="13"/>
                <w:color w:val="auto"/>
              </w:rPr>
              <w:t>Options</w:t>
            </w:r>
          </w:p>
        </w:tc>
        <w:tc>
          <w:tcPr>
            <w:tcW w:w="3140" w:type="dxa"/>
            <w:vAlign w:val="bottom"/>
            <w:gridSpan w:val="2"/>
          </w:tcPr>
          <w:p>
            <w:pPr>
              <w:ind w:left="20"/>
              <w:spacing w:after="0"/>
              <w:rPr>
                <w:sz w:val="20"/>
                <w:szCs w:val="20"/>
                <w:color w:val="auto"/>
              </w:rPr>
            </w:pPr>
            <w:r>
              <w:rPr>
                <w:rFonts w:ascii="Arial" w:cs="Arial" w:eastAsia="Arial" w:hAnsi="Arial"/>
                <w:sz w:val="13"/>
                <w:szCs w:val="13"/>
                <w:color w:val="auto"/>
              </w:rPr>
              <w:t>Financial instruments sold, not yet purchased</w:t>
            </w:r>
          </w:p>
        </w:tc>
        <w:tc>
          <w:tcPr>
            <w:tcW w:w="2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5,208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1,066,801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9,241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736,997</w:t>
            </w:r>
          </w:p>
        </w:tc>
      </w:tr>
      <w:tr>
        <w:trPr>
          <w:trHeight w:val="168"/>
        </w:trPr>
        <w:tc>
          <w:tcPr>
            <w:tcW w:w="29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Currency forwards</w:t>
            </w:r>
          </w:p>
        </w:tc>
        <w:tc>
          <w:tcPr>
            <w:tcW w:w="31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Financial instruments sold, not yet purchased</w:t>
            </w: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208,357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21,446,422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292,965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30,572,490</w:t>
            </w:r>
          </w:p>
        </w:tc>
      </w:tr>
      <w:tr>
        <w:trPr>
          <w:trHeight w:val="189"/>
        </w:trPr>
        <w:tc>
          <w:tcPr>
            <w:tcW w:w="2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18"/>
        </w:trPr>
        <w:tc>
          <w:tcPr>
            <w:tcW w:w="2940" w:type="dxa"/>
            <w:vAlign w:val="bottom"/>
            <w:gridSpan w:val="2"/>
            <w:shd w:val="clear" w:color="auto" w:fill="CCEEFF"/>
          </w:tcPr>
          <w:p>
            <w:pPr>
              <w:spacing w:after="0" w:line="119" w:lineRule="exact"/>
              <w:rPr>
                <w:sz w:val="20"/>
                <w:szCs w:val="20"/>
                <w:color w:val="auto"/>
              </w:rPr>
            </w:pPr>
            <w:r>
              <w:rPr>
                <w:rFonts w:ascii="Arial" w:cs="Arial" w:eastAsia="Arial" w:hAnsi="Arial"/>
                <w:sz w:val="13"/>
                <w:szCs w:val="13"/>
                <w:b w:val="1"/>
                <w:bCs w:val="1"/>
                <w:color w:val="auto"/>
              </w:rPr>
              <w:t>Derivative instruments designated as hedging</w:t>
            </w:r>
          </w:p>
        </w:tc>
        <w:tc>
          <w:tcPr>
            <w:tcW w:w="30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r>
      <w:tr>
        <w:trPr>
          <w:trHeight w:val="166"/>
        </w:trPr>
        <w:tc>
          <w:tcPr>
            <w:tcW w:w="29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instruments:</w:t>
            </w:r>
          </w:p>
        </w:tc>
        <w:tc>
          <w:tcPr>
            <w:tcW w:w="3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60"/>
        </w:trPr>
        <w:tc>
          <w:tcPr>
            <w:tcW w:w="2940" w:type="dxa"/>
            <w:vAlign w:val="bottom"/>
            <w:gridSpan w:val="2"/>
          </w:tcPr>
          <w:p>
            <w:pPr>
              <w:spacing w:after="0"/>
              <w:rPr>
                <w:sz w:val="20"/>
                <w:szCs w:val="20"/>
                <w:color w:val="auto"/>
              </w:rPr>
            </w:pPr>
            <w:r>
              <w:rPr>
                <w:rFonts w:ascii="Arial" w:cs="Arial" w:eastAsia="Arial" w:hAnsi="Arial"/>
                <w:sz w:val="13"/>
                <w:szCs w:val="13"/>
                <w:color w:val="auto"/>
              </w:rPr>
              <w:t>Interest rate swaps</w:t>
            </w:r>
          </w:p>
        </w:tc>
        <w:tc>
          <w:tcPr>
            <w:tcW w:w="3140" w:type="dxa"/>
            <w:vAlign w:val="bottom"/>
            <w:gridSpan w:val="2"/>
          </w:tcPr>
          <w:p>
            <w:pPr>
              <w:ind w:left="20"/>
              <w:spacing w:after="0"/>
              <w:rPr>
                <w:sz w:val="20"/>
                <w:szCs w:val="20"/>
                <w:color w:val="auto"/>
              </w:rPr>
            </w:pPr>
            <w:r>
              <w:rPr>
                <w:rFonts w:ascii="Arial" w:cs="Arial" w:eastAsia="Arial" w:hAnsi="Arial"/>
                <w:sz w:val="13"/>
                <w:szCs w:val="13"/>
                <w:color w:val="auto"/>
                <w:w w:val="99"/>
              </w:rPr>
              <w:t>Payables to broker-dealers and clearing organizations</w:t>
            </w:r>
          </w:p>
        </w:tc>
        <w:tc>
          <w:tcPr>
            <w:tcW w:w="2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21,037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1,525,000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63,513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1,525,000</w:t>
            </w:r>
          </w:p>
        </w:tc>
      </w:tr>
    </w:tbl>
    <w:p>
      <w:pPr>
        <w:spacing w:after="0" w:line="289" w:lineRule="exact"/>
        <w:rPr>
          <w:sz w:val="20"/>
          <w:szCs w:val="20"/>
          <w:color w:val="auto"/>
        </w:rPr>
      </w:pPr>
    </w:p>
    <w:p>
      <w:pPr>
        <w:ind w:right="240" w:firstLine="568"/>
        <w:spacing w:after="0" w:line="268" w:lineRule="auto"/>
        <w:rPr>
          <w:sz w:val="20"/>
          <w:szCs w:val="20"/>
          <w:color w:val="auto"/>
        </w:rPr>
      </w:pPr>
      <w:r>
        <w:rPr>
          <w:rFonts w:ascii="Arial" w:cs="Arial" w:eastAsia="Arial" w:hAnsi="Arial"/>
          <w:sz w:val="16"/>
          <w:szCs w:val="16"/>
          <w:color w:val="auto"/>
        </w:rPr>
        <w:t>Amounts included in receivables from and payables to broker-dealers and clearing organizations represent net variation margin on long and short futures contracts as well as amounts receivable or payable on interest rate swaps.</w:t>
      </w:r>
    </w:p>
    <w:p>
      <w:pPr>
        <w:spacing w:after="0" w:line="181" w:lineRule="exact"/>
        <w:rPr>
          <w:sz w:val="20"/>
          <w:szCs w:val="20"/>
          <w:color w:val="auto"/>
        </w:rPr>
      </w:pPr>
    </w:p>
    <w:p>
      <w:pPr>
        <w:jc w:val="both"/>
        <w:ind w:right="340" w:firstLine="568"/>
        <w:spacing w:after="0" w:line="257" w:lineRule="auto"/>
        <w:rPr>
          <w:sz w:val="20"/>
          <w:szCs w:val="20"/>
          <w:color w:val="auto"/>
        </w:rPr>
      </w:pPr>
      <w:r>
        <w:rPr>
          <w:rFonts w:ascii="Arial" w:cs="Arial" w:eastAsia="Arial" w:hAnsi="Arial"/>
          <w:sz w:val="16"/>
          <w:szCs w:val="16"/>
          <w:color w:val="auto"/>
        </w:rPr>
        <w:t>The following table summarizes the net gain (loss) from derivative instruments not designated as hedging instruments under ASC 815, which are recorded in total revenues, and from those designated as hedging instruments under ASC 815, which are initially recorded in other comprehensive income in the accompanying Consolidated Statements of Comprehensive Income for the years ended December 31, 2021, 2020 and 2019.</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12" w:name="page113"/>
    <w:bookmarkEnd w:id="112"/>
    <w:p>
      <w:pPr>
        <w:ind w:left="5"/>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19" w:lineRule="exact"/>
        <w:rPr>
          <w:sz w:val="20"/>
          <w:szCs w:val="20"/>
          <w:color w:val="auto"/>
        </w:rPr>
      </w:pPr>
    </w:p>
    <w:tbl>
      <w:tblPr>
        <w:tblLayout w:type="fixed"/>
        <w:tblInd w:w="1005" w:type="dxa"/>
        <w:tblCellMar>
          <w:top w:w="0" w:type="dxa"/>
          <w:left w:w="0" w:type="dxa"/>
          <w:bottom w:w="0" w:type="dxa"/>
          <w:right w:w="0" w:type="dxa"/>
        </w:tblCellMar>
      </w:tblPr>
      <w:tr>
        <w:trPr>
          <w:trHeight w:val="166"/>
        </w:trPr>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6"/>
          </w:tcPr>
          <w:p>
            <w:pPr>
              <w:jc w:val="right"/>
              <w:ind w:right="177"/>
              <w:spacing w:after="0"/>
              <w:rPr>
                <w:sz w:val="20"/>
                <w:szCs w:val="20"/>
                <w:color w:val="auto"/>
              </w:rPr>
            </w:pPr>
            <w:r>
              <w:rPr>
                <w:rFonts w:ascii="Arial" w:cs="Arial" w:eastAsia="Arial" w:hAnsi="Arial"/>
                <w:sz w:val="13"/>
                <w:szCs w:val="13"/>
                <w:b w:val="1"/>
                <w:bCs w:val="1"/>
                <w:color w:val="auto"/>
                <w:w w:val="86"/>
              </w:rPr>
              <w:t>Years Ended December 31,</w:t>
            </w:r>
          </w:p>
        </w:tc>
        <w:tc>
          <w:tcPr>
            <w:tcW w:w="900" w:type="dxa"/>
            <w:vAlign w:val="bottom"/>
            <w:tcBorders>
              <w:bottom w:val="single" w:sz="8" w:color="auto"/>
            </w:tcBorders>
          </w:tcPr>
          <w:p>
            <w:pPr>
              <w:spacing w:after="0"/>
              <w:rPr>
                <w:sz w:val="14"/>
                <w:szCs w:val="14"/>
                <w:color w:val="auto"/>
              </w:rPr>
            </w:pPr>
          </w:p>
        </w:tc>
      </w:tr>
      <w:tr>
        <w:trPr>
          <w:trHeight w:val="165"/>
        </w:trPr>
        <w:tc>
          <w:tcPr>
            <w:tcW w:w="3000" w:type="dxa"/>
            <w:vAlign w:val="bottom"/>
            <w:gridSpan w:val="2"/>
          </w:tcPr>
          <w:p>
            <w:pPr>
              <w:ind w:left="20"/>
              <w:spacing w:after="0"/>
              <w:rPr>
                <w:sz w:val="20"/>
                <w:szCs w:val="20"/>
                <w:color w:val="auto"/>
              </w:rPr>
            </w:pPr>
            <w:r>
              <w:rPr>
                <w:rFonts w:ascii="Arial" w:cs="Arial" w:eastAsia="Arial" w:hAnsi="Arial"/>
                <w:sz w:val="13"/>
                <w:szCs w:val="13"/>
                <w:b w:val="1"/>
                <w:bCs w:val="1"/>
                <w:color w:val="auto"/>
              </w:rPr>
              <w:t>(in thousands)</w:t>
            </w:r>
          </w:p>
        </w:tc>
        <w:tc>
          <w:tcPr>
            <w:tcW w:w="2500" w:type="dxa"/>
            <w:vAlign w:val="bottom"/>
            <w:gridSpan w:val="2"/>
          </w:tcPr>
          <w:p>
            <w:pPr>
              <w:ind w:left="20"/>
              <w:spacing w:after="0"/>
              <w:rPr>
                <w:sz w:val="20"/>
                <w:szCs w:val="20"/>
                <w:color w:val="auto"/>
              </w:rPr>
            </w:pPr>
            <w:r>
              <w:rPr>
                <w:rFonts w:ascii="Arial" w:cs="Arial" w:eastAsia="Arial" w:hAnsi="Arial"/>
                <w:sz w:val="13"/>
                <w:szCs w:val="13"/>
                <w:b w:val="1"/>
                <w:bCs w:val="1"/>
                <w:color w:val="auto"/>
              </w:rPr>
              <w:t>Financial Statements Location</w:t>
            </w:r>
          </w:p>
        </w:tc>
        <w:tc>
          <w:tcPr>
            <w:tcW w:w="260" w:type="dxa"/>
            <w:vAlign w:val="bottom"/>
          </w:tcPr>
          <w:p>
            <w:pPr>
              <w:spacing w:after="0"/>
              <w:rPr>
                <w:sz w:val="14"/>
                <w:szCs w:val="14"/>
                <w:color w:val="auto"/>
              </w:rPr>
            </w:pPr>
          </w:p>
        </w:tc>
        <w:tc>
          <w:tcPr>
            <w:tcW w:w="880" w:type="dxa"/>
            <w:vAlign w:val="bottom"/>
          </w:tcPr>
          <w:p>
            <w:pPr>
              <w:jc w:val="right"/>
              <w:ind w:right="377"/>
              <w:spacing w:after="0"/>
              <w:rPr>
                <w:sz w:val="20"/>
                <w:szCs w:val="20"/>
                <w:color w:val="auto"/>
              </w:rPr>
            </w:pPr>
            <w:r>
              <w:rPr>
                <w:rFonts w:ascii="Arial" w:cs="Arial" w:eastAsia="Arial" w:hAnsi="Arial"/>
                <w:sz w:val="13"/>
                <w:szCs w:val="13"/>
                <w:b w:val="1"/>
                <w:bCs w:val="1"/>
                <w:color w:val="auto"/>
              </w:rPr>
              <w:t>2021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397"/>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ind w:right="397"/>
              <w:spacing w:after="0"/>
              <w:rPr>
                <w:sz w:val="20"/>
                <w:szCs w:val="20"/>
                <w:color w:val="auto"/>
              </w:rPr>
            </w:pPr>
            <w:r>
              <w:rPr>
                <w:rFonts w:ascii="Arial" w:cs="Arial" w:eastAsia="Arial" w:hAnsi="Arial"/>
                <w:sz w:val="13"/>
                <w:szCs w:val="13"/>
                <w:b w:val="1"/>
                <w:bCs w:val="1"/>
                <w:color w:val="auto"/>
              </w:rPr>
              <w:t>2019</w:t>
            </w:r>
          </w:p>
        </w:tc>
      </w:tr>
      <w:tr>
        <w:trPr>
          <w:trHeight w:val="111"/>
        </w:trPr>
        <w:tc>
          <w:tcPr>
            <w:tcW w:w="2880" w:type="dxa"/>
            <w:vAlign w:val="bottom"/>
            <w:tcBorders>
              <w:top w:val="single" w:sz="8" w:color="auto"/>
            </w:tcBorders>
            <w:shd w:val="clear" w:color="auto" w:fill="CCEEFF"/>
          </w:tcPr>
          <w:p>
            <w:pPr>
              <w:ind w:left="20"/>
              <w:spacing w:after="0" w:line="111" w:lineRule="exact"/>
              <w:rPr>
                <w:sz w:val="20"/>
                <w:szCs w:val="20"/>
                <w:color w:val="auto"/>
              </w:rPr>
            </w:pPr>
            <w:r>
              <w:rPr>
                <w:rFonts w:ascii="Arial" w:cs="Arial" w:eastAsia="Arial" w:hAnsi="Arial"/>
                <w:sz w:val="12"/>
                <w:szCs w:val="12"/>
                <w:b w:val="1"/>
                <w:bCs w:val="1"/>
                <w:color w:val="auto"/>
                <w:w w:val="99"/>
              </w:rPr>
              <w:t>Derivative instruments not designated as hedging</w:t>
            </w:r>
          </w:p>
        </w:tc>
        <w:tc>
          <w:tcPr>
            <w:tcW w:w="120" w:type="dxa"/>
            <w:vAlign w:val="bottom"/>
            <w:tcBorders>
              <w:top w:val="single" w:sz="8" w:color="CCEEFF"/>
            </w:tcBorders>
            <w:shd w:val="clear" w:color="auto" w:fill="CCEEFF"/>
          </w:tcPr>
          <w:p>
            <w:pPr>
              <w:spacing w:after="0"/>
              <w:rPr>
                <w:sz w:val="9"/>
                <w:szCs w:val="9"/>
                <w:color w:val="auto"/>
              </w:rPr>
            </w:pPr>
          </w:p>
        </w:tc>
        <w:tc>
          <w:tcPr>
            <w:tcW w:w="23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9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280" w:type="dxa"/>
            <w:vAlign w:val="bottom"/>
            <w:tcBorders>
              <w:top w:val="single" w:sz="8" w:color="auto"/>
            </w:tcBorders>
            <w:shd w:val="clear" w:color="auto" w:fill="CCEEFF"/>
          </w:tcPr>
          <w:p>
            <w:pPr>
              <w:spacing w:after="0"/>
              <w:rPr>
                <w:sz w:val="9"/>
                <w:szCs w:val="9"/>
                <w:color w:val="auto"/>
              </w:rPr>
            </w:pPr>
          </w:p>
        </w:tc>
        <w:tc>
          <w:tcPr>
            <w:tcW w:w="900" w:type="dxa"/>
            <w:vAlign w:val="bottom"/>
            <w:tcBorders>
              <w:top w:val="single" w:sz="8" w:color="auto"/>
            </w:tcBorders>
            <w:shd w:val="clear" w:color="auto" w:fill="CCEEFF"/>
          </w:tcPr>
          <w:p>
            <w:pPr>
              <w:spacing w:after="0"/>
              <w:rPr>
                <w:sz w:val="9"/>
                <w:szCs w:val="9"/>
                <w:color w:val="auto"/>
              </w:rPr>
            </w:pPr>
          </w:p>
        </w:tc>
      </w:tr>
      <w:tr>
        <w:trPr>
          <w:trHeight w:val="166"/>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instruments:</w:t>
            </w:r>
          </w:p>
        </w:tc>
        <w:tc>
          <w:tcPr>
            <w:tcW w:w="2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63"/>
        </w:trPr>
        <w:tc>
          <w:tcPr>
            <w:tcW w:w="3000" w:type="dxa"/>
            <w:vAlign w:val="bottom"/>
            <w:gridSpan w:val="2"/>
          </w:tcPr>
          <w:p>
            <w:pPr>
              <w:ind w:left="20"/>
              <w:spacing w:after="0"/>
              <w:rPr>
                <w:sz w:val="20"/>
                <w:szCs w:val="20"/>
                <w:color w:val="auto"/>
              </w:rPr>
            </w:pPr>
            <w:r>
              <w:rPr>
                <w:rFonts w:ascii="Arial" w:cs="Arial" w:eastAsia="Arial" w:hAnsi="Arial"/>
                <w:sz w:val="13"/>
                <w:szCs w:val="13"/>
                <w:color w:val="auto"/>
              </w:rPr>
              <w:t>Futures</w:t>
            </w:r>
          </w:p>
        </w:tc>
        <w:tc>
          <w:tcPr>
            <w:tcW w:w="2500" w:type="dxa"/>
            <w:vAlign w:val="bottom"/>
            <w:gridSpan w:val="2"/>
          </w:tcPr>
          <w:p>
            <w:pPr>
              <w:ind w:left="20"/>
              <w:spacing w:after="0"/>
              <w:rPr>
                <w:sz w:val="20"/>
                <w:szCs w:val="20"/>
                <w:color w:val="auto"/>
              </w:rPr>
            </w:pPr>
            <w:r>
              <w:rPr>
                <w:rFonts w:ascii="Arial" w:cs="Arial" w:eastAsia="Arial" w:hAnsi="Arial"/>
                <w:sz w:val="13"/>
                <w:szCs w:val="13"/>
                <w:color w:val="auto"/>
              </w:rPr>
              <w:t>Trading income, net</w:t>
            </w:r>
          </w:p>
        </w:tc>
        <w:tc>
          <w:tcPr>
            <w:tcW w:w="260" w:type="dxa"/>
            <w:vAlign w:val="bottom"/>
          </w:tcPr>
          <w:p>
            <w:pPr>
              <w:jc w:val="right"/>
              <w:ind w:right="117"/>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283,482</w:t>
            </w:r>
          </w:p>
        </w:tc>
        <w:tc>
          <w:tcPr>
            <w:tcW w:w="400" w:type="dxa"/>
            <w:vAlign w:val="bottom"/>
            <w:gridSpan w:val="3"/>
          </w:tcPr>
          <w:p>
            <w:pPr>
              <w:jc w:val="right"/>
              <w:ind w:right="117"/>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(6,217)</w:t>
            </w:r>
          </w:p>
        </w:tc>
        <w:tc>
          <w:tcPr>
            <w:tcW w:w="100" w:type="dxa"/>
            <w:vAlign w:val="bottom"/>
          </w:tcPr>
          <w:p>
            <w:pPr>
              <w:spacing w:after="0"/>
              <w:rPr>
                <w:sz w:val="14"/>
                <w:szCs w:val="14"/>
                <w:color w:val="auto"/>
              </w:rPr>
            </w:pPr>
          </w:p>
        </w:tc>
        <w:tc>
          <w:tcPr>
            <w:tcW w:w="280" w:type="dxa"/>
            <w:vAlign w:val="bottom"/>
          </w:tcPr>
          <w:p>
            <w:pPr>
              <w:jc w:val="right"/>
              <w:ind w:right="137"/>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247,619</w:t>
            </w:r>
          </w:p>
        </w:tc>
      </w:tr>
      <w:tr>
        <w:trPr>
          <w:trHeight w:val="168"/>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Currency forwards</w:t>
            </w:r>
          </w:p>
        </w:tc>
        <w:tc>
          <w:tcPr>
            <w:tcW w:w="25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Trading income, net</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1,077</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249,856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(44,293)</w:t>
            </w:r>
          </w:p>
        </w:tc>
      </w:tr>
      <w:tr>
        <w:trPr>
          <w:trHeight w:val="163"/>
        </w:trPr>
        <w:tc>
          <w:tcPr>
            <w:tcW w:w="3000" w:type="dxa"/>
            <w:vAlign w:val="bottom"/>
            <w:gridSpan w:val="2"/>
          </w:tcPr>
          <w:p>
            <w:pPr>
              <w:ind w:left="20"/>
              <w:spacing w:after="0"/>
              <w:rPr>
                <w:sz w:val="20"/>
                <w:szCs w:val="20"/>
                <w:color w:val="auto"/>
              </w:rPr>
            </w:pPr>
            <w:r>
              <w:rPr>
                <w:rFonts w:ascii="Arial" w:cs="Arial" w:eastAsia="Arial" w:hAnsi="Arial"/>
                <w:sz w:val="13"/>
                <w:szCs w:val="13"/>
                <w:color w:val="auto"/>
              </w:rPr>
              <w:t>Options</w:t>
            </w:r>
          </w:p>
        </w:tc>
        <w:tc>
          <w:tcPr>
            <w:tcW w:w="2500" w:type="dxa"/>
            <w:vAlign w:val="bottom"/>
            <w:gridSpan w:val="2"/>
          </w:tcPr>
          <w:p>
            <w:pPr>
              <w:ind w:left="20"/>
              <w:spacing w:after="0"/>
              <w:rPr>
                <w:sz w:val="20"/>
                <w:szCs w:val="20"/>
                <w:color w:val="auto"/>
              </w:rPr>
            </w:pPr>
            <w:r>
              <w:rPr>
                <w:rFonts w:ascii="Arial" w:cs="Arial" w:eastAsia="Arial" w:hAnsi="Arial"/>
                <w:sz w:val="13"/>
                <w:szCs w:val="13"/>
                <w:color w:val="auto"/>
              </w:rPr>
              <w:t>Trading income, net</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95,828</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84,695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19,692</w:t>
            </w:r>
          </w:p>
        </w:tc>
      </w:tr>
      <w:tr>
        <w:trPr>
          <w:trHeight w:val="168"/>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Interest rate swap on term loan</w:t>
            </w:r>
          </w:p>
        </w:tc>
        <w:tc>
          <w:tcPr>
            <w:tcW w:w="25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Other, net</w:t>
            </w:r>
          </w:p>
        </w:tc>
        <w:tc>
          <w:tcPr>
            <w:tcW w:w="2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(1,871)</w:t>
            </w: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(1,890)</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8,976</w:t>
            </w:r>
          </w:p>
        </w:tc>
      </w:tr>
      <w:tr>
        <w:trPr>
          <w:trHeight w:val="155"/>
        </w:trPr>
        <w:tc>
          <w:tcPr>
            <w:tcW w:w="2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378,516</w:t>
            </w:r>
          </w:p>
        </w:tc>
        <w:tc>
          <w:tcPr>
            <w:tcW w:w="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326,444</w:t>
            </w:r>
          </w:p>
        </w:tc>
        <w:tc>
          <w:tcPr>
            <w:tcW w:w="100" w:type="dxa"/>
            <w:vAlign w:val="bottom"/>
          </w:tcPr>
          <w:p>
            <w:pPr>
              <w:spacing w:after="0"/>
              <w:rPr>
                <w:sz w:val="13"/>
                <w:szCs w:val="13"/>
                <w:color w:val="auto"/>
              </w:rPr>
            </w:pPr>
          </w:p>
        </w:tc>
        <w:tc>
          <w:tcPr>
            <w:tcW w:w="2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231,994</w:t>
            </w:r>
          </w:p>
        </w:tc>
      </w:tr>
      <w:tr>
        <w:trPr>
          <w:trHeight w:val="20"/>
        </w:trPr>
        <w:tc>
          <w:tcPr>
            <w:tcW w:w="28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56"/>
        </w:trPr>
        <w:tc>
          <w:tcPr>
            <w:tcW w:w="2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118"/>
        </w:trPr>
        <w:tc>
          <w:tcPr>
            <w:tcW w:w="300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Derivative instruments designated as hedging</w:t>
            </w:r>
          </w:p>
        </w:tc>
        <w:tc>
          <w:tcPr>
            <w:tcW w:w="2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165"/>
        </w:trPr>
        <w:tc>
          <w:tcPr>
            <w:tcW w:w="3000" w:type="dxa"/>
            <w:vAlign w:val="bottom"/>
            <w:gridSpan w:val="2"/>
          </w:tcPr>
          <w:p>
            <w:pPr>
              <w:ind w:left="20"/>
              <w:spacing w:after="0"/>
              <w:rPr>
                <w:sz w:val="20"/>
                <w:szCs w:val="20"/>
                <w:color w:val="auto"/>
              </w:rPr>
            </w:pPr>
            <w:r>
              <w:rPr>
                <w:rFonts w:ascii="Arial" w:cs="Arial" w:eastAsia="Arial" w:hAnsi="Arial"/>
                <w:sz w:val="13"/>
                <w:szCs w:val="13"/>
                <w:b w:val="1"/>
                <w:bCs w:val="1"/>
                <w:color w:val="auto"/>
              </w:rPr>
              <w:t>instruments:</w:t>
            </w:r>
          </w:p>
        </w:tc>
        <w:tc>
          <w:tcPr>
            <w:tcW w:w="2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Interest rate swaps (1)</w:t>
            </w:r>
          </w:p>
        </w:tc>
        <w:tc>
          <w:tcPr>
            <w:tcW w:w="25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Other comprehensive income</w:t>
            </w:r>
          </w:p>
        </w:tc>
        <w:tc>
          <w:tcPr>
            <w:tcW w:w="2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44,541</w:t>
            </w:r>
          </w:p>
        </w:tc>
        <w:tc>
          <w:tcPr>
            <w:tcW w:w="400" w:type="dxa"/>
            <w:vAlign w:val="bottom"/>
            <w:gridSpan w:val="3"/>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(69,462)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55"/>
        </w:trPr>
        <w:tc>
          <w:tcPr>
            <w:tcW w:w="2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44,541</w:t>
            </w:r>
          </w:p>
        </w:tc>
        <w:tc>
          <w:tcPr>
            <w:tcW w:w="20" w:type="dxa"/>
            <w:vAlign w:val="bottom"/>
            <w:tcBorders>
              <w:top w:val="single" w:sz="8" w:color="auto"/>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(69,462)</w:t>
            </w:r>
          </w:p>
        </w:tc>
        <w:tc>
          <w:tcPr>
            <w:tcW w:w="100" w:type="dxa"/>
            <w:vAlign w:val="bottom"/>
          </w:tcPr>
          <w:p>
            <w:pPr>
              <w:spacing w:after="0"/>
              <w:rPr>
                <w:sz w:val="13"/>
                <w:szCs w:val="13"/>
                <w:color w:val="auto"/>
              </w:rPr>
            </w:pPr>
          </w:p>
        </w:tc>
        <w:tc>
          <w:tcPr>
            <w:tcW w:w="280" w:type="dxa"/>
            <w:vAlign w:val="bottom"/>
            <w:tcBorders>
              <w:bottom w:val="single" w:sz="8" w:color="auto"/>
            </w:tcBorders>
          </w:tcPr>
          <w:p>
            <w:pPr>
              <w:jc w:val="right"/>
              <w:ind w:right="137"/>
              <w:spacing w:after="0" w:line="148" w:lineRule="exact"/>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r>
      <w:tr>
        <w:trPr>
          <w:trHeight w:val="20"/>
        </w:trPr>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ind w:left="5" w:right="20" w:hanging="5"/>
        <w:spacing w:after="0" w:line="266" w:lineRule="auto"/>
        <w:tabs>
          <w:tab w:leader="none" w:pos="184" w:val="left"/>
        </w:tabs>
        <w:numPr>
          <w:ilvl w:val="0"/>
          <w:numId w:val="38"/>
        </w:numPr>
        <w:rPr>
          <w:rFonts w:ascii="Arial" w:cs="Arial" w:eastAsia="Arial" w:hAnsi="Arial"/>
          <w:sz w:val="12"/>
          <w:szCs w:val="12"/>
          <w:color w:val="auto"/>
        </w:rPr>
      </w:pPr>
      <w:r>
        <w:rPr>
          <w:rFonts w:ascii="Arial" w:cs="Arial" w:eastAsia="Arial" w:hAnsi="Arial"/>
          <w:sz w:val="12"/>
          <w:szCs w:val="12"/>
          <w:color w:val="auto"/>
        </w:rPr>
        <w:t>The Company entered into a five-year $1,000 million floating-to-fixed interest rate swap agreement in the first quarter of 2020 and a five-year $525 million floating-to-fixed interest rate swap agreement in the fourth quarter of 2019. These two interest rate swaps met the criteria to be considered qualifying cash flow hedges under ASC 815 in the first quarter of 2020, and as such, the mark-to-market gains (losses) on the instruments were deferred within Other comprehensive income on the Consolidated Statements of Comprehensive Income beginning in the first quarter of 2020.</w:t>
      </w:r>
    </w:p>
    <w:p>
      <w:pPr>
        <w:spacing w:after="0" w:line="275"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13. Variable Interest Entities</w:t>
      </w:r>
    </w:p>
    <w:p>
      <w:pPr>
        <w:spacing w:after="0" w:line="21" w:lineRule="exact"/>
        <w:rPr>
          <w:sz w:val="20"/>
          <w:szCs w:val="20"/>
          <w:color w:val="auto"/>
        </w:rPr>
      </w:pPr>
    </w:p>
    <w:p>
      <w:pPr>
        <w:ind w:left="5" w:right="20" w:firstLine="568"/>
        <w:spacing w:after="0" w:line="250" w:lineRule="auto"/>
        <w:rPr>
          <w:sz w:val="20"/>
          <w:szCs w:val="20"/>
          <w:color w:val="auto"/>
        </w:rPr>
      </w:pPr>
      <w:r>
        <w:rPr>
          <w:rFonts w:ascii="Arial" w:cs="Arial" w:eastAsia="Arial" w:hAnsi="Arial"/>
          <w:sz w:val="16"/>
          <w:szCs w:val="16"/>
          <w:color w:val="auto"/>
        </w:rPr>
        <w:t>A variable interest entity (“VIE”) is an entity that lacks one or more of the following characteristics: (i) the total equity investment at risk is sufficient to enable the entity to finance its activities independently and (ii) the equity holders have the power to direct the activities of the entity that most significantly impact its economic performance, the obligation to absorb the losses of the entity and the right to receive the residual returns of the entity.</w:t>
      </w:r>
    </w:p>
    <w:p>
      <w:pPr>
        <w:spacing w:after="0" w:line="195" w:lineRule="exact"/>
        <w:rPr>
          <w:sz w:val="20"/>
          <w:szCs w:val="20"/>
          <w:color w:val="auto"/>
        </w:rPr>
      </w:pPr>
    </w:p>
    <w:p>
      <w:pPr>
        <w:ind w:left="5" w:right="20" w:firstLine="568"/>
        <w:spacing w:after="0" w:line="257" w:lineRule="auto"/>
        <w:rPr>
          <w:sz w:val="20"/>
          <w:szCs w:val="20"/>
          <w:color w:val="auto"/>
        </w:rPr>
      </w:pPr>
      <w:r>
        <w:rPr>
          <w:rFonts w:ascii="Arial" w:cs="Arial" w:eastAsia="Arial" w:hAnsi="Arial"/>
          <w:sz w:val="16"/>
          <w:szCs w:val="16"/>
          <w:color w:val="auto"/>
        </w:rPr>
        <w:t>The Company will be considered to have a controlling financial interest and will consolidate a VIE if it has both (i) the power to direct the activities of the VIE that most significantly impact the VIE’s economic performance and (ii) the obligation to absorb losses of the VIE or the right to receive benefits from the VIE that could potentially be significant to the VIE.</w:t>
      </w:r>
    </w:p>
    <w:p>
      <w:pPr>
        <w:spacing w:after="0" w:line="190" w:lineRule="exact"/>
        <w:rPr>
          <w:sz w:val="20"/>
          <w:szCs w:val="20"/>
          <w:color w:val="auto"/>
        </w:rPr>
      </w:pPr>
    </w:p>
    <w:p>
      <w:pPr>
        <w:ind w:left="5" w:firstLine="568"/>
        <w:spacing w:after="0" w:line="254" w:lineRule="auto"/>
        <w:rPr>
          <w:sz w:val="20"/>
          <w:szCs w:val="20"/>
          <w:color w:val="auto"/>
        </w:rPr>
      </w:pPr>
      <w:r>
        <w:rPr>
          <w:rFonts w:ascii="Arial" w:cs="Arial" w:eastAsia="Arial" w:hAnsi="Arial"/>
          <w:sz w:val="16"/>
          <w:szCs w:val="16"/>
          <w:color w:val="auto"/>
        </w:rPr>
        <w:t>The Company has interests in two joint ventures (“JV”) that build and maintain microwave communication networks in the U.S., Europe, and Asia. The Company and its JV partners each pay monthly fees for the use of the microwave communication networks in connection with their respective trading activities, and the JVs may sell excess bandwidth that is not utilized by the JV members to third parties. As of December 31, 2021, the Company held noncontrolling interests of 10.0% and 50.0%, respectively, in these JVs.</w:t>
      </w:r>
    </w:p>
    <w:p>
      <w:pPr>
        <w:spacing w:after="0" w:line="192" w:lineRule="exact"/>
        <w:rPr>
          <w:sz w:val="20"/>
          <w:szCs w:val="20"/>
          <w:color w:val="auto"/>
        </w:rPr>
      </w:pPr>
    </w:p>
    <w:p>
      <w:pPr>
        <w:ind w:left="5" w:right="100" w:firstLine="568"/>
        <w:spacing w:after="0" w:line="268" w:lineRule="auto"/>
        <w:rPr>
          <w:sz w:val="20"/>
          <w:szCs w:val="20"/>
          <w:color w:val="auto"/>
        </w:rPr>
      </w:pPr>
      <w:r>
        <w:rPr>
          <w:rFonts w:ascii="Arial" w:cs="Arial" w:eastAsia="Arial" w:hAnsi="Arial"/>
          <w:sz w:val="16"/>
          <w:szCs w:val="16"/>
          <w:color w:val="auto"/>
        </w:rPr>
        <w:t>The Company has an interest in a JV that offers derivatives trading technology and execution services to broker-dealers, professional traders and select hedge funds. As of December 31, 2021, the Company held approximately a 9.8% noncontrolling interest in this JV.</w:t>
      </w:r>
    </w:p>
    <w:p>
      <w:pPr>
        <w:spacing w:after="0" w:line="181" w:lineRule="exact"/>
        <w:rPr>
          <w:sz w:val="20"/>
          <w:szCs w:val="20"/>
          <w:color w:val="auto"/>
        </w:rPr>
      </w:pPr>
    </w:p>
    <w:p>
      <w:pPr>
        <w:ind w:left="5" w:right="260" w:firstLine="568"/>
        <w:spacing w:after="0" w:line="341" w:lineRule="auto"/>
        <w:rPr>
          <w:sz w:val="20"/>
          <w:szCs w:val="20"/>
          <w:color w:val="auto"/>
        </w:rPr>
      </w:pPr>
      <w:r>
        <w:rPr>
          <w:rFonts w:ascii="Arial" w:cs="Arial" w:eastAsia="Arial" w:hAnsi="Arial"/>
          <w:sz w:val="14"/>
          <w:szCs w:val="14"/>
          <w:color w:val="auto"/>
        </w:rPr>
        <w:t>The Company has an interest in a JV that is developing a member-owned equities exchange with the goal of increasing competition and transparency, while reducing fixed costs and simplifying execution of equity trading in the U.S. As of December 31, 2021, the Company held approximately a 15.1% noncontrolling interest in this JV.</w:t>
      </w:r>
    </w:p>
    <w:p>
      <w:pPr>
        <w:spacing w:after="0" w:line="134" w:lineRule="exact"/>
        <w:rPr>
          <w:sz w:val="20"/>
          <w:szCs w:val="20"/>
          <w:color w:val="auto"/>
        </w:rPr>
      </w:pPr>
    </w:p>
    <w:p>
      <w:pPr>
        <w:ind w:left="5" w:right="60" w:firstLine="568"/>
        <w:spacing w:after="0" w:line="252" w:lineRule="auto"/>
        <w:rPr>
          <w:sz w:val="20"/>
          <w:szCs w:val="20"/>
          <w:color w:val="auto"/>
        </w:rPr>
      </w:pPr>
      <w:r>
        <w:rPr>
          <w:rFonts w:ascii="Arial" w:cs="Arial" w:eastAsia="Arial" w:hAnsi="Arial"/>
          <w:sz w:val="16"/>
          <w:szCs w:val="16"/>
          <w:color w:val="auto"/>
        </w:rPr>
        <w:t>The Company's four JVs meet the criteria to be considered VIEs, which it does not consolidate. The Company records its interest in each JV under the equity method of accounting and records its investment in the JVs within Other assets and its amounts payable for communication services provided by the applicable JVs within Accounts payable, accrued expenses and other liabilities on the Statements of Financial Condition. The Company records its pro-rata share of each JV's earnings or losses within Other, net and fees related to the use of communication services provided by the JVs within Communications and data processing on the Consolidated Statements of Comprehensive Income.</w:t>
      </w:r>
    </w:p>
    <w:p>
      <w:pPr>
        <w:spacing w:after="0" w:line="194" w:lineRule="exact"/>
        <w:rPr>
          <w:sz w:val="20"/>
          <w:szCs w:val="20"/>
          <w:color w:val="auto"/>
        </w:rPr>
      </w:pPr>
    </w:p>
    <w:p>
      <w:pPr>
        <w:ind w:left="5" w:right="160" w:firstLine="568"/>
        <w:spacing w:after="0" w:line="268" w:lineRule="auto"/>
        <w:rPr>
          <w:sz w:val="20"/>
          <w:szCs w:val="20"/>
          <w:color w:val="auto"/>
        </w:rPr>
      </w:pPr>
      <w:r>
        <w:rPr>
          <w:rFonts w:ascii="Arial" w:cs="Arial" w:eastAsia="Arial" w:hAnsi="Arial"/>
          <w:sz w:val="16"/>
          <w:szCs w:val="16"/>
          <w:color w:val="auto"/>
        </w:rPr>
        <w:t>The Company’s exposure to the obligations of these VIEs is generally limited to its interests in each respective JV, which is the carrying value of the equity investment in each JV.</w:t>
      </w:r>
    </w:p>
    <w:p>
      <w:pPr>
        <w:spacing w:after="0" w:line="181" w:lineRule="exact"/>
        <w:rPr>
          <w:sz w:val="20"/>
          <w:szCs w:val="20"/>
          <w:color w:val="auto"/>
        </w:rPr>
      </w:pPr>
    </w:p>
    <w:p>
      <w:pPr>
        <w:ind w:left="565"/>
        <w:spacing w:after="0"/>
        <w:rPr>
          <w:sz w:val="20"/>
          <w:szCs w:val="20"/>
          <w:color w:val="auto"/>
        </w:rPr>
      </w:pPr>
      <w:r>
        <w:rPr>
          <w:rFonts w:ascii="Arial" w:cs="Arial" w:eastAsia="Arial" w:hAnsi="Arial"/>
          <w:sz w:val="16"/>
          <w:szCs w:val="16"/>
          <w:color w:val="auto"/>
        </w:rPr>
        <w:t>The following table presents the Company’s nonconsolidated VIEs at December 31, 2021:</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59055</wp:posOffset>
            </wp:positionV>
            <wp:extent cx="7174865" cy="406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27" w:right="319" w:bottom="1440" w:gutter="0" w:footer="0" w:header="0"/>
        </w:sectPr>
      </w:pPr>
    </w:p>
    <w:bookmarkStart w:id="113" w:name="page114"/>
    <w:bookmarkEnd w:id="11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tbl>
      <w:tblPr>
        <w:tblLayout w:type="fixed"/>
        <w:tblInd w:w="140" w:type="dxa"/>
        <w:tblCellMar>
          <w:top w:w="0" w:type="dxa"/>
          <w:left w:w="0" w:type="dxa"/>
          <w:bottom w:w="0" w:type="dxa"/>
          <w:right w:w="0" w:type="dxa"/>
        </w:tblCellMar>
      </w:tblPr>
      <w:tr>
        <w:trPr>
          <w:trHeight w:val="169"/>
        </w:trPr>
        <w:tc>
          <w:tcPr>
            <w:tcW w:w="4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Carrying Amount</w:t>
            </w:r>
          </w:p>
        </w:tc>
        <w:tc>
          <w:tcPr>
            <w:tcW w:w="9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4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87"/>
              </w:rPr>
              <w:t>Maximum Exposure to</w:t>
            </w: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49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thousands)</w:t>
            </w:r>
          </w:p>
        </w:tc>
        <w:tc>
          <w:tcPr>
            <w:tcW w:w="100" w:type="dxa"/>
            <w:vAlign w:val="bottom"/>
            <w:vMerge w:val="restart"/>
          </w:tcPr>
          <w:p>
            <w:pPr>
              <w:spacing w:after="0"/>
              <w:rPr>
                <w:sz w:val="7"/>
                <w:szCs w:val="7"/>
                <w:color w:val="auto"/>
              </w:rPr>
            </w:pPr>
          </w:p>
        </w:tc>
        <w:tc>
          <w:tcPr>
            <w:tcW w:w="320" w:type="dxa"/>
            <w:vAlign w:val="bottom"/>
          </w:tcPr>
          <w:p>
            <w:pPr>
              <w:spacing w:after="0"/>
              <w:rPr>
                <w:sz w:val="7"/>
                <w:szCs w:val="7"/>
                <w:color w:val="auto"/>
              </w:rPr>
            </w:pPr>
          </w:p>
        </w:tc>
        <w:tc>
          <w:tcPr>
            <w:tcW w:w="1080" w:type="dxa"/>
            <w:vAlign w:val="bottom"/>
            <w:vMerge w:val="restart"/>
          </w:tcPr>
          <w:p>
            <w:pPr>
              <w:jc w:val="right"/>
              <w:ind w:right="497"/>
              <w:spacing w:after="0"/>
              <w:rPr>
                <w:sz w:val="20"/>
                <w:szCs w:val="20"/>
                <w:color w:val="auto"/>
              </w:rPr>
            </w:pPr>
            <w:r>
              <w:rPr>
                <w:rFonts w:ascii="Arial" w:cs="Arial" w:eastAsia="Arial" w:hAnsi="Arial"/>
                <w:sz w:val="13"/>
                <w:szCs w:val="13"/>
                <w:b w:val="1"/>
                <w:bCs w:val="1"/>
                <w:color w:val="auto"/>
              </w:rPr>
              <w:t>Asset</w:t>
            </w:r>
          </w:p>
        </w:tc>
        <w:tc>
          <w:tcPr>
            <w:tcW w:w="100" w:type="dxa"/>
            <w:vAlign w:val="bottom"/>
            <w:vMerge w:val="restart"/>
          </w:tcPr>
          <w:p>
            <w:pPr>
              <w:spacing w:after="0"/>
              <w:rPr>
                <w:sz w:val="7"/>
                <w:szCs w:val="7"/>
                <w:color w:val="auto"/>
              </w:rPr>
            </w:pPr>
          </w:p>
        </w:tc>
        <w:tc>
          <w:tcPr>
            <w:tcW w:w="440" w:type="dxa"/>
            <w:vAlign w:val="bottom"/>
          </w:tcPr>
          <w:p>
            <w:pPr>
              <w:spacing w:after="0"/>
              <w:rPr>
                <w:sz w:val="7"/>
                <w:szCs w:val="7"/>
                <w:color w:val="auto"/>
              </w:rPr>
            </w:pPr>
          </w:p>
        </w:tc>
        <w:tc>
          <w:tcPr>
            <w:tcW w:w="9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Liability</w:t>
            </w:r>
          </w:p>
        </w:tc>
        <w:tc>
          <w:tcPr>
            <w:tcW w:w="120" w:type="dxa"/>
            <w:vAlign w:val="bottom"/>
            <w:vMerge w:val="restart"/>
          </w:tcPr>
          <w:p>
            <w:pPr>
              <w:spacing w:after="0"/>
              <w:rPr>
                <w:sz w:val="7"/>
                <w:szCs w:val="7"/>
                <w:color w:val="auto"/>
              </w:rPr>
            </w:pPr>
          </w:p>
        </w:tc>
        <w:tc>
          <w:tcPr>
            <w:tcW w:w="60" w:type="dxa"/>
            <w:vAlign w:val="bottom"/>
            <w:vMerge w:val="restart"/>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vMerge w:val="restart"/>
          </w:tcPr>
          <w:p>
            <w:pPr>
              <w:jc w:val="right"/>
              <w:ind w:right="317"/>
              <w:spacing w:after="0"/>
              <w:rPr>
                <w:sz w:val="20"/>
                <w:szCs w:val="20"/>
                <w:color w:val="auto"/>
              </w:rPr>
            </w:pPr>
            <w:r>
              <w:rPr>
                <w:rFonts w:ascii="Arial" w:cs="Arial" w:eastAsia="Arial" w:hAnsi="Arial"/>
                <w:sz w:val="13"/>
                <w:szCs w:val="13"/>
                <w:b w:val="1"/>
                <w:bCs w:val="1"/>
                <w:color w:val="auto"/>
              </w:rPr>
              <w:t>VIEs' assets</w:t>
            </w:r>
          </w:p>
        </w:tc>
        <w:tc>
          <w:tcPr>
            <w:tcW w:w="0" w:type="dxa"/>
            <w:vAlign w:val="bottom"/>
          </w:tcPr>
          <w:p>
            <w:pPr>
              <w:spacing w:after="0"/>
              <w:rPr>
                <w:sz w:val="1"/>
                <w:szCs w:val="1"/>
                <w:color w:val="auto"/>
              </w:rPr>
            </w:pPr>
          </w:p>
        </w:tc>
      </w:tr>
      <w:tr>
        <w:trPr>
          <w:trHeight w:val="165"/>
        </w:trPr>
        <w:tc>
          <w:tcPr>
            <w:tcW w:w="49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60" w:type="dxa"/>
            <w:vAlign w:val="bottom"/>
            <w:tcBorders>
              <w:bottom w:val="single" w:sz="8" w:color="auto"/>
            </w:tcBorders>
            <w:vMerge w:val="continue"/>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Loss</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Equity investment</w:t>
            </w:r>
          </w:p>
        </w:tc>
        <w:tc>
          <w:tcPr>
            <w:tcW w:w="32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38,319</w:t>
            </w: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297"/>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38,319</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136,378</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presents the Company’s nonconsolidated VIEs at December 31, 2020:</w:t>
      </w:r>
    </w:p>
    <w:p>
      <w:pPr>
        <w:spacing w:after="0" w:line="318" w:lineRule="exact"/>
        <w:rPr>
          <w:sz w:val="20"/>
          <w:szCs w:val="20"/>
          <w:color w:val="auto"/>
        </w:rPr>
      </w:pPr>
    </w:p>
    <w:tbl>
      <w:tblPr>
        <w:tblLayout w:type="fixed"/>
        <w:tblInd w:w="140" w:type="dxa"/>
        <w:tblCellMar>
          <w:top w:w="0" w:type="dxa"/>
          <w:left w:w="0" w:type="dxa"/>
          <w:bottom w:w="0" w:type="dxa"/>
          <w:right w:w="0" w:type="dxa"/>
        </w:tblCellMar>
      </w:tblPr>
      <w:tr>
        <w:trPr>
          <w:trHeight w:val="169"/>
        </w:trPr>
        <w:tc>
          <w:tcPr>
            <w:tcW w:w="4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Carrying Amount</w:t>
            </w:r>
          </w:p>
        </w:tc>
        <w:tc>
          <w:tcPr>
            <w:tcW w:w="9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4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87"/>
              </w:rPr>
              <w:t>Maximum Exposure to</w:t>
            </w: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6"/>
        </w:trPr>
        <w:tc>
          <w:tcPr>
            <w:tcW w:w="49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thousands)</w:t>
            </w:r>
          </w:p>
        </w:tc>
        <w:tc>
          <w:tcPr>
            <w:tcW w:w="100" w:type="dxa"/>
            <w:vAlign w:val="bottom"/>
            <w:vMerge w:val="restart"/>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vMerge w:val="restart"/>
          </w:tcPr>
          <w:p>
            <w:pPr>
              <w:jc w:val="right"/>
              <w:ind w:right="497"/>
              <w:spacing w:after="0"/>
              <w:rPr>
                <w:sz w:val="20"/>
                <w:szCs w:val="20"/>
                <w:color w:val="auto"/>
              </w:rPr>
            </w:pPr>
            <w:r>
              <w:rPr>
                <w:rFonts w:ascii="Arial" w:cs="Arial" w:eastAsia="Arial" w:hAnsi="Arial"/>
                <w:sz w:val="13"/>
                <w:szCs w:val="13"/>
                <w:b w:val="1"/>
                <w:bCs w:val="1"/>
                <w:color w:val="auto"/>
              </w:rPr>
              <w:t>Asset</w:t>
            </w:r>
          </w:p>
        </w:tc>
        <w:tc>
          <w:tcPr>
            <w:tcW w:w="100" w:type="dxa"/>
            <w:vAlign w:val="bottom"/>
            <w:vMerge w:val="restart"/>
          </w:tcPr>
          <w:p>
            <w:pPr>
              <w:spacing w:after="0"/>
              <w:rPr>
                <w:sz w:val="4"/>
                <w:szCs w:val="4"/>
                <w:color w:val="auto"/>
              </w:rPr>
            </w:pPr>
          </w:p>
        </w:tc>
        <w:tc>
          <w:tcPr>
            <w:tcW w:w="440" w:type="dxa"/>
            <w:vAlign w:val="bottom"/>
          </w:tcPr>
          <w:p>
            <w:pPr>
              <w:spacing w:after="0"/>
              <w:rPr>
                <w:sz w:val="4"/>
                <w:szCs w:val="4"/>
                <w:color w:val="auto"/>
              </w:rPr>
            </w:pPr>
          </w:p>
        </w:tc>
        <w:tc>
          <w:tcPr>
            <w:tcW w:w="9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Liability</w:t>
            </w:r>
          </w:p>
        </w:tc>
        <w:tc>
          <w:tcPr>
            <w:tcW w:w="120" w:type="dxa"/>
            <w:vAlign w:val="bottom"/>
            <w:vMerge w:val="restart"/>
          </w:tcPr>
          <w:p>
            <w:pPr>
              <w:spacing w:after="0"/>
              <w:rPr>
                <w:sz w:val="4"/>
                <w:szCs w:val="4"/>
                <w:color w:val="auto"/>
              </w:rPr>
            </w:pPr>
          </w:p>
        </w:tc>
        <w:tc>
          <w:tcPr>
            <w:tcW w:w="60" w:type="dxa"/>
            <w:vAlign w:val="bottom"/>
            <w:vMerge w:val="restart"/>
          </w:tcPr>
          <w:p>
            <w:pPr>
              <w:spacing w:after="0"/>
              <w:rPr>
                <w:sz w:val="4"/>
                <w:szCs w:val="4"/>
                <w:color w:val="auto"/>
              </w:rPr>
            </w:pPr>
          </w:p>
        </w:tc>
        <w:tc>
          <w:tcPr>
            <w:tcW w:w="144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vMerge w:val="restart"/>
          </w:tcPr>
          <w:p>
            <w:pPr>
              <w:jc w:val="right"/>
              <w:ind w:right="317"/>
              <w:spacing w:after="0"/>
              <w:rPr>
                <w:sz w:val="20"/>
                <w:szCs w:val="20"/>
                <w:color w:val="auto"/>
              </w:rPr>
            </w:pPr>
            <w:r>
              <w:rPr>
                <w:rFonts w:ascii="Arial" w:cs="Arial" w:eastAsia="Arial" w:hAnsi="Arial"/>
                <w:sz w:val="13"/>
                <w:szCs w:val="13"/>
                <w:b w:val="1"/>
                <w:bCs w:val="1"/>
                <w:color w:val="auto"/>
              </w:rPr>
              <w:t>VIEs' assets</w:t>
            </w:r>
          </w:p>
        </w:tc>
        <w:tc>
          <w:tcPr>
            <w:tcW w:w="0" w:type="dxa"/>
            <w:vAlign w:val="bottom"/>
          </w:tcPr>
          <w:p>
            <w:pPr>
              <w:spacing w:after="0"/>
              <w:rPr>
                <w:sz w:val="1"/>
                <w:szCs w:val="1"/>
                <w:color w:val="auto"/>
              </w:rPr>
            </w:pPr>
          </w:p>
        </w:tc>
      </w:tr>
      <w:tr>
        <w:trPr>
          <w:trHeight w:val="165"/>
        </w:trPr>
        <w:tc>
          <w:tcPr>
            <w:tcW w:w="49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60" w:type="dxa"/>
            <w:vAlign w:val="bottom"/>
            <w:tcBorders>
              <w:bottom w:val="single" w:sz="8" w:color="auto"/>
            </w:tcBorders>
            <w:vMerge w:val="continue"/>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Loss</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Equity investment</w:t>
            </w:r>
          </w:p>
        </w:tc>
        <w:tc>
          <w:tcPr>
            <w:tcW w:w="32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28,969</w:t>
            </w: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297"/>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28,969</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175,547</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Revenues from Contracts with Customers</w:t>
      </w:r>
    </w:p>
    <w:p>
      <w:pPr>
        <w:spacing w:after="0" w:line="223" w:lineRule="exact"/>
        <w:rPr>
          <w:sz w:val="20"/>
          <w:szCs w:val="20"/>
          <w:color w:val="auto"/>
        </w:rPr>
      </w:pPr>
    </w:p>
    <w:p>
      <w:pPr>
        <w:spacing w:after="0" w:line="273" w:lineRule="auto"/>
        <w:rPr>
          <w:sz w:val="20"/>
          <w:szCs w:val="20"/>
          <w:color w:val="auto"/>
        </w:rPr>
      </w:pPr>
      <w:r>
        <w:rPr>
          <w:rFonts w:ascii="Arial" w:cs="Arial" w:eastAsia="Arial" w:hAnsi="Arial"/>
          <w:sz w:val="15"/>
          <w:szCs w:val="15"/>
          <w:i w:val="1"/>
          <w:iCs w:val="1"/>
          <w:color w:val="auto"/>
        </w:rPr>
        <w:t>Commissions, net</w:t>
      </w:r>
      <w:r>
        <w:rPr>
          <w:rFonts w:ascii="Arial" w:cs="Arial" w:eastAsia="Arial" w:hAnsi="Arial"/>
          <w:sz w:val="15"/>
          <w:szCs w:val="15"/>
          <w:color w:val="auto"/>
        </w:rPr>
        <w:t>. The Company earns commission revenue by acting as an agent on behalf of customers. The Company’s performance obligations consist of trade execution and</w:t>
      </w:r>
      <w:r>
        <w:rPr>
          <w:rFonts w:ascii="Arial" w:cs="Arial" w:eastAsia="Arial" w:hAnsi="Arial"/>
          <w:sz w:val="15"/>
          <w:szCs w:val="15"/>
          <w:i w:val="1"/>
          <w:iCs w:val="1"/>
          <w:color w:val="auto"/>
        </w:rPr>
        <w:t xml:space="preserve"> </w:t>
      </w:r>
      <w:r>
        <w:rPr>
          <w:rFonts w:ascii="Arial" w:cs="Arial" w:eastAsia="Arial" w:hAnsi="Arial"/>
          <w:sz w:val="15"/>
          <w:szCs w:val="15"/>
          <w:color w:val="auto"/>
        </w:rPr>
        <w:t>clearing services and are satisfied on the trade date; accordingly, commission revenues are recorded on the trade date. Commission revenues are received on settlement date; therefore, a receivable is recognized as of the trade date. Under a commission management program, the Company allows institutional clients to allocate a portion of their gross commissions to pay for research and other services provided by third parties. As the Company acts as an agent in these transactions, it records such expenses on a net basis within Commissions, net and technology services in the Consolidated Statements of Comprehensive Income.</w:t>
      </w:r>
    </w:p>
    <w:p>
      <w:pPr>
        <w:spacing w:after="0" w:line="179" w:lineRule="exact"/>
        <w:rPr>
          <w:sz w:val="20"/>
          <w:szCs w:val="20"/>
          <w:color w:val="auto"/>
        </w:rPr>
      </w:pPr>
    </w:p>
    <w:p>
      <w:pPr>
        <w:ind w:right="500"/>
        <w:spacing w:after="0" w:line="268" w:lineRule="auto"/>
        <w:rPr>
          <w:sz w:val="20"/>
          <w:szCs w:val="20"/>
          <w:color w:val="auto"/>
        </w:rPr>
      </w:pPr>
      <w:r>
        <w:rPr>
          <w:rFonts w:ascii="Arial" w:cs="Arial" w:eastAsia="Arial" w:hAnsi="Arial"/>
          <w:sz w:val="16"/>
          <w:szCs w:val="16"/>
          <w:i w:val="1"/>
          <w:iCs w:val="1"/>
          <w:color w:val="auto"/>
        </w:rPr>
        <w:t>Workflow technology</w:t>
      </w:r>
      <w:r>
        <w:rPr>
          <w:rFonts w:ascii="Arial" w:cs="Arial" w:eastAsia="Arial" w:hAnsi="Arial"/>
          <w:sz w:val="16"/>
          <w:szCs w:val="16"/>
          <w:color w:val="auto"/>
        </w:rPr>
        <w:t>. Through its front-end workflow solutions and network capabilities, the Company provides order and trade execution management and order routing</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w:t>
      </w:r>
    </w:p>
    <w:p>
      <w:pPr>
        <w:spacing w:after="0" w:line="181" w:lineRule="exact"/>
        <w:rPr>
          <w:sz w:val="20"/>
          <w:szCs w:val="20"/>
          <w:color w:val="auto"/>
        </w:rPr>
      </w:pPr>
    </w:p>
    <w:p>
      <w:pPr>
        <w:jc w:val="both"/>
        <w:ind w:right="280"/>
        <w:spacing w:after="0" w:line="254" w:lineRule="auto"/>
        <w:rPr>
          <w:sz w:val="20"/>
          <w:szCs w:val="20"/>
          <w:color w:val="auto"/>
        </w:rPr>
      </w:pPr>
      <w:r>
        <w:rPr>
          <w:rFonts w:ascii="Arial" w:cs="Arial" w:eastAsia="Arial" w:hAnsi="Arial"/>
          <w:sz w:val="16"/>
          <w:szCs w:val="16"/>
          <w:color w:val="auto"/>
        </w:rPr>
        <w:t>The Company provides trade order routing from its execution management system (“EMS”) to its execution services offerings, with each trade order routed through the EMS representing a separate performance obligation that is satisfied at a point in time. Commissions earned are fixed and revenue is recognized on the trade date. A portion of the commissions earned on the trade is then allocated to workflow technology based on the stand-alone selling price paid by third-party brokers for order routing. The remaining commission is allocated to commissions, net using a residual allocation approach.</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color w:val="auto"/>
        </w:rPr>
        <w:t>The Company participates in commission sharing arrangements, where trade orders are routed to third-party brokers from its EMS and its order management system (“OMS”).</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Commission share revenues from third-party brokers are generally fixed and revenue is recognized at a point in time on the trade date.</w:t>
      </w:r>
    </w:p>
    <w:p>
      <w:pPr>
        <w:spacing w:after="0" w:line="207" w:lineRule="exact"/>
        <w:rPr>
          <w:sz w:val="20"/>
          <w:szCs w:val="20"/>
          <w:color w:val="auto"/>
        </w:rPr>
      </w:pPr>
    </w:p>
    <w:p>
      <w:pPr>
        <w:ind w:right="120"/>
        <w:spacing w:after="0" w:line="254" w:lineRule="auto"/>
        <w:rPr>
          <w:sz w:val="20"/>
          <w:szCs w:val="20"/>
          <w:color w:val="auto"/>
        </w:rPr>
      </w:pPr>
      <w:r>
        <w:rPr>
          <w:rFonts w:ascii="Arial" w:cs="Arial" w:eastAsia="Arial" w:hAnsi="Arial"/>
          <w:sz w:val="16"/>
          <w:szCs w:val="16"/>
          <w:color w:val="auto"/>
        </w:rPr>
        <w:t>The Company provides OMS and related software products and connectivity services to customers and recognizes license fee revenues and monthly connectivity fees. License fee revenues, generated for the use of the Company’s OMS and other software products, is fixed and recognized at the point in time at which the customer is able to use and benefit from the license. Connectivity revenue is variable in nature, based on the number of live connections, and is recognized over time on a monthly basis using a time-based measure of progress.</w:t>
      </w:r>
    </w:p>
    <w:p>
      <w:pPr>
        <w:spacing w:after="0" w:line="192" w:lineRule="exact"/>
        <w:rPr>
          <w:sz w:val="20"/>
          <w:szCs w:val="20"/>
          <w:color w:val="auto"/>
        </w:rPr>
      </w:pPr>
    </w:p>
    <w:p>
      <w:pPr>
        <w:ind w:right="40"/>
        <w:spacing w:after="0" w:line="297" w:lineRule="auto"/>
        <w:rPr>
          <w:sz w:val="20"/>
          <w:szCs w:val="20"/>
          <w:color w:val="auto"/>
        </w:rPr>
      </w:pPr>
      <w:r>
        <w:rPr>
          <w:rFonts w:ascii="Arial" w:cs="Arial" w:eastAsia="Arial" w:hAnsi="Arial"/>
          <w:sz w:val="14"/>
          <w:szCs w:val="14"/>
          <w:i w:val="1"/>
          <w:iCs w:val="1"/>
          <w:color w:val="auto"/>
        </w:rPr>
        <w:t>Analytics</w:t>
      </w:r>
      <w:r>
        <w:rPr>
          <w:rFonts w:ascii="Arial" w:cs="Arial" w:eastAsia="Arial" w:hAnsi="Arial"/>
          <w:sz w:val="14"/>
          <w:szCs w:val="14"/>
          <w:color w:val="auto"/>
        </w:rPr>
        <w:t>. The Company provides customers with analytics products and services, including trading and portfolio analytics tools. The Company provides analytics products and</w:t>
      </w:r>
      <w:r>
        <w:rPr>
          <w:rFonts w:ascii="Arial" w:cs="Arial" w:eastAsia="Arial" w:hAnsi="Arial"/>
          <w:sz w:val="14"/>
          <w:szCs w:val="14"/>
          <w:i w:val="1"/>
          <w:iCs w:val="1"/>
          <w:color w:val="auto"/>
        </w:rPr>
        <w:t xml:space="preserve"> </w:t>
      </w:r>
      <w:r>
        <w:rPr>
          <w:rFonts w:ascii="Arial" w:cs="Arial" w:eastAsia="Arial" w:hAnsi="Arial"/>
          <w:sz w:val="14"/>
          <w:szCs w:val="14"/>
          <w:color w:val="auto"/>
        </w:rPr>
        <w:t>services to customers and recognizes subscription fees, which are fixed for the contract term, based on when the products and services are delivered. Analytics services can be delivered either over time (when customers are provided with distinct ongoing access to analytics data) or at a point in time (when reports are only delivered to the customer on a periodic basis). Over time performance obligations are recognized using a time-based measure of progress on a monthly basis, since the analytics products and services are continually provided to the client. Point in time performance obligations are recognized when the analytics reports are delivered to the client.</w:t>
      </w:r>
    </w:p>
    <w:p>
      <w:pPr>
        <w:spacing w:after="0" w:line="164" w:lineRule="exact"/>
        <w:rPr>
          <w:sz w:val="20"/>
          <w:szCs w:val="20"/>
          <w:color w:val="auto"/>
        </w:rPr>
      </w:pPr>
    </w:p>
    <w:p>
      <w:pPr>
        <w:ind w:right="340"/>
        <w:spacing w:after="0" w:line="302" w:lineRule="auto"/>
        <w:rPr>
          <w:sz w:val="20"/>
          <w:szCs w:val="20"/>
          <w:color w:val="auto"/>
        </w:rPr>
      </w:pPr>
      <w:r>
        <w:rPr>
          <w:rFonts w:ascii="Arial" w:cs="Arial" w:eastAsia="Arial" w:hAnsi="Arial"/>
          <w:sz w:val="15"/>
          <w:szCs w:val="15"/>
          <w:color w:val="auto"/>
        </w:rPr>
        <w:t>Analytics products and services can also be paid for through variable bundled arrangements with trade execution services. Customers agree to pay for analytics products and services with commissions generated from trade execution services, and commissions are allocated to the analytics performance obligation(s) using:</w:t>
      </w:r>
    </w:p>
    <w:p>
      <w:pPr>
        <w:spacing w:after="0" w:line="158" w:lineRule="exact"/>
        <w:rPr>
          <w:sz w:val="20"/>
          <w:szCs w:val="20"/>
          <w:color w:val="auto"/>
        </w:rPr>
      </w:pPr>
    </w:p>
    <w:p>
      <w:pPr>
        <w:ind w:left="1140" w:hanging="577"/>
        <w:spacing w:after="0" w:line="268" w:lineRule="auto"/>
        <w:tabs>
          <w:tab w:leader="none" w:pos="918"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commission value for each customer for the products and services it receives, which is priced using the value for similar stand-alone subscription arrangements; and</w:t>
      </w:r>
    </w:p>
    <w:p>
      <w:pPr>
        <w:spacing w:after="0" w:line="181" w:lineRule="exact"/>
        <w:rPr>
          <w:rFonts w:ascii="Arial" w:cs="Arial" w:eastAsia="Arial" w:hAnsi="Arial"/>
          <w:sz w:val="16"/>
          <w:szCs w:val="16"/>
          <w:color w:val="auto"/>
        </w:rPr>
      </w:pPr>
    </w:p>
    <w:p>
      <w:pPr>
        <w:ind w:left="960" w:hanging="397"/>
        <w:spacing w:after="0"/>
        <w:tabs>
          <w:tab w:leader="none" w:pos="960" w:val="left"/>
        </w:tabs>
        <w:numPr>
          <w:ilvl w:val="0"/>
          <w:numId w:val="39"/>
        </w:numPr>
        <w:rPr>
          <w:rFonts w:ascii="Arial" w:cs="Arial" w:eastAsia="Arial" w:hAnsi="Arial"/>
          <w:sz w:val="15"/>
          <w:szCs w:val="15"/>
          <w:color w:val="auto"/>
        </w:rPr>
      </w:pPr>
      <w:r>
        <w:rPr>
          <w:rFonts w:ascii="Arial" w:cs="Arial" w:eastAsia="Arial" w:hAnsi="Arial"/>
          <w:sz w:val="15"/>
          <w:szCs w:val="15"/>
          <w:color w:val="auto"/>
        </w:rPr>
        <w:t>a calculated ratio of the commission value for the products and services relative to the total amount of commissions generated from the customer.</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4" w:name="page115"/>
    <w:bookmarkEnd w:id="11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firstLine="568"/>
        <w:spacing w:after="0" w:line="257" w:lineRule="auto"/>
        <w:rPr>
          <w:sz w:val="20"/>
          <w:szCs w:val="20"/>
          <w:color w:val="auto"/>
        </w:rPr>
      </w:pPr>
      <w:r>
        <w:rPr>
          <w:rFonts w:ascii="Arial" w:cs="Arial" w:eastAsia="Arial" w:hAnsi="Arial"/>
          <w:sz w:val="16"/>
          <w:szCs w:val="16"/>
          <w:color w:val="auto"/>
        </w:rPr>
        <w:t>For these bundled commission arrangements, the allocated commissions to each analytics performance obligation are then recognized as revenue when the analytics product is delivered, either over time or at a point in time. These allocated commissions may be deferred if the allocated amount exceeds the amount recognizable based on delivery.</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Disaggregation of Revenues</w:t>
      </w:r>
    </w:p>
    <w:p>
      <w:pPr>
        <w:spacing w:after="0" w:line="219"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following tables present the Company’s revenue from contracts with customers disaggregated by service, by timing of revenue recognition, reconciled to the</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Company’s segments, for the years ended December 31, 2021, 2020 and 2019:</w:t>
      </w:r>
    </w:p>
    <w:p>
      <w:pPr>
        <w:spacing w:after="0" w:line="200" w:lineRule="exact"/>
        <w:rPr>
          <w:sz w:val="20"/>
          <w:szCs w:val="20"/>
          <w:color w:val="auto"/>
        </w:rPr>
      </w:pPr>
    </w:p>
    <w:p>
      <w:pPr>
        <w:spacing w:after="0" w:line="201" w:lineRule="exact"/>
        <w:rPr>
          <w:sz w:val="20"/>
          <w:szCs w:val="20"/>
          <w:color w:val="auto"/>
        </w:rPr>
      </w:pPr>
    </w:p>
    <w:tbl>
      <w:tblPr>
        <w:tblLayout w:type="fixed"/>
        <w:tblInd w:w="680" w:type="dxa"/>
        <w:tblCellMar>
          <w:top w:w="0" w:type="dxa"/>
          <w:left w:w="0" w:type="dxa"/>
          <w:bottom w:w="0" w:type="dxa"/>
          <w:right w:w="0" w:type="dxa"/>
        </w:tblCellMar>
      </w:tblPr>
      <w:tr>
        <w:trPr>
          <w:trHeight w:val="166"/>
        </w:trPr>
        <w:tc>
          <w:tcPr>
            <w:tcW w:w="4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3"/>
                <w:szCs w:val="13"/>
                <w:b w:val="1"/>
                <w:bCs w:val="1"/>
                <w:color w:val="auto"/>
              </w:rPr>
              <w:t>Year Ended December 31, 2021</w:t>
            </w:r>
          </w:p>
        </w:tc>
        <w:tc>
          <w:tcPr>
            <w:tcW w:w="4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r>
      <w:tr>
        <w:trPr>
          <w:trHeight w:val="165"/>
        </w:trPr>
        <w:tc>
          <w:tcPr>
            <w:tcW w:w="4140" w:type="dxa"/>
            <w:vAlign w:val="bottom"/>
            <w:gridSpan w:val="2"/>
          </w:tcPr>
          <w:p>
            <w:pPr>
              <w:ind w:left="20"/>
              <w:spacing w:after="0"/>
              <w:rPr>
                <w:sz w:val="20"/>
                <w:szCs w:val="20"/>
                <w:color w:val="auto"/>
              </w:rPr>
            </w:pPr>
            <w:r>
              <w:rPr>
                <w:rFonts w:ascii="Arial" w:cs="Arial" w:eastAsia="Arial" w:hAnsi="Arial"/>
                <w:sz w:val="13"/>
                <w:szCs w:val="13"/>
                <w:b w:val="1"/>
                <w:bCs w:val="1"/>
                <w:color w:val="auto"/>
              </w:rPr>
              <w:t>(in thousands)</w:t>
            </w:r>
          </w:p>
        </w:tc>
        <w:tc>
          <w:tcPr>
            <w:tcW w:w="160" w:type="dxa"/>
            <w:vAlign w:val="bottom"/>
          </w:tcPr>
          <w:p>
            <w:pPr>
              <w:spacing w:after="0"/>
              <w:rPr>
                <w:sz w:val="14"/>
                <w:szCs w:val="14"/>
                <w:color w:val="auto"/>
              </w:rPr>
            </w:pPr>
          </w:p>
        </w:tc>
        <w:tc>
          <w:tcPr>
            <w:tcW w:w="1300" w:type="dxa"/>
            <w:vAlign w:val="bottom"/>
            <w:gridSpan w:val="2"/>
          </w:tcPr>
          <w:p>
            <w:pPr>
              <w:ind w:left="80"/>
              <w:spacing w:after="0"/>
              <w:rPr>
                <w:sz w:val="20"/>
                <w:szCs w:val="20"/>
                <w:color w:val="auto"/>
              </w:rPr>
            </w:pPr>
            <w:r>
              <w:rPr>
                <w:rFonts w:ascii="Arial" w:cs="Arial" w:eastAsia="Arial" w:hAnsi="Arial"/>
                <w:sz w:val="13"/>
                <w:szCs w:val="13"/>
                <w:b w:val="1"/>
                <w:bCs w:val="1"/>
                <w:color w:val="auto"/>
              </w:rPr>
              <w:t>Market Making</w:t>
            </w:r>
          </w:p>
        </w:tc>
        <w:tc>
          <w:tcPr>
            <w:tcW w:w="12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3"/>
                <w:szCs w:val="13"/>
                <w:b w:val="1"/>
                <w:bCs w:val="1"/>
                <w:color w:val="auto"/>
              </w:rPr>
              <w:t>Execution Services</w:t>
            </w: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Corporate</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ind w:right="497"/>
              <w:spacing w:after="0"/>
              <w:rPr>
                <w:sz w:val="20"/>
                <w:szCs w:val="20"/>
                <w:color w:val="auto"/>
              </w:rPr>
            </w:pPr>
            <w:r>
              <w:rPr>
                <w:rFonts w:ascii="Arial" w:cs="Arial" w:eastAsia="Arial" w:hAnsi="Arial"/>
                <w:sz w:val="13"/>
                <w:szCs w:val="13"/>
                <w:b w:val="1"/>
                <w:bCs w:val="1"/>
                <w:color w:val="auto"/>
              </w:rPr>
              <w:t>Total</w:t>
            </w:r>
          </w:p>
        </w:tc>
      </w:tr>
      <w:tr>
        <w:trPr>
          <w:trHeight w:val="158"/>
        </w:trPr>
        <w:tc>
          <w:tcPr>
            <w:tcW w:w="4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Revenues from contracts with customers:</w:t>
            </w: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r>
      <w:tr>
        <w:trPr>
          <w:trHeight w:val="163"/>
        </w:trPr>
        <w:tc>
          <w:tcPr>
            <w:tcW w:w="4140" w:type="dxa"/>
            <w:vAlign w:val="bottom"/>
            <w:gridSpan w:val="2"/>
          </w:tcPr>
          <w:p>
            <w:pPr>
              <w:ind w:left="20"/>
              <w:spacing w:after="0"/>
              <w:rPr>
                <w:sz w:val="20"/>
                <w:szCs w:val="20"/>
                <w:color w:val="auto"/>
              </w:rPr>
            </w:pPr>
            <w:r>
              <w:rPr>
                <w:rFonts w:ascii="Arial" w:cs="Arial" w:eastAsia="Arial" w:hAnsi="Arial"/>
                <w:sz w:val="13"/>
                <w:szCs w:val="13"/>
                <w:color w:val="auto"/>
              </w:rPr>
              <w:t>Commissions, net</w:t>
            </w:r>
          </w:p>
        </w:tc>
        <w:tc>
          <w:tcPr>
            <w:tcW w:w="160" w:type="dxa"/>
            <w:vAlign w:val="bottom"/>
          </w:tcPr>
          <w:p>
            <w:pPr>
              <w:jc w:val="right"/>
              <w:ind w:right="53"/>
              <w:spacing w:after="0"/>
              <w:rPr>
                <w:sz w:val="20"/>
                <w:szCs w:val="20"/>
                <w:color w:val="auto"/>
              </w:rPr>
            </w:pPr>
            <w:r>
              <w:rPr>
                <w:rFonts w:ascii="Arial" w:cs="Arial" w:eastAsia="Arial" w:hAnsi="Arial"/>
                <w:sz w:val="9"/>
                <w:szCs w:val="9"/>
                <w:color w:val="auto"/>
                <w:w w:val="78"/>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40,955</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433,755</w:t>
            </w:r>
          </w:p>
        </w:tc>
        <w:tc>
          <w:tcPr>
            <w:tcW w:w="120" w:type="dxa"/>
            <w:vAlign w:val="bottom"/>
          </w:tcPr>
          <w:p>
            <w:pPr>
              <w:spacing w:after="0"/>
              <w:rPr>
                <w:sz w:val="14"/>
                <w:szCs w:val="14"/>
                <w:color w:val="auto"/>
              </w:rPr>
            </w:pPr>
          </w:p>
        </w:tc>
        <w:tc>
          <w:tcPr>
            <w:tcW w:w="960" w:type="dxa"/>
            <w:vAlign w:val="bottom"/>
          </w:tcPr>
          <w:p>
            <w:pPr>
              <w:jc w:val="right"/>
              <w:ind w:right="850"/>
              <w:spacing w:after="0"/>
              <w:rPr>
                <w:sz w:val="20"/>
                <w:szCs w:val="20"/>
                <w:color w:val="auto"/>
              </w:rPr>
            </w:pPr>
            <w:r>
              <w:rPr>
                <w:rFonts w:ascii="Arial" w:cs="Arial" w:eastAsia="Arial" w:hAnsi="Arial"/>
                <w:sz w:val="9"/>
                <w:szCs w:val="9"/>
                <w:color w:val="auto"/>
                <w:w w:val="78"/>
              </w:rPr>
              <w:t>$</w:t>
            </w:r>
          </w:p>
        </w:tc>
        <w:tc>
          <w:tcPr>
            <w:tcW w:w="5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300" w:type="dxa"/>
            <w:vAlign w:val="bottom"/>
          </w:tcPr>
          <w:p>
            <w:pPr>
              <w:jc w:val="right"/>
              <w:ind w:right="193"/>
              <w:spacing w:after="0"/>
              <w:rPr>
                <w:sz w:val="20"/>
                <w:szCs w:val="20"/>
                <w:color w:val="auto"/>
              </w:rPr>
            </w:pPr>
            <w:r>
              <w:rPr>
                <w:rFonts w:ascii="Arial" w:cs="Arial" w:eastAsia="Arial" w:hAnsi="Arial"/>
                <w:sz w:val="9"/>
                <w:szCs w:val="9"/>
                <w:color w:val="auto"/>
                <w:w w:val="78"/>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474,710</w:t>
            </w:r>
          </w:p>
        </w:tc>
      </w:tr>
      <w:tr>
        <w:trPr>
          <w:trHeight w:val="168"/>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Workflow technology</w:t>
            </w:r>
          </w:p>
        </w:tc>
        <w:tc>
          <w:tcPr>
            <w:tcW w:w="1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98,486</w:t>
            </w: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98,486</w:t>
            </w:r>
          </w:p>
        </w:tc>
      </w:tr>
      <w:tr>
        <w:trPr>
          <w:trHeight w:val="163"/>
        </w:trPr>
        <w:tc>
          <w:tcPr>
            <w:tcW w:w="4140" w:type="dxa"/>
            <w:vAlign w:val="bottom"/>
            <w:gridSpan w:val="2"/>
          </w:tcPr>
          <w:p>
            <w:pPr>
              <w:ind w:left="20"/>
              <w:spacing w:after="0"/>
              <w:rPr>
                <w:sz w:val="20"/>
                <w:szCs w:val="20"/>
                <w:color w:val="auto"/>
              </w:rPr>
            </w:pPr>
            <w:r>
              <w:rPr>
                <w:rFonts w:ascii="Arial" w:cs="Arial" w:eastAsia="Arial" w:hAnsi="Arial"/>
                <w:sz w:val="13"/>
                <w:szCs w:val="13"/>
                <w:color w:val="auto"/>
              </w:rPr>
              <w:t>Analytics</w:t>
            </w:r>
          </w:p>
        </w:tc>
        <w:tc>
          <w:tcPr>
            <w:tcW w:w="16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41,293</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41,293</w:t>
            </w:r>
          </w:p>
        </w:tc>
      </w:tr>
      <w:tr>
        <w:trPr>
          <w:trHeight w:val="160"/>
        </w:trPr>
        <w:tc>
          <w:tcPr>
            <w:tcW w:w="414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3"/>
                <w:szCs w:val="13"/>
                <w:color w:val="auto"/>
              </w:rPr>
              <w:t>Total revenue from contracts with customers</w:t>
            </w:r>
          </w:p>
        </w:tc>
        <w:tc>
          <w:tcPr>
            <w:tcW w:w="16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40,955</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573,534</w:t>
            </w:r>
          </w:p>
        </w:tc>
        <w:tc>
          <w:tcPr>
            <w:tcW w:w="12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614,489</w:t>
            </w:r>
          </w:p>
        </w:tc>
      </w:tr>
      <w:tr>
        <w:trPr>
          <w:trHeight w:val="237"/>
        </w:trPr>
        <w:tc>
          <w:tcPr>
            <w:tcW w:w="4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166"/>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Other sources of revenue</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2,162,091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26,681</w:t>
            </w: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8,224</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2,196,996</w:t>
            </w:r>
          </w:p>
        </w:tc>
      </w:tr>
      <w:tr>
        <w:trPr>
          <w:trHeight w:val="237"/>
        </w:trPr>
        <w:tc>
          <w:tcPr>
            <w:tcW w:w="40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r>
      <w:tr>
        <w:trPr>
          <w:trHeight w:val="183"/>
        </w:trPr>
        <w:tc>
          <w:tcPr>
            <w:tcW w:w="4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Total revenues</w:t>
            </w:r>
          </w:p>
        </w:tc>
        <w:tc>
          <w:tcPr>
            <w:tcW w:w="1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2,203,046</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600,215</w:t>
            </w:r>
          </w:p>
        </w:tc>
        <w:tc>
          <w:tcPr>
            <w:tcW w:w="1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9"/>
                <w:szCs w:val="9"/>
                <w:color w:val="auto"/>
                <w:w w:val="7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8"/>
              </w:rPr>
              <w:t>8,224</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9"/>
                <w:szCs w:val="9"/>
                <w:color w:val="auto"/>
                <w:w w:val="7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2,811,485</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80"/>
        </w:trPr>
        <w:tc>
          <w:tcPr>
            <w:tcW w:w="4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66"/>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Timing of revenue recognition:</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63"/>
        </w:trPr>
        <w:tc>
          <w:tcPr>
            <w:tcW w:w="4140" w:type="dxa"/>
            <w:vAlign w:val="bottom"/>
            <w:gridSpan w:val="2"/>
          </w:tcPr>
          <w:p>
            <w:pPr>
              <w:ind w:left="120"/>
              <w:spacing w:after="0"/>
              <w:rPr>
                <w:sz w:val="20"/>
                <w:szCs w:val="20"/>
                <w:color w:val="auto"/>
              </w:rPr>
            </w:pPr>
            <w:r>
              <w:rPr>
                <w:rFonts w:ascii="Arial" w:cs="Arial" w:eastAsia="Arial" w:hAnsi="Arial"/>
                <w:sz w:val="13"/>
                <w:szCs w:val="13"/>
                <w:color w:val="auto"/>
              </w:rPr>
              <w:t>Services transferred at a point in time</w:t>
            </w:r>
          </w:p>
        </w:tc>
        <w:tc>
          <w:tcPr>
            <w:tcW w:w="160" w:type="dxa"/>
            <w:vAlign w:val="bottom"/>
          </w:tcPr>
          <w:p>
            <w:pPr>
              <w:jc w:val="right"/>
              <w:ind w:right="53"/>
              <w:spacing w:after="0"/>
              <w:rPr>
                <w:sz w:val="20"/>
                <w:szCs w:val="20"/>
                <w:color w:val="auto"/>
              </w:rPr>
            </w:pPr>
            <w:r>
              <w:rPr>
                <w:rFonts w:ascii="Arial" w:cs="Arial" w:eastAsia="Arial" w:hAnsi="Arial"/>
                <w:sz w:val="9"/>
                <w:szCs w:val="9"/>
                <w:color w:val="auto"/>
                <w:w w:val="78"/>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2,203,046</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525,960</w:t>
            </w:r>
          </w:p>
        </w:tc>
        <w:tc>
          <w:tcPr>
            <w:tcW w:w="120" w:type="dxa"/>
            <w:vAlign w:val="bottom"/>
          </w:tcPr>
          <w:p>
            <w:pPr>
              <w:spacing w:after="0"/>
              <w:rPr>
                <w:sz w:val="14"/>
                <w:szCs w:val="14"/>
                <w:color w:val="auto"/>
              </w:rPr>
            </w:pPr>
          </w:p>
        </w:tc>
        <w:tc>
          <w:tcPr>
            <w:tcW w:w="960" w:type="dxa"/>
            <w:vAlign w:val="bottom"/>
          </w:tcPr>
          <w:p>
            <w:pPr>
              <w:jc w:val="right"/>
              <w:ind w:right="850"/>
              <w:spacing w:after="0"/>
              <w:rPr>
                <w:sz w:val="20"/>
                <w:szCs w:val="20"/>
                <w:color w:val="auto"/>
              </w:rPr>
            </w:pPr>
            <w:r>
              <w:rPr>
                <w:rFonts w:ascii="Arial" w:cs="Arial" w:eastAsia="Arial" w:hAnsi="Arial"/>
                <w:sz w:val="9"/>
                <w:szCs w:val="9"/>
                <w:color w:val="auto"/>
                <w:w w:val="78"/>
              </w:rPr>
              <w:t>$</w:t>
            </w:r>
          </w:p>
        </w:tc>
        <w:tc>
          <w:tcPr>
            <w:tcW w:w="400" w:type="dxa"/>
            <w:vAlign w:val="bottom"/>
          </w:tcPr>
          <w:p>
            <w:pPr>
              <w:jc w:val="right"/>
              <w:spacing w:after="0"/>
              <w:rPr>
                <w:sz w:val="20"/>
                <w:szCs w:val="20"/>
                <w:color w:val="auto"/>
              </w:rPr>
            </w:pPr>
            <w:r>
              <w:rPr>
                <w:rFonts w:ascii="Arial" w:cs="Arial" w:eastAsia="Arial" w:hAnsi="Arial"/>
                <w:sz w:val="13"/>
                <w:szCs w:val="13"/>
                <w:color w:val="auto"/>
                <w:w w:val="98"/>
              </w:rPr>
              <w:t>8,224</w:t>
            </w:r>
          </w:p>
        </w:tc>
        <w:tc>
          <w:tcPr>
            <w:tcW w:w="120" w:type="dxa"/>
            <w:vAlign w:val="bottom"/>
          </w:tcPr>
          <w:p>
            <w:pPr>
              <w:spacing w:after="0"/>
              <w:rPr>
                <w:sz w:val="14"/>
                <w:szCs w:val="14"/>
                <w:color w:val="auto"/>
              </w:rPr>
            </w:pPr>
          </w:p>
        </w:tc>
        <w:tc>
          <w:tcPr>
            <w:tcW w:w="300" w:type="dxa"/>
            <w:vAlign w:val="bottom"/>
          </w:tcPr>
          <w:p>
            <w:pPr>
              <w:jc w:val="right"/>
              <w:ind w:right="193"/>
              <w:spacing w:after="0"/>
              <w:rPr>
                <w:sz w:val="20"/>
                <w:szCs w:val="20"/>
                <w:color w:val="auto"/>
              </w:rPr>
            </w:pPr>
            <w:r>
              <w:rPr>
                <w:rFonts w:ascii="Arial" w:cs="Arial" w:eastAsia="Arial" w:hAnsi="Arial"/>
                <w:sz w:val="9"/>
                <w:szCs w:val="9"/>
                <w:color w:val="auto"/>
                <w:w w:val="78"/>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2,737,230</w:t>
            </w:r>
          </w:p>
        </w:tc>
      </w:tr>
      <w:tr>
        <w:trPr>
          <w:trHeight w:val="166"/>
        </w:trPr>
        <w:tc>
          <w:tcPr>
            <w:tcW w:w="414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Services transferred over time</w:t>
            </w:r>
          </w:p>
        </w:tc>
        <w:tc>
          <w:tcPr>
            <w:tcW w:w="1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74,255</w:t>
            </w: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74,255</w:t>
            </w:r>
          </w:p>
        </w:tc>
      </w:tr>
      <w:tr>
        <w:trPr>
          <w:trHeight w:val="160"/>
        </w:trPr>
        <w:tc>
          <w:tcPr>
            <w:tcW w:w="4140" w:type="dxa"/>
            <w:vAlign w:val="bottom"/>
            <w:gridSpan w:val="2"/>
          </w:tcPr>
          <w:p>
            <w:pPr>
              <w:ind w:left="20"/>
              <w:spacing w:after="0"/>
              <w:rPr>
                <w:sz w:val="20"/>
                <w:szCs w:val="20"/>
                <w:color w:val="auto"/>
              </w:rPr>
            </w:pPr>
            <w:r>
              <w:rPr>
                <w:rFonts w:ascii="Arial" w:cs="Arial" w:eastAsia="Arial" w:hAnsi="Arial"/>
                <w:sz w:val="13"/>
                <w:szCs w:val="13"/>
                <w:color w:val="auto"/>
              </w:rPr>
              <w:t>Total revenues</w:t>
            </w:r>
          </w:p>
        </w:tc>
        <w:tc>
          <w:tcPr>
            <w:tcW w:w="16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9"/>
                <w:szCs w:val="9"/>
                <w:color w:val="auto"/>
                <w:w w:val="7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2,203,046</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600,215</w:t>
            </w:r>
          </w:p>
        </w:tc>
        <w:tc>
          <w:tcPr>
            <w:tcW w:w="120" w:type="dxa"/>
            <w:vAlign w:val="bottom"/>
          </w:tcPr>
          <w:p>
            <w:pPr>
              <w:spacing w:after="0"/>
              <w:rPr>
                <w:sz w:val="13"/>
                <w:szCs w:val="13"/>
                <w:color w:val="auto"/>
              </w:rPr>
            </w:pPr>
          </w:p>
        </w:tc>
        <w:tc>
          <w:tcPr>
            <w:tcW w:w="96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9"/>
                <w:szCs w:val="9"/>
                <w:color w:val="auto"/>
                <w:w w:val="7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8"/>
              </w:rPr>
              <w:t>8,224</w:t>
            </w:r>
          </w:p>
        </w:tc>
        <w:tc>
          <w:tcPr>
            <w:tcW w:w="12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9"/>
                <w:szCs w:val="9"/>
                <w:color w:val="auto"/>
                <w:w w:val="7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2,811,485</w:t>
            </w:r>
          </w:p>
        </w:tc>
      </w:tr>
      <w:tr>
        <w:trPr>
          <w:trHeight w:val="20"/>
        </w:trPr>
        <w:tc>
          <w:tcPr>
            <w:tcW w:w="4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51"/>
        </w:trPr>
        <w:tc>
          <w:tcPr>
            <w:tcW w:w="4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3"/>
                <w:szCs w:val="13"/>
                <w:b w:val="1"/>
                <w:bCs w:val="1"/>
                <w:color w:val="auto"/>
              </w:rPr>
              <w:t>Year Ended December 31, 2020</w:t>
            </w:r>
          </w:p>
        </w:tc>
        <w:tc>
          <w:tcPr>
            <w:tcW w:w="4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r>
      <w:tr>
        <w:trPr>
          <w:trHeight w:val="165"/>
        </w:trPr>
        <w:tc>
          <w:tcPr>
            <w:tcW w:w="4140" w:type="dxa"/>
            <w:vAlign w:val="bottom"/>
            <w:gridSpan w:val="2"/>
          </w:tcPr>
          <w:p>
            <w:pPr>
              <w:ind w:left="20"/>
              <w:spacing w:after="0"/>
              <w:rPr>
                <w:sz w:val="20"/>
                <w:szCs w:val="20"/>
                <w:color w:val="auto"/>
              </w:rPr>
            </w:pPr>
            <w:r>
              <w:rPr>
                <w:rFonts w:ascii="Arial" w:cs="Arial" w:eastAsia="Arial" w:hAnsi="Arial"/>
                <w:sz w:val="13"/>
                <w:szCs w:val="13"/>
                <w:b w:val="1"/>
                <w:bCs w:val="1"/>
                <w:color w:val="auto"/>
              </w:rPr>
              <w:t>(in thousands)</w:t>
            </w:r>
          </w:p>
        </w:tc>
        <w:tc>
          <w:tcPr>
            <w:tcW w:w="160" w:type="dxa"/>
            <w:vAlign w:val="bottom"/>
          </w:tcPr>
          <w:p>
            <w:pPr>
              <w:spacing w:after="0"/>
              <w:rPr>
                <w:sz w:val="14"/>
                <w:szCs w:val="14"/>
                <w:color w:val="auto"/>
              </w:rPr>
            </w:pPr>
          </w:p>
        </w:tc>
        <w:tc>
          <w:tcPr>
            <w:tcW w:w="1300" w:type="dxa"/>
            <w:vAlign w:val="bottom"/>
            <w:gridSpan w:val="2"/>
          </w:tcPr>
          <w:p>
            <w:pPr>
              <w:ind w:left="80"/>
              <w:spacing w:after="0"/>
              <w:rPr>
                <w:sz w:val="20"/>
                <w:szCs w:val="20"/>
                <w:color w:val="auto"/>
              </w:rPr>
            </w:pPr>
            <w:r>
              <w:rPr>
                <w:rFonts w:ascii="Arial" w:cs="Arial" w:eastAsia="Arial" w:hAnsi="Arial"/>
                <w:sz w:val="13"/>
                <w:szCs w:val="13"/>
                <w:b w:val="1"/>
                <w:bCs w:val="1"/>
                <w:color w:val="auto"/>
              </w:rPr>
              <w:t>Market Making</w:t>
            </w:r>
          </w:p>
        </w:tc>
        <w:tc>
          <w:tcPr>
            <w:tcW w:w="12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3"/>
                <w:szCs w:val="13"/>
                <w:b w:val="1"/>
                <w:bCs w:val="1"/>
                <w:color w:val="auto"/>
              </w:rPr>
              <w:t>Execution Services</w:t>
            </w: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Corporate</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ind w:right="497"/>
              <w:spacing w:after="0"/>
              <w:rPr>
                <w:sz w:val="20"/>
                <w:szCs w:val="20"/>
                <w:color w:val="auto"/>
              </w:rPr>
            </w:pPr>
            <w:r>
              <w:rPr>
                <w:rFonts w:ascii="Arial" w:cs="Arial" w:eastAsia="Arial" w:hAnsi="Arial"/>
                <w:sz w:val="13"/>
                <w:szCs w:val="13"/>
                <w:b w:val="1"/>
                <w:bCs w:val="1"/>
                <w:color w:val="auto"/>
              </w:rPr>
              <w:t>Total</w:t>
            </w:r>
          </w:p>
        </w:tc>
      </w:tr>
      <w:tr>
        <w:trPr>
          <w:trHeight w:val="158"/>
        </w:trPr>
        <w:tc>
          <w:tcPr>
            <w:tcW w:w="4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Revenues from contracts with customers:</w:t>
            </w: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r>
      <w:tr>
        <w:trPr>
          <w:trHeight w:val="163"/>
        </w:trPr>
        <w:tc>
          <w:tcPr>
            <w:tcW w:w="4140" w:type="dxa"/>
            <w:vAlign w:val="bottom"/>
            <w:gridSpan w:val="2"/>
          </w:tcPr>
          <w:p>
            <w:pPr>
              <w:ind w:left="120"/>
              <w:spacing w:after="0"/>
              <w:rPr>
                <w:sz w:val="20"/>
                <w:szCs w:val="20"/>
                <w:color w:val="auto"/>
              </w:rPr>
            </w:pPr>
            <w:r>
              <w:rPr>
                <w:rFonts w:ascii="Arial" w:cs="Arial" w:eastAsia="Arial" w:hAnsi="Arial"/>
                <w:sz w:val="13"/>
                <w:szCs w:val="13"/>
                <w:color w:val="auto"/>
              </w:rPr>
              <w:t>Commissions, net</w:t>
            </w:r>
          </w:p>
        </w:tc>
        <w:tc>
          <w:tcPr>
            <w:tcW w:w="160" w:type="dxa"/>
            <w:vAlign w:val="bottom"/>
          </w:tcPr>
          <w:p>
            <w:pPr>
              <w:jc w:val="right"/>
              <w:ind w:right="53"/>
              <w:spacing w:after="0"/>
              <w:rPr>
                <w:sz w:val="20"/>
                <w:szCs w:val="20"/>
                <w:color w:val="auto"/>
              </w:rPr>
            </w:pPr>
            <w:r>
              <w:rPr>
                <w:rFonts w:ascii="Arial" w:cs="Arial" w:eastAsia="Arial" w:hAnsi="Arial"/>
                <w:sz w:val="9"/>
                <w:szCs w:val="9"/>
                <w:color w:val="auto"/>
                <w:w w:val="78"/>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52,453</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405,698</w:t>
            </w:r>
          </w:p>
        </w:tc>
        <w:tc>
          <w:tcPr>
            <w:tcW w:w="120" w:type="dxa"/>
            <w:vAlign w:val="bottom"/>
          </w:tcPr>
          <w:p>
            <w:pPr>
              <w:spacing w:after="0"/>
              <w:rPr>
                <w:sz w:val="14"/>
                <w:szCs w:val="14"/>
                <w:color w:val="auto"/>
              </w:rPr>
            </w:pPr>
          </w:p>
        </w:tc>
        <w:tc>
          <w:tcPr>
            <w:tcW w:w="960" w:type="dxa"/>
            <w:vAlign w:val="bottom"/>
          </w:tcPr>
          <w:p>
            <w:pPr>
              <w:jc w:val="right"/>
              <w:ind w:right="850"/>
              <w:spacing w:after="0"/>
              <w:rPr>
                <w:sz w:val="20"/>
                <w:szCs w:val="20"/>
                <w:color w:val="auto"/>
              </w:rPr>
            </w:pPr>
            <w:r>
              <w:rPr>
                <w:rFonts w:ascii="Arial" w:cs="Arial" w:eastAsia="Arial" w:hAnsi="Arial"/>
                <w:sz w:val="9"/>
                <w:szCs w:val="9"/>
                <w:color w:val="auto"/>
                <w:w w:val="78"/>
              </w:rPr>
              <w:t>$</w:t>
            </w:r>
          </w:p>
        </w:tc>
        <w:tc>
          <w:tcPr>
            <w:tcW w:w="5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300" w:type="dxa"/>
            <w:vAlign w:val="bottom"/>
          </w:tcPr>
          <w:p>
            <w:pPr>
              <w:jc w:val="right"/>
              <w:ind w:right="193"/>
              <w:spacing w:after="0"/>
              <w:rPr>
                <w:sz w:val="20"/>
                <w:szCs w:val="20"/>
                <w:color w:val="auto"/>
              </w:rPr>
            </w:pPr>
            <w:r>
              <w:rPr>
                <w:rFonts w:ascii="Arial" w:cs="Arial" w:eastAsia="Arial" w:hAnsi="Arial"/>
                <w:sz w:val="9"/>
                <w:szCs w:val="9"/>
                <w:color w:val="auto"/>
                <w:w w:val="78"/>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458,151</w:t>
            </w:r>
          </w:p>
        </w:tc>
      </w:tr>
      <w:tr>
        <w:trPr>
          <w:trHeight w:val="168"/>
        </w:trPr>
        <w:tc>
          <w:tcPr>
            <w:tcW w:w="414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Workflow technology</w:t>
            </w:r>
          </w:p>
        </w:tc>
        <w:tc>
          <w:tcPr>
            <w:tcW w:w="1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101,211</w:t>
            </w: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101,211</w:t>
            </w:r>
          </w:p>
        </w:tc>
      </w:tr>
      <w:tr>
        <w:trPr>
          <w:trHeight w:val="163"/>
        </w:trPr>
        <w:tc>
          <w:tcPr>
            <w:tcW w:w="4140" w:type="dxa"/>
            <w:vAlign w:val="bottom"/>
            <w:gridSpan w:val="2"/>
          </w:tcPr>
          <w:p>
            <w:pPr>
              <w:ind w:left="120"/>
              <w:spacing w:after="0"/>
              <w:rPr>
                <w:sz w:val="20"/>
                <w:szCs w:val="20"/>
                <w:color w:val="auto"/>
              </w:rPr>
            </w:pPr>
            <w:r>
              <w:rPr>
                <w:rFonts w:ascii="Arial" w:cs="Arial" w:eastAsia="Arial" w:hAnsi="Arial"/>
                <w:sz w:val="13"/>
                <w:szCs w:val="13"/>
                <w:color w:val="auto"/>
              </w:rPr>
              <w:t>Analytics</w:t>
            </w:r>
          </w:p>
        </w:tc>
        <w:tc>
          <w:tcPr>
            <w:tcW w:w="16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41,148</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41,148</w:t>
            </w:r>
          </w:p>
        </w:tc>
      </w:tr>
      <w:tr>
        <w:trPr>
          <w:trHeight w:val="160"/>
        </w:trPr>
        <w:tc>
          <w:tcPr>
            <w:tcW w:w="414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3"/>
                <w:szCs w:val="13"/>
                <w:color w:val="auto"/>
              </w:rPr>
              <w:t>Total revenue from contracts with customers</w:t>
            </w:r>
          </w:p>
        </w:tc>
        <w:tc>
          <w:tcPr>
            <w:tcW w:w="16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52,453</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548,057</w:t>
            </w:r>
          </w:p>
        </w:tc>
        <w:tc>
          <w:tcPr>
            <w:tcW w:w="12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600,510</w:t>
            </w:r>
          </w:p>
        </w:tc>
      </w:tr>
      <w:tr>
        <w:trPr>
          <w:trHeight w:val="237"/>
        </w:trPr>
        <w:tc>
          <w:tcPr>
            <w:tcW w:w="4140" w:type="dxa"/>
            <w:vAlign w:val="bottom"/>
            <w:gridSpan w:val="2"/>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166"/>
        </w:trPr>
        <w:tc>
          <w:tcPr>
            <w:tcW w:w="414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Other sources of revenue</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2,540,889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102,086</w:t>
            </w: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7"/>
              </w:rPr>
              <w:t>(4,154)</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2,638,821</w:t>
            </w:r>
          </w:p>
        </w:tc>
      </w:tr>
      <w:tr>
        <w:trPr>
          <w:trHeight w:val="237"/>
        </w:trPr>
        <w:tc>
          <w:tcPr>
            <w:tcW w:w="4140" w:type="dxa"/>
            <w:vAlign w:val="bottom"/>
            <w:tcBorders>
              <w:bottom w:val="single" w:sz="8" w:color="CCEEFF"/>
            </w:tcBorders>
            <w:gridSpan w:val="2"/>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r>
      <w:tr>
        <w:trPr>
          <w:trHeight w:val="183"/>
        </w:trPr>
        <w:tc>
          <w:tcPr>
            <w:tcW w:w="41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3"/>
                <w:szCs w:val="13"/>
                <w:color w:val="auto"/>
              </w:rPr>
              <w:t>Total revenues</w:t>
            </w:r>
          </w:p>
        </w:tc>
        <w:tc>
          <w:tcPr>
            <w:tcW w:w="1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2,593,342</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650,143</w:t>
            </w:r>
          </w:p>
        </w:tc>
        <w:tc>
          <w:tcPr>
            <w:tcW w:w="1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9"/>
                <w:szCs w:val="9"/>
                <w:color w:val="auto"/>
                <w:w w:val="7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7"/>
              </w:rPr>
              <w:t>(4,154)</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9"/>
                <w:szCs w:val="9"/>
                <w:color w:val="auto"/>
                <w:w w:val="7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3,239,331</w:t>
            </w:r>
          </w:p>
        </w:tc>
      </w:tr>
      <w:tr>
        <w:trPr>
          <w:trHeight w:val="20"/>
        </w:trPr>
        <w:tc>
          <w:tcPr>
            <w:tcW w:w="41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80"/>
        </w:trPr>
        <w:tc>
          <w:tcPr>
            <w:tcW w:w="4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66"/>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Timing of revenue recognition:</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63"/>
        </w:trPr>
        <w:tc>
          <w:tcPr>
            <w:tcW w:w="4140" w:type="dxa"/>
            <w:vAlign w:val="bottom"/>
            <w:gridSpan w:val="2"/>
          </w:tcPr>
          <w:p>
            <w:pPr>
              <w:ind w:left="120"/>
              <w:spacing w:after="0"/>
              <w:rPr>
                <w:sz w:val="20"/>
                <w:szCs w:val="20"/>
                <w:color w:val="auto"/>
              </w:rPr>
            </w:pPr>
            <w:r>
              <w:rPr>
                <w:rFonts w:ascii="Arial" w:cs="Arial" w:eastAsia="Arial" w:hAnsi="Arial"/>
                <w:sz w:val="13"/>
                <w:szCs w:val="13"/>
                <w:color w:val="auto"/>
              </w:rPr>
              <w:t>Services transferred at a point in time</w:t>
            </w:r>
          </w:p>
        </w:tc>
        <w:tc>
          <w:tcPr>
            <w:tcW w:w="160" w:type="dxa"/>
            <w:vAlign w:val="bottom"/>
          </w:tcPr>
          <w:p>
            <w:pPr>
              <w:jc w:val="right"/>
              <w:ind w:right="53"/>
              <w:spacing w:after="0"/>
              <w:rPr>
                <w:sz w:val="20"/>
                <w:szCs w:val="20"/>
                <w:color w:val="auto"/>
              </w:rPr>
            </w:pPr>
            <w:r>
              <w:rPr>
                <w:rFonts w:ascii="Arial" w:cs="Arial" w:eastAsia="Arial" w:hAnsi="Arial"/>
                <w:sz w:val="9"/>
                <w:szCs w:val="9"/>
                <w:color w:val="auto"/>
                <w:w w:val="78"/>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2,593,342</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575,846</w:t>
            </w:r>
          </w:p>
        </w:tc>
        <w:tc>
          <w:tcPr>
            <w:tcW w:w="120" w:type="dxa"/>
            <w:vAlign w:val="bottom"/>
          </w:tcPr>
          <w:p>
            <w:pPr>
              <w:spacing w:after="0"/>
              <w:rPr>
                <w:sz w:val="14"/>
                <w:szCs w:val="14"/>
                <w:color w:val="auto"/>
              </w:rPr>
            </w:pPr>
          </w:p>
        </w:tc>
        <w:tc>
          <w:tcPr>
            <w:tcW w:w="960" w:type="dxa"/>
            <w:vAlign w:val="bottom"/>
          </w:tcPr>
          <w:p>
            <w:pPr>
              <w:jc w:val="right"/>
              <w:ind w:right="850"/>
              <w:spacing w:after="0"/>
              <w:rPr>
                <w:sz w:val="20"/>
                <w:szCs w:val="20"/>
                <w:color w:val="auto"/>
              </w:rPr>
            </w:pPr>
            <w:r>
              <w:rPr>
                <w:rFonts w:ascii="Arial" w:cs="Arial" w:eastAsia="Arial" w:hAnsi="Arial"/>
                <w:sz w:val="9"/>
                <w:szCs w:val="9"/>
                <w:color w:val="auto"/>
                <w:w w:val="78"/>
              </w:rPr>
              <w:t>$</w:t>
            </w:r>
          </w:p>
        </w:tc>
        <w:tc>
          <w:tcPr>
            <w:tcW w:w="400" w:type="dxa"/>
            <w:vAlign w:val="bottom"/>
          </w:tcPr>
          <w:p>
            <w:pPr>
              <w:jc w:val="right"/>
              <w:spacing w:after="0"/>
              <w:rPr>
                <w:sz w:val="20"/>
                <w:szCs w:val="20"/>
                <w:color w:val="auto"/>
              </w:rPr>
            </w:pPr>
            <w:r>
              <w:rPr>
                <w:rFonts w:ascii="Arial" w:cs="Arial" w:eastAsia="Arial" w:hAnsi="Arial"/>
                <w:sz w:val="13"/>
                <w:szCs w:val="13"/>
                <w:color w:val="auto"/>
                <w:w w:val="87"/>
              </w:rPr>
              <w:t>(4,154)</w:t>
            </w:r>
          </w:p>
        </w:tc>
        <w:tc>
          <w:tcPr>
            <w:tcW w:w="120" w:type="dxa"/>
            <w:vAlign w:val="bottom"/>
          </w:tcPr>
          <w:p>
            <w:pPr>
              <w:spacing w:after="0"/>
              <w:rPr>
                <w:sz w:val="14"/>
                <w:szCs w:val="14"/>
                <w:color w:val="auto"/>
              </w:rPr>
            </w:pPr>
          </w:p>
        </w:tc>
        <w:tc>
          <w:tcPr>
            <w:tcW w:w="300" w:type="dxa"/>
            <w:vAlign w:val="bottom"/>
          </w:tcPr>
          <w:p>
            <w:pPr>
              <w:jc w:val="right"/>
              <w:ind w:right="193"/>
              <w:spacing w:after="0"/>
              <w:rPr>
                <w:sz w:val="20"/>
                <w:szCs w:val="20"/>
                <w:color w:val="auto"/>
              </w:rPr>
            </w:pPr>
            <w:r>
              <w:rPr>
                <w:rFonts w:ascii="Arial" w:cs="Arial" w:eastAsia="Arial" w:hAnsi="Arial"/>
                <w:sz w:val="9"/>
                <w:szCs w:val="9"/>
                <w:color w:val="auto"/>
                <w:w w:val="78"/>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3,165,034</w:t>
            </w:r>
          </w:p>
        </w:tc>
      </w:tr>
      <w:tr>
        <w:trPr>
          <w:trHeight w:val="166"/>
        </w:trPr>
        <w:tc>
          <w:tcPr>
            <w:tcW w:w="414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Services transferred over time</w:t>
            </w:r>
          </w:p>
        </w:tc>
        <w:tc>
          <w:tcPr>
            <w:tcW w:w="1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74,297</w:t>
            </w: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74,297</w:t>
            </w:r>
          </w:p>
        </w:tc>
      </w:tr>
      <w:tr>
        <w:trPr>
          <w:trHeight w:val="160"/>
        </w:trPr>
        <w:tc>
          <w:tcPr>
            <w:tcW w:w="4140" w:type="dxa"/>
            <w:vAlign w:val="bottom"/>
            <w:gridSpan w:val="2"/>
          </w:tcPr>
          <w:p>
            <w:pPr>
              <w:ind w:left="180"/>
              <w:spacing w:after="0"/>
              <w:rPr>
                <w:sz w:val="20"/>
                <w:szCs w:val="20"/>
                <w:color w:val="auto"/>
              </w:rPr>
            </w:pPr>
            <w:r>
              <w:rPr>
                <w:rFonts w:ascii="Arial" w:cs="Arial" w:eastAsia="Arial" w:hAnsi="Arial"/>
                <w:sz w:val="13"/>
                <w:szCs w:val="13"/>
                <w:color w:val="auto"/>
              </w:rPr>
              <w:t>Total revenues</w:t>
            </w:r>
          </w:p>
        </w:tc>
        <w:tc>
          <w:tcPr>
            <w:tcW w:w="16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9"/>
                <w:szCs w:val="9"/>
                <w:color w:val="auto"/>
                <w:w w:val="7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2,593,342</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650,143</w:t>
            </w:r>
          </w:p>
        </w:tc>
        <w:tc>
          <w:tcPr>
            <w:tcW w:w="120" w:type="dxa"/>
            <w:vAlign w:val="bottom"/>
          </w:tcPr>
          <w:p>
            <w:pPr>
              <w:spacing w:after="0"/>
              <w:rPr>
                <w:sz w:val="13"/>
                <w:szCs w:val="13"/>
                <w:color w:val="auto"/>
              </w:rPr>
            </w:pPr>
          </w:p>
        </w:tc>
        <w:tc>
          <w:tcPr>
            <w:tcW w:w="96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9"/>
                <w:szCs w:val="9"/>
                <w:color w:val="auto"/>
                <w:w w:val="7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7"/>
              </w:rPr>
              <w:t>(4,154)</w:t>
            </w:r>
          </w:p>
        </w:tc>
        <w:tc>
          <w:tcPr>
            <w:tcW w:w="12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9"/>
                <w:szCs w:val="9"/>
                <w:color w:val="auto"/>
                <w:w w:val="7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3,239,331</w:t>
            </w:r>
          </w:p>
        </w:tc>
      </w:tr>
      <w:tr>
        <w:trPr>
          <w:trHeight w:val="20"/>
        </w:trPr>
        <w:tc>
          <w:tcPr>
            <w:tcW w:w="4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940"/>
          </w:cols>
          <w:pgMar w:left="320" w:top="127" w:right="639" w:bottom="1440" w:gutter="0" w:footer="0" w:header="0"/>
        </w:sectPr>
      </w:pPr>
    </w:p>
    <w:bookmarkStart w:id="115" w:name="page116"/>
    <w:bookmarkEnd w:id="11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720" w:type="dxa"/>
        <w:tblCellMar>
          <w:top w:w="0" w:type="dxa"/>
          <w:left w:w="0" w:type="dxa"/>
          <w:bottom w:w="0" w:type="dxa"/>
          <w:right w:w="0" w:type="dxa"/>
        </w:tblCellMar>
      </w:tblPr>
      <w:tr>
        <w:trPr>
          <w:trHeight w:val="166"/>
        </w:trPr>
        <w:tc>
          <w:tcPr>
            <w:tcW w:w="4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3"/>
          </w:tcPr>
          <w:p>
            <w:pPr>
              <w:jc w:val="right"/>
              <w:ind w:right="97"/>
              <w:spacing w:after="0"/>
              <w:rPr>
                <w:sz w:val="20"/>
                <w:szCs w:val="20"/>
                <w:color w:val="auto"/>
              </w:rPr>
            </w:pPr>
            <w:r>
              <w:rPr>
                <w:rFonts w:ascii="Arial" w:cs="Arial" w:eastAsia="Arial" w:hAnsi="Arial"/>
                <w:sz w:val="13"/>
                <w:szCs w:val="13"/>
                <w:b w:val="1"/>
                <w:bCs w:val="1"/>
                <w:color w:val="auto"/>
              </w:rPr>
              <w:t>Year Ended December 31, 2019</w:t>
            </w: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r>
      <w:tr>
        <w:trPr>
          <w:trHeight w:val="165"/>
        </w:trPr>
        <w:tc>
          <w:tcPr>
            <w:tcW w:w="412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160" w:type="dxa"/>
            <w:vAlign w:val="bottom"/>
          </w:tcPr>
          <w:p>
            <w:pPr>
              <w:spacing w:after="0"/>
              <w:rPr>
                <w:sz w:val="14"/>
                <w:szCs w:val="14"/>
                <w:color w:val="auto"/>
              </w:rPr>
            </w:pPr>
          </w:p>
        </w:tc>
        <w:tc>
          <w:tcPr>
            <w:tcW w:w="1300" w:type="dxa"/>
            <w:vAlign w:val="bottom"/>
            <w:gridSpan w:val="2"/>
          </w:tcPr>
          <w:p>
            <w:pPr>
              <w:ind w:left="100"/>
              <w:spacing w:after="0"/>
              <w:rPr>
                <w:sz w:val="20"/>
                <w:szCs w:val="20"/>
                <w:color w:val="auto"/>
              </w:rPr>
            </w:pPr>
            <w:r>
              <w:rPr>
                <w:rFonts w:ascii="Arial" w:cs="Arial" w:eastAsia="Arial" w:hAnsi="Arial"/>
                <w:sz w:val="13"/>
                <w:szCs w:val="13"/>
                <w:b w:val="1"/>
                <w:bCs w:val="1"/>
                <w:color w:val="auto"/>
              </w:rPr>
              <w:t>Market Making</w:t>
            </w:r>
          </w:p>
        </w:tc>
        <w:tc>
          <w:tcPr>
            <w:tcW w:w="12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3"/>
                <w:szCs w:val="13"/>
                <w:b w:val="1"/>
                <w:bCs w:val="1"/>
                <w:color w:val="auto"/>
              </w:rPr>
              <w:t>Execution Services</w:t>
            </w: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Corporate</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477"/>
              <w:spacing w:after="0"/>
              <w:rPr>
                <w:sz w:val="20"/>
                <w:szCs w:val="20"/>
                <w:color w:val="auto"/>
              </w:rPr>
            </w:pPr>
            <w:r>
              <w:rPr>
                <w:rFonts w:ascii="Arial" w:cs="Arial" w:eastAsia="Arial" w:hAnsi="Arial"/>
                <w:sz w:val="13"/>
                <w:szCs w:val="13"/>
                <w:b w:val="1"/>
                <w:bCs w:val="1"/>
                <w:color w:val="auto"/>
              </w:rPr>
              <w:t>Total</w:t>
            </w:r>
          </w:p>
        </w:tc>
      </w:tr>
      <w:tr>
        <w:trPr>
          <w:trHeight w:val="158"/>
        </w:trPr>
        <w:tc>
          <w:tcPr>
            <w:tcW w:w="4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b w:val="1"/>
                <w:bCs w:val="1"/>
                <w:color w:val="auto"/>
              </w:rPr>
              <w:t>Revenues from contracts with customers:</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r>
      <w:tr>
        <w:trPr>
          <w:trHeight w:val="163"/>
        </w:trPr>
        <w:tc>
          <w:tcPr>
            <w:tcW w:w="4120" w:type="dxa"/>
            <w:vAlign w:val="bottom"/>
            <w:gridSpan w:val="2"/>
          </w:tcPr>
          <w:p>
            <w:pPr>
              <w:ind w:left="120"/>
              <w:spacing w:after="0"/>
              <w:rPr>
                <w:sz w:val="20"/>
                <w:szCs w:val="20"/>
                <w:color w:val="auto"/>
              </w:rPr>
            </w:pPr>
            <w:r>
              <w:rPr>
                <w:rFonts w:ascii="Arial" w:cs="Arial" w:eastAsia="Arial" w:hAnsi="Arial"/>
                <w:sz w:val="13"/>
                <w:szCs w:val="13"/>
                <w:color w:val="auto"/>
              </w:rPr>
              <w:t>Commissions, net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1220" w:type="dxa"/>
            <w:vAlign w:val="bottom"/>
          </w:tcPr>
          <w:p>
            <w:pPr>
              <w:jc w:val="right"/>
              <w:ind w:right="17"/>
              <w:spacing w:after="0"/>
              <w:rPr>
                <w:sz w:val="20"/>
                <w:szCs w:val="20"/>
                <w:color w:val="auto"/>
              </w:rPr>
            </w:pPr>
            <w:r>
              <w:rPr>
                <w:rFonts w:ascii="Arial" w:cs="Arial" w:eastAsia="Arial" w:hAnsi="Arial"/>
                <w:sz w:val="13"/>
                <w:szCs w:val="13"/>
                <w:color w:val="auto"/>
              </w:rPr>
              <w:t>23,526</w:t>
            </w:r>
          </w:p>
        </w:tc>
        <w:tc>
          <w:tcPr>
            <w:tcW w:w="80" w:type="dxa"/>
            <w:vAlign w:val="bottom"/>
          </w:tcPr>
          <w:p>
            <w:pPr>
              <w:spacing w:after="0"/>
              <w:rPr>
                <w:sz w:val="14"/>
                <w:szCs w:val="14"/>
                <w:color w:val="auto"/>
              </w:rPr>
            </w:pP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357,401</w:t>
            </w:r>
          </w:p>
        </w:tc>
        <w:tc>
          <w:tcPr>
            <w:tcW w:w="80" w:type="dxa"/>
            <w:vAlign w:val="bottom"/>
          </w:tcPr>
          <w:p>
            <w:pPr>
              <w:spacing w:after="0"/>
              <w:rPr>
                <w:sz w:val="14"/>
                <w:szCs w:val="14"/>
                <w:color w:val="auto"/>
              </w:rPr>
            </w:pPr>
          </w:p>
        </w:tc>
        <w:tc>
          <w:tcPr>
            <w:tcW w:w="960" w:type="dxa"/>
            <w:vAlign w:val="bottom"/>
          </w:tcPr>
          <w:p>
            <w:pPr>
              <w:jc w:val="right"/>
              <w:ind w:right="817"/>
              <w:spacing w:after="0"/>
              <w:rPr>
                <w:sz w:val="20"/>
                <w:szCs w:val="20"/>
                <w:color w:val="auto"/>
              </w:rPr>
            </w:pPr>
            <w:r>
              <w:rPr>
                <w:rFonts w:ascii="Arial" w:cs="Arial" w:eastAsia="Arial" w:hAnsi="Arial"/>
                <w:sz w:val="13"/>
                <w:szCs w:val="13"/>
                <w:color w:val="auto"/>
                <w:w w:val="82"/>
              </w:rPr>
              <w:t>$</w:t>
            </w:r>
          </w:p>
        </w:tc>
        <w:tc>
          <w:tcPr>
            <w:tcW w:w="48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380,927</w:t>
            </w:r>
          </w:p>
        </w:tc>
      </w:tr>
      <w:tr>
        <w:trPr>
          <w:trHeight w:val="168"/>
        </w:trPr>
        <w:tc>
          <w:tcPr>
            <w:tcW w:w="41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Workflow technology</w:t>
            </w:r>
          </w:p>
        </w:tc>
        <w:tc>
          <w:tcPr>
            <w:tcW w:w="1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82,610</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82,610</w:t>
            </w:r>
          </w:p>
        </w:tc>
      </w:tr>
      <w:tr>
        <w:trPr>
          <w:trHeight w:val="163"/>
        </w:trPr>
        <w:tc>
          <w:tcPr>
            <w:tcW w:w="4120" w:type="dxa"/>
            <w:vAlign w:val="bottom"/>
            <w:gridSpan w:val="2"/>
          </w:tcPr>
          <w:p>
            <w:pPr>
              <w:ind w:left="120"/>
              <w:spacing w:after="0"/>
              <w:rPr>
                <w:sz w:val="20"/>
                <w:szCs w:val="20"/>
                <w:color w:val="auto"/>
              </w:rPr>
            </w:pPr>
            <w:r>
              <w:rPr>
                <w:rFonts w:ascii="Arial" w:cs="Arial" w:eastAsia="Arial" w:hAnsi="Arial"/>
                <w:sz w:val="13"/>
                <w:szCs w:val="13"/>
                <w:color w:val="auto"/>
              </w:rPr>
              <w:t>Analytics</w:t>
            </w:r>
          </w:p>
        </w:tc>
        <w:tc>
          <w:tcPr>
            <w:tcW w:w="16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35,007</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35,007</w:t>
            </w:r>
          </w:p>
        </w:tc>
      </w:tr>
      <w:tr>
        <w:trPr>
          <w:trHeight w:val="160"/>
        </w:trPr>
        <w:tc>
          <w:tcPr>
            <w:tcW w:w="412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3"/>
                <w:szCs w:val="13"/>
                <w:color w:val="auto"/>
              </w:rPr>
              <w:t>Total revenue from contracts with customers</w:t>
            </w:r>
          </w:p>
        </w:tc>
        <w:tc>
          <w:tcPr>
            <w:tcW w:w="16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23,526</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475,018</w:t>
            </w:r>
          </w:p>
        </w:tc>
        <w:tc>
          <w:tcPr>
            <w:tcW w:w="8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498,544</w:t>
            </w:r>
          </w:p>
        </w:tc>
      </w:tr>
      <w:tr>
        <w:trPr>
          <w:trHeight w:val="189"/>
        </w:trPr>
        <w:tc>
          <w:tcPr>
            <w:tcW w:w="4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66"/>
        </w:trPr>
        <w:tc>
          <w:tcPr>
            <w:tcW w:w="41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Other sources of revenue</w:t>
            </w: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1,004,568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16,718</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(2,338)</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1,018,948</w:t>
            </w:r>
          </w:p>
        </w:tc>
      </w:tr>
      <w:tr>
        <w:trPr>
          <w:trHeight w:val="189"/>
        </w:trPr>
        <w:tc>
          <w:tcPr>
            <w:tcW w:w="40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83"/>
        </w:trPr>
        <w:tc>
          <w:tcPr>
            <w:tcW w:w="4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3"/>
                <w:szCs w:val="13"/>
                <w:color w:val="auto"/>
              </w:rPr>
              <w:t>Total revenues</w:t>
            </w: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1,028,094</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491,736</w:t>
            </w:r>
          </w:p>
        </w:tc>
        <w:tc>
          <w:tcPr>
            <w:tcW w:w="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817"/>
              <w:spacing w:after="0"/>
              <w:rPr>
                <w:sz w:val="20"/>
                <w:szCs w:val="20"/>
                <w:color w:val="auto"/>
              </w:rPr>
            </w:pPr>
            <w:r>
              <w:rPr>
                <w:rFonts w:ascii="Arial" w:cs="Arial" w:eastAsia="Arial" w:hAnsi="Arial"/>
                <w:sz w:val="13"/>
                <w:szCs w:val="13"/>
                <w:color w:val="auto"/>
                <w:w w:val="82"/>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(2,338)</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1,517,492</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33"/>
        </w:trPr>
        <w:tc>
          <w:tcPr>
            <w:tcW w:w="4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166"/>
        </w:trPr>
        <w:tc>
          <w:tcPr>
            <w:tcW w:w="41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Timing of revenue recognition:</w:t>
            </w: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63"/>
        </w:trPr>
        <w:tc>
          <w:tcPr>
            <w:tcW w:w="4120" w:type="dxa"/>
            <w:vAlign w:val="bottom"/>
            <w:gridSpan w:val="2"/>
          </w:tcPr>
          <w:p>
            <w:pPr>
              <w:ind w:left="120"/>
              <w:spacing w:after="0"/>
              <w:rPr>
                <w:sz w:val="20"/>
                <w:szCs w:val="20"/>
                <w:color w:val="auto"/>
              </w:rPr>
            </w:pPr>
            <w:r>
              <w:rPr>
                <w:rFonts w:ascii="Arial" w:cs="Arial" w:eastAsia="Arial" w:hAnsi="Arial"/>
                <w:sz w:val="13"/>
                <w:szCs w:val="13"/>
                <w:color w:val="auto"/>
              </w:rPr>
              <w:t>Services transferred at a point in time</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1220" w:type="dxa"/>
            <w:vAlign w:val="bottom"/>
          </w:tcPr>
          <w:p>
            <w:pPr>
              <w:jc w:val="right"/>
              <w:ind w:right="17"/>
              <w:spacing w:after="0"/>
              <w:rPr>
                <w:sz w:val="20"/>
                <w:szCs w:val="20"/>
                <w:color w:val="auto"/>
              </w:rPr>
            </w:pPr>
            <w:r>
              <w:rPr>
                <w:rFonts w:ascii="Arial" w:cs="Arial" w:eastAsia="Arial" w:hAnsi="Arial"/>
                <w:sz w:val="13"/>
                <w:szCs w:val="13"/>
                <w:color w:val="auto"/>
              </w:rPr>
              <w:t>1,028,094</w:t>
            </w:r>
          </w:p>
        </w:tc>
        <w:tc>
          <w:tcPr>
            <w:tcW w:w="80" w:type="dxa"/>
            <w:vAlign w:val="bottom"/>
          </w:tcPr>
          <w:p>
            <w:pPr>
              <w:spacing w:after="0"/>
              <w:rPr>
                <w:sz w:val="14"/>
                <w:szCs w:val="14"/>
                <w:color w:val="auto"/>
              </w:rPr>
            </w:pP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425,549</w:t>
            </w:r>
          </w:p>
        </w:tc>
        <w:tc>
          <w:tcPr>
            <w:tcW w:w="80" w:type="dxa"/>
            <w:vAlign w:val="bottom"/>
          </w:tcPr>
          <w:p>
            <w:pPr>
              <w:spacing w:after="0"/>
              <w:rPr>
                <w:sz w:val="14"/>
                <w:szCs w:val="14"/>
                <w:color w:val="auto"/>
              </w:rPr>
            </w:pPr>
          </w:p>
        </w:tc>
        <w:tc>
          <w:tcPr>
            <w:tcW w:w="960" w:type="dxa"/>
            <w:vAlign w:val="bottom"/>
          </w:tcPr>
          <w:p>
            <w:pPr>
              <w:jc w:val="right"/>
              <w:ind w:right="817"/>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w w:val="82"/>
              </w:rPr>
              <w:t>(2,338)</w:t>
            </w:r>
          </w:p>
        </w:tc>
        <w:tc>
          <w:tcPr>
            <w:tcW w:w="80" w:type="dxa"/>
            <w:vAlign w:val="bottom"/>
          </w:tcPr>
          <w:p>
            <w:pPr>
              <w:spacing w:after="0"/>
              <w:rPr>
                <w:sz w:val="14"/>
                <w:szCs w:val="14"/>
                <w:color w:val="auto"/>
              </w:rPr>
            </w:pP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1,451,305</w:t>
            </w:r>
          </w:p>
        </w:tc>
      </w:tr>
      <w:tr>
        <w:trPr>
          <w:trHeight w:val="166"/>
        </w:trPr>
        <w:tc>
          <w:tcPr>
            <w:tcW w:w="41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Services transferred over time</w:t>
            </w:r>
          </w:p>
        </w:tc>
        <w:tc>
          <w:tcPr>
            <w:tcW w:w="1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66,187</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66,187</w:t>
            </w:r>
          </w:p>
        </w:tc>
      </w:tr>
      <w:tr>
        <w:trPr>
          <w:trHeight w:val="160"/>
        </w:trPr>
        <w:tc>
          <w:tcPr>
            <w:tcW w:w="4120" w:type="dxa"/>
            <w:vAlign w:val="bottom"/>
            <w:gridSpan w:val="2"/>
          </w:tcPr>
          <w:p>
            <w:pPr>
              <w:ind w:left="180"/>
              <w:spacing w:after="0"/>
              <w:rPr>
                <w:sz w:val="20"/>
                <w:szCs w:val="20"/>
                <w:color w:val="auto"/>
              </w:rPr>
            </w:pPr>
            <w:r>
              <w:rPr>
                <w:rFonts w:ascii="Arial" w:cs="Arial" w:eastAsia="Arial" w:hAnsi="Arial"/>
                <w:sz w:val="13"/>
                <w:szCs w:val="13"/>
                <w:color w:val="auto"/>
              </w:rPr>
              <w:t>Total revenues</w:t>
            </w: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12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1,028,094</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9"/>
                <w:szCs w:val="9"/>
                <w:color w:val="auto"/>
                <w:w w:val="7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491,736</w:t>
            </w:r>
          </w:p>
        </w:tc>
        <w:tc>
          <w:tcPr>
            <w:tcW w:w="80" w:type="dxa"/>
            <w:vAlign w:val="bottom"/>
          </w:tcPr>
          <w:p>
            <w:pPr>
              <w:spacing w:after="0"/>
              <w:rPr>
                <w:sz w:val="13"/>
                <w:szCs w:val="13"/>
                <w:color w:val="auto"/>
              </w:rPr>
            </w:pPr>
          </w:p>
        </w:tc>
        <w:tc>
          <w:tcPr>
            <w:tcW w:w="960" w:type="dxa"/>
            <w:vAlign w:val="bottom"/>
            <w:tcBorders>
              <w:top w:val="single" w:sz="8" w:color="auto"/>
              <w:bottom w:val="single" w:sz="8" w:color="auto"/>
            </w:tcBorders>
          </w:tcPr>
          <w:p>
            <w:pPr>
              <w:jc w:val="right"/>
              <w:ind w:right="817"/>
              <w:spacing w:after="0"/>
              <w:rPr>
                <w:sz w:val="20"/>
                <w:szCs w:val="20"/>
                <w:color w:val="auto"/>
              </w:rPr>
            </w:pPr>
            <w:r>
              <w:rPr>
                <w:rFonts w:ascii="Arial" w:cs="Arial" w:eastAsia="Arial" w:hAnsi="Arial"/>
                <w:sz w:val="13"/>
                <w:szCs w:val="13"/>
                <w:color w:val="auto"/>
                <w:w w:val="82"/>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(2,338)</w:t>
            </w:r>
          </w:p>
        </w:tc>
        <w:tc>
          <w:tcPr>
            <w:tcW w:w="8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57"/>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1,517,492</w:t>
            </w:r>
          </w:p>
        </w:tc>
      </w:tr>
      <w:tr>
        <w:trPr>
          <w:trHeight w:val="20"/>
        </w:trPr>
        <w:tc>
          <w:tcPr>
            <w:tcW w:w="4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Remaining Performance Obligations and Revenue Recognized from Past Performance Obligations</w:t>
      </w:r>
    </w:p>
    <w:p>
      <w:pPr>
        <w:spacing w:after="0" w:line="219" w:lineRule="exact"/>
        <w:rPr>
          <w:sz w:val="20"/>
          <w:szCs w:val="20"/>
          <w:color w:val="auto"/>
        </w:rPr>
      </w:pPr>
    </w:p>
    <w:p>
      <w:pPr>
        <w:ind w:right="380" w:firstLine="568"/>
        <w:spacing w:after="0" w:line="268" w:lineRule="auto"/>
        <w:rPr>
          <w:sz w:val="20"/>
          <w:szCs w:val="20"/>
          <w:color w:val="auto"/>
        </w:rPr>
      </w:pPr>
      <w:r>
        <w:rPr>
          <w:rFonts w:ascii="Arial" w:cs="Arial" w:eastAsia="Arial" w:hAnsi="Arial"/>
          <w:sz w:val="16"/>
          <w:szCs w:val="16"/>
          <w:color w:val="auto"/>
        </w:rPr>
        <w:t>As of December 31, 2021 and 2020, the aggregate amount of the transaction price allocated to the performance obligations relating to workflow technology and analytics revenues that are unsatisfied (or partially unsatisfied) was not material.</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Contract Assets and Contract Liabilities</w:t>
      </w:r>
    </w:p>
    <w:p>
      <w:pPr>
        <w:spacing w:after="0" w:line="219" w:lineRule="exact"/>
        <w:rPr>
          <w:sz w:val="20"/>
          <w:szCs w:val="20"/>
          <w:color w:val="auto"/>
        </w:rPr>
      </w:pPr>
    </w:p>
    <w:p>
      <w:pPr>
        <w:ind w:firstLine="568"/>
        <w:spacing w:after="0" w:line="257" w:lineRule="auto"/>
        <w:rPr>
          <w:sz w:val="20"/>
          <w:szCs w:val="20"/>
          <w:color w:val="auto"/>
        </w:rPr>
      </w:pPr>
      <w:r>
        <w:rPr>
          <w:rFonts w:ascii="Arial" w:cs="Arial" w:eastAsia="Arial" w:hAnsi="Arial"/>
          <w:sz w:val="16"/>
          <w:szCs w:val="16"/>
          <w:color w:val="auto"/>
        </w:rPr>
        <w:t>The timing of the revenue recognition may differ from the timing of payment from customers. The Company records a receivable when revenue is recognized prior to payment, and when the Company has an unconditional right to payment. The Company records a contract liability when payment is received prior to the time at which the satisfaction of the service obligation occurs.</w:t>
      </w:r>
    </w:p>
    <w:p>
      <w:pPr>
        <w:spacing w:after="0" w:line="190" w:lineRule="exact"/>
        <w:rPr>
          <w:sz w:val="20"/>
          <w:szCs w:val="20"/>
          <w:color w:val="auto"/>
        </w:rPr>
      </w:pPr>
    </w:p>
    <w:p>
      <w:pPr>
        <w:ind w:right="460" w:firstLine="568"/>
        <w:spacing w:after="0" w:line="302" w:lineRule="auto"/>
        <w:rPr>
          <w:sz w:val="20"/>
          <w:szCs w:val="20"/>
          <w:color w:val="auto"/>
        </w:rPr>
      </w:pPr>
      <w:r>
        <w:rPr>
          <w:rFonts w:ascii="Arial" w:cs="Arial" w:eastAsia="Arial" w:hAnsi="Arial"/>
          <w:sz w:val="15"/>
          <w:szCs w:val="15"/>
          <w:color w:val="auto"/>
        </w:rPr>
        <w:t>Receivables related to revenues from contracts with customers amounted to $51.5 million and $57.3 million as of December 31, 2021 and December 31, 2020, respectively. The Company did not identify any contract assets. There were no impairment losses on receivables as of December 31, 2021.</w:t>
      </w:r>
    </w:p>
    <w:p>
      <w:pPr>
        <w:spacing w:after="0" w:line="158" w:lineRule="exact"/>
        <w:rPr>
          <w:sz w:val="20"/>
          <w:szCs w:val="20"/>
          <w:color w:val="auto"/>
        </w:rPr>
      </w:pPr>
    </w:p>
    <w:p>
      <w:pPr>
        <w:ind w:right="60" w:firstLine="568"/>
        <w:spacing w:after="0" w:line="311" w:lineRule="auto"/>
        <w:rPr>
          <w:sz w:val="20"/>
          <w:szCs w:val="20"/>
          <w:color w:val="auto"/>
        </w:rPr>
      </w:pPr>
      <w:r>
        <w:rPr>
          <w:rFonts w:ascii="Arial" w:cs="Arial" w:eastAsia="Arial" w:hAnsi="Arial"/>
          <w:sz w:val="14"/>
          <w:szCs w:val="14"/>
          <w:color w:val="auto"/>
        </w:rPr>
        <w:t>Deferred revenue primarily relates to deferred commissions allocated to analytics products and subscription fees billed in advance of satisfying the performance obligations. Deferred revenue related to contracts with customers was $9.2 million and $9.3 million as of December 31, 2021 and December 31, 2020, respectively. The Company recognized the full amount of revenue during the years ended December 31, 2021 and 2020, that had been recorded as deferred revenue in the respective prior year.</w:t>
      </w:r>
    </w:p>
    <w:p>
      <w:pPr>
        <w:spacing w:after="0" w:line="15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 has not identified any costs to obtain or fulfill its contracts under ASC 606.</w:t>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 Income Taxes</w:t>
      </w:r>
    </w:p>
    <w:p>
      <w:pPr>
        <w:spacing w:after="0" w:line="19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Income before income taxes and noncontrolling interest is as follows for the years ended December 31, 2021, 2020, and 2019:</w:t>
      </w:r>
    </w:p>
    <w:p>
      <w:pPr>
        <w:spacing w:after="0" w:line="34" w:lineRule="exact"/>
        <w:rPr>
          <w:sz w:val="20"/>
          <w:szCs w:val="20"/>
          <w:color w:val="auto"/>
        </w:rPr>
      </w:pPr>
    </w:p>
    <w:tbl>
      <w:tblPr>
        <w:tblLayout w:type="fixed"/>
        <w:tblInd w:w="1080" w:type="dxa"/>
        <w:tblCellMar>
          <w:top w:w="0" w:type="dxa"/>
          <w:left w:w="0" w:type="dxa"/>
          <w:bottom w:w="0" w:type="dxa"/>
          <w:right w:w="0" w:type="dxa"/>
        </w:tblCellMar>
      </w:tblPr>
      <w:tr>
        <w:trPr>
          <w:trHeight w:val="169"/>
        </w:trPr>
        <w:tc>
          <w:tcPr>
            <w:tcW w:w="446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w w:val="92"/>
              </w:rPr>
              <w:t>Years Ended December 31,</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r>
        <w:trPr>
          <w:trHeight w:val="162"/>
        </w:trPr>
        <w:tc>
          <w:tcPr>
            <w:tcW w:w="446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2021</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37"/>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37"/>
              <w:spacing w:after="0"/>
              <w:rPr>
                <w:sz w:val="20"/>
                <w:szCs w:val="20"/>
                <w:color w:val="auto"/>
              </w:rPr>
            </w:pPr>
            <w:r>
              <w:rPr>
                <w:rFonts w:ascii="Arial" w:cs="Arial" w:eastAsia="Arial" w:hAnsi="Arial"/>
                <w:sz w:val="13"/>
                <w:szCs w:val="13"/>
                <w:b w:val="1"/>
                <w:bCs w:val="1"/>
                <w:color w:val="auto"/>
              </w:rPr>
              <w:t>2019</w:t>
            </w:r>
          </w:p>
        </w:tc>
      </w:tr>
      <w:tr>
        <w:trPr>
          <w:trHeight w:val="146"/>
        </w:trPr>
        <w:tc>
          <w:tcPr>
            <w:tcW w:w="4460" w:type="dxa"/>
            <w:vAlign w:val="bottom"/>
            <w:shd w:val="clear" w:color="auto" w:fill="CCEEFF"/>
          </w:tcPr>
          <w:p>
            <w:pPr>
              <w:ind w:left="20"/>
              <w:spacing w:after="0" w:line="145" w:lineRule="exact"/>
              <w:rPr>
                <w:sz w:val="20"/>
                <w:szCs w:val="20"/>
                <w:color w:val="auto"/>
              </w:rPr>
            </w:pPr>
            <w:r>
              <w:rPr>
                <w:rFonts w:ascii="Arial" w:cs="Arial" w:eastAsia="Arial" w:hAnsi="Arial"/>
                <w:sz w:val="13"/>
                <w:szCs w:val="13"/>
                <w:b w:val="1"/>
                <w:bCs w:val="1"/>
                <w:color w:val="auto"/>
              </w:rPr>
              <w:t>(in thousands)</w:t>
            </w:r>
          </w:p>
        </w:tc>
        <w:tc>
          <w:tcPr>
            <w:tcW w:w="9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r>
      <w:tr>
        <w:trPr>
          <w:trHeight w:val="163"/>
        </w:trPr>
        <w:tc>
          <w:tcPr>
            <w:tcW w:w="4460" w:type="dxa"/>
            <w:vAlign w:val="bottom"/>
          </w:tcPr>
          <w:p>
            <w:pPr>
              <w:ind w:left="20"/>
              <w:spacing w:after="0"/>
              <w:rPr>
                <w:sz w:val="20"/>
                <w:szCs w:val="20"/>
                <w:color w:val="auto"/>
              </w:rPr>
            </w:pPr>
            <w:r>
              <w:rPr>
                <w:rFonts w:ascii="Arial" w:cs="Arial" w:eastAsia="Arial" w:hAnsi="Arial"/>
                <w:sz w:val="13"/>
                <w:szCs w:val="13"/>
                <w:color w:val="auto"/>
              </w:rPr>
              <w:t>U.S. operations</w:t>
            </w:r>
          </w:p>
        </w:tc>
        <w:tc>
          <w:tcPr>
            <w:tcW w:w="940" w:type="dxa"/>
            <w:vAlign w:val="bottom"/>
          </w:tcPr>
          <w:p>
            <w:pPr>
              <w:jc w:val="right"/>
              <w:ind w:right="797"/>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w w:val="97"/>
              </w:rPr>
              <w:t>804,358</w:t>
            </w:r>
          </w:p>
        </w:tc>
        <w:tc>
          <w:tcPr>
            <w:tcW w:w="100" w:type="dxa"/>
            <w:vAlign w:val="bottom"/>
          </w:tcPr>
          <w:p>
            <w:pPr>
              <w:spacing w:after="0"/>
              <w:rPr>
                <w:sz w:val="14"/>
                <w:szCs w:val="14"/>
                <w:color w:val="auto"/>
              </w:rPr>
            </w:pPr>
          </w:p>
        </w:tc>
        <w:tc>
          <w:tcPr>
            <w:tcW w:w="340" w:type="dxa"/>
            <w:vAlign w:val="bottom"/>
          </w:tcPr>
          <w:p>
            <w:pPr>
              <w:ind w:left="20"/>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1,214,282</w:t>
            </w:r>
          </w:p>
        </w:tc>
        <w:tc>
          <w:tcPr>
            <w:tcW w:w="12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(103,080)</w:t>
            </w:r>
          </w:p>
        </w:tc>
      </w:tr>
      <w:tr>
        <w:trPr>
          <w:trHeight w:val="166"/>
        </w:trPr>
        <w:tc>
          <w:tcPr>
            <w:tcW w:w="4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Non-U.S. operations</w:t>
            </w:r>
          </w:p>
        </w:tc>
        <w:tc>
          <w:tcPr>
            <w:tcW w:w="94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7"/>
              </w:rPr>
              <w:t>192,546</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168,555</w:t>
            </w:r>
          </w:p>
        </w:tc>
        <w:tc>
          <w:tcPr>
            <w:tcW w:w="12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(12,902)</w:t>
            </w:r>
          </w:p>
        </w:tc>
      </w:tr>
      <w:tr>
        <w:trPr>
          <w:trHeight w:val="158"/>
        </w:trPr>
        <w:tc>
          <w:tcPr>
            <w:tcW w:w="4460" w:type="dxa"/>
            <w:vAlign w:val="bottom"/>
          </w:tcPr>
          <w:p>
            <w:pPr>
              <w:spacing w:after="0"/>
              <w:rPr>
                <w:sz w:val="13"/>
                <w:szCs w:val="13"/>
                <w:color w:val="auto"/>
              </w:rPr>
            </w:pPr>
          </w:p>
        </w:tc>
        <w:tc>
          <w:tcPr>
            <w:tcW w:w="940" w:type="dxa"/>
            <w:vAlign w:val="bottom"/>
            <w:tcBorders>
              <w:bottom w:val="single" w:sz="8" w:color="auto"/>
            </w:tcBorders>
          </w:tcPr>
          <w:p>
            <w:pPr>
              <w:jc w:val="right"/>
              <w:ind w:right="797"/>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7"/>
              </w:rPr>
              <w:t>996,904</w:t>
            </w:r>
          </w:p>
        </w:tc>
        <w:tc>
          <w:tcPr>
            <w:tcW w:w="100" w:type="dxa"/>
            <w:vAlign w:val="bottom"/>
          </w:tcPr>
          <w:p>
            <w:pPr>
              <w:spacing w:after="0"/>
              <w:rPr>
                <w:sz w:val="13"/>
                <w:szCs w:val="13"/>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1,382,837</w:t>
            </w:r>
          </w:p>
        </w:tc>
        <w:tc>
          <w:tcPr>
            <w:tcW w:w="120" w:type="dxa"/>
            <w:vAlign w:val="bottom"/>
          </w:tcPr>
          <w:p>
            <w:pPr>
              <w:spacing w:after="0"/>
              <w:rPr>
                <w:sz w:val="13"/>
                <w:szCs w:val="13"/>
                <w:color w:val="auto"/>
              </w:rPr>
            </w:pPr>
          </w:p>
        </w:tc>
        <w:tc>
          <w:tcPr>
            <w:tcW w:w="34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(115,982)</w:t>
            </w:r>
          </w:p>
        </w:tc>
      </w:tr>
      <w:tr>
        <w:trPr>
          <w:trHeight w:val="20"/>
        </w:trPr>
        <w:tc>
          <w:tcPr>
            <w:tcW w:w="44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8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provision for income taxes consists of the following for the years ended December 31, 2021, 2020, and 2019:</w:t>
      </w:r>
    </w:p>
    <w:p>
      <w:pPr>
        <w:spacing w:after="0" w:line="200" w:lineRule="exact"/>
        <w:rPr>
          <w:sz w:val="20"/>
          <w:szCs w:val="20"/>
          <w:color w:val="auto"/>
        </w:rPr>
      </w:pPr>
    </w:p>
    <w:p>
      <w:pPr>
        <w:spacing w:after="0" w:line="291"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040"/>
          </w:cols>
          <w:pgMar w:left="320" w:top="127" w:right="539" w:bottom="1440" w:gutter="0" w:footer="0" w:header="0"/>
        </w:sectPr>
      </w:pPr>
    </w:p>
    <w:bookmarkStart w:id="116" w:name="page117"/>
    <w:bookmarkEnd w:id="11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19" w:lineRule="exact"/>
        <w:rPr>
          <w:sz w:val="20"/>
          <w:szCs w:val="20"/>
          <w:color w:val="auto"/>
        </w:rPr>
      </w:pPr>
    </w:p>
    <w:tbl>
      <w:tblPr>
        <w:tblLayout w:type="fixed"/>
        <w:tblInd w:w="1040" w:type="dxa"/>
        <w:tblCellMar>
          <w:top w:w="0" w:type="dxa"/>
          <w:left w:w="0" w:type="dxa"/>
          <w:bottom w:w="0" w:type="dxa"/>
          <w:right w:w="0" w:type="dxa"/>
        </w:tblCellMar>
      </w:tblPr>
      <w:tr>
        <w:trPr>
          <w:trHeight w:val="166"/>
        </w:trPr>
        <w:tc>
          <w:tcPr>
            <w:tcW w:w="45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w w:val="92"/>
              </w:rPr>
              <w:t>Years Ended December 31,</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r>
        <w:trPr>
          <w:trHeight w:val="165"/>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(in thousands)</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57"/>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7"/>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7"/>
              <w:spacing w:after="0"/>
              <w:rPr>
                <w:sz w:val="20"/>
                <w:szCs w:val="20"/>
                <w:color w:val="auto"/>
              </w:rPr>
            </w:pPr>
            <w:r>
              <w:rPr>
                <w:rFonts w:ascii="Arial" w:cs="Arial" w:eastAsia="Arial" w:hAnsi="Arial"/>
                <w:sz w:val="13"/>
                <w:szCs w:val="13"/>
                <w:b w:val="1"/>
                <w:bCs w:val="1"/>
                <w:color w:val="auto"/>
              </w:rPr>
              <w:t>2019</w:t>
            </w:r>
          </w:p>
        </w:tc>
      </w:tr>
      <w:tr>
        <w:trPr>
          <w:trHeight w:val="146"/>
        </w:trPr>
        <w:tc>
          <w:tcPr>
            <w:tcW w:w="4560" w:type="dxa"/>
            <w:vAlign w:val="bottom"/>
            <w:shd w:val="clear" w:color="auto" w:fill="CCEEFF"/>
          </w:tcPr>
          <w:p>
            <w:pPr>
              <w:ind w:left="20"/>
              <w:spacing w:after="0" w:line="141" w:lineRule="exact"/>
              <w:rPr>
                <w:sz w:val="20"/>
                <w:szCs w:val="20"/>
                <w:color w:val="auto"/>
              </w:rPr>
            </w:pPr>
            <w:r>
              <w:rPr>
                <w:rFonts w:ascii="Arial" w:cs="Arial" w:eastAsia="Arial" w:hAnsi="Arial"/>
                <w:sz w:val="13"/>
                <w:szCs w:val="13"/>
                <w:color w:val="auto"/>
              </w:rPr>
              <w:t>Current provision (benefit)</w:t>
            </w: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r>
      <w:tr>
        <w:trPr>
          <w:trHeight w:val="163"/>
        </w:trPr>
        <w:tc>
          <w:tcPr>
            <w:tcW w:w="4560" w:type="dxa"/>
            <w:vAlign w:val="bottom"/>
          </w:tcPr>
          <w:p>
            <w:pPr>
              <w:ind w:left="120"/>
              <w:spacing w:after="0"/>
              <w:rPr>
                <w:sz w:val="20"/>
                <w:szCs w:val="20"/>
                <w:color w:val="auto"/>
              </w:rPr>
            </w:pPr>
            <w:r>
              <w:rPr>
                <w:rFonts w:ascii="Arial" w:cs="Arial" w:eastAsia="Arial" w:hAnsi="Arial"/>
                <w:sz w:val="13"/>
                <w:szCs w:val="13"/>
                <w:color w:val="auto"/>
              </w:rPr>
              <w:t>Federal</w:t>
            </w:r>
          </w:p>
        </w:tc>
        <w:tc>
          <w:tcPr>
            <w:tcW w:w="340" w:type="dxa"/>
            <w:vAlign w:val="bottom"/>
          </w:tcPr>
          <w:p>
            <w:pPr>
              <w:jc w:val="right"/>
              <w:ind w:right="233"/>
              <w:spacing w:after="0"/>
              <w:rPr>
                <w:sz w:val="20"/>
                <w:szCs w:val="20"/>
                <w:color w:val="auto"/>
              </w:rPr>
            </w:pPr>
            <w:r>
              <w:rPr>
                <w:rFonts w:ascii="Arial" w:cs="Arial" w:eastAsia="Arial" w:hAnsi="Arial"/>
                <w:sz w:val="9"/>
                <w:szCs w:val="9"/>
                <w:color w:val="auto"/>
                <w:w w:val="78"/>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80,203</w:t>
            </w:r>
          </w:p>
        </w:tc>
        <w:tc>
          <w:tcPr>
            <w:tcW w:w="100" w:type="dxa"/>
            <w:vAlign w:val="bottom"/>
          </w:tcPr>
          <w:p>
            <w:pPr>
              <w:spacing w:after="0"/>
              <w:rPr>
                <w:sz w:val="14"/>
                <w:szCs w:val="14"/>
                <w:color w:val="auto"/>
              </w:rPr>
            </w:pPr>
          </w:p>
        </w:tc>
        <w:tc>
          <w:tcPr>
            <w:tcW w:w="340" w:type="dxa"/>
            <w:vAlign w:val="bottom"/>
          </w:tcPr>
          <w:p>
            <w:pPr>
              <w:ind w:left="20"/>
              <w:spacing w:after="0"/>
              <w:rPr>
                <w:sz w:val="20"/>
                <w:szCs w:val="20"/>
                <w:color w:val="auto"/>
              </w:rPr>
            </w:pPr>
            <w:r>
              <w:rPr>
                <w:rFonts w:ascii="Arial" w:cs="Arial" w:eastAsia="Arial" w:hAnsi="Arial"/>
                <w:sz w:val="13"/>
                <w:szCs w:val="13"/>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148,034</w:t>
            </w:r>
          </w:p>
        </w:tc>
        <w:tc>
          <w:tcPr>
            <w:tcW w:w="10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(1,861)</w:t>
            </w:r>
          </w:p>
        </w:tc>
      </w:tr>
      <w:tr>
        <w:trPr>
          <w:trHeight w:val="168"/>
        </w:trPr>
        <w:tc>
          <w:tcPr>
            <w:tcW w:w="45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State and Local</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24,282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52,040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4,362</w:t>
            </w:r>
          </w:p>
        </w:tc>
      </w:tr>
      <w:tr>
        <w:trPr>
          <w:trHeight w:val="163"/>
        </w:trPr>
        <w:tc>
          <w:tcPr>
            <w:tcW w:w="4560" w:type="dxa"/>
            <w:vAlign w:val="bottom"/>
          </w:tcPr>
          <w:p>
            <w:pPr>
              <w:ind w:left="120"/>
              <w:spacing w:after="0"/>
              <w:rPr>
                <w:sz w:val="20"/>
                <w:szCs w:val="20"/>
                <w:color w:val="auto"/>
              </w:rPr>
            </w:pPr>
            <w:r>
              <w:rPr>
                <w:rFonts w:ascii="Arial" w:cs="Arial" w:eastAsia="Arial" w:hAnsi="Arial"/>
                <w:sz w:val="13"/>
                <w:szCs w:val="13"/>
                <w:color w:val="auto"/>
              </w:rPr>
              <w:t>Foreign</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29,790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37,474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3,675</w:t>
            </w:r>
          </w:p>
        </w:tc>
      </w:tr>
      <w:tr>
        <w:trPr>
          <w:trHeight w:val="168"/>
        </w:trPr>
        <w:tc>
          <w:tcPr>
            <w:tcW w:w="4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provision (benefit)</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63"/>
        </w:trPr>
        <w:tc>
          <w:tcPr>
            <w:tcW w:w="4560" w:type="dxa"/>
            <w:vAlign w:val="bottom"/>
          </w:tcPr>
          <w:p>
            <w:pPr>
              <w:ind w:left="120"/>
              <w:spacing w:after="0"/>
              <w:rPr>
                <w:sz w:val="20"/>
                <w:szCs w:val="20"/>
                <w:color w:val="auto"/>
              </w:rPr>
            </w:pPr>
            <w:r>
              <w:rPr>
                <w:rFonts w:ascii="Arial" w:cs="Arial" w:eastAsia="Arial" w:hAnsi="Arial"/>
                <w:sz w:val="13"/>
                <w:szCs w:val="13"/>
                <w:color w:val="auto"/>
              </w:rPr>
              <w:t>Federal</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30,519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26,255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(13,422)</w:t>
            </w:r>
          </w:p>
        </w:tc>
      </w:tr>
      <w:tr>
        <w:trPr>
          <w:trHeight w:val="168"/>
        </w:trPr>
        <w:tc>
          <w:tcPr>
            <w:tcW w:w="45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State and Local</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4,984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(2,580)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(1,455)</w:t>
            </w:r>
          </w:p>
        </w:tc>
      </w:tr>
      <w:tr>
        <w:trPr>
          <w:trHeight w:val="163"/>
        </w:trPr>
        <w:tc>
          <w:tcPr>
            <w:tcW w:w="456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Foreign</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(108)</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701</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(3,576)</w:t>
            </w:r>
          </w:p>
        </w:tc>
      </w:tr>
      <w:tr>
        <w:trPr>
          <w:trHeight w:val="185"/>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Provision for income taxes</w:t>
            </w:r>
          </w:p>
        </w:tc>
        <w:tc>
          <w:tcPr>
            <w:tcW w:w="34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9"/>
                <w:szCs w:val="9"/>
                <w:color w:val="auto"/>
                <w:w w:val="7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169,670</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261,924</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(12,277)</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ind w:right="3540" w:firstLine="568"/>
        <w:spacing w:after="0" w:line="265" w:lineRule="auto"/>
        <w:rPr>
          <w:sz w:val="20"/>
          <w:szCs w:val="20"/>
          <w:color w:val="auto"/>
        </w:rPr>
      </w:pPr>
      <w:r>
        <w:rPr>
          <w:rFonts w:ascii="Arial" w:cs="Arial" w:eastAsia="Arial" w:hAnsi="Arial"/>
          <w:sz w:val="16"/>
          <w:szCs w:val="16"/>
          <w:color w:val="auto"/>
        </w:rPr>
        <w:t>The reconciliation of the tax provision at the U.S. federal statutory rate to the provision for income taxes for the years ended December 31, 2021, 2020, and 2019 is as follows:</w:t>
      </w:r>
    </w:p>
    <w:p>
      <w:pPr>
        <w:spacing w:after="0" w:line="1" w:lineRule="exact"/>
        <w:rPr>
          <w:sz w:val="20"/>
          <w:szCs w:val="20"/>
          <w:color w:val="auto"/>
        </w:rPr>
      </w:pPr>
    </w:p>
    <w:p>
      <w:pPr>
        <w:ind w:left="7100"/>
        <w:spacing w:after="0"/>
        <w:rPr>
          <w:sz w:val="20"/>
          <w:szCs w:val="20"/>
          <w:color w:val="auto"/>
        </w:rPr>
      </w:pPr>
      <w:r>
        <w:rPr>
          <w:rFonts w:ascii="Arial" w:cs="Arial" w:eastAsia="Arial" w:hAnsi="Arial"/>
          <w:sz w:val="13"/>
          <w:szCs w:val="13"/>
          <w:b w:val="1"/>
          <w:bCs w:val="1"/>
          <w:color w:val="auto"/>
        </w:rPr>
        <w:t>Years Ended December 31,</w:t>
      </w:r>
    </w:p>
    <w:p>
      <w:pPr>
        <w:spacing w:after="0" w:line="15" w:lineRule="exact"/>
        <w:rPr>
          <w:sz w:val="20"/>
          <w:szCs w:val="20"/>
          <w:color w:val="auto"/>
        </w:rPr>
      </w:pPr>
    </w:p>
    <w:tbl>
      <w:tblPr>
        <w:tblLayout w:type="fixed"/>
        <w:tblInd w:w="1040" w:type="dxa"/>
        <w:tblCellMar>
          <w:top w:w="0" w:type="dxa"/>
          <w:left w:w="0" w:type="dxa"/>
          <w:bottom w:w="0" w:type="dxa"/>
          <w:right w:w="0" w:type="dxa"/>
        </w:tblCellMar>
      </w:tblPr>
      <w:tr>
        <w:trPr>
          <w:trHeight w:val="166"/>
        </w:trPr>
        <w:tc>
          <w:tcPr>
            <w:tcW w:w="4400" w:type="dxa"/>
            <w:vAlign w:val="bottom"/>
          </w:tcPr>
          <w:p>
            <w:pPr>
              <w:spacing w:after="0"/>
              <w:rPr>
                <w:sz w:val="14"/>
                <w:szCs w:val="14"/>
                <w:color w:val="auto"/>
              </w:rPr>
            </w:pPr>
          </w:p>
        </w:tc>
        <w:tc>
          <w:tcPr>
            <w:tcW w:w="10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2021</w:t>
            </w:r>
          </w:p>
        </w:tc>
        <w:tc>
          <w:tcPr>
            <w:tcW w:w="1620" w:type="dxa"/>
            <w:vAlign w:val="bottom"/>
            <w:tcBorders>
              <w:top w:val="single" w:sz="8" w:color="auto"/>
            </w:tcBorders>
            <w:gridSpan w:val="3"/>
          </w:tcPr>
          <w:p>
            <w:pPr>
              <w:jc w:val="right"/>
              <w:ind w:right="120"/>
              <w:spacing w:after="0"/>
              <w:rPr>
                <w:sz w:val="20"/>
                <w:szCs w:val="20"/>
                <w:color w:val="auto"/>
              </w:rPr>
            </w:pPr>
            <w:r>
              <w:rPr>
                <w:rFonts w:ascii="Arial" w:cs="Arial" w:eastAsia="Arial" w:hAnsi="Arial"/>
                <w:sz w:val="13"/>
                <w:szCs w:val="13"/>
                <w:b w:val="1"/>
                <w:bCs w:val="1"/>
                <w:color w:val="auto"/>
              </w:rPr>
              <w:t>2020</w:t>
            </w:r>
          </w:p>
        </w:tc>
        <w:tc>
          <w:tcPr>
            <w:tcW w:w="5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tcPr>
          <w:p>
            <w:pPr>
              <w:jc w:val="right"/>
              <w:ind w:right="597"/>
              <w:spacing w:after="0"/>
              <w:rPr>
                <w:sz w:val="20"/>
                <w:szCs w:val="20"/>
                <w:color w:val="auto"/>
              </w:rPr>
            </w:pPr>
            <w:r>
              <w:rPr>
                <w:rFonts w:ascii="Arial" w:cs="Arial" w:eastAsia="Arial" w:hAnsi="Arial"/>
                <w:sz w:val="13"/>
                <w:szCs w:val="13"/>
                <w:b w:val="1"/>
                <w:bCs w:val="1"/>
                <w:color w:val="auto"/>
              </w:rPr>
              <w:t>2019</w:t>
            </w:r>
          </w:p>
        </w:tc>
      </w:tr>
      <w:tr>
        <w:trPr>
          <w:trHeight w:val="146"/>
        </w:trPr>
        <w:tc>
          <w:tcPr>
            <w:tcW w:w="4400" w:type="dxa"/>
            <w:vAlign w:val="bottom"/>
            <w:tcBorders>
              <w:top w:val="single" w:sz="8" w:color="CCEEFF"/>
            </w:tcBorders>
            <w:shd w:val="clear" w:color="auto" w:fill="CCEEFF"/>
          </w:tcPr>
          <w:p>
            <w:pPr>
              <w:ind w:left="20"/>
              <w:spacing w:after="0" w:line="145" w:lineRule="exact"/>
              <w:rPr>
                <w:sz w:val="20"/>
                <w:szCs w:val="20"/>
                <w:color w:val="auto"/>
              </w:rPr>
            </w:pPr>
            <w:r>
              <w:rPr>
                <w:rFonts w:ascii="Arial" w:cs="Arial" w:eastAsia="Arial" w:hAnsi="Arial"/>
                <w:sz w:val="13"/>
                <w:szCs w:val="13"/>
                <w:b w:val="1"/>
                <w:bCs w:val="1"/>
                <w:color w:val="auto"/>
              </w:rPr>
              <w:t>(in thousands, except percentages)</w:t>
            </w:r>
          </w:p>
        </w:tc>
        <w:tc>
          <w:tcPr>
            <w:tcW w:w="10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540" w:type="dxa"/>
            <w:vAlign w:val="bottom"/>
            <w:tcBorders>
              <w:top w:val="single" w:sz="8" w:color="auto"/>
            </w:tcBorders>
            <w:shd w:val="clear" w:color="auto" w:fill="CCEEFF"/>
          </w:tcPr>
          <w:p>
            <w:pPr>
              <w:spacing w:after="0"/>
              <w:rPr>
                <w:sz w:val="12"/>
                <w:szCs w:val="12"/>
                <w:color w:val="auto"/>
              </w:rPr>
            </w:pPr>
          </w:p>
        </w:tc>
      </w:tr>
      <w:tr>
        <w:trPr>
          <w:trHeight w:val="163"/>
        </w:trPr>
        <w:tc>
          <w:tcPr>
            <w:tcW w:w="5400" w:type="dxa"/>
            <w:vAlign w:val="bottom"/>
            <w:gridSpan w:val="2"/>
          </w:tcPr>
          <w:p>
            <w:pPr>
              <w:ind w:left="20"/>
              <w:spacing w:after="0"/>
              <w:rPr>
                <w:sz w:val="20"/>
                <w:szCs w:val="20"/>
                <w:color w:val="auto"/>
              </w:rPr>
            </w:pPr>
            <w:r>
              <w:rPr>
                <w:rFonts w:ascii="Arial" w:cs="Arial" w:eastAsia="Arial" w:hAnsi="Arial"/>
                <w:sz w:val="13"/>
                <w:szCs w:val="13"/>
                <w:color w:val="auto"/>
              </w:rPr>
              <w:t>Tax provision at the U.S. federal statutory rate</w:t>
            </w:r>
          </w:p>
        </w:tc>
        <w:tc>
          <w:tcPr>
            <w:tcW w:w="520" w:type="dxa"/>
            <w:vAlign w:val="bottom"/>
          </w:tcPr>
          <w:p>
            <w:pPr>
              <w:jc w:val="right"/>
              <w:spacing w:after="0"/>
              <w:rPr>
                <w:sz w:val="20"/>
                <w:szCs w:val="20"/>
                <w:color w:val="auto"/>
              </w:rPr>
            </w:pPr>
            <w:r>
              <w:rPr>
                <w:rFonts w:ascii="Arial" w:cs="Arial" w:eastAsia="Arial" w:hAnsi="Arial"/>
                <w:sz w:val="13"/>
                <w:szCs w:val="13"/>
                <w:color w:val="auto"/>
              </w:rPr>
              <w:t>21.0 %</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21.0 %</w:t>
            </w:r>
          </w:p>
        </w:tc>
        <w:tc>
          <w:tcPr>
            <w:tcW w:w="10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21.0 %</w:t>
            </w:r>
          </w:p>
        </w:tc>
      </w:tr>
      <w:tr>
        <w:trPr>
          <w:trHeight w:val="168"/>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Less: rate attributable to noncontrolling interest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w:t>
            </w:r>
          </w:p>
        </w:tc>
        <w:tc>
          <w:tcPr>
            <w:tcW w:w="10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w:t>
            </w:r>
          </w:p>
        </w:tc>
      </w:tr>
      <w:tr>
        <w:trPr>
          <w:trHeight w:val="163"/>
        </w:trPr>
        <w:tc>
          <w:tcPr>
            <w:tcW w:w="5400" w:type="dxa"/>
            <w:vAlign w:val="bottom"/>
            <w:gridSpan w:val="2"/>
          </w:tcPr>
          <w:p>
            <w:pPr>
              <w:ind w:left="20"/>
              <w:spacing w:after="0"/>
              <w:rPr>
                <w:sz w:val="20"/>
                <w:szCs w:val="20"/>
                <w:color w:val="auto"/>
              </w:rPr>
            </w:pPr>
            <w:r>
              <w:rPr>
                <w:rFonts w:ascii="Arial" w:cs="Arial" w:eastAsia="Arial" w:hAnsi="Arial"/>
                <w:sz w:val="13"/>
                <w:szCs w:val="13"/>
                <w:color w:val="auto"/>
              </w:rPr>
              <w:t>State and local taxes, net of federal benefit</w:t>
            </w:r>
          </w:p>
        </w:tc>
        <w:tc>
          <w:tcPr>
            <w:tcW w:w="520" w:type="dxa"/>
            <w:vAlign w:val="bottom"/>
          </w:tcPr>
          <w:p>
            <w:pPr>
              <w:jc w:val="right"/>
              <w:spacing w:after="0"/>
              <w:rPr>
                <w:sz w:val="20"/>
                <w:szCs w:val="20"/>
                <w:color w:val="auto"/>
              </w:rPr>
            </w:pPr>
            <w:r>
              <w:rPr>
                <w:rFonts w:ascii="Arial" w:cs="Arial" w:eastAsia="Arial" w:hAnsi="Arial"/>
                <w:sz w:val="13"/>
                <w:szCs w:val="13"/>
                <w:color w:val="auto"/>
              </w:rPr>
              <w:t>3.0 %</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3.4 %</w:t>
            </w:r>
          </w:p>
        </w:tc>
        <w:tc>
          <w:tcPr>
            <w:tcW w:w="10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2.4 %</w:t>
            </w:r>
          </w:p>
        </w:tc>
      </w:tr>
      <w:tr>
        <w:trPr>
          <w:trHeight w:val="168"/>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Non-deductible expenses, net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0.1 %</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0.1 %</w:t>
            </w:r>
          </w:p>
        </w:tc>
        <w:tc>
          <w:tcPr>
            <w:tcW w:w="10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r>
      <w:tr>
        <w:trPr>
          <w:trHeight w:val="163"/>
        </w:trPr>
        <w:tc>
          <w:tcPr>
            <w:tcW w:w="5400" w:type="dxa"/>
            <w:vAlign w:val="bottom"/>
            <w:gridSpan w:val="2"/>
          </w:tcPr>
          <w:p>
            <w:pPr>
              <w:ind w:left="20"/>
              <w:spacing w:after="0"/>
              <w:rPr>
                <w:sz w:val="20"/>
                <w:szCs w:val="20"/>
                <w:color w:val="auto"/>
              </w:rPr>
            </w:pPr>
            <w:r>
              <w:rPr>
                <w:rFonts w:ascii="Arial" w:cs="Arial" w:eastAsia="Arial" w:hAnsi="Arial"/>
                <w:sz w:val="13"/>
                <w:szCs w:val="13"/>
                <w:color w:val="auto"/>
              </w:rPr>
              <w:t>Excess tax benefit(deficiency) from share based compensation</w:t>
            </w:r>
          </w:p>
        </w:tc>
        <w:tc>
          <w:tcPr>
            <w:tcW w:w="520" w:type="dxa"/>
            <w:vAlign w:val="bottom"/>
          </w:tcPr>
          <w:p>
            <w:pPr>
              <w:jc w:val="right"/>
              <w:spacing w:after="0"/>
              <w:rPr>
                <w:sz w:val="20"/>
                <w:szCs w:val="20"/>
                <w:color w:val="auto"/>
              </w:rPr>
            </w:pPr>
            <w:r>
              <w:rPr>
                <w:rFonts w:ascii="Arial" w:cs="Arial" w:eastAsia="Arial" w:hAnsi="Arial"/>
                <w:sz w:val="13"/>
                <w:szCs w:val="13"/>
                <w:color w:val="auto"/>
              </w:rPr>
              <w:t>(0.2)%</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3"/>
                <w:szCs w:val="13"/>
                <w:color w:val="auto"/>
              </w:rPr>
              <w:t>— %</w:t>
            </w:r>
          </w:p>
        </w:tc>
        <w:tc>
          <w:tcPr>
            <w:tcW w:w="1540" w:type="dxa"/>
            <w:vAlign w:val="bottom"/>
          </w:tcPr>
          <w:p>
            <w:pPr>
              <w:jc w:val="right"/>
              <w:spacing w:after="0"/>
              <w:rPr>
                <w:sz w:val="20"/>
                <w:szCs w:val="20"/>
                <w:color w:val="auto"/>
              </w:rPr>
            </w:pPr>
            <w:r>
              <w:rPr>
                <w:rFonts w:ascii="Arial" w:cs="Arial" w:eastAsia="Arial" w:hAnsi="Arial"/>
                <w:sz w:val="13"/>
                <w:szCs w:val="13"/>
                <w:color w:val="auto"/>
              </w:rPr>
              <w:t>(2.3)%</w:t>
            </w:r>
          </w:p>
        </w:tc>
      </w:tr>
      <w:tr>
        <w:trPr>
          <w:trHeight w:val="168"/>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Foreign taxes</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3.0 %</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2.8 %</w:t>
            </w:r>
          </w:p>
        </w:tc>
        <w:tc>
          <w:tcPr>
            <w:tcW w:w="10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r>
      <w:tr>
        <w:trPr>
          <w:trHeight w:val="163"/>
        </w:trPr>
        <w:tc>
          <w:tcPr>
            <w:tcW w:w="5400" w:type="dxa"/>
            <w:vAlign w:val="bottom"/>
            <w:gridSpan w:val="2"/>
          </w:tcPr>
          <w:p>
            <w:pPr>
              <w:ind w:left="20"/>
              <w:spacing w:after="0"/>
              <w:rPr>
                <w:sz w:val="20"/>
                <w:szCs w:val="20"/>
                <w:color w:val="auto"/>
              </w:rPr>
            </w:pPr>
            <w:r>
              <w:rPr>
                <w:rFonts w:ascii="Arial" w:cs="Arial" w:eastAsia="Arial" w:hAnsi="Arial"/>
                <w:sz w:val="13"/>
                <w:szCs w:val="13"/>
                <w:color w:val="auto"/>
              </w:rPr>
              <w:t>Foreign tax credits</w:t>
            </w:r>
          </w:p>
        </w:tc>
        <w:tc>
          <w:tcPr>
            <w:tcW w:w="520" w:type="dxa"/>
            <w:vAlign w:val="bottom"/>
          </w:tcPr>
          <w:p>
            <w:pPr>
              <w:jc w:val="right"/>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(0.9)%</w:t>
            </w:r>
          </w:p>
        </w:tc>
        <w:tc>
          <w:tcPr>
            <w:tcW w:w="10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 %</w:t>
            </w:r>
          </w:p>
        </w:tc>
      </w:tr>
      <w:tr>
        <w:trPr>
          <w:trHeight w:val="166"/>
        </w:trPr>
        <w:tc>
          <w:tcPr>
            <w:tcW w:w="4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net</w:t>
            </w:r>
          </w:p>
        </w:tc>
        <w:tc>
          <w:tcPr>
            <w:tcW w:w="10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100" w:type="dxa"/>
            <w:vAlign w:val="bottom"/>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 %</w:t>
            </w:r>
          </w:p>
        </w:tc>
        <w:tc>
          <w:tcPr>
            <w:tcW w:w="100" w:type="dxa"/>
            <w:vAlign w:val="bottom"/>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(0.9)%</w:t>
            </w:r>
          </w:p>
        </w:tc>
      </w:tr>
      <w:tr>
        <w:trPr>
          <w:trHeight w:val="160"/>
        </w:trPr>
        <w:tc>
          <w:tcPr>
            <w:tcW w:w="5400" w:type="dxa"/>
            <w:vAlign w:val="bottom"/>
            <w:gridSpan w:val="2"/>
          </w:tcPr>
          <w:p>
            <w:pPr>
              <w:ind w:left="20"/>
              <w:spacing w:after="0"/>
              <w:rPr>
                <w:sz w:val="20"/>
                <w:szCs w:val="20"/>
                <w:color w:val="auto"/>
              </w:rPr>
            </w:pPr>
            <w:r>
              <w:rPr>
                <w:rFonts w:ascii="Arial" w:cs="Arial" w:eastAsia="Arial" w:hAnsi="Arial"/>
                <w:sz w:val="13"/>
                <w:szCs w:val="13"/>
                <w:color w:val="auto"/>
              </w:rPr>
              <w:t>Effective tax rate</w:t>
            </w:r>
          </w:p>
        </w:tc>
        <w:tc>
          <w:tcPr>
            <w:tcW w:w="520" w:type="dxa"/>
            <w:vAlign w:val="bottom"/>
          </w:tcPr>
          <w:p>
            <w:pPr>
              <w:jc w:val="right"/>
              <w:spacing w:after="0"/>
              <w:rPr>
                <w:sz w:val="20"/>
                <w:szCs w:val="20"/>
                <w:color w:val="auto"/>
              </w:rPr>
            </w:pPr>
            <w:r>
              <w:rPr>
                <w:rFonts w:ascii="Arial" w:cs="Arial" w:eastAsia="Arial" w:hAnsi="Arial"/>
                <w:sz w:val="13"/>
                <w:szCs w:val="13"/>
                <w:color w:val="auto"/>
              </w:rPr>
              <w:t>17.0 %</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18.9 %</w:t>
            </w:r>
          </w:p>
        </w:tc>
        <w:tc>
          <w:tcPr>
            <w:tcW w:w="10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10.6 %</w:t>
            </w:r>
          </w:p>
        </w:tc>
      </w:tr>
      <w:tr>
        <w:trPr>
          <w:trHeight w:val="20"/>
        </w:trPr>
        <w:tc>
          <w:tcPr>
            <w:tcW w:w="44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components of the deferred tax assets and liabilities as of December 31, 2021, and 2020 are as follows:</w:t>
      </w:r>
    </w:p>
    <w:p>
      <w:pPr>
        <w:spacing w:after="0" w:line="34" w:lineRule="exact"/>
        <w:rPr>
          <w:sz w:val="20"/>
          <w:szCs w:val="20"/>
          <w:color w:val="auto"/>
        </w:rPr>
      </w:pPr>
    </w:p>
    <w:tbl>
      <w:tblPr>
        <w:tblLayout w:type="fixed"/>
        <w:tblInd w:w="1080" w:type="dxa"/>
        <w:tblCellMar>
          <w:top w:w="0" w:type="dxa"/>
          <w:left w:w="0" w:type="dxa"/>
          <w:bottom w:w="0" w:type="dxa"/>
          <w:right w:w="0" w:type="dxa"/>
        </w:tblCellMar>
      </w:tblPr>
      <w:tr>
        <w:trPr>
          <w:trHeight w:val="166"/>
        </w:trPr>
        <w:tc>
          <w:tcPr>
            <w:tcW w:w="60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ind w:right="77"/>
              <w:spacing w:after="0"/>
              <w:rPr>
                <w:sz w:val="20"/>
                <w:szCs w:val="20"/>
                <w:color w:val="auto"/>
              </w:rPr>
            </w:pPr>
            <w:r>
              <w:rPr>
                <w:rFonts w:ascii="Arial" w:cs="Arial" w:eastAsia="Arial" w:hAnsi="Arial"/>
                <w:sz w:val="13"/>
                <w:szCs w:val="13"/>
                <w:b w:val="1"/>
                <w:bCs w:val="1"/>
                <w:color w:val="auto"/>
              </w:rPr>
              <w:t>December 31,</w:t>
            </w:r>
          </w:p>
        </w:tc>
        <w:tc>
          <w:tcPr>
            <w:tcW w:w="1000" w:type="dxa"/>
            <w:vAlign w:val="bottom"/>
            <w:tcBorders>
              <w:bottom w:val="single" w:sz="8" w:color="auto"/>
            </w:tcBorders>
          </w:tcPr>
          <w:p>
            <w:pPr>
              <w:spacing w:after="0"/>
              <w:rPr>
                <w:sz w:val="14"/>
                <w:szCs w:val="14"/>
                <w:color w:val="auto"/>
              </w:rPr>
            </w:pPr>
          </w:p>
        </w:tc>
      </w:tr>
      <w:tr>
        <w:trPr>
          <w:trHeight w:val="165"/>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(in thousands)</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37"/>
              <w:spacing w:after="0"/>
              <w:rPr>
                <w:sz w:val="20"/>
                <w:szCs w:val="20"/>
                <w:color w:val="auto"/>
              </w:rPr>
            </w:pPr>
            <w:r>
              <w:rPr>
                <w:rFonts w:ascii="Arial" w:cs="Arial" w:eastAsia="Arial" w:hAnsi="Arial"/>
                <w:sz w:val="13"/>
                <w:szCs w:val="13"/>
                <w:b w:val="1"/>
                <w:bCs w:val="1"/>
                <w:color w:val="auto"/>
              </w:rPr>
              <w:t>2021</w:t>
            </w:r>
          </w:p>
        </w:tc>
        <w:tc>
          <w:tcPr>
            <w:tcW w:w="12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37"/>
              <w:spacing w:after="0"/>
              <w:rPr>
                <w:sz w:val="20"/>
                <w:szCs w:val="20"/>
                <w:color w:val="auto"/>
              </w:rPr>
            </w:pPr>
            <w:r>
              <w:rPr>
                <w:rFonts w:ascii="Arial" w:cs="Arial" w:eastAsia="Arial" w:hAnsi="Arial"/>
                <w:sz w:val="13"/>
                <w:szCs w:val="13"/>
                <w:b w:val="1"/>
                <w:bCs w:val="1"/>
                <w:color w:val="auto"/>
              </w:rPr>
              <w:t>2020</w:t>
            </w:r>
          </w:p>
        </w:tc>
      </w:tr>
      <w:tr>
        <w:trPr>
          <w:trHeight w:val="146"/>
        </w:trPr>
        <w:tc>
          <w:tcPr>
            <w:tcW w:w="6040" w:type="dxa"/>
            <w:vAlign w:val="bottom"/>
            <w:shd w:val="clear" w:color="auto" w:fill="CCEEFF"/>
          </w:tcPr>
          <w:p>
            <w:pPr>
              <w:ind w:left="20"/>
              <w:spacing w:after="0" w:line="145" w:lineRule="exact"/>
              <w:rPr>
                <w:sz w:val="20"/>
                <w:szCs w:val="20"/>
                <w:color w:val="auto"/>
              </w:rPr>
            </w:pPr>
            <w:r>
              <w:rPr>
                <w:rFonts w:ascii="Arial" w:cs="Arial" w:eastAsia="Arial" w:hAnsi="Arial"/>
                <w:sz w:val="13"/>
                <w:szCs w:val="13"/>
                <w:b w:val="1"/>
                <w:bCs w:val="1"/>
                <w:color w:val="auto"/>
              </w:rPr>
              <w:t>Deferred income tax assets</w:t>
            </w: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163"/>
        </w:trPr>
        <w:tc>
          <w:tcPr>
            <w:tcW w:w="6040" w:type="dxa"/>
            <w:vAlign w:val="bottom"/>
          </w:tcPr>
          <w:p>
            <w:pPr>
              <w:ind w:left="20"/>
              <w:spacing w:after="0"/>
              <w:rPr>
                <w:sz w:val="20"/>
                <w:szCs w:val="20"/>
                <w:color w:val="auto"/>
              </w:rPr>
            </w:pPr>
            <w:r>
              <w:rPr>
                <w:rFonts w:ascii="Arial" w:cs="Arial" w:eastAsia="Arial" w:hAnsi="Arial"/>
                <w:sz w:val="13"/>
                <w:szCs w:val="13"/>
                <w:color w:val="auto"/>
              </w:rPr>
              <w:t>Tax Receivable Agreement</w:t>
            </w:r>
          </w:p>
        </w:tc>
        <w:tc>
          <w:tcPr>
            <w:tcW w:w="340" w:type="dxa"/>
            <w:vAlign w:val="bottom"/>
          </w:tcPr>
          <w:p>
            <w:pPr>
              <w:jc w:val="right"/>
              <w:ind w:right="197"/>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180,376</w:t>
            </w:r>
          </w:p>
        </w:tc>
        <w:tc>
          <w:tcPr>
            <w:tcW w:w="120" w:type="dxa"/>
            <w:vAlign w:val="bottom"/>
          </w:tcPr>
          <w:p>
            <w:pPr>
              <w:spacing w:after="0"/>
              <w:rPr>
                <w:sz w:val="14"/>
                <w:szCs w:val="14"/>
                <w:color w:val="auto"/>
              </w:rPr>
            </w:pPr>
          </w:p>
        </w:tc>
        <w:tc>
          <w:tcPr>
            <w:tcW w:w="460" w:type="dxa"/>
            <w:vAlign w:val="bottom"/>
          </w:tcPr>
          <w:p>
            <w:pPr>
              <w:jc w:val="right"/>
              <w:ind w:right="317"/>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199,107</w:t>
            </w:r>
          </w:p>
        </w:tc>
      </w:tr>
      <w:tr>
        <w:trPr>
          <w:trHeight w:val="168"/>
        </w:trPr>
        <w:tc>
          <w:tcPr>
            <w:tcW w:w="6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Share-based compensation</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15,934</w:t>
            </w: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17,140</w:t>
            </w:r>
          </w:p>
        </w:tc>
      </w:tr>
      <w:tr>
        <w:trPr>
          <w:trHeight w:val="163"/>
        </w:trPr>
        <w:tc>
          <w:tcPr>
            <w:tcW w:w="6040" w:type="dxa"/>
            <w:vAlign w:val="bottom"/>
          </w:tcPr>
          <w:p>
            <w:pPr>
              <w:ind w:left="20"/>
              <w:spacing w:after="0"/>
              <w:rPr>
                <w:sz w:val="20"/>
                <w:szCs w:val="20"/>
                <w:color w:val="auto"/>
              </w:rPr>
            </w:pPr>
            <w:r>
              <w:rPr>
                <w:rFonts w:ascii="Arial" w:cs="Arial" w:eastAsia="Arial" w:hAnsi="Arial"/>
                <w:sz w:val="13"/>
                <w:szCs w:val="13"/>
                <w:color w:val="auto"/>
              </w:rPr>
              <w:t>Intangibles</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2,061</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2,563</w:t>
            </w:r>
          </w:p>
        </w:tc>
      </w:tr>
      <w:tr>
        <w:trPr>
          <w:trHeight w:val="168"/>
        </w:trPr>
        <w:tc>
          <w:tcPr>
            <w:tcW w:w="6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Fixed assets and other</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12,989</w:t>
            </w: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37,100</w:t>
            </w:r>
          </w:p>
        </w:tc>
      </w:tr>
      <w:tr>
        <w:trPr>
          <w:trHeight w:val="163"/>
        </w:trPr>
        <w:tc>
          <w:tcPr>
            <w:tcW w:w="6040" w:type="dxa"/>
            <w:vAlign w:val="bottom"/>
          </w:tcPr>
          <w:p>
            <w:pPr>
              <w:ind w:left="20"/>
              <w:spacing w:after="0"/>
              <w:rPr>
                <w:sz w:val="20"/>
                <w:szCs w:val="20"/>
                <w:color w:val="auto"/>
              </w:rPr>
            </w:pPr>
            <w:r>
              <w:rPr>
                <w:rFonts w:ascii="Arial" w:cs="Arial" w:eastAsia="Arial" w:hAnsi="Arial"/>
                <w:sz w:val="13"/>
                <w:szCs w:val="13"/>
                <w:color w:val="auto"/>
              </w:rPr>
              <w:t>Tax credits and net operating loss carryforwards</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58,801</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60,597</w:t>
            </w:r>
          </w:p>
        </w:tc>
      </w:tr>
      <w:tr>
        <w:trPr>
          <w:trHeight w:val="166"/>
        </w:trPr>
        <w:tc>
          <w:tcPr>
            <w:tcW w:w="6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Less: Valuation allowance on net operating loss carryforwards and tax credits</w:t>
            </w: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(58,602)</w:t>
            </w:r>
          </w:p>
        </w:tc>
        <w:tc>
          <w:tcPr>
            <w:tcW w:w="12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(60,385)</w:t>
            </w:r>
          </w:p>
        </w:tc>
      </w:tr>
      <w:tr>
        <w:trPr>
          <w:trHeight w:val="160"/>
        </w:trPr>
        <w:tc>
          <w:tcPr>
            <w:tcW w:w="6040" w:type="dxa"/>
            <w:vAlign w:val="bottom"/>
          </w:tcPr>
          <w:p>
            <w:pPr>
              <w:ind w:left="20"/>
              <w:spacing w:after="0"/>
              <w:rPr>
                <w:sz w:val="20"/>
                <w:szCs w:val="20"/>
                <w:color w:val="auto"/>
              </w:rPr>
            </w:pPr>
            <w:r>
              <w:rPr>
                <w:rFonts w:ascii="Arial" w:cs="Arial" w:eastAsia="Arial" w:hAnsi="Arial"/>
                <w:sz w:val="13"/>
                <w:szCs w:val="13"/>
                <w:color w:val="auto"/>
              </w:rPr>
              <w:t>Total deferred income tax assets</w:t>
            </w:r>
          </w:p>
        </w:tc>
        <w:tc>
          <w:tcPr>
            <w:tcW w:w="34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211,559</w:t>
            </w:r>
          </w:p>
        </w:tc>
        <w:tc>
          <w:tcPr>
            <w:tcW w:w="120" w:type="dxa"/>
            <w:vAlign w:val="bottom"/>
          </w:tcPr>
          <w:p>
            <w:pPr>
              <w:spacing w:after="0"/>
              <w:rPr>
                <w:sz w:val="13"/>
                <w:szCs w:val="13"/>
                <w:color w:val="auto"/>
              </w:rPr>
            </w:pPr>
          </w:p>
        </w:tc>
        <w:tc>
          <w:tcPr>
            <w:tcW w:w="46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256,122</w:t>
            </w: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53"/>
        </w:trPr>
        <w:tc>
          <w:tcPr>
            <w:tcW w:w="60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165"/>
        </w:trPr>
        <w:tc>
          <w:tcPr>
            <w:tcW w:w="6040" w:type="dxa"/>
            <w:vAlign w:val="bottom"/>
          </w:tcPr>
          <w:p>
            <w:pPr>
              <w:ind w:left="20"/>
              <w:spacing w:after="0"/>
              <w:rPr>
                <w:sz w:val="20"/>
                <w:szCs w:val="20"/>
                <w:color w:val="auto"/>
              </w:rPr>
            </w:pPr>
            <w:r>
              <w:rPr>
                <w:rFonts w:ascii="Arial" w:cs="Arial" w:eastAsia="Arial" w:hAnsi="Arial"/>
                <w:sz w:val="13"/>
                <w:szCs w:val="13"/>
                <w:b w:val="1"/>
                <w:bCs w:val="1"/>
                <w:color w:val="auto"/>
              </w:rPr>
              <w:t>Deferred income tax liabilities</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6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Intangibles</w:t>
            </w:r>
          </w:p>
        </w:tc>
        <w:tc>
          <w:tcPr>
            <w:tcW w:w="34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53,106</w:t>
            </w:r>
          </w:p>
        </w:tc>
        <w:tc>
          <w:tcPr>
            <w:tcW w:w="12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ind w:right="317"/>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63,052</w:t>
            </w:r>
          </w:p>
        </w:tc>
      </w:tr>
      <w:tr>
        <w:trPr>
          <w:trHeight w:val="158"/>
        </w:trPr>
        <w:tc>
          <w:tcPr>
            <w:tcW w:w="6040" w:type="dxa"/>
            <w:vAlign w:val="bottom"/>
          </w:tcPr>
          <w:p>
            <w:pPr>
              <w:ind w:left="20"/>
              <w:spacing w:after="0"/>
              <w:rPr>
                <w:sz w:val="20"/>
                <w:szCs w:val="20"/>
                <w:color w:val="auto"/>
              </w:rPr>
            </w:pPr>
            <w:r>
              <w:rPr>
                <w:rFonts w:ascii="Arial" w:cs="Arial" w:eastAsia="Arial" w:hAnsi="Arial"/>
                <w:sz w:val="13"/>
                <w:szCs w:val="13"/>
                <w:color w:val="auto"/>
              </w:rPr>
              <w:t>Total deferred income tax liabilities</w:t>
            </w:r>
          </w:p>
        </w:tc>
        <w:tc>
          <w:tcPr>
            <w:tcW w:w="34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53,106</w:t>
            </w:r>
          </w:p>
        </w:tc>
        <w:tc>
          <w:tcPr>
            <w:tcW w:w="120" w:type="dxa"/>
            <w:vAlign w:val="bottom"/>
          </w:tcPr>
          <w:p>
            <w:pPr>
              <w:spacing w:after="0"/>
              <w:rPr>
                <w:sz w:val="13"/>
                <w:szCs w:val="13"/>
                <w:color w:val="auto"/>
              </w:rPr>
            </w:pPr>
          </w:p>
        </w:tc>
        <w:tc>
          <w:tcPr>
            <w:tcW w:w="46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63,052</w:t>
            </w:r>
          </w:p>
        </w:tc>
      </w:tr>
      <w:tr>
        <w:trPr>
          <w:trHeight w:val="20"/>
        </w:trPr>
        <w:tc>
          <w:tcPr>
            <w:tcW w:w="60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ind w:firstLine="568"/>
        <w:spacing w:after="0" w:line="273" w:lineRule="auto"/>
        <w:rPr>
          <w:sz w:val="20"/>
          <w:szCs w:val="20"/>
          <w:color w:val="auto"/>
        </w:rPr>
      </w:pPr>
      <w:r>
        <w:rPr>
          <w:rFonts w:ascii="Arial" w:cs="Arial" w:eastAsia="Arial" w:hAnsi="Arial"/>
          <w:sz w:val="15"/>
          <w:szCs w:val="15"/>
          <w:color w:val="auto"/>
        </w:rPr>
        <w:t>The Company is subject to U.S. federal, state and local income tax at the rate applicable to corporations less the rate attributable to the noncontrolling interest in Virtu Financial. These noncontrolling interests are subject to U.S. taxation as partnerships. Accordingly, for the years ended December 31, 2021, 2020 and 2019, the income attributable to these noncontrolling interests is reported in the Consolidated Statements of Comprehensive Income, but the related U.S. income tax expense attributable to these noncontrolling interests is not reported by the Company as it is the obligation of the individual partners. Income tax expense is also affected by the differing effective tax rates in foreign, state and local jurisdictions where certain of the Company’s subsidiaries are subject to corporate taxation.</w:t>
      </w:r>
    </w:p>
    <w:p>
      <w:pPr>
        <w:spacing w:after="0" w:line="179" w:lineRule="exact"/>
        <w:rPr>
          <w:sz w:val="20"/>
          <w:szCs w:val="20"/>
          <w:color w:val="auto"/>
        </w:rPr>
      </w:pPr>
    </w:p>
    <w:p>
      <w:pPr>
        <w:ind w:right="220" w:firstLine="568"/>
        <w:spacing w:after="0" w:line="311" w:lineRule="auto"/>
        <w:rPr>
          <w:sz w:val="20"/>
          <w:szCs w:val="20"/>
          <w:color w:val="auto"/>
        </w:rPr>
      </w:pPr>
      <w:r>
        <w:rPr>
          <w:rFonts w:ascii="Arial" w:cs="Arial" w:eastAsia="Arial" w:hAnsi="Arial"/>
          <w:sz w:val="14"/>
          <w:szCs w:val="14"/>
          <w:color w:val="auto"/>
        </w:rPr>
        <w:t>Included in Other assets on the Consolidated Statements of Financial Condition at December 31, 2021 and December 31, 2020 are current income tax receivables of $37.2 million and $83.1 million, respectively. These balances primarily comprise income tax benefits due to the Company from federal, state and local, and foreign tax jurisdictions based on income before taxes. Included in Accounts payable, accrued expenses and other liabilities on the Consolidated Statements of Financial</w:t>
      </w:r>
    </w:p>
    <w:p>
      <w:pPr>
        <w:spacing w:after="0" w:line="200" w:lineRule="exact"/>
        <w:rPr>
          <w:sz w:val="20"/>
          <w:szCs w:val="20"/>
          <w:color w:val="auto"/>
        </w:rPr>
      </w:pPr>
    </w:p>
    <w:p>
      <w:pPr>
        <w:spacing w:after="0" w:line="22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60"/>
          </w:cols>
          <w:pgMar w:left="320" w:top="127" w:right="419" w:bottom="1440" w:gutter="0" w:footer="0" w:header="0"/>
        </w:sectPr>
      </w:pPr>
    </w:p>
    <w:bookmarkStart w:id="117" w:name="page118"/>
    <w:bookmarkEnd w:id="11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ind w:right="220"/>
        <w:spacing w:after="0" w:line="268" w:lineRule="auto"/>
        <w:rPr>
          <w:sz w:val="20"/>
          <w:szCs w:val="20"/>
          <w:color w:val="auto"/>
        </w:rPr>
      </w:pPr>
      <w:r>
        <w:rPr>
          <w:rFonts w:ascii="Arial" w:cs="Arial" w:eastAsia="Arial" w:hAnsi="Arial"/>
          <w:sz w:val="16"/>
          <w:szCs w:val="16"/>
          <w:color w:val="auto"/>
        </w:rPr>
        <w:t>Condition at December 31, 2021 and December 31, 2020 are current tax liabilities of $16.8 million and $37.9 million, respectively. These balances primarily comprise income taxes owed to federal, state and local, and foreign tax jurisdictions based on income before taxes.</w:t>
      </w:r>
    </w:p>
    <w:p>
      <w:pPr>
        <w:spacing w:after="0" w:line="181" w:lineRule="exact"/>
        <w:rPr>
          <w:sz w:val="20"/>
          <w:szCs w:val="20"/>
          <w:color w:val="auto"/>
        </w:rPr>
      </w:pPr>
    </w:p>
    <w:p>
      <w:pPr>
        <w:ind w:right="540" w:firstLine="568"/>
        <w:spacing w:after="0" w:line="311" w:lineRule="auto"/>
        <w:rPr>
          <w:sz w:val="20"/>
          <w:szCs w:val="20"/>
          <w:color w:val="auto"/>
        </w:rPr>
      </w:pPr>
      <w:r>
        <w:rPr>
          <w:rFonts w:ascii="Arial" w:cs="Arial" w:eastAsia="Arial" w:hAnsi="Arial"/>
          <w:sz w:val="14"/>
          <w:szCs w:val="14"/>
          <w:color w:val="auto"/>
        </w:rPr>
        <w:t>Deferred income taxes arise primarily due to the amortization of the deferred tax assets recognized in connection with the IPO (see Note 6 "Tax Receivable Agreements"), the Acquisition of KCG and the ITG Acquisition (see Note 3 "ITG Acquisition"), differences in the valuation of financial assets and liabilities, and other temporary differences arising from the deductibility of compensation, depreciation, and other expenses in different time periods for book and income tax return purposes.</w:t>
      </w:r>
    </w:p>
    <w:p>
      <w:pPr>
        <w:spacing w:after="0" w:line="155" w:lineRule="exact"/>
        <w:rPr>
          <w:sz w:val="20"/>
          <w:szCs w:val="20"/>
          <w:color w:val="auto"/>
        </w:rPr>
      </w:pPr>
    </w:p>
    <w:p>
      <w:pPr>
        <w:ind w:firstLine="568"/>
        <w:spacing w:after="0" w:line="294" w:lineRule="auto"/>
        <w:rPr>
          <w:sz w:val="20"/>
          <w:szCs w:val="20"/>
          <w:color w:val="auto"/>
        </w:rPr>
      </w:pPr>
      <w:r>
        <w:rPr>
          <w:rFonts w:ascii="Arial" w:cs="Arial" w:eastAsia="Arial" w:hAnsi="Arial"/>
          <w:sz w:val="14"/>
          <w:szCs w:val="14"/>
          <w:color w:val="auto"/>
        </w:rPr>
        <w:t>There are no expiration dates on the deferred tax assets. The provisions of ASC 740 require that carrying amounts of deferred tax assets be reduced by a valuation allowance if, based on the available evidence, it is more likely than not that some portion or all of the deferred tax assets will not be realized. Accordingly, the need to establish valuation allowances for deferred tax assets is assessed periodically with appropriate consideration given to all positive and negative evidence related to the realization of the deferred tax assets. At December 31, 2021, the Company did not have any U.S. federal net operating loss carryforwards and therefore the Company did not record a deferred tax asset related to any federal net operating loss carryforwards. At December 31, 2021, the Company recorded deferred income taxes related to state and local net operating losses of $0.4 million. These net operating losses will begin to expire in 2039. The Company did not record a valuation allowance against this deferred tax asset.</w:t>
      </w:r>
    </w:p>
    <w:p>
      <w:pPr>
        <w:spacing w:after="0" w:line="166" w:lineRule="exact"/>
        <w:rPr>
          <w:sz w:val="20"/>
          <w:szCs w:val="20"/>
          <w:color w:val="auto"/>
        </w:rPr>
      </w:pPr>
    </w:p>
    <w:p>
      <w:pPr>
        <w:ind w:firstLine="568"/>
        <w:spacing w:after="0" w:line="270" w:lineRule="auto"/>
        <w:rPr>
          <w:sz w:val="20"/>
          <w:szCs w:val="20"/>
          <w:color w:val="auto"/>
        </w:rPr>
      </w:pPr>
      <w:r>
        <w:rPr>
          <w:rFonts w:ascii="Arial" w:cs="Arial" w:eastAsia="Arial" w:hAnsi="Arial"/>
          <w:sz w:val="15"/>
          <w:szCs w:val="15"/>
          <w:color w:val="auto"/>
        </w:rPr>
        <w:t>As a result of the ITG Acquisition, the Company has non-U.S. net operating losses at December 31, 2021, 2020 and of $67.2 million and $75.1 million, respectively, and has recorded a related deferred tax asset of $13.4 million and $15.2 million, respectively. A valuation allowance of $13.3 million and $15.1 million was recorded against this deferred tax asset at December 31, 2021 and 2020, respectively, as it is more likely than not that a portion of this deferred tax asset will not be realized. As a result of the Acquisition of KCG, the Company has non-U.S. net operating losses at December 31, 2021 and 2020 of $239.3 million and $239.0 million, respectively, and recorded a related deferred tax asset of $44.9 million in both years. A full valuation allowance was also recorded against this deferred tax asset at December 31, 2021 and 2020 as it is more likely than not that this deferred tax asset will not be realized. No valuation allowance against the remaining deferred taxes was recorded as of December 31, 2021 and 2020 because it is more likely than not that these deferred tax assets will be fully realized.</w:t>
      </w:r>
    </w:p>
    <w:p>
      <w:pPr>
        <w:spacing w:after="0" w:line="181" w:lineRule="exact"/>
        <w:rPr>
          <w:sz w:val="20"/>
          <w:szCs w:val="20"/>
          <w:color w:val="auto"/>
        </w:rPr>
      </w:pPr>
    </w:p>
    <w:p>
      <w:pPr>
        <w:ind w:right="140" w:firstLine="568"/>
        <w:spacing w:after="0" w:line="273" w:lineRule="auto"/>
        <w:rPr>
          <w:sz w:val="20"/>
          <w:szCs w:val="20"/>
          <w:color w:val="auto"/>
        </w:rPr>
      </w:pPr>
      <w:r>
        <w:rPr>
          <w:rFonts w:ascii="Arial" w:cs="Arial" w:eastAsia="Arial" w:hAnsi="Arial"/>
          <w:sz w:val="15"/>
          <w:szCs w:val="15"/>
          <w:color w:val="auto"/>
        </w:rPr>
        <w:t>The Company is subject to taxation in U.S. federal, state, local and foreign jurisdictions. As a result of the ITG Acquisition and the Acquisition of KCG, the Company has assumed any ITG and KCG tax exposures. As of December 31, 2021, the Company’s tax years for 2015 through 2020 and 2017 through 2020 are subject to examination by U.S. and non-U.S. tax authorities, respectively. In addition, the Company is subject to state and local income tax examinations in various jurisdictions for the tax years 2013 through 2020. The outcome of these examinations is not yet determinable. However, the Company anticipates that adjustments to the unrecognized tax benefits, if any, will not result in a material change to the financial condition, results of operations and cash flows.</w:t>
      </w:r>
    </w:p>
    <w:p>
      <w:pPr>
        <w:spacing w:after="0" w:line="179" w:lineRule="exact"/>
        <w:rPr>
          <w:sz w:val="20"/>
          <w:szCs w:val="20"/>
          <w:color w:val="auto"/>
        </w:rPr>
      </w:pPr>
    </w:p>
    <w:p>
      <w:pPr>
        <w:ind w:right="380" w:firstLine="568"/>
        <w:spacing w:after="0" w:line="257" w:lineRule="auto"/>
        <w:rPr>
          <w:sz w:val="20"/>
          <w:szCs w:val="20"/>
          <w:color w:val="auto"/>
        </w:rPr>
      </w:pPr>
      <w:r>
        <w:rPr>
          <w:rFonts w:ascii="Arial" w:cs="Arial" w:eastAsia="Arial" w:hAnsi="Arial"/>
          <w:sz w:val="16"/>
          <w:szCs w:val="16"/>
          <w:color w:val="auto"/>
        </w:rPr>
        <w:t>The Company’s policy for recording interest and penalties associated with audits is to record such items as a component of income or loss before income taxes and noncontrolling interest. Penalties, if any, are recorded in Operations and administrative expense and interest received or paid is recorded in Other, net or Operations and administrative expense in the Consolidated Statements of Comprehensive Income.</w:t>
      </w:r>
    </w:p>
    <w:p>
      <w:pPr>
        <w:spacing w:after="0" w:line="190" w:lineRule="exact"/>
        <w:rPr>
          <w:sz w:val="20"/>
          <w:szCs w:val="20"/>
          <w:color w:val="auto"/>
        </w:rPr>
      </w:pPr>
    </w:p>
    <w:p>
      <w:pPr>
        <w:ind w:right="300" w:firstLine="568"/>
        <w:spacing w:after="0" w:line="341" w:lineRule="auto"/>
        <w:rPr>
          <w:sz w:val="20"/>
          <w:szCs w:val="20"/>
          <w:color w:val="auto"/>
        </w:rPr>
      </w:pPr>
      <w:r>
        <w:rPr>
          <w:rFonts w:ascii="Arial" w:cs="Arial" w:eastAsia="Arial" w:hAnsi="Arial"/>
          <w:sz w:val="14"/>
          <w:szCs w:val="14"/>
          <w:color w:val="auto"/>
        </w:rPr>
        <w:t>The Company had $6.3 million of unrecognized tax benefits as of December 31, 2021, all of which would affect the Company’s effective tax rate if recognized. The Company has determined that there are no uncertain tax positions that would have a material impact on the Company’s financial position as of December 31, 2021.</w:t>
      </w:r>
    </w:p>
    <w:p>
      <w:pPr>
        <w:spacing w:after="0" w:line="134" w:lineRule="exact"/>
        <w:rPr>
          <w:sz w:val="20"/>
          <w:szCs w:val="20"/>
          <w:color w:val="auto"/>
        </w:rPr>
      </w:pPr>
    </w:p>
    <w:p>
      <w:pPr>
        <w:ind w:right="540" w:firstLine="568"/>
        <w:spacing w:after="0" w:line="268" w:lineRule="auto"/>
        <w:rPr>
          <w:sz w:val="20"/>
          <w:szCs w:val="20"/>
          <w:color w:val="auto"/>
        </w:rPr>
      </w:pPr>
      <w:r>
        <w:rPr>
          <w:rFonts w:ascii="Arial" w:cs="Arial" w:eastAsia="Arial" w:hAnsi="Arial"/>
          <w:sz w:val="16"/>
          <w:szCs w:val="16"/>
          <w:color w:val="auto"/>
        </w:rPr>
        <w:t>The table below presents the changes in the liability for unrecognized tax benefits. This liability is included in Accounts payable and accrued expenses and other liabilities on the Consolidated Statements of Financial Condition.</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8" w:name="page119"/>
    <w:bookmarkEnd w:id="11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19" w:lineRule="exact"/>
        <w:rPr>
          <w:sz w:val="20"/>
          <w:szCs w:val="20"/>
          <w:color w:val="auto"/>
        </w:rPr>
      </w:pPr>
    </w:p>
    <w:tbl>
      <w:tblPr>
        <w:tblLayout w:type="fixed"/>
        <w:tblInd w:w="2000" w:type="dxa"/>
        <w:tblCellMar>
          <w:top w:w="0" w:type="dxa"/>
          <w:left w:w="0" w:type="dxa"/>
          <w:bottom w:w="0" w:type="dxa"/>
          <w:right w:w="0" w:type="dxa"/>
        </w:tblCellMar>
      </w:tblPr>
      <w:tr>
        <w:trPr>
          <w:trHeight w:val="169"/>
        </w:trPr>
        <w:tc>
          <w:tcPr>
            <w:tcW w:w="5300" w:type="dxa"/>
            <w:vAlign w:val="bottom"/>
          </w:tcPr>
          <w:p>
            <w:pPr>
              <w:ind w:left="300"/>
              <w:spacing w:after="0"/>
              <w:rPr>
                <w:sz w:val="20"/>
                <w:szCs w:val="20"/>
                <w:color w:val="auto"/>
              </w:rPr>
            </w:pPr>
            <w:r>
              <w:rPr>
                <w:rFonts w:ascii="Arial" w:cs="Arial" w:eastAsia="Arial" w:hAnsi="Arial"/>
                <w:sz w:val="13"/>
                <w:szCs w:val="13"/>
                <w:b w:val="1"/>
                <w:bCs w:val="1"/>
                <w:color w:val="auto"/>
              </w:rPr>
              <w:t>(in thousands)</w:t>
            </w: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5300" w:type="dxa"/>
            <w:vAlign w:val="bottom"/>
            <w:shd w:val="clear" w:color="auto" w:fill="CCEEFF"/>
          </w:tcPr>
          <w:p>
            <w:pPr>
              <w:ind w:left="300"/>
              <w:spacing w:after="0"/>
              <w:rPr>
                <w:sz w:val="20"/>
                <w:szCs w:val="20"/>
                <w:color w:val="auto"/>
              </w:rPr>
            </w:pPr>
            <w:r>
              <w:rPr>
                <w:rFonts w:ascii="Arial" w:cs="Arial" w:eastAsia="Arial" w:hAnsi="Arial"/>
                <w:sz w:val="13"/>
                <w:szCs w:val="13"/>
                <w:color w:val="auto"/>
              </w:rPr>
              <w:t>Balance at December 31, 2018</w:t>
            </w:r>
          </w:p>
        </w:tc>
        <w:tc>
          <w:tcPr>
            <w:tcW w:w="1100" w:type="dxa"/>
            <w:vAlign w:val="bottom"/>
            <w:shd w:val="clear" w:color="auto" w:fill="CCEEFF"/>
          </w:tcPr>
          <w:p>
            <w:pPr>
              <w:jc w:val="right"/>
              <w:ind w:right="677"/>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7,328</w:t>
            </w:r>
          </w:p>
        </w:tc>
      </w:tr>
      <w:tr>
        <w:trPr>
          <w:trHeight w:val="163"/>
        </w:trPr>
        <w:tc>
          <w:tcPr>
            <w:tcW w:w="5300" w:type="dxa"/>
            <w:vAlign w:val="bottom"/>
          </w:tcPr>
          <w:p>
            <w:pPr>
              <w:ind w:left="400"/>
              <w:spacing w:after="0"/>
              <w:rPr>
                <w:sz w:val="20"/>
                <w:szCs w:val="20"/>
                <w:color w:val="auto"/>
              </w:rPr>
            </w:pPr>
            <w:r>
              <w:rPr>
                <w:rFonts w:ascii="Arial" w:cs="Arial" w:eastAsia="Arial" w:hAnsi="Arial"/>
                <w:sz w:val="13"/>
                <w:szCs w:val="13"/>
                <w:color w:val="auto"/>
              </w:rPr>
              <w:t>Increase from ITG Acquisition</w:t>
            </w:r>
          </w:p>
        </w:tc>
        <w:tc>
          <w:tcPr>
            <w:tcW w:w="1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2,713</w:t>
            </w:r>
          </w:p>
        </w:tc>
      </w:tr>
      <w:tr>
        <w:trPr>
          <w:trHeight w:val="168"/>
        </w:trPr>
        <w:tc>
          <w:tcPr>
            <w:tcW w:w="5300" w:type="dxa"/>
            <w:vAlign w:val="bottom"/>
            <w:shd w:val="clear" w:color="auto" w:fill="CCEEFF"/>
          </w:tcPr>
          <w:p>
            <w:pPr>
              <w:ind w:left="400"/>
              <w:spacing w:after="0"/>
              <w:rPr>
                <w:sz w:val="20"/>
                <w:szCs w:val="20"/>
                <w:color w:val="auto"/>
              </w:rPr>
            </w:pPr>
            <w:r>
              <w:rPr>
                <w:rFonts w:ascii="Arial" w:cs="Arial" w:eastAsia="Arial" w:hAnsi="Arial"/>
                <w:sz w:val="13"/>
                <w:szCs w:val="13"/>
                <w:color w:val="auto"/>
              </w:rPr>
              <w:t>Decreases based on tax positions related to prior period</w:t>
            </w:r>
          </w:p>
        </w:tc>
        <w:tc>
          <w:tcPr>
            <w:tcW w:w="1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(1,263)</w:t>
            </w:r>
          </w:p>
        </w:tc>
      </w:tr>
      <w:tr>
        <w:trPr>
          <w:trHeight w:val="163"/>
        </w:trPr>
        <w:tc>
          <w:tcPr>
            <w:tcW w:w="5300" w:type="dxa"/>
            <w:vAlign w:val="bottom"/>
            <w:tcBorders>
              <w:bottom w:val="single" w:sz="8" w:color="CCEEFF"/>
            </w:tcBorders>
          </w:tcPr>
          <w:p>
            <w:pPr>
              <w:ind w:left="400"/>
              <w:spacing w:after="0"/>
              <w:rPr>
                <w:sz w:val="20"/>
                <w:szCs w:val="20"/>
                <w:color w:val="auto"/>
              </w:rPr>
            </w:pPr>
            <w:r>
              <w:rPr>
                <w:rFonts w:ascii="Arial" w:cs="Arial" w:eastAsia="Arial" w:hAnsi="Arial"/>
                <w:sz w:val="13"/>
                <w:szCs w:val="13"/>
                <w:color w:val="auto"/>
              </w:rPr>
              <w:t>Increase based on tax positions related to current period</w:t>
            </w:r>
          </w:p>
        </w:tc>
        <w:tc>
          <w:tcPr>
            <w:tcW w:w="1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60"/>
        </w:trPr>
        <w:tc>
          <w:tcPr>
            <w:tcW w:w="5300" w:type="dxa"/>
            <w:vAlign w:val="bottom"/>
            <w:shd w:val="clear" w:color="auto" w:fill="CCEEFF"/>
          </w:tcPr>
          <w:p>
            <w:pPr>
              <w:ind w:left="300"/>
              <w:spacing w:after="0"/>
              <w:rPr>
                <w:sz w:val="20"/>
                <w:szCs w:val="20"/>
                <w:color w:val="auto"/>
              </w:rPr>
            </w:pPr>
            <w:r>
              <w:rPr>
                <w:rFonts w:ascii="Arial" w:cs="Arial" w:eastAsia="Arial" w:hAnsi="Arial"/>
                <w:sz w:val="13"/>
                <w:szCs w:val="13"/>
                <w:color w:val="auto"/>
              </w:rPr>
              <w:t>Balance at December 31, 2019</w:t>
            </w:r>
          </w:p>
        </w:tc>
        <w:tc>
          <w:tcPr>
            <w:tcW w:w="110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8,778</w:t>
            </w:r>
          </w:p>
        </w:tc>
      </w:tr>
      <w:tr>
        <w:trPr>
          <w:trHeight w:val="163"/>
        </w:trPr>
        <w:tc>
          <w:tcPr>
            <w:tcW w:w="5300" w:type="dxa"/>
            <w:vAlign w:val="bottom"/>
          </w:tcPr>
          <w:p>
            <w:pPr>
              <w:ind w:left="400"/>
              <w:spacing w:after="0"/>
              <w:rPr>
                <w:sz w:val="20"/>
                <w:szCs w:val="20"/>
                <w:color w:val="auto"/>
              </w:rPr>
            </w:pPr>
            <w:r>
              <w:rPr>
                <w:rFonts w:ascii="Arial" w:cs="Arial" w:eastAsia="Arial" w:hAnsi="Arial"/>
                <w:sz w:val="13"/>
                <w:szCs w:val="13"/>
                <w:color w:val="auto"/>
              </w:rPr>
              <w:t>Decreases based on tax positions related to prior period</w:t>
            </w:r>
          </w:p>
        </w:tc>
        <w:tc>
          <w:tcPr>
            <w:tcW w:w="1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(311)</w:t>
            </w:r>
          </w:p>
        </w:tc>
      </w:tr>
      <w:tr>
        <w:trPr>
          <w:trHeight w:val="168"/>
        </w:trPr>
        <w:tc>
          <w:tcPr>
            <w:tcW w:w="5300" w:type="dxa"/>
            <w:vAlign w:val="bottom"/>
            <w:shd w:val="clear" w:color="auto" w:fill="CCEEFF"/>
          </w:tcPr>
          <w:p>
            <w:pPr>
              <w:ind w:left="400"/>
              <w:spacing w:after="0"/>
              <w:rPr>
                <w:sz w:val="20"/>
                <w:szCs w:val="20"/>
                <w:color w:val="auto"/>
              </w:rPr>
            </w:pPr>
            <w:r>
              <w:rPr>
                <w:rFonts w:ascii="Arial" w:cs="Arial" w:eastAsia="Arial" w:hAnsi="Arial"/>
                <w:sz w:val="13"/>
                <w:szCs w:val="13"/>
                <w:color w:val="auto"/>
              </w:rPr>
              <w:t>Increase based on tax positions related to current period</w:t>
            </w:r>
          </w:p>
        </w:tc>
        <w:tc>
          <w:tcPr>
            <w:tcW w:w="110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110</w:t>
            </w:r>
          </w:p>
        </w:tc>
      </w:tr>
      <w:tr>
        <w:trPr>
          <w:trHeight w:val="155"/>
        </w:trPr>
        <w:tc>
          <w:tcPr>
            <w:tcW w:w="5300" w:type="dxa"/>
            <w:vAlign w:val="bottom"/>
          </w:tcPr>
          <w:p>
            <w:pPr>
              <w:ind w:left="300"/>
              <w:spacing w:after="0" w:line="148" w:lineRule="exact"/>
              <w:rPr>
                <w:sz w:val="20"/>
                <w:szCs w:val="20"/>
                <w:color w:val="auto"/>
              </w:rPr>
            </w:pPr>
            <w:r>
              <w:rPr>
                <w:rFonts w:ascii="Arial" w:cs="Arial" w:eastAsia="Arial" w:hAnsi="Arial"/>
                <w:sz w:val="13"/>
                <w:szCs w:val="13"/>
                <w:color w:val="auto"/>
              </w:rPr>
              <w:t>Balance at December 31, 2020</w:t>
            </w:r>
          </w:p>
        </w:tc>
        <w:tc>
          <w:tcPr>
            <w:tcW w:w="11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8,577</w:t>
            </w:r>
          </w:p>
        </w:tc>
      </w:tr>
      <w:tr>
        <w:trPr>
          <w:trHeight w:val="168"/>
        </w:trPr>
        <w:tc>
          <w:tcPr>
            <w:tcW w:w="5300" w:type="dxa"/>
            <w:vAlign w:val="bottom"/>
            <w:shd w:val="clear" w:color="auto" w:fill="CCEEFF"/>
          </w:tcPr>
          <w:p>
            <w:pPr>
              <w:ind w:left="400"/>
              <w:spacing w:after="0"/>
              <w:rPr>
                <w:sz w:val="20"/>
                <w:szCs w:val="20"/>
                <w:color w:val="auto"/>
              </w:rPr>
            </w:pPr>
            <w:r>
              <w:rPr>
                <w:rFonts w:ascii="Arial" w:cs="Arial" w:eastAsia="Arial" w:hAnsi="Arial"/>
                <w:sz w:val="13"/>
                <w:szCs w:val="13"/>
                <w:color w:val="auto"/>
              </w:rPr>
              <w:t>Decreases based on tax positions related to prior period</w:t>
            </w:r>
          </w:p>
        </w:tc>
        <w:tc>
          <w:tcPr>
            <w:tcW w:w="1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(2,300)</w:t>
            </w:r>
          </w:p>
        </w:tc>
      </w:tr>
      <w:tr>
        <w:trPr>
          <w:trHeight w:val="163"/>
        </w:trPr>
        <w:tc>
          <w:tcPr>
            <w:tcW w:w="5300" w:type="dxa"/>
            <w:vAlign w:val="bottom"/>
            <w:tcBorders>
              <w:bottom w:val="single" w:sz="8" w:color="CCEEFF"/>
            </w:tcBorders>
          </w:tcPr>
          <w:p>
            <w:pPr>
              <w:ind w:left="400"/>
              <w:spacing w:after="0"/>
              <w:rPr>
                <w:sz w:val="20"/>
                <w:szCs w:val="20"/>
                <w:color w:val="auto"/>
              </w:rPr>
            </w:pPr>
            <w:r>
              <w:rPr>
                <w:rFonts w:ascii="Arial" w:cs="Arial" w:eastAsia="Arial" w:hAnsi="Arial"/>
                <w:sz w:val="13"/>
                <w:szCs w:val="13"/>
                <w:color w:val="auto"/>
              </w:rPr>
              <w:t>Increase based on tax positions related to current period</w:t>
            </w:r>
          </w:p>
        </w:tc>
        <w:tc>
          <w:tcPr>
            <w:tcW w:w="1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w:t>
            </w:r>
          </w:p>
        </w:tc>
      </w:tr>
      <w:tr>
        <w:trPr>
          <w:trHeight w:val="185"/>
        </w:trPr>
        <w:tc>
          <w:tcPr>
            <w:tcW w:w="53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3"/>
                <w:szCs w:val="13"/>
                <w:color w:val="auto"/>
              </w:rPr>
              <w:t>Balance at December 31, 2021</w:t>
            </w:r>
          </w:p>
        </w:tc>
        <w:tc>
          <w:tcPr>
            <w:tcW w:w="1100" w:type="dxa"/>
            <w:vAlign w:val="bottom"/>
            <w:tcBorders>
              <w:bottom w:val="single" w:sz="8" w:color="auto"/>
            </w:tcBorders>
            <w:shd w:val="clear" w:color="auto" w:fill="CCEEFF"/>
          </w:tcPr>
          <w:p>
            <w:pPr>
              <w:jc w:val="right"/>
              <w:ind w:right="677"/>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6,297</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16. Commitments, Contingencies and Guarantees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Legal Proceedings</w:t>
      </w:r>
    </w:p>
    <w:p>
      <w:pPr>
        <w:spacing w:after="0" w:line="219" w:lineRule="exact"/>
        <w:rPr>
          <w:sz w:val="20"/>
          <w:szCs w:val="20"/>
          <w:color w:val="auto"/>
        </w:rPr>
      </w:pPr>
    </w:p>
    <w:p>
      <w:pPr>
        <w:ind w:firstLine="568"/>
        <w:spacing w:after="0" w:line="267" w:lineRule="auto"/>
        <w:rPr>
          <w:sz w:val="20"/>
          <w:szCs w:val="20"/>
          <w:color w:val="auto"/>
        </w:rPr>
      </w:pPr>
      <w:r>
        <w:rPr>
          <w:rFonts w:ascii="Arial" w:cs="Arial" w:eastAsia="Arial" w:hAnsi="Arial"/>
          <w:sz w:val="15"/>
          <w:szCs w:val="15"/>
          <w:color w:val="auto"/>
        </w:rPr>
        <w:t>In the ordinary course of business, the nature of the Company’s business subjects it to claims, lawsuits, regulatory examinations or investigations and other proceedings. The Company and its subsidiaries are subject to several of these matters at the present time. Given the inherent difficulty of predicting the outcome of litigation and regulatory matters, particularly in regulatory examinations or investigations or other proceedings in which substantial or indeterminate judgments, settlements, disgorgements, restitution, penalties, injunctions, damages or fines are sought, or where such matters are in the early stages, the Company cannot estimate losses or ranges of losses for such matters where there is only a reasonable possibility that a loss may be incurred. In addition, there are numerous factors that result in a greater degree of complexity in class-action lawsuits as compared to other types of litigation. There can be no assurance that these legal proceedings will not have a material adverse effect on the Company’s results of operations in any future period, and a material judgment, fine or sanction could have a material adverse impact on the Company’s financial condition, results of operations and cash flows. However, it is the opinion of management, after consultation with legal counsel that, based on information currently available, the ultimate outcome of these matters will not have a material adverse impact on the business, financial condition or operating results of the Company, although they might be material to the operating results for any particular reporting period. The Company carries directors’ and officers’ liability insurance coverage and other insurance coverage for potential claims, including securities actions, against the Company and its respective directors and officers.</w:t>
      </w:r>
    </w:p>
    <w:p>
      <w:pPr>
        <w:spacing w:after="0" w:line="186" w:lineRule="exact"/>
        <w:rPr>
          <w:sz w:val="20"/>
          <w:szCs w:val="20"/>
          <w:color w:val="auto"/>
        </w:rPr>
      </w:pPr>
    </w:p>
    <w:p>
      <w:pPr>
        <w:ind w:right="60" w:firstLine="568"/>
        <w:spacing w:after="0" w:line="297" w:lineRule="auto"/>
        <w:rPr>
          <w:sz w:val="20"/>
          <w:szCs w:val="20"/>
          <w:color w:val="auto"/>
        </w:rPr>
      </w:pPr>
      <w:r>
        <w:rPr>
          <w:rFonts w:ascii="Arial" w:cs="Arial" w:eastAsia="Arial" w:hAnsi="Arial"/>
          <w:sz w:val="14"/>
          <w:szCs w:val="14"/>
          <w:color w:val="auto"/>
        </w:rPr>
        <w:t xml:space="preserve">On November 30, 2020, the Company was named as a defendant in </w:t>
      </w:r>
      <w:r>
        <w:rPr>
          <w:rFonts w:ascii="Arial" w:cs="Arial" w:eastAsia="Arial" w:hAnsi="Arial"/>
          <w:sz w:val="14"/>
          <w:szCs w:val="14"/>
          <w:i w:val="1"/>
          <w:iCs w:val="1"/>
          <w:color w:val="auto"/>
        </w:rPr>
        <w:t>In re United States Oil Fund, LP Securities Litigation</w:t>
      </w:r>
      <w:r>
        <w:rPr>
          <w:rFonts w:ascii="Arial" w:cs="Arial" w:eastAsia="Arial" w:hAnsi="Arial"/>
          <w:sz w:val="14"/>
          <w:szCs w:val="14"/>
          <w:color w:val="auto"/>
        </w:rPr>
        <w:t>, No. 20-cv-4740. The consolidated amended complaint was filed in federal district court in New York on behalf of a putative class, and asserts claims against the Company and numerous other financial institutions under Section 11 of the Securities Act of 1933 in connection with trading in United States Oil Fund, LP, a crude oil ETF. The complaint also names the ETF, its sponsor, and related individuals as defendants. The complaint did not specify the amount of alleged damages. Defendants moved to dismiss the consolidated amended complaint on January 29, 2021 and plaintiffs subsequently filed its opposition to the motion on March 30, 2021. The Company believes that the claims are without merit and is defending itself vigorously.</w:t>
      </w:r>
    </w:p>
    <w:p>
      <w:pPr>
        <w:spacing w:after="0" w:line="152" w:lineRule="exact"/>
        <w:rPr>
          <w:sz w:val="20"/>
          <w:szCs w:val="20"/>
          <w:color w:val="auto"/>
        </w:rPr>
      </w:pPr>
    </w:p>
    <w:p>
      <w:pPr>
        <w:ind w:right="40" w:firstLine="568"/>
        <w:spacing w:after="0" w:line="261" w:lineRule="auto"/>
        <w:rPr>
          <w:sz w:val="20"/>
          <w:szCs w:val="20"/>
          <w:color w:val="auto"/>
        </w:rPr>
      </w:pPr>
      <w:r>
        <w:rPr>
          <w:rFonts w:ascii="Arial" w:cs="Arial" w:eastAsia="Arial" w:hAnsi="Arial"/>
          <w:sz w:val="14"/>
          <w:szCs w:val="14"/>
          <w:color w:val="auto"/>
        </w:rPr>
        <w:t xml:space="preserve">On August 31, 2021, the Company was named as a defendant in </w:t>
      </w:r>
      <w:r>
        <w:rPr>
          <w:rFonts w:ascii="Arial" w:cs="Arial" w:eastAsia="Arial" w:hAnsi="Arial"/>
          <w:sz w:val="14"/>
          <w:szCs w:val="14"/>
          <w:i w:val="1"/>
          <w:iCs w:val="1"/>
          <w:color w:val="auto"/>
        </w:rPr>
        <w:t>Alers v. Robinhood Financial, LLC et al</w:t>
      </w:r>
      <w:r>
        <w:rPr>
          <w:rFonts w:ascii="Arial" w:cs="Arial" w:eastAsia="Arial" w:hAnsi="Arial"/>
          <w:sz w:val="14"/>
          <w:szCs w:val="14"/>
          <w:color w:val="auto"/>
        </w:rPr>
        <w:t xml:space="preserve"> No. 21-cv-61848. The complaint was filed in federal district court in Florida on behalf of a putative class, and asserts claims against the Company and numerous other financial institutions alleging a breach of fiduciary duty by Robinhood and aiding and abetting thereof by the Company and other market making firms. The complaint did not specify the amount of alleged damages. On December 31, 2021, plaintiffs filed an amended complaint, after which, on January 21, 2022, Robinhood and the market-maker defendants moved to transfer the case to the Northern District of California, or in the alternative, to dismiss the amended complaint. The Company believes that the claims are without merit and is defending itself vigorously.</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9" w:name="page120"/>
    <w:bookmarkEnd w:id="11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Legal and Regulatory Matters</w:t>
      </w:r>
    </w:p>
    <w:p>
      <w:pPr>
        <w:spacing w:after="0" w:line="207" w:lineRule="exact"/>
        <w:rPr>
          <w:sz w:val="20"/>
          <w:szCs w:val="20"/>
          <w:color w:val="auto"/>
        </w:rPr>
      </w:pPr>
    </w:p>
    <w:p>
      <w:pPr>
        <w:ind w:right="20" w:firstLine="568"/>
        <w:spacing w:after="0" w:line="251" w:lineRule="auto"/>
        <w:rPr>
          <w:sz w:val="20"/>
          <w:szCs w:val="20"/>
          <w:color w:val="auto"/>
        </w:rPr>
      </w:pPr>
      <w:r>
        <w:rPr>
          <w:rFonts w:ascii="Arial" w:cs="Arial" w:eastAsia="Arial" w:hAnsi="Arial"/>
          <w:sz w:val="14"/>
          <w:szCs w:val="14"/>
          <w:color w:val="auto"/>
        </w:rPr>
        <w:t>The Company owns subsidiaries including regulated entities that are subject to extensive oversight under federal, state and applicable international laws as well as self-regulatory organization (“SRO”) rules. Changes in market structure and the need to remain competitive require constant changes to the Company's systems, order routing and order handling procedures. The Company makes these changes while continuously endeavoring to comply with many complex laws and rules. Compliance, surveillance and trading issues common in the securities industry are monitored by, reported to, and/or reviewed in the ordinary course of business by the Company's regulators in the U.S. and abroad. As a major order flow execution destination, the Company is named from time to time in, or is asked to respond to a number of regulatory matters brought by U.S. regulators, foreign regulators, SROs, as well as actions brought by private plaintiffs, which arise from its business activities. There has recently been an increased focus by regulators on Anti-Money Laundering and sanctions compliance by broker-dealers and similar entities, as well as an enhanced interest on suspicious activity reporting and transactions involving microcap and low-priced securities. In addition, there has been an increased regulatory, congressional and media scrutiny of U.S. equities market structure, the retail trading environment in the U.S., wholesale market making and the relationships between retail broker-dealers and market making firms, including but not limited to payment for order flow arrangements, other remuneration arrangements such as profit-sharing relationships and exchange fee and rebate structures, alternative trading systems and off-exchange trading more generally, high frequency trading, short selling, market fragmentation, colocation, and access to market data feeds. From time to time, the Company is the subject of requests for information and documents from the SEC, the Financial Industry Regulatory Authority ("FINRA"), state attorneys general, and other regulators and governmental authorities. It is the Company's practice to cooperate and comply with the requests for information and documents.</w:t>
      </w:r>
    </w:p>
    <w:p>
      <w:pPr>
        <w:spacing w:after="0" w:line="191"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Company is currently the subject of various regulatory reviews and investigations by state, federal and foreign regulators and SROs, including the SEC and FINRA.</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In some instances, these matters may result in a disciplinary action and/or a civil or administrative action.</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Representations and Warranties; Indemnification Arrangements</w:t>
      </w:r>
    </w:p>
    <w:p>
      <w:pPr>
        <w:spacing w:after="0" w:line="219" w:lineRule="exact"/>
        <w:rPr>
          <w:sz w:val="20"/>
          <w:szCs w:val="20"/>
          <w:color w:val="auto"/>
        </w:rPr>
      </w:pPr>
    </w:p>
    <w:p>
      <w:pPr>
        <w:ind w:right="180" w:firstLine="568"/>
        <w:spacing w:after="0" w:line="294" w:lineRule="auto"/>
        <w:rPr>
          <w:sz w:val="20"/>
          <w:szCs w:val="20"/>
          <w:color w:val="auto"/>
        </w:rPr>
      </w:pPr>
      <w:r>
        <w:rPr>
          <w:rFonts w:ascii="Arial" w:cs="Arial" w:eastAsia="Arial" w:hAnsi="Arial"/>
          <w:sz w:val="14"/>
          <w:szCs w:val="14"/>
          <w:color w:val="auto"/>
        </w:rPr>
        <w:t>In the normal course of its operations, the Company enters into contracts that contain a variety of representations and warranties in addition to indemnification obligations, including indemnification obligations in connection with the Acquisition of KCG and the ITG Acquisition. The Company's maximum exposure under these arrangements is currently unknown, as any such exposure could relate to claims not yet brought or events which have not yet occurred. For example, in November 2013, KCG sold Urban Financial of America, LLC (“Urban”), the reverse mortgage origination and securitization business previously owned by Knight Capital Group, Inc., to an investor group now known as Finance of America Reverse, LLC (“FAR”). Pursuant to the terms of the Stock Purchase Agreement between KCG and FAR, Virtu has certain continuing obligations related to KCG's prior ownership of Urban and has been and, in the future may be, advised by FAR of potential claims thereunder.</w:t>
      </w:r>
    </w:p>
    <w:p>
      <w:pPr>
        <w:spacing w:after="0" w:line="166" w:lineRule="exact"/>
        <w:rPr>
          <w:sz w:val="20"/>
          <w:szCs w:val="20"/>
          <w:color w:val="auto"/>
        </w:rPr>
      </w:pPr>
    </w:p>
    <w:p>
      <w:pPr>
        <w:ind w:firstLine="568"/>
        <w:spacing w:after="0" w:line="302" w:lineRule="auto"/>
        <w:rPr>
          <w:sz w:val="20"/>
          <w:szCs w:val="20"/>
          <w:color w:val="auto"/>
        </w:rPr>
      </w:pPr>
      <w:r>
        <w:rPr>
          <w:rFonts w:ascii="Arial" w:cs="Arial" w:eastAsia="Arial" w:hAnsi="Arial"/>
          <w:sz w:val="14"/>
          <w:szCs w:val="14"/>
          <w:color w:val="auto"/>
        </w:rPr>
        <w:t>Consistent with standard business practices in the normal course of business, the Company enters into contracts that contain a variety of representations and warranties and general indemnifications. The Company has also provided general indemnifications to its managers, officers, directors, employees, and agents against expenses, legal fees, judgments, fines, settlements, and other amounts actually and reasonably incurred by such persons under certain circumstances as more fully disclosed in its operating agreement. The overall maximum amount of the obligations (if any) cannot reasonably be estimated as it will depend on the facts and circumstances that give rise to any future claims.</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17. Leases</w:t>
      </w:r>
    </w:p>
    <w:p>
      <w:pPr>
        <w:spacing w:after="0" w:line="223" w:lineRule="exact"/>
        <w:rPr>
          <w:sz w:val="20"/>
          <w:szCs w:val="20"/>
          <w:color w:val="auto"/>
        </w:rPr>
      </w:pPr>
    </w:p>
    <w:p>
      <w:pPr>
        <w:ind w:right="60" w:firstLine="568"/>
        <w:spacing w:after="0" w:line="252" w:lineRule="auto"/>
        <w:rPr>
          <w:sz w:val="20"/>
          <w:szCs w:val="20"/>
          <w:color w:val="auto"/>
        </w:rPr>
      </w:pPr>
      <w:r>
        <w:rPr>
          <w:rFonts w:ascii="Arial" w:cs="Arial" w:eastAsia="Arial" w:hAnsi="Arial"/>
          <w:sz w:val="16"/>
          <w:szCs w:val="16"/>
          <w:color w:val="auto"/>
        </w:rPr>
        <w:t xml:space="preserve">The Company adopted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on January 1, 2019, and elected the modified retrospective method of implementation. The standard requires the recognition of ROU assets and lease liabilities for leases, which are defined as a contract, or part of a contract, that conveys the right to control the use of identified property, plant or equipment for a period of time in exchange for consideration. The Company has elected the practical expedient which allows for leases with an initial term of 12 months or less to be excluded from recognition on the Consolidated Statements of Financial Condition and for which lease expense is recognized on a straight-line basis over the lease term.</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0" w:name="page121"/>
    <w:bookmarkEnd w:id="12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ind w:firstLine="568"/>
        <w:spacing w:after="0" w:line="250" w:lineRule="auto"/>
        <w:rPr>
          <w:sz w:val="20"/>
          <w:szCs w:val="20"/>
          <w:color w:val="auto"/>
        </w:rPr>
      </w:pPr>
      <w:r>
        <w:rPr>
          <w:rFonts w:ascii="Arial" w:cs="Arial" w:eastAsia="Arial" w:hAnsi="Arial"/>
          <w:sz w:val="16"/>
          <w:szCs w:val="16"/>
          <w:color w:val="auto"/>
        </w:rPr>
        <w:t>Topic 842 primarily affected the accounting treatment for operating lease agreements in which the Company is the lessee. These leases are primarily for corporate office space, datacenters, and technology equipment. The leases have remaining terms of 1 year to 11 years, some of which include options to extend the initial term at the Company's discretion. The lease terms used in calculating ROU assets and lease liabilities include the options to extend the initial term when the Company is reasonably certain of exercising the options. The Company's lease agreements do not contain any material residual value guarantees, restrictions or covenants. In addition to the base rental costs, the Company’s lease agreements for corporate office space generally provide for rent escalations resulting from increased assessments for operating expenses, real estate taxes and other charges. Payments for such reimbursable expenses are considered variable and are recognized as variable lease costs in the period in which the obligation for those payments was incurred.</w:t>
      </w:r>
    </w:p>
    <w:p>
      <w:pPr>
        <w:spacing w:after="0" w:line="197" w:lineRule="exact"/>
        <w:rPr>
          <w:sz w:val="20"/>
          <w:szCs w:val="20"/>
          <w:color w:val="auto"/>
        </w:rPr>
      </w:pPr>
    </w:p>
    <w:p>
      <w:pPr>
        <w:ind w:right="120" w:firstLine="568"/>
        <w:spacing w:after="0" w:line="257" w:lineRule="auto"/>
        <w:rPr>
          <w:sz w:val="20"/>
          <w:szCs w:val="20"/>
          <w:color w:val="auto"/>
        </w:rPr>
      </w:pPr>
      <w:r>
        <w:rPr>
          <w:rFonts w:ascii="Arial" w:cs="Arial" w:eastAsia="Arial" w:hAnsi="Arial"/>
          <w:sz w:val="16"/>
          <w:szCs w:val="16"/>
          <w:color w:val="auto"/>
        </w:rPr>
        <w:t>The Company also subleases certain office space and facilities to third parties. The subleases have remaining terms of 1 to 11 years. The Company recognizes amounts received from subleases on a straight-line basis over the term of the sublease within Operations and administrative expense on the Consolidated Statements of Comprehensive Income.</w:t>
      </w:r>
    </w:p>
    <w:p>
      <w:pPr>
        <w:spacing w:after="0" w:line="190" w:lineRule="exact"/>
        <w:rPr>
          <w:sz w:val="20"/>
          <w:szCs w:val="20"/>
          <w:color w:val="auto"/>
        </w:rPr>
      </w:pPr>
    </w:p>
    <w:p>
      <w:pPr>
        <w:ind w:right="20" w:firstLine="568"/>
        <w:spacing w:after="0" w:line="268" w:lineRule="auto"/>
        <w:rPr>
          <w:sz w:val="20"/>
          <w:szCs w:val="20"/>
          <w:color w:val="auto"/>
        </w:rPr>
      </w:pPr>
      <w:r>
        <w:rPr>
          <w:rFonts w:ascii="Arial" w:cs="Arial" w:eastAsia="Arial" w:hAnsi="Arial"/>
          <w:sz w:val="16"/>
          <w:szCs w:val="16"/>
          <w:color w:val="auto"/>
        </w:rPr>
        <w:t>As the implied discount rate for most of the Company's leases is not readily determinable, the Company uses its incremental borrowing rate on its secured borrowings in determining the present value of lease payments.</w:t>
      </w:r>
    </w:p>
    <w:p>
      <w:pPr>
        <w:spacing w:after="0" w:line="181" w:lineRule="exact"/>
        <w:rPr>
          <w:sz w:val="20"/>
          <w:szCs w:val="20"/>
          <w:color w:val="auto"/>
        </w:rPr>
      </w:pPr>
    </w:p>
    <w:p>
      <w:pPr>
        <w:ind w:right="140" w:firstLine="568"/>
        <w:spacing w:after="0" w:line="254" w:lineRule="auto"/>
        <w:rPr>
          <w:sz w:val="20"/>
          <w:szCs w:val="20"/>
          <w:color w:val="auto"/>
        </w:rPr>
      </w:pPr>
      <w:r>
        <w:rPr>
          <w:rFonts w:ascii="Arial" w:cs="Arial" w:eastAsia="Arial" w:hAnsi="Arial"/>
          <w:sz w:val="16"/>
          <w:szCs w:val="16"/>
          <w:color w:val="auto"/>
        </w:rPr>
        <w:t>During the year ended December 31, 2021, the company ceased use of certain office lease premises as part of efforts to consolidate office space. For the year ended December 31, 2021, the Company recognized $28.1 million in Termination of office leases on the Consolidated Statement of Comprehensive Income, primarily related to the move of our global headquarters, comprising $9.6 million impairments of ROU assets, $17.6 million of write-off of leasehold improvements and fixed assets, and $1 million of dilapidation charges.</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Lease assets and liabilities are summarized as follows:</w:t>
      </w:r>
    </w:p>
    <w:p>
      <w:pPr>
        <w:spacing w:after="0" w:line="247"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2860" w:type="dxa"/>
            <w:vAlign w:val="bottom"/>
            <w:gridSpan w:val="2"/>
          </w:tcPr>
          <w:p>
            <w:pPr>
              <w:ind w:left="20"/>
              <w:spacing w:after="0"/>
              <w:rPr>
                <w:sz w:val="20"/>
                <w:szCs w:val="20"/>
                <w:color w:val="auto"/>
              </w:rPr>
            </w:pPr>
            <w:r>
              <w:rPr>
                <w:rFonts w:ascii="Arial" w:cs="Arial" w:eastAsia="Arial" w:hAnsi="Arial"/>
                <w:sz w:val="13"/>
                <w:szCs w:val="13"/>
                <w:b w:val="1"/>
                <w:bCs w:val="1"/>
                <w:color w:val="auto"/>
              </w:rPr>
              <w:t>(in thousands)</w:t>
            </w:r>
          </w:p>
        </w:tc>
        <w:tc>
          <w:tcPr>
            <w:tcW w:w="4420" w:type="dxa"/>
            <w:vAlign w:val="bottom"/>
            <w:gridSpan w:val="2"/>
          </w:tcPr>
          <w:p>
            <w:pPr>
              <w:ind w:left="1360"/>
              <w:spacing w:after="0"/>
              <w:rPr>
                <w:sz w:val="20"/>
                <w:szCs w:val="20"/>
                <w:color w:val="auto"/>
              </w:rPr>
            </w:pPr>
            <w:r>
              <w:rPr>
                <w:rFonts w:ascii="Arial" w:cs="Arial" w:eastAsia="Arial" w:hAnsi="Arial"/>
                <w:sz w:val="13"/>
                <w:szCs w:val="13"/>
                <w:b w:val="1"/>
                <w:bCs w:val="1"/>
                <w:color w:val="auto"/>
              </w:rPr>
              <w:t>Financial Statement Location</w:t>
            </w:r>
          </w:p>
        </w:tc>
        <w:tc>
          <w:tcPr>
            <w:tcW w:w="240" w:type="dxa"/>
            <w:vAlign w:val="bottom"/>
          </w:tcPr>
          <w:p>
            <w:pPr>
              <w:spacing w:after="0"/>
              <w:rPr>
                <w:sz w:val="14"/>
                <w:szCs w:val="14"/>
                <w:color w:val="auto"/>
              </w:rPr>
            </w:pPr>
          </w:p>
        </w:tc>
        <w:tc>
          <w:tcPr>
            <w:tcW w:w="1720" w:type="dxa"/>
            <w:vAlign w:val="bottom"/>
            <w:gridSpan w:val="2"/>
          </w:tcPr>
          <w:p>
            <w:pPr>
              <w:ind w:left="180"/>
              <w:spacing w:after="0"/>
              <w:rPr>
                <w:sz w:val="20"/>
                <w:szCs w:val="20"/>
                <w:color w:val="auto"/>
              </w:rPr>
            </w:pPr>
            <w:r>
              <w:rPr>
                <w:rFonts w:ascii="Arial" w:cs="Arial" w:eastAsia="Arial" w:hAnsi="Arial"/>
                <w:sz w:val="13"/>
                <w:szCs w:val="13"/>
                <w:b w:val="1"/>
                <w:bCs w:val="1"/>
                <w:color w:val="auto"/>
              </w:rPr>
              <w:t>December 31, 2021</w:t>
            </w:r>
          </w:p>
        </w:tc>
        <w:tc>
          <w:tcPr>
            <w:tcW w:w="240" w:type="dxa"/>
            <w:vAlign w:val="bottom"/>
          </w:tcPr>
          <w:p>
            <w:pPr>
              <w:spacing w:after="0"/>
              <w:rPr>
                <w:sz w:val="14"/>
                <w:szCs w:val="14"/>
                <w:color w:val="auto"/>
              </w:rPr>
            </w:pPr>
          </w:p>
        </w:tc>
        <w:tc>
          <w:tcPr>
            <w:tcW w:w="1620" w:type="dxa"/>
            <w:vAlign w:val="bottom"/>
          </w:tcPr>
          <w:p>
            <w:pPr>
              <w:jc w:val="right"/>
              <w:ind w:right="357"/>
              <w:spacing w:after="0"/>
              <w:rPr>
                <w:sz w:val="20"/>
                <w:szCs w:val="20"/>
                <w:color w:val="auto"/>
              </w:rPr>
            </w:pPr>
            <w:r>
              <w:rPr>
                <w:rFonts w:ascii="Arial" w:cs="Arial" w:eastAsia="Arial" w:hAnsi="Arial"/>
                <w:sz w:val="13"/>
                <w:szCs w:val="13"/>
                <w:b w:val="1"/>
                <w:bCs w:val="1"/>
                <w:color w:val="auto"/>
              </w:rPr>
              <w:t>December 31, 2020</w:t>
            </w:r>
          </w:p>
        </w:tc>
      </w:tr>
      <w:tr>
        <w:trPr>
          <w:trHeight w:val="162"/>
        </w:trPr>
        <w:tc>
          <w:tcPr>
            <w:tcW w:w="2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Operating leases</w:t>
            </w:r>
          </w:p>
        </w:tc>
        <w:tc>
          <w:tcPr>
            <w:tcW w:w="100" w:type="dxa"/>
            <w:vAlign w:val="bottom"/>
            <w:tcBorders>
              <w:top w:val="single" w:sz="8" w:color="CCEEFF"/>
            </w:tcBorders>
            <w:shd w:val="clear" w:color="auto" w:fill="CCEEFF"/>
          </w:tcPr>
          <w:p>
            <w:pPr>
              <w:spacing w:after="0"/>
              <w:rPr>
                <w:sz w:val="14"/>
                <w:szCs w:val="14"/>
                <w:color w:val="auto"/>
              </w:rPr>
            </w:pPr>
          </w:p>
        </w:tc>
        <w:tc>
          <w:tcPr>
            <w:tcW w:w="43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6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spacing w:after="0"/>
              <w:rPr>
                <w:sz w:val="14"/>
                <w:szCs w:val="14"/>
                <w:color w:val="auto"/>
              </w:rPr>
            </w:pPr>
          </w:p>
        </w:tc>
      </w:tr>
      <w:tr>
        <w:trPr>
          <w:trHeight w:val="163"/>
        </w:trPr>
        <w:tc>
          <w:tcPr>
            <w:tcW w:w="2860" w:type="dxa"/>
            <w:vAlign w:val="bottom"/>
            <w:gridSpan w:val="2"/>
          </w:tcPr>
          <w:p>
            <w:pPr>
              <w:ind w:left="120"/>
              <w:spacing w:after="0"/>
              <w:rPr>
                <w:sz w:val="20"/>
                <w:szCs w:val="20"/>
                <w:color w:val="auto"/>
              </w:rPr>
            </w:pPr>
            <w:r>
              <w:rPr>
                <w:rFonts w:ascii="Arial" w:cs="Arial" w:eastAsia="Arial" w:hAnsi="Arial"/>
                <w:sz w:val="13"/>
                <w:szCs w:val="13"/>
                <w:color w:val="auto"/>
              </w:rPr>
              <w:t>Operating lease right-of-use assets</w:t>
            </w:r>
          </w:p>
        </w:tc>
        <w:tc>
          <w:tcPr>
            <w:tcW w:w="4420" w:type="dxa"/>
            <w:vAlign w:val="bottom"/>
            <w:gridSpan w:val="2"/>
          </w:tcPr>
          <w:p>
            <w:pPr>
              <w:ind w:left="20"/>
              <w:spacing w:after="0"/>
              <w:rPr>
                <w:sz w:val="20"/>
                <w:szCs w:val="20"/>
                <w:color w:val="auto"/>
              </w:rPr>
            </w:pPr>
            <w:r>
              <w:rPr>
                <w:rFonts w:ascii="Arial" w:cs="Arial" w:eastAsia="Arial" w:hAnsi="Arial"/>
                <w:sz w:val="13"/>
                <w:szCs w:val="13"/>
                <w:color w:val="auto"/>
              </w:rPr>
              <w:t>Operating lease right-of-use assets</w:t>
            </w: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1600" w:type="dxa"/>
            <w:vAlign w:val="bottom"/>
          </w:tcPr>
          <w:p>
            <w:pPr>
              <w:jc w:val="right"/>
              <w:spacing w:after="0"/>
              <w:rPr>
                <w:sz w:val="20"/>
                <w:szCs w:val="20"/>
                <w:color w:val="auto"/>
              </w:rPr>
            </w:pPr>
            <w:r>
              <w:rPr>
                <w:rFonts w:ascii="Arial" w:cs="Arial" w:eastAsia="Arial" w:hAnsi="Arial"/>
                <w:sz w:val="13"/>
                <w:szCs w:val="13"/>
                <w:color w:val="auto"/>
              </w:rPr>
              <w:t>225,328</w:t>
            </w:r>
          </w:p>
        </w:tc>
        <w:tc>
          <w:tcPr>
            <w:tcW w:w="12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1620" w:type="dxa"/>
            <w:vAlign w:val="bottom"/>
          </w:tcPr>
          <w:p>
            <w:pPr>
              <w:jc w:val="right"/>
              <w:spacing w:after="0"/>
              <w:rPr>
                <w:sz w:val="20"/>
                <w:szCs w:val="20"/>
                <w:color w:val="auto"/>
              </w:rPr>
            </w:pPr>
            <w:r>
              <w:rPr>
                <w:rFonts w:ascii="Arial" w:cs="Arial" w:eastAsia="Arial" w:hAnsi="Arial"/>
                <w:sz w:val="13"/>
                <w:szCs w:val="13"/>
                <w:color w:val="auto"/>
              </w:rPr>
              <w:t>268,864</w:t>
            </w:r>
          </w:p>
        </w:tc>
      </w:tr>
      <w:tr>
        <w:trPr>
          <w:trHeight w:val="168"/>
        </w:trPr>
        <w:tc>
          <w:tcPr>
            <w:tcW w:w="28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Operating lease liabilities</w:t>
            </w:r>
          </w:p>
        </w:tc>
        <w:tc>
          <w:tcPr>
            <w:tcW w:w="44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Operating lease liabilities</w:t>
            </w:r>
          </w:p>
        </w:tc>
        <w:tc>
          <w:tcPr>
            <w:tcW w:w="24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278,745</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315,340</w:t>
            </w:r>
          </w:p>
        </w:tc>
      </w:tr>
      <w:tr>
        <w:trPr>
          <w:trHeight w:val="237"/>
        </w:trPr>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166"/>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Finance leases</w:t>
            </w:r>
          </w:p>
        </w:tc>
        <w:tc>
          <w:tcPr>
            <w:tcW w:w="4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r>
      <w:tr>
        <w:trPr>
          <w:trHeight w:val="163"/>
        </w:trPr>
        <w:tc>
          <w:tcPr>
            <w:tcW w:w="2860" w:type="dxa"/>
            <w:vAlign w:val="bottom"/>
            <w:gridSpan w:val="2"/>
          </w:tcPr>
          <w:p>
            <w:pPr>
              <w:ind w:left="120"/>
              <w:spacing w:after="0"/>
              <w:rPr>
                <w:sz w:val="20"/>
                <w:szCs w:val="20"/>
                <w:color w:val="auto"/>
              </w:rPr>
            </w:pPr>
            <w:r>
              <w:rPr>
                <w:rFonts w:ascii="Arial" w:cs="Arial" w:eastAsia="Arial" w:hAnsi="Arial"/>
                <w:sz w:val="13"/>
                <w:szCs w:val="13"/>
                <w:color w:val="auto"/>
              </w:rPr>
              <w:t>Property and equipment, at cost</w:t>
            </w:r>
          </w:p>
        </w:tc>
        <w:tc>
          <w:tcPr>
            <w:tcW w:w="4420" w:type="dxa"/>
            <w:vAlign w:val="bottom"/>
            <w:gridSpan w:val="2"/>
          </w:tcPr>
          <w:p>
            <w:pPr>
              <w:ind w:left="20"/>
              <w:spacing w:after="0"/>
              <w:rPr>
                <w:sz w:val="20"/>
                <w:szCs w:val="20"/>
                <w:color w:val="auto"/>
              </w:rPr>
            </w:pPr>
            <w:r>
              <w:rPr>
                <w:rFonts w:ascii="Arial" w:cs="Arial" w:eastAsia="Arial" w:hAnsi="Arial"/>
                <w:sz w:val="13"/>
                <w:szCs w:val="13"/>
                <w:color w:val="auto"/>
              </w:rPr>
              <w:t>Property, equipment, and capitalized software, net</w:t>
            </w:r>
          </w:p>
        </w:tc>
        <w:tc>
          <w:tcPr>
            <w:tcW w:w="24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3"/>
                <w:szCs w:val="13"/>
                <w:color w:val="auto"/>
              </w:rPr>
              <w:t>18,965</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36,093</w:t>
            </w:r>
          </w:p>
        </w:tc>
      </w:tr>
      <w:tr>
        <w:trPr>
          <w:trHeight w:val="168"/>
        </w:trPr>
        <w:tc>
          <w:tcPr>
            <w:tcW w:w="28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Accumulated depreciation</w:t>
            </w:r>
          </w:p>
        </w:tc>
        <w:tc>
          <w:tcPr>
            <w:tcW w:w="44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Property, equipment, and capitalized software, net</w:t>
            </w:r>
          </w:p>
        </w:tc>
        <w:tc>
          <w:tcPr>
            <w:tcW w:w="24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(12,465)</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(24,585)</w:t>
            </w:r>
          </w:p>
        </w:tc>
      </w:tr>
      <w:tr>
        <w:trPr>
          <w:trHeight w:val="160"/>
        </w:trPr>
        <w:tc>
          <w:tcPr>
            <w:tcW w:w="2860" w:type="dxa"/>
            <w:vAlign w:val="bottom"/>
            <w:gridSpan w:val="2"/>
          </w:tcPr>
          <w:p>
            <w:pPr>
              <w:ind w:left="120"/>
              <w:spacing w:after="0"/>
              <w:rPr>
                <w:sz w:val="20"/>
                <w:szCs w:val="20"/>
                <w:color w:val="auto"/>
              </w:rPr>
            </w:pPr>
            <w:r>
              <w:rPr>
                <w:rFonts w:ascii="Arial" w:cs="Arial" w:eastAsia="Arial" w:hAnsi="Arial"/>
                <w:sz w:val="13"/>
                <w:szCs w:val="13"/>
                <w:color w:val="auto"/>
              </w:rPr>
              <w:t>Finance lease liabilities</w:t>
            </w:r>
          </w:p>
        </w:tc>
        <w:tc>
          <w:tcPr>
            <w:tcW w:w="4420" w:type="dxa"/>
            <w:vAlign w:val="bottom"/>
            <w:gridSpan w:val="2"/>
          </w:tcPr>
          <w:p>
            <w:pPr>
              <w:ind w:left="20"/>
              <w:spacing w:after="0"/>
              <w:rPr>
                <w:sz w:val="20"/>
                <w:szCs w:val="20"/>
                <w:color w:val="auto"/>
              </w:rPr>
            </w:pPr>
            <w:r>
              <w:rPr>
                <w:rFonts w:ascii="Arial" w:cs="Arial" w:eastAsia="Arial" w:hAnsi="Arial"/>
                <w:sz w:val="13"/>
                <w:szCs w:val="13"/>
                <w:color w:val="auto"/>
              </w:rPr>
              <w:t>Accounts payable, accrued expenses, and other liabilities</w:t>
            </w:r>
          </w:p>
        </w:tc>
        <w:tc>
          <w:tcPr>
            <w:tcW w:w="24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3"/>
                <w:szCs w:val="13"/>
                <w:color w:val="auto"/>
              </w:rPr>
              <w:t>6,612</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11,687</w:t>
            </w:r>
          </w:p>
        </w:tc>
      </w:tr>
    </w:tbl>
    <w:p>
      <w:pPr>
        <w:spacing w:after="0" w:line="28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Weighted average remaining lease term and discount rate are as follows:</w:t>
      </w:r>
    </w:p>
    <w:p>
      <w:pPr>
        <w:spacing w:after="0" w:line="247" w:lineRule="exact"/>
        <w:rPr>
          <w:sz w:val="20"/>
          <w:szCs w:val="20"/>
          <w:color w:val="auto"/>
        </w:rPr>
      </w:pPr>
    </w:p>
    <w:tbl>
      <w:tblPr>
        <w:tblLayout w:type="fixed"/>
        <w:tblInd w:w="1420" w:type="dxa"/>
        <w:tblCellMar>
          <w:top w:w="0" w:type="dxa"/>
          <w:left w:w="0" w:type="dxa"/>
          <w:bottom w:w="0" w:type="dxa"/>
          <w:right w:w="0" w:type="dxa"/>
        </w:tblCellMar>
      </w:tblPr>
      <w:tr>
        <w:trPr>
          <w:trHeight w:val="169"/>
        </w:trPr>
        <w:tc>
          <w:tcPr>
            <w:tcW w:w="4340" w:type="dxa"/>
            <w:vAlign w:val="bottom"/>
          </w:tcPr>
          <w:p>
            <w:pPr>
              <w:spacing w:after="0"/>
              <w:rPr>
                <w:sz w:val="14"/>
                <w:szCs w:val="14"/>
                <w:color w:val="auto"/>
              </w:rPr>
            </w:pPr>
          </w:p>
        </w:tc>
        <w:tc>
          <w:tcPr>
            <w:tcW w:w="2080" w:type="dxa"/>
            <w:vAlign w:val="bottom"/>
            <w:gridSpan w:val="2"/>
          </w:tcPr>
          <w:p>
            <w:pPr>
              <w:ind w:left="480"/>
              <w:spacing w:after="0"/>
              <w:rPr>
                <w:sz w:val="20"/>
                <w:szCs w:val="20"/>
                <w:color w:val="auto"/>
              </w:rPr>
            </w:pPr>
            <w:r>
              <w:rPr>
                <w:rFonts w:ascii="Arial" w:cs="Arial" w:eastAsia="Arial" w:hAnsi="Arial"/>
                <w:sz w:val="13"/>
                <w:szCs w:val="13"/>
                <w:b w:val="1"/>
                <w:bCs w:val="1"/>
                <w:color w:val="auto"/>
              </w:rPr>
              <w:t>December 31, 2021</w:t>
            </w:r>
          </w:p>
        </w:tc>
        <w:tc>
          <w:tcPr>
            <w:tcW w:w="2000" w:type="dxa"/>
            <w:vAlign w:val="bottom"/>
          </w:tcPr>
          <w:p>
            <w:pPr>
              <w:jc w:val="right"/>
              <w:ind w:right="437"/>
              <w:spacing w:after="0"/>
              <w:rPr>
                <w:sz w:val="20"/>
                <w:szCs w:val="20"/>
                <w:color w:val="auto"/>
              </w:rPr>
            </w:pPr>
            <w:r>
              <w:rPr>
                <w:rFonts w:ascii="Arial" w:cs="Arial" w:eastAsia="Arial" w:hAnsi="Arial"/>
                <w:sz w:val="13"/>
                <w:szCs w:val="13"/>
                <w:b w:val="1"/>
                <w:bCs w:val="1"/>
                <w:color w:val="auto"/>
              </w:rPr>
              <w:t>December 31, 2020</w:t>
            </w:r>
          </w:p>
        </w:tc>
      </w:tr>
      <w:tr>
        <w:trPr>
          <w:trHeight w:val="150"/>
        </w:trPr>
        <w:tc>
          <w:tcPr>
            <w:tcW w:w="4340" w:type="dxa"/>
            <w:vAlign w:val="bottom"/>
            <w:tcBorders>
              <w:top w:val="single" w:sz="8" w:color="CCEEFF"/>
            </w:tcBorders>
            <w:shd w:val="clear" w:color="auto" w:fill="CCEEFF"/>
          </w:tcPr>
          <w:p>
            <w:pPr>
              <w:ind w:left="20"/>
              <w:spacing w:after="0" w:line="145" w:lineRule="exact"/>
              <w:rPr>
                <w:sz w:val="20"/>
                <w:szCs w:val="20"/>
                <w:color w:val="auto"/>
              </w:rPr>
            </w:pPr>
            <w:r>
              <w:rPr>
                <w:rFonts w:ascii="Arial" w:cs="Arial" w:eastAsia="Arial" w:hAnsi="Arial"/>
                <w:sz w:val="13"/>
                <w:szCs w:val="13"/>
                <w:color w:val="auto"/>
              </w:rPr>
              <w:t>Weighted average remaining lease term</w:t>
            </w:r>
          </w:p>
        </w:tc>
        <w:tc>
          <w:tcPr>
            <w:tcW w:w="1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0" w:type="dxa"/>
            <w:vAlign w:val="bottom"/>
            <w:tcBorders>
              <w:top w:val="single" w:sz="8" w:color="auto"/>
            </w:tcBorders>
            <w:shd w:val="clear" w:color="auto" w:fill="CCEEFF"/>
          </w:tcPr>
          <w:p>
            <w:pPr>
              <w:spacing w:after="0"/>
              <w:rPr>
                <w:sz w:val="13"/>
                <w:szCs w:val="13"/>
                <w:color w:val="auto"/>
              </w:rPr>
            </w:pPr>
          </w:p>
        </w:tc>
      </w:tr>
      <w:tr>
        <w:trPr>
          <w:trHeight w:val="163"/>
        </w:trPr>
        <w:tc>
          <w:tcPr>
            <w:tcW w:w="4340" w:type="dxa"/>
            <w:vAlign w:val="bottom"/>
          </w:tcPr>
          <w:p>
            <w:pPr>
              <w:ind w:left="120"/>
              <w:spacing w:after="0"/>
              <w:rPr>
                <w:sz w:val="20"/>
                <w:szCs w:val="20"/>
                <w:color w:val="auto"/>
              </w:rPr>
            </w:pPr>
            <w:r>
              <w:rPr>
                <w:rFonts w:ascii="Arial" w:cs="Arial" w:eastAsia="Arial" w:hAnsi="Arial"/>
                <w:sz w:val="13"/>
                <w:szCs w:val="13"/>
                <w:color w:val="auto"/>
              </w:rPr>
              <w:t>Operating leases</w:t>
            </w:r>
          </w:p>
        </w:tc>
        <w:tc>
          <w:tcPr>
            <w:tcW w:w="2080" w:type="dxa"/>
            <w:vAlign w:val="bottom"/>
            <w:gridSpan w:val="2"/>
          </w:tcPr>
          <w:p>
            <w:pPr>
              <w:jc w:val="right"/>
              <w:ind w:right="120"/>
              <w:spacing w:after="0"/>
              <w:rPr>
                <w:sz w:val="20"/>
                <w:szCs w:val="20"/>
                <w:color w:val="auto"/>
              </w:rPr>
            </w:pPr>
            <w:r>
              <w:rPr>
                <w:rFonts w:ascii="Arial" w:cs="Arial" w:eastAsia="Arial" w:hAnsi="Arial"/>
                <w:sz w:val="13"/>
                <w:szCs w:val="13"/>
                <w:color w:val="auto"/>
              </w:rPr>
              <w:t>6.68 years</w:t>
            </w:r>
          </w:p>
        </w:tc>
        <w:tc>
          <w:tcPr>
            <w:tcW w:w="2000" w:type="dxa"/>
            <w:vAlign w:val="bottom"/>
          </w:tcPr>
          <w:p>
            <w:pPr>
              <w:jc w:val="right"/>
              <w:spacing w:after="0"/>
              <w:rPr>
                <w:sz w:val="20"/>
                <w:szCs w:val="20"/>
                <w:color w:val="auto"/>
              </w:rPr>
            </w:pPr>
            <w:r>
              <w:rPr>
                <w:rFonts w:ascii="Arial" w:cs="Arial" w:eastAsia="Arial" w:hAnsi="Arial"/>
                <w:sz w:val="13"/>
                <w:szCs w:val="13"/>
                <w:color w:val="auto"/>
              </w:rPr>
              <w:t>6.9 years</w:t>
            </w:r>
          </w:p>
        </w:tc>
      </w:tr>
      <w:tr>
        <w:trPr>
          <w:trHeight w:val="168"/>
        </w:trPr>
        <w:tc>
          <w:tcPr>
            <w:tcW w:w="43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Finance leases</w:t>
            </w:r>
          </w:p>
        </w:tc>
        <w:tc>
          <w:tcPr>
            <w:tcW w:w="20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1.62 years</w:t>
            </w:r>
          </w:p>
        </w:tc>
        <w:tc>
          <w:tcPr>
            <w:tcW w:w="2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 years</w:t>
            </w:r>
          </w:p>
        </w:tc>
      </w:tr>
      <w:tr>
        <w:trPr>
          <w:trHeight w:val="163"/>
        </w:trPr>
        <w:tc>
          <w:tcPr>
            <w:tcW w:w="4340" w:type="dxa"/>
            <w:vAlign w:val="bottom"/>
          </w:tcPr>
          <w:p>
            <w:pPr>
              <w:ind w:left="20"/>
              <w:spacing w:after="0"/>
              <w:rPr>
                <w:sz w:val="20"/>
                <w:szCs w:val="20"/>
                <w:color w:val="auto"/>
              </w:rPr>
            </w:pPr>
            <w:r>
              <w:rPr>
                <w:rFonts w:ascii="Arial" w:cs="Arial" w:eastAsia="Arial" w:hAnsi="Arial"/>
                <w:sz w:val="13"/>
                <w:szCs w:val="13"/>
                <w:color w:val="auto"/>
              </w:rPr>
              <w:t>Weighted average discount rate</w:t>
            </w:r>
          </w:p>
        </w:tc>
        <w:tc>
          <w:tcPr>
            <w:tcW w:w="1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tcPr>
          <w:p>
            <w:pPr>
              <w:spacing w:after="0"/>
              <w:rPr>
                <w:sz w:val="14"/>
                <w:szCs w:val="14"/>
                <w:color w:val="auto"/>
              </w:rPr>
            </w:pPr>
          </w:p>
        </w:tc>
      </w:tr>
      <w:tr>
        <w:trPr>
          <w:trHeight w:val="168"/>
        </w:trPr>
        <w:tc>
          <w:tcPr>
            <w:tcW w:w="43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Operating leases</w:t>
            </w:r>
          </w:p>
        </w:tc>
        <w:tc>
          <w:tcPr>
            <w:tcW w:w="1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5.47 %</w:t>
            </w:r>
          </w:p>
        </w:tc>
        <w:tc>
          <w:tcPr>
            <w:tcW w:w="100" w:type="dxa"/>
            <w:vAlign w:val="bottom"/>
            <w:shd w:val="clear" w:color="auto" w:fill="CCEEFF"/>
          </w:tcPr>
          <w:p>
            <w:pPr>
              <w:spacing w:after="0"/>
              <w:rPr>
                <w:sz w:val="14"/>
                <w:szCs w:val="14"/>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5.67 %</w:t>
            </w:r>
          </w:p>
        </w:tc>
      </w:tr>
      <w:tr>
        <w:trPr>
          <w:trHeight w:val="160"/>
        </w:trPr>
        <w:tc>
          <w:tcPr>
            <w:tcW w:w="4340" w:type="dxa"/>
            <w:vAlign w:val="bottom"/>
          </w:tcPr>
          <w:p>
            <w:pPr>
              <w:ind w:left="120"/>
              <w:spacing w:after="0"/>
              <w:rPr>
                <w:sz w:val="20"/>
                <w:szCs w:val="20"/>
                <w:color w:val="auto"/>
              </w:rPr>
            </w:pPr>
            <w:r>
              <w:rPr>
                <w:rFonts w:ascii="Arial" w:cs="Arial" w:eastAsia="Arial" w:hAnsi="Arial"/>
                <w:sz w:val="13"/>
                <w:szCs w:val="13"/>
                <w:color w:val="auto"/>
              </w:rPr>
              <w:t>Finance leases</w:t>
            </w:r>
          </w:p>
        </w:tc>
        <w:tc>
          <w:tcPr>
            <w:tcW w:w="1980" w:type="dxa"/>
            <w:vAlign w:val="bottom"/>
          </w:tcPr>
          <w:p>
            <w:pPr>
              <w:jc w:val="right"/>
              <w:spacing w:after="0"/>
              <w:rPr>
                <w:sz w:val="20"/>
                <w:szCs w:val="20"/>
                <w:color w:val="auto"/>
              </w:rPr>
            </w:pPr>
            <w:r>
              <w:rPr>
                <w:rFonts w:ascii="Arial" w:cs="Arial" w:eastAsia="Arial" w:hAnsi="Arial"/>
                <w:sz w:val="13"/>
                <w:szCs w:val="13"/>
                <w:color w:val="auto"/>
              </w:rPr>
              <w:t>2.38 %</w:t>
            </w:r>
          </w:p>
        </w:tc>
        <w:tc>
          <w:tcPr>
            <w:tcW w:w="100" w:type="dxa"/>
            <w:vAlign w:val="bottom"/>
          </w:tcPr>
          <w:p>
            <w:pPr>
              <w:spacing w:after="0"/>
              <w:rPr>
                <w:sz w:val="13"/>
                <w:szCs w:val="13"/>
                <w:color w:val="auto"/>
              </w:rPr>
            </w:pPr>
          </w:p>
        </w:tc>
        <w:tc>
          <w:tcPr>
            <w:tcW w:w="2000" w:type="dxa"/>
            <w:vAlign w:val="bottom"/>
          </w:tcPr>
          <w:p>
            <w:pPr>
              <w:jc w:val="right"/>
              <w:spacing w:after="0"/>
              <w:rPr>
                <w:sz w:val="20"/>
                <w:szCs w:val="20"/>
                <w:color w:val="auto"/>
              </w:rPr>
            </w:pPr>
            <w:r>
              <w:rPr>
                <w:rFonts w:ascii="Arial" w:cs="Arial" w:eastAsia="Arial" w:hAnsi="Arial"/>
                <w:sz w:val="13"/>
                <w:szCs w:val="13"/>
                <w:color w:val="auto"/>
              </w:rPr>
              <w:t>3.13 %</w:t>
            </w:r>
          </w:p>
        </w:tc>
      </w:tr>
    </w:tbl>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21" w:name="page122"/>
    <w:bookmarkEnd w:id="12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components of lease expense are as follows:</w:t>
      </w:r>
    </w:p>
    <w:p>
      <w:pPr>
        <w:spacing w:after="0" w:line="34" w:lineRule="exact"/>
        <w:rPr>
          <w:sz w:val="20"/>
          <w:szCs w:val="20"/>
          <w:color w:val="auto"/>
        </w:rPr>
      </w:pPr>
    </w:p>
    <w:tbl>
      <w:tblPr>
        <w:tblLayout w:type="fixed"/>
        <w:tblInd w:w="1100" w:type="dxa"/>
        <w:tblCellMar>
          <w:top w:w="0" w:type="dxa"/>
          <w:left w:w="0" w:type="dxa"/>
          <w:bottom w:w="0" w:type="dxa"/>
          <w:right w:w="0" w:type="dxa"/>
        </w:tblCellMar>
      </w:tblPr>
      <w:tr>
        <w:trPr>
          <w:trHeight w:val="166"/>
        </w:trPr>
        <w:tc>
          <w:tcPr>
            <w:tcW w:w="3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right"/>
              <w:ind w:right="397"/>
              <w:spacing w:after="0"/>
              <w:rPr>
                <w:sz w:val="20"/>
                <w:szCs w:val="20"/>
                <w:color w:val="auto"/>
              </w:rPr>
            </w:pPr>
            <w:r>
              <w:rPr>
                <w:rFonts w:ascii="Arial" w:cs="Arial" w:eastAsia="Arial" w:hAnsi="Arial"/>
                <w:sz w:val="13"/>
                <w:szCs w:val="13"/>
                <w:b w:val="1"/>
                <w:bCs w:val="1"/>
                <w:color w:val="auto"/>
                <w:w w:val="87"/>
              </w:rPr>
              <w:t>Years Ended December 31,</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r>
      <w:tr>
        <w:trPr>
          <w:trHeight w:val="165"/>
        </w:trPr>
        <w:tc>
          <w:tcPr>
            <w:tcW w:w="3940" w:type="dxa"/>
            <w:vAlign w:val="bottom"/>
            <w:gridSpan w:val="2"/>
          </w:tcPr>
          <w:p>
            <w:pPr>
              <w:ind w:left="20"/>
              <w:spacing w:after="0"/>
              <w:rPr>
                <w:sz w:val="20"/>
                <w:szCs w:val="20"/>
                <w:color w:val="auto"/>
              </w:rPr>
            </w:pPr>
            <w:r>
              <w:rPr>
                <w:rFonts w:ascii="Arial" w:cs="Arial" w:eastAsia="Arial" w:hAnsi="Arial"/>
                <w:sz w:val="13"/>
                <w:szCs w:val="13"/>
                <w:b w:val="1"/>
                <w:bCs w:val="1"/>
                <w:color w:val="auto"/>
              </w:rPr>
              <w:t>(in thousands)</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ind w:right="97"/>
              <w:spacing w:after="0"/>
              <w:rPr>
                <w:sz w:val="20"/>
                <w:szCs w:val="20"/>
                <w:color w:val="auto"/>
              </w:rPr>
            </w:pPr>
            <w:r>
              <w:rPr>
                <w:rFonts w:ascii="Arial" w:cs="Arial" w:eastAsia="Arial" w:hAnsi="Arial"/>
                <w:sz w:val="13"/>
                <w:szCs w:val="13"/>
                <w:b w:val="1"/>
                <w:bCs w:val="1"/>
                <w:color w:val="auto"/>
              </w:rPr>
              <w:t>2020</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ind w:right="577"/>
              <w:spacing w:after="0"/>
              <w:rPr>
                <w:sz w:val="20"/>
                <w:szCs w:val="20"/>
                <w:color w:val="auto"/>
              </w:rPr>
            </w:pPr>
            <w:r>
              <w:rPr>
                <w:rFonts w:ascii="Arial" w:cs="Arial" w:eastAsia="Arial" w:hAnsi="Arial"/>
                <w:sz w:val="13"/>
                <w:szCs w:val="13"/>
                <w:b w:val="1"/>
                <w:bCs w:val="1"/>
                <w:color w:val="auto"/>
              </w:rPr>
              <w:t>2019</w:t>
            </w:r>
          </w:p>
        </w:tc>
      </w:tr>
      <w:tr>
        <w:trPr>
          <w:trHeight w:val="158"/>
        </w:trPr>
        <w:tc>
          <w:tcPr>
            <w:tcW w:w="38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Operating lease cost:</w:t>
            </w:r>
          </w:p>
        </w:tc>
        <w:tc>
          <w:tcPr>
            <w:tcW w:w="10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r>
      <w:tr>
        <w:trPr>
          <w:trHeight w:val="163"/>
        </w:trPr>
        <w:tc>
          <w:tcPr>
            <w:tcW w:w="3940" w:type="dxa"/>
            <w:vAlign w:val="bottom"/>
            <w:gridSpan w:val="2"/>
          </w:tcPr>
          <w:p>
            <w:pPr>
              <w:ind w:left="120"/>
              <w:spacing w:after="0"/>
              <w:rPr>
                <w:sz w:val="20"/>
                <w:szCs w:val="20"/>
                <w:color w:val="auto"/>
              </w:rPr>
            </w:pPr>
            <w:r>
              <w:rPr>
                <w:rFonts w:ascii="Arial" w:cs="Arial" w:eastAsia="Arial" w:hAnsi="Arial"/>
                <w:sz w:val="13"/>
                <w:szCs w:val="13"/>
                <w:color w:val="auto"/>
              </w:rPr>
              <w:t>Fixed</w:t>
            </w:r>
          </w:p>
        </w:tc>
        <w:tc>
          <w:tcPr>
            <w:tcW w:w="1000" w:type="dxa"/>
            <w:vAlign w:val="bottom"/>
          </w:tcPr>
          <w:p>
            <w:pPr>
              <w:jc w:val="right"/>
              <w:ind w:right="857"/>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74,699</w:t>
            </w:r>
          </w:p>
        </w:tc>
        <w:tc>
          <w:tcPr>
            <w:tcW w:w="100" w:type="dxa"/>
            <w:vAlign w:val="bottom"/>
          </w:tcPr>
          <w:p>
            <w:pPr>
              <w:spacing w:after="0"/>
              <w:rPr>
                <w:sz w:val="14"/>
                <w:szCs w:val="14"/>
                <w:color w:val="auto"/>
              </w:rPr>
            </w:pPr>
          </w:p>
        </w:tc>
        <w:tc>
          <w:tcPr>
            <w:tcW w:w="1140" w:type="dxa"/>
            <w:vAlign w:val="bottom"/>
          </w:tcPr>
          <w:p>
            <w:pPr>
              <w:jc w:val="right"/>
              <w:ind w:right="997"/>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73,624</w:t>
            </w:r>
          </w:p>
        </w:tc>
        <w:tc>
          <w:tcPr>
            <w:tcW w:w="10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72,714</w:t>
            </w:r>
          </w:p>
        </w:tc>
      </w:tr>
      <w:tr>
        <w:trPr>
          <w:trHeight w:val="168"/>
        </w:trPr>
        <w:tc>
          <w:tcPr>
            <w:tcW w:w="394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Variable</w:t>
            </w:r>
          </w:p>
        </w:tc>
        <w:tc>
          <w:tcPr>
            <w:tcW w:w="10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6,247</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8,532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8,333</w:t>
            </w:r>
          </w:p>
        </w:tc>
      </w:tr>
      <w:tr>
        <w:trPr>
          <w:trHeight w:val="163"/>
        </w:trPr>
        <w:tc>
          <w:tcPr>
            <w:tcW w:w="3940" w:type="dxa"/>
            <w:vAlign w:val="bottom"/>
            <w:tcBorders>
              <w:bottom w:val="single" w:sz="8" w:color="CCEEFF"/>
            </w:tcBorders>
            <w:gridSpan w:val="2"/>
          </w:tcPr>
          <w:p>
            <w:pPr>
              <w:ind w:left="120"/>
              <w:spacing w:after="0"/>
              <w:rPr>
                <w:sz w:val="20"/>
                <w:szCs w:val="20"/>
                <w:color w:val="auto"/>
              </w:rPr>
            </w:pPr>
            <w:r>
              <w:rPr>
                <w:rFonts w:ascii="Arial" w:cs="Arial" w:eastAsia="Arial" w:hAnsi="Arial"/>
                <w:sz w:val="13"/>
                <w:szCs w:val="13"/>
                <w:color w:val="auto"/>
              </w:rPr>
              <w:t>Impairment of ROU Asset</w:t>
            </w:r>
          </w:p>
        </w:tc>
        <w:tc>
          <w:tcPr>
            <w:tcW w:w="10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9,606</w:t>
            </w:r>
          </w:p>
        </w:tc>
        <w:tc>
          <w:tcPr>
            <w:tcW w:w="10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6,003</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27,104</w:t>
            </w:r>
          </w:p>
        </w:tc>
      </w:tr>
      <w:tr>
        <w:trPr>
          <w:trHeight w:val="185"/>
        </w:trPr>
        <w:tc>
          <w:tcPr>
            <w:tcW w:w="3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Total Operating lease cost</w:t>
            </w:r>
          </w:p>
        </w:tc>
        <w:tc>
          <w:tcPr>
            <w:tcW w:w="1000" w:type="dxa"/>
            <w:vAlign w:val="bottom"/>
            <w:tcBorders>
              <w:bottom w:val="single" w:sz="8" w:color="auto"/>
            </w:tcBorders>
            <w:shd w:val="clear" w:color="auto" w:fill="CCEEFF"/>
          </w:tcPr>
          <w:p>
            <w:pPr>
              <w:jc w:val="right"/>
              <w:ind w:right="857"/>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90,552</w:t>
            </w: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997"/>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88,159</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108,151</w:t>
            </w: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133"/>
        </w:trPr>
        <w:tc>
          <w:tcPr>
            <w:tcW w:w="3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166"/>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Sublease income</w:t>
            </w:r>
          </w:p>
        </w:tc>
        <w:tc>
          <w:tcPr>
            <w:tcW w:w="10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17,758</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16,437</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12,590</w:t>
            </w:r>
          </w:p>
        </w:tc>
      </w:tr>
      <w:tr>
        <w:trPr>
          <w:trHeight w:val="189"/>
        </w:trPr>
        <w:tc>
          <w:tcPr>
            <w:tcW w:w="3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66"/>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Finance lease cost:</w:t>
            </w:r>
          </w:p>
        </w:tc>
        <w:tc>
          <w:tcPr>
            <w:tcW w:w="10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163"/>
        </w:trPr>
        <w:tc>
          <w:tcPr>
            <w:tcW w:w="3940" w:type="dxa"/>
            <w:vAlign w:val="bottom"/>
            <w:gridSpan w:val="2"/>
          </w:tcPr>
          <w:p>
            <w:pPr>
              <w:ind w:left="120"/>
              <w:spacing w:after="0"/>
              <w:rPr>
                <w:sz w:val="20"/>
                <w:szCs w:val="20"/>
                <w:color w:val="auto"/>
              </w:rPr>
            </w:pPr>
            <w:r>
              <w:rPr>
                <w:rFonts w:ascii="Arial" w:cs="Arial" w:eastAsia="Arial" w:hAnsi="Arial"/>
                <w:sz w:val="13"/>
                <w:szCs w:val="13"/>
                <w:color w:val="auto"/>
              </w:rPr>
              <w:t>Amortization of ROU Asset</w:t>
            </w:r>
          </w:p>
        </w:tc>
        <w:tc>
          <w:tcPr>
            <w:tcW w:w="1000" w:type="dxa"/>
            <w:vAlign w:val="bottom"/>
          </w:tcPr>
          <w:p>
            <w:pPr>
              <w:jc w:val="right"/>
              <w:ind w:right="857"/>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6,587</w:t>
            </w:r>
          </w:p>
        </w:tc>
        <w:tc>
          <w:tcPr>
            <w:tcW w:w="100" w:type="dxa"/>
            <w:vAlign w:val="bottom"/>
          </w:tcPr>
          <w:p>
            <w:pPr>
              <w:spacing w:after="0"/>
              <w:rPr>
                <w:sz w:val="14"/>
                <w:szCs w:val="14"/>
                <w:color w:val="auto"/>
              </w:rPr>
            </w:pPr>
          </w:p>
        </w:tc>
        <w:tc>
          <w:tcPr>
            <w:tcW w:w="1140" w:type="dxa"/>
            <w:vAlign w:val="bottom"/>
          </w:tcPr>
          <w:p>
            <w:pPr>
              <w:jc w:val="right"/>
              <w:ind w:right="997"/>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11,536</w:t>
            </w:r>
          </w:p>
        </w:tc>
        <w:tc>
          <w:tcPr>
            <w:tcW w:w="10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12,565</w:t>
            </w:r>
          </w:p>
        </w:tc>
      </w:tr>
      <w:tr>
        <w:trPr>
          <w:trHeight w:val="166"/>
        </w:trPr>
        <w:tc>
          <w:tcPr>
            <w:tcW w:w="394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Interest on lease liabilities</w:t>
            </w:r>
          </w:p>
        </w:tc>
        <w:tc>
          <w:tcPr>
            <w:tcW w:w="100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230</w:t>
            </w:r>
          </w:p>
        </w:tc>
        <w:tc>
          <w:tcPr>
            <w:tcW w:w="100" w:type="dxa"/>
            <w:vAlign w:val="bottom"/>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432</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661</w:t>
            </w:r>
          </w:p>
        </w:tc>
      </w:tr>
      <w:tr>
        <w:trPr>
          <w:trHeight w:val="160"/>
        </w:trPr>
        <w:tc>
          <w:tcPr>
            <w:tcW w:w="3940" w:type="dxa"/>
            <w:vAlign w:val="bottom"/>
            <w:gridSpan w:val="2"/>
          </w:tcPr>
          <w:p>
            <w:pPr>
              <w:ind w:left="20"/>
              <w:spacing w:after="0"/>
              <w:rPr>
                <w:sz w:val="20"/>
                <w:szCs w:val="20"/>
                <w:color w:val="auto"/>
              </w:rPr>
            </w:pPr>
            <w:r>
              <w:rPr>
                <w:rFonts w:ascii="Arial" w:cs="Arial" w:eastAsia="Arial" w:hAnsi="Arial"/>
                <w:sz w:val="13"/>
                <w:szCs w:val="13"/>
                <w:color w:val="auto"/>
              </w:rPr>
              <w:t>Total Finance lease cost</w:t>
            </w:r>
          </w:p>
        </w:tc>
        <w:tc>
          <w:tcPr>
            <w:tcW w:w="1000" w:type="dxa"/>
            <w:vAlign w:val="bottom"/>
            <w:tcBorders>
              <w:bottom w:val="single" w:sz="8" w:color="auto"/>
            </w:tcBorders>
          </w:tcPr>
          <w:p>
            <w:pPr>
              <w:jc w:val="right"/>
              <w:ind w:right="857"/>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6,817</w:t>
            </w:r>
          </w:p>
        </w:tc>
        <w:tc>
          <w:tcPr>
            <w:tcW w:w="100" w:type="dxa"/>
            <w:vAlign w:val="bottom"/>
          </w:tcPr>
          <w:p>
            <w:pPr>
              <w:spacing w:after="0"/>
              <w:rPr>
                <w:sz w:val="13"/>
                <w:szCs w:val="13"/>
                <w:color w:val="auto"/>
              </w:rPr>
            </w:pPr>
          </w:p>
        </w:tc>
        <w:tc>
          <w:tcPr>
            <w:tcW w:w="1140" w:type="dxa"/>
            <w:vAlign w:val="bottom"/>
            <w:tcBorders>
              <w:bottom w:val="single" w:sz="8" w:color="auto"/>
            </w:tcBorders>
          </w:tcPr>
          <w:p>
            <w:pPr>
              <w:jc w:val="right"/>
              <w:ind w:right="997"/>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11,968</w:t>
            </w:r>
          </w:p>
        </w:tc>
        <w:tc>
          <w:tcPr>
            <w:tcW w:w="100" w:type="dxa"/>
            <w:vAlign w:val="bottom"/>
          </w:tcPr>
          <w:p>
            <w:pPr>
              <w:spacing w:after="0"/>
              <w:rPr>
                <w:sz w:val="13"/>
                <w:szCs w:val="13"/>
                <w:color w:val="auto"/>
              </w:rPr>
            </w:pPr>
          </w:p>
        </w:tc>
        <w:tc>
          <w:tcPr>
            <w:tcW w:w="34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13,226</w:t>
            </w:r>
          </w:p>
        </w:tc>
      </w:tr>
      <w:tr>
        <w:trPr>
          <w:trHeight w:val="20"/>
        </w:trPr>
        <w:tc>
          <w:tcPr>
            <w:tcW w:w="3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firstLine="568"/>
        <w:spacing w:after="0" w:line="268" w:lineRule="auto"/>
        <w:rPr>
          <w:sz w:val="20"/>
          <w:szCs w:val="20"/>
          <w:color w:val="auto"/>
        </w:rPr>
      </w:pPr>
      <w:r>
        <w:rPr>
          <w:rFonts w:ascii="Arial" w:cs="Arial" w:eastAsia="Arial" w:hAnsi="Arial"/>
          <w:sz w:val="16"/>
          <w:szCs w:val="16"/>
          <w:color w:val="auto"/>
        </w:rPr>
        <w:t>See Note 2 "Summary of Significant Accounting Policies" in Part II Item 8 “Financial Statements and Supplementary Data” of this Form 10-K for details on the classification of these expenses in the Consolidated Statements of Comprehensive Income.</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Future minimum lease payments under operating and finance leases with non-cancelable lease terms, as of December 31, 2021, are as follows:</w:t>
      </w:r>
    </w:p>
    <w:p>
      <w:pPr>
        <w:spacing w:after="0" w:line="247" w:lineRule="exact"/>
        <w:rPr>
          <w:sz w:val="20"/>
          <w:szCs w:val="20"/>
          <w:color w:val="auto"/>
        </w:rPr>
      </w:pPr>
    </w:p>
    <w:tbl>
      <w:tblPr>
        <w:tblLayout w:type="fixed"/>
        <w:tblInd w:w="2580" w:type="dxa"/>
        <w:tblCellMar>
          <w:top w:w="0" w:type="dxa"/>
          <w:left w:w="0" w:type="dxa"/>
          <w:bottom w:w="0" w:type="dxa"/>
          <w:right w:w="0" w:type="dxa"/>
        </w:tblCellMar>
      </w:tblPr>
      <w:tr>
        <w:trPr>
          <w:trHeight w:val="169"/>
        </w:trPr>
        <w:tc>
          <w:tcPr>
            <w:tcW w:w="2540" w:type="dxa"/>
            <w:vAlign w:val="bottom"/>
            <w:gridSpan w:val="2"/>
          </w:tcPr>
          <w:p>
            <w:pPr>
              <w:ind w:left="20"/>
              <w:spacing w:after="0"/>
              <w:rPr>
                <w:sz w:val="20"/>
                <w:szCs w:val="20"/>
                <w:color w:val="auto"/>
              </w:rPr>
            </w:pPr>
            <w:r>
              <w:rPr>
                <w:rFonts w:ascii="Arial" w:cs="Arial" w:eastAsia="Arial" w:hAnsi="Arial"/>
                <w:sz w:val="13"/>
                <w:szCs w:val="13"/>
                <w:b w:val="1"/>
                <w:bCs w:val="1"/>
                <w:color w:val="auto"/>
              </w:rPr>
              <w:t>(in thousands)</w:t>
            </w:r>
          </w:p>
        </w:tc>
        <w:tc>
          <w:tcPr>
            <w:tcW w:w="240" w:type="dxa"/>
            <w:vAlign w:val="bottom"/>
          </w:tcPr>
          <w:p>
            <w:pPr>
              <w:spacing w:after="0"/>
              <w:rPr>
                <w:sz w:val="14"/>
                <w:szCs w:val="14"/>
                <w:color w:val="auto"/>
              </w:rPr>
            </w:pPr>
          </w:p>
        </w:tc>
        <w:tc>
          <w:tcPr>
            <w:tcW w:w="1660" w:type="dxa"/>
            <w:vAlign w:val="bottom"/>
            <w:gridSpan w:val="2"/>
          </w:tcPr>
          <w:p>
            <w:pPr>
              <w:ind w:left="180"/>
              <w:spacing w:after="0"/>
              <w:rPr>
                <w:sz w:val="20"/>
                <w:szCs w:val="20"/>
                <w:color w:val="auto"/>
              </w:rPr>
            </w:pPr>
            <w:r>
              <w:rPr>
                <w:rFonts w:ascii="Arial" w:cs="Arial" w:eastAsia="Arial" w:hAnsi="Arial"/>
                <w:sz w:val="13"/>
                <w:szCs w:val="13"/>
                <w:b w:val="1"/>
                <w:bCs w:val="1"/>
                <w:color w:val="auto"/>
              </w:rPr>
              <w:t>Operating Leases</w:t>
            </w:r>
          </w:p>
        </w:tc>
        <w:tc>
          <w:tcPr>
            <w:tcW w:w="240" w:type="dxa"/>
            <w:vAlign w:val="bottom"/>
          </w:tcPr>
          <w:p>
            <w:pPr>
              <w:spacing w:after="0"/>
              <w:rPr>
                <w:sz w:val="14"/>
                <w:szCs w:val="14"/>
                <w:color w:val="auto"/>
              </w:rPr>
            </w:pPr>
          </w:p>
        </w:tc>
        <w:tc>
          <w:tcPr>
            <w:tcW w:w="1420" w:type="dxa"/>
            <w:vAlign w:val="bottom"/>
          </w:tcPr>
          <w:p>
            <w:pPr>
              <w:jc w:val="right"/>
              <w:ind w:right="377"/>
              <w:spacing w:after="0"/>
              <w:rPr>
                <w:sz w:val="20"/>
                <w:szCs w:val="20"/>
                <w:color w:val="auto"/>
              </w:rPr>
            </w:pPr>
            <w:r>
              <w:rPr>
                <w:rFonts w:ascii="Arial" w:cs="Arial" w:eastAsia="Arial" w:hAnsi="Arial"/>
                <w:sz w:val="13"/>
                <w:szCs w:val="13"/>
                <w:b w:val="1"/>
                <w:bCs w:val="1"/>
                <w:color w:val="auto"/>
                <w:w w:val="99"/>
              </w:rPr>
              <w:t>Finance Leases</w:t>
            </w:r>
          </w:p>
        </w:tc>
      </w:tr>
      <w:tr>
        <w:trPr>
          <w:trHeight w:val="160"/>
        </w:trPr>
        <w:tc>
          <w:tcPr>
            <w:tcW w:w="244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2022</w:t>
            </w:r>
          </w:p>
        </w:tc>
        <w:tc>
          <w:tcPr>
            <w:tcW w:w="100" w:type="dxa"/>
            <w:vAlign w:val="bottom"/>
          </w:tcPr>
          <w:p>
            <w:pPr>
              <w:spacing w:after="0"/>
              <w:rPr>
                <w:sz w:val="13"/>
                <w:szCs w:val="13"/>
                <w:color w:val="auto"/>
              </w:rPr>
            </w:pPr>
          </w:p>
        </w:tc>
        <w:tc>
          <w:tcPr>
            <w:tcW w:w="240" w:type="dxa"/>
            <w:vAlign w:val="bottom"/>
            <w:tcBorders>
              <w:top w:val="single" w:sz="8" w:color="auto"/>
            </w:tcBorders>
          </w:tcPr>
          <w:p>
            <w:pPr>
              <w:jc w:val="right"/>
              <w:ind w:right="97"/>
              <w:spacing w:after="0"/>
              <w:rPr>
                <w:sz w:val="20"/>
                <w:szCs w:val="20"/>
                <w:color w:val="auto"/>
              </w:rPr>
            </w:pPr>
            <w:r>
              <w:rPr>
                <w:rFonts w:ascii="Arial" w:cs="Arial" w:eastAsia="Arial" w:hAnsi="Arial"/>
                <w:sz w:val="13"/>
                <w:szCs w:val="13"/>
                <w:color w:val="auto"/>
                <w:w w:val="82"/>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66,600</w:t>
            </w:r>
          </w:p>
        </w:tc>
        <w:tc>
          <w:tcPr>
            <w:tcW w:w="120" w:type="dxa"/>
            <w:vAlign w:val="bottom"/>
          </w:tcPr>
          <w:p>
            <w:pPr>
              <w:spacing w:after="0"/>
              <w:rPr>
                <w:sz w:val="13"/>
                <w:szCs w:val="13"/>
                <w:color w:val="auto"/>
              </w:rPr>
            </w:pPr>
          </w:p>
        </w:tc>
        <w:tc>
          <w:tcPr>
            <w:tcW w:w="240" w:type="dxa"/>
            <w:vAlign w:val="bottom"/>
            <w:tcBorders>
              <w:top w:val="single" w:sz="8" w:color="auto"/>
            </w:tcBorders>
          </w:tcPr>
          <w:p>
            <w:pPr>
              <w:jc w:val="right"/>
              <w:ind w:right="133"/>
              <w:spacing w:after="0"/>
              <w:rPr>
                <w:sz w:val="20"/>
                <w:szCs w:val="20"/>
                <w:color w:val="auto"/>
              </w:rPr>
            </w:pPr>
            <w:r>
              <w:rPr>
                <w:rFonts w:ascii="Arial" w:cs="Arial" w:eastAsia="Arial" w:hAnsi="Arial"/>
                <w:sz w:val="9"/>
                <w:szCs w:val="9"/>
                <w:color w:val="auto"/>
                <w:w w:val="78"/>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4,554</w:t>
            </w:r>
          </w:p>
        </w:tc>
      </w:tr>
      <w:tr>
        <w:trPr>
          <w:trHeight w:val="168"/>
        </w:trPr>
        <w:tc>
          <w:tcPr>
            <w:tcW w:w="2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67,539</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1,928</w:t>
            </w:r>
          </w:p>
        </w:tc>
      </w:tr>
      <w:tr>
        <w:trPr>
          <w:trHeight w:val="163"/>
        </w:trPr>
        <w:tc>
          <w:tcPr>
            <w:tcW w:w="2440" w:type="dxa"/>
            <w:vAlign w:val="bottom"/>
          </w:tcPr>
          <w:p>
            <w:pPr>
              <w:ind w:left="20"/>
              <w:spacing w:after="0"/>
              <w:rPr>
                <w:sz w:val="20"/>
                <w:szCs w:val="20"/>
                <w:color w:val="auto"/>
              </w:rPr>
            </w:pPr>
            <w:r>
              <w:rPr>
                <w:rFonts w:ascii="Arial" w:cs="Arial" w:eastAsia="Arial" w:hAnsi="Arial"/>
                <w:sz w:val="13"/>
                <w:szCs w:val="13"/>
                <w:color w:val="auto"/>
              </w:rPr>
              <w:t>2024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39,719</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321</w:t>
            </w:r>
          </w:p>
        </w:tc>
      </w:tr>
      <w:tr>
        <w:trPr>
          <w:trHeight w:val="168"/>
        </w:trPr>
        <w:tc>
          <w:tcPr>
            <w:tcW w:w="2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32,844</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3"/>
        </w:trPr>
        <w:tc>
          <w:tcPr>
            <w:tcW w:w="2440" w:type="dxa"/>
            <w:vAlign w:val="bottom"/>
          </w:tcPr>
          <w:p>
            <w:pPr>
              <w:ind w:left="20"/>
              <w:spacing w:after="0"/>
              <w:rPr>
                <w:sz w:val="20"/>
                <w:szCs w:val="20"/>
                <w:color w:val="auto"/>
              </w:rPr>
            </w:pPr>
            <w:r>
              <w:rPr>
                <w:rFonts w:ascii="Arial" w:cs="Arial" w:eastAsia="Arial" w:hAnsi="Arial"/>
                <w:sz w:val="13"/>
                <w:szCs w:val="13"/>
                <w:color w:val="auto"/>
              </w:rPr>
              <w:t>2026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29,523</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25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2027 and thereafter</w:t>
            </w:r>
          </w:p>
        </w:tc>
        <w:tc>
          <w:tcPr>
            <w:tcW w:w="240" w:type="dxa"/>
            <w:vAlign w:val="bottom"/>
            <w:tcBorders>
              <w:bottom w:val="single" w:sz="8" w:color="auto"/>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98,428</w:t>
            </w:r>
          </w:p>
        </w:tc>
        <w:tc>
          <w:tcPr>
            <w:tcW w:w="12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55"/>
        </w:trPr>
        <w:tc>
          <w:tcPr>
            <w:tcW w:w="2540" w:type="dxa"/>
            <w:vAlign w:val="bottom"/>
            <w:gridSpan w:val="2"/>
          </w:tcPr>
          <w:p>
            <w:pPr>
              <w:ind w:left="120"/>
              <w:spacing w:after="0" w:line="148" w:lineRule="exact"/>
              <w:rPr>
                <w:sz w:val="20"/>
                <w:szCs w:val="20"/>
                <w:color w:val="auto"/>
              </w:rPr>
            </w:pPr>
            <w:r>
              <w:rPr>
                <w:rFonts w:ascii="Arial" w:cs="Arial" w:eastAsia="Arial" w:hAnsi="Arial"/>
                <w:sz w:val="13"/>
                <w:szCs w:val="13"/>
                <w:color w:val="auto"/>
              </w:rPr>
              <w:t>Total lease payments</w:t>
            </w: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1540" w:type="dxa"/>
            <w:vAlign w:val="bottom"/>
          </w:tcPr>
          <w:p>
            <w:pPr>
              <w:jc w:val="right"/>
              <w:spacing w:after="0"/>
              <w:rPr>
                <w:sz w:val="20"/>
                <w:szCs w:val="20"/>
                <w:color w:val="auto"/>
              </w:rPr>
            </w:pPr>
            <w:r>
              <w:rPr>
                <w:rFonts w:ascii="Arial" w:cs="Arial" w:eastAsia="Arial" w:hAnsi="Arial"/>
                <w:sz w:val="13"/>
                <w:szCs w:val="13"/>
                <w:color w:val="auto"/>
              </w:rPr>
              <w:t>334,653</w:t>
            </w:r>
          </w:p>
        </w:tc>
        <w:tc>
          <w:tcPr>
            <w:tcW w:w="120" w:type="dxa"/>
            <w:vAlign w:val="bottom"/>
          </w:tcPr>
          <w:p>
            <w:pPr>
              <w:spacing w:after="0"/>
              <w:rPr>
                <w:sz w:val="13"/>
                <w:szCs w:val="13"/>
                <w:color w:val="auto"/>
              </w:rPr>
            </w:pPr>
          </w:p>
        </w:tc>
        <w:tc>
          <w:tcPr>
            <w:tcW w:w="240" w:type="dxa"/>
            <w:vAlign w:val="bottom"/>
          </w:tcPr>
          <w:p>
            <w:pPr>
              <w:jc w:val="right"/>
              <w:ind w:right="133"/>
              <w:spacing w:after="0"/>
              <w:rPr>
                <w:sz w:val="20"/>
                <w:szCs w:val="20"/>
                <w:color w:val="auto"/>
              </w:rPr>
            </w:pPr>
            <w:r>
              <w:rPr>
                <w:rFonts w:ascii="Arial" w:cs="Arial" w:eastAsia="Arial" w:hAnsi="Arial"/>
                <w:sz w:val="9"/>
                <w:szCs w:val="9"/>
                <w:color w:val="auto"/>
                <w:w w:val="78"/>
              </w:rPr>
              <w:t>$</w:t>
            </w:r>
          </w:p>
        </w:tc>
        <w:tc>
          <w:tcPr>
            <w:tcW w:w="1420" w:type="dxa"/>
            <w:vAlign w:val="bottom"/>
          </w:tcPr>
          <w:p>
            <w:pPr>
              <w:jc w:val="right"/>
              <w:spacing w:after="0"/>
              <w:rPr>
                <w:sz w:val="20"/>
                <w:szCs w:val="20"/>
                <w:color w:val="auto"/>
              </w:rPr>
            </w:pPr>
            <w:r>
              <w:rPr>
                <w:rFonts w:ascii="Arial" w:cs="Arial" w:eastAsia="Arial" w:hAnsi="Arial"/>
                <w:sz w:val="13"/>
                <w:szCs w:val="13"/>
                <w:color w:val="auto"/>
              </w:rPr>
              <w:t>6,803</w:t>
            </w:r>
          </w:p>
        </w:tc>
      </w:tr>
      <w:tr>
        <w:trPr>
          <w:trHeight w:val="166"/>
        </w:trPr>
        <w:tc>
          <w:tcPr>
            <w:tcW w:w="254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Less imputed interest</w:t>
            </w:r>
          </w:p>
        </w:tc>
        <w:tc>
          <w:tcPr>
            <w:tcW w:w="240" w:type="dxa"/>
            <w:vAlign w:val="bottom"/>
            <w:tcBorders>
              <w:bottom w:val="single" w:sz="8" w:color="auto"/>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(55,908)</w:t>
            </w:r>
          </w:p>
        </w:tc>
        <w:tc>
          <w:tcPr>
            <w:tcW w:w="12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(191)</w:t>
            </w:r>
          </w:p>
        </w:tc>
      </w:tr>
      <w:tr>
        <w:trPr>
          <w:trHeight w:val="160"/>
        </w:trPr>
        <w:tc>
          <w:tcPr>
            <w:tcW w:w="2540" w:type="dxa"/>
            <w:vAlign w:val="bottom"/>
            <w:gridSpan w:val="2"/>
          </w:tcPr>
          <w:p>
            <w:pPr>
              <w:ind w:left="120"/>
              <w:spacing w:after="0"/>
              <w:rPr>
                <w:sz w:val="20"/>
                <w:szCs w:val="20"/>
                <w:color w:val="auto"/>
              </w:rPr>
            </w:pPr>
            <w:r>
              <w:rPr>
                <w:rFonts w:ascii="Arial" w:cs="Arial" w:eastAsia="Arial" w:hAnsi="Arial"/>
                <w:sz w:val="13"/>
                <w:szCs w:val="13"/>
                <w:color w:val="auto"/>
              </w:rPr>
              <w:t>Total lease liability</w:t>
            </w:r>
          </w:p>
        </w:tc>
        <w:tc>
          <w:tcPr>
            <w:tcW w:w="2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w w:val="82"/>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278,745</w:t>
            </w:r>
          </w:p>
        </w:tc>
        <w:tc>
          <w:tcPr>
            <w:tcW w:w="120" w:type="dxa"/>
            <w:vAlign w:val="bottom"/>
          </w:tcPr>
          <w:p>
            <w:pPr>
              <w:spacing w:after="0"/>
              <w:rPr>
                <w:sz w:val="13"/>
                <w:szCs w:val="13"/>
                <w:color w:val="auto"/>
              </w:rPr>
            </w:pPr>
          </w:p>
        </w:tc>
        <w:tc>
          <w:tcPr>
            <w:tcW w:w="240" w:type="dxa"/>
            <w:vAlign w:val="bottom"/>
            <w:tcBorders>
              <w:bottom w:val="single" w:sz="8" w:color="auto"/>
            </w:tcBorders>
          </w:tcPr>
          <w:p>
            <w:pPr>
              <w:jc w:val="right"/>
              <w:ind w:right="133"/>
              <w:spacing w:after="0"/>
              <w:rPr>
                <w:sz w:val="20"/>
                <w:szCs w:val="20"/>
                <w:color w:val="auto"/>
              </w:rPr>
            </w:pPr>
            <w:r>
              <w:rPr>
                <w:rFonts w:ascii="Arial" w:cs="Arial" w:eastAsia="Arial" w:hAnsi="Arial"/>
                <w:sz w:val="9"/>
                <w:szCs w:val="9"/>
                <w:color w:val="auto"/>
                <w:w w:val="78"/>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6,612</w:t>
            </w:r>
          </w:p>
        </w:tc>
      </w:tr>
      <w:tr>
        <w:trPr>
          <w:trHeight w:val="20"/>
        </w:trPr>
        <w:tc>
          <w:tcPr>
            <w:tcW w:w="2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18. Cash</w:t>
      </w:r>
    </w:p>
    <w:p>
      <w:pPr>
        <w:spacing w:after="0" w:line="22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provides a reconciliation of cash and cash equivalents together with restricted or segregated cash</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as reported within the Consolidated Statements of Financial Condition to the sum of the same such amounts shown in the Consolidated Statements of Cash Flows.</w:t>
      </w:r>
    </w:p>
    <w:p>
      <w:pPr>
        <w:spacing w:after="0" w:line="247" w:lineRule="exact"/>
        <w:rPr>
          <w:sz w:val="20"/>
          <w:szCs w:val="20"/>
          <w:color w:val="auto"/>
        </w:rPr>
      </w:pPr>
    </w:p>
    <w:tbl>
      <w:tblPr>
        <w:tblLayout w:type="fixed"/>
        <w:tblInd w:w="980" w:type="dxa"/>
        <w:tblCellMar>
          <w:top w:w="0" w:type="dxa"/>
          <w:left w:w="0" w:type="dxa"/>
          <w:bottom w:w="0" w:type="dxa"/>
          <w:right w:w="0" w:type="dxa"/>
        </w:tblCellMar>
      </w:tblPr>
      <w:tr>
        <w:trPr>
          <w:trHeight w:val="169"/>
        </w:trPr>
        <w:tc>
          <w:tcPr>
            <w:tcW w:w="6120" w:type="dxa"/>
            <w:vAlign w:val="bottom"/>
            <w:gridSpan w:val="2"/>
          </w:tcPr>
          <w:p>
            <w:pPr>
              <w:ind w:left="20"/>
              <w:spacing w:after="0"/>
              <w:rPr>
                <w:sz w:val="20"/>
                <w:szCs w:val="20"/>
                <w:color w:val="auto"/>
              </w:rPr>
            </w:pPr>
            <w:r>
              <w:rPr>
                <w:rFonts w:ascii="Arial" w:cs="Arial" w:eastAsia="Arial" w:hAnsi="Arial"/>
                <w:sz w:val="13"/>
                <w:szCs w:val="13"/>
                <w:b w:val="1"/>
                <w:bCs w:val="1"/>
                <w:color w:val="auto"/>
              </w:rPr>
              <w:t>(in thousands)</w:t>
            </w:r>
          </w:p>
        </w:tc>
        <w:tc>
          <w:tcPr>
            <w:tcW w:w="180" w:type="dxa"/>
            <w:vAlign w:val="bottom"/>
          </w:tcPr>
          <w:p>
            <w:pPr>
              <w:spacing w:after="0"/>
              <w:rPr>
                <w:sz w:val="14"/>
                <w:szCs w:val="14"/>
                <w:color w:val="auto"/>
              </w:rPr>
            </w:pPr>
          </w:p>
        </w:tc>
        <w:tc>
          <w:tcPr>
            <w:tcW w:w="1460" w:type="dxa"/>
            <w:vAlign w:val="bottom"/>
            <w:gridSpan w:val="2"/>
          </w:tcPr>
          <w:p>
            <w:pPr>
              <w:ind w:left="80"/>
              <w:spacing w:after="0"/>
              <w:rPr>
                <w:sz w:val="20"/>
                <w:szCs w:val="20"/>
                <w:color w:val="auto"/>
              </w:rPr>
            </w:pPr>
            <w:r>
              <w:rPr>
                <w:rFonts w:ascii="Arial" w:cs="Arial" w:eastAsia="Arial" w:hAnsi="Arial"/>
                <w:sz w:val="13"/>
                <w:szCs w:val="13"/>
                <w:b w:val="1"/>
                <w:bCs w:val="1"/>
                <w:color w:val="auto"/>
              </w:rPr>
              <w:t>December 31, 2021</w:t>
            </w:r>
          </w:p>
        </w:tc>
        <w:tc>
          <w:tcPr>
            <w:tcW w:w="160" w:type="dxa"/>
            <w:vAlign w:val="bottom"/>
          </w:tcPr>
          <w:p>
            <w:pPr>
              <w:spacing w:after="0"/>
              <w:rPr>
                <w:sz w:val="14"/>
                <w:szCs w:val="14"/>
                <w:color w:val="auto"/>
              </w:rPr>
            </w:pPr>
          </w:p>
        </w:tc>
        <w:tc>
          <w:tcPr>
            <w:tcW w:w="1380" w:type="dxa"/>
            <w:vAlign w:val="bottom"/>
          </w:tcPr>
          <w:p>
            <w:pPr>
              <w:jc w:val="right"/>
              <w:ind w:right="197"/>
              <w:spacing w:after="0"/>
              <w:rPr>
                <w:sz w:val="20"/>
                <w:szCs w:val="20"/>
                <w:color w:val="auto"/>
              </w:rPr>
            </w:pPr>
            <w:r>
              <w:rPr>
                <w:rFonts w:ascii="Arial" w:cs="Arial" w:eastAsia="Arial" w:hAnsi="Arial"/>
                <w:sz w:val="13"/>
                <w:szCs w:val="13"/>
                <w:b w:val="1"/>
                <w:bCs w:val="1"/>
                <w:color w:val="auto"/>
                <w:w w:val="93"/>
              </w:rPr>
              <w:t>December 31, 2020</w:t>
            </w:r>
          </w:p>
        </w:tc>
      </w:tr>
      <w:tr>
        <w:trPr>
          <w:trHeight w:val="162"/>
        </w:trPr>
        <w:tc>
          <w:tcPr>
            <w:tcW w:w="6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Cash and cash equivalents</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1,071,463</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13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889,559</w:t>
            </w:r>
          </w:p>
        </w:tc>
      </w:tr>
      <w:tr>
        <w:trPr>
          <w:trHeight w:val="163"/>
        </w:trPr>
        <w:tc>
          <w:tcPr>
            <w:tcW w:w="612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Cash restricted or segregated under regulations and other</w:t>
            </w:r>
          </w:p>
        </w:tc>
        <w:tc>
          <w:tcPr>
            <w:tcW w:w="1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49,490</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117,446</w:t>
            </w:r>
          </w:p>
        </w:tc>
      </w:tr>
      <w:tr>
        <w:trPr>
          <w:trHeight w:val="185"/>
        </w:trPr>
        <w:tc>
          <w:tcPr>
            <w:tcW w:w="6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Total cash, cash equivalents and restricted cash shown in the statement of cash flows</w:t>
            </w:r>
          </w:p>
        </w:tc>
        <w:tc>
          <w:tcPr>
            <w:tcW w:w="1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1,120,953</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13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1,007,005</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19. Capital Structure</w:t>
      </w:r>
    </w:p>
    <w:p>
      <w:pPr>
        <w:spacing w:after="0" w:line="223" w:lineRule="exact"/>
        <w:rPr>
          <w:sz w:val="20"/>
          <w:szCs w:val="20"/>
          <w:color w:val="auto"/>
        </w:rPr>
      </w:pPr>
    </w:p>
    <w:p>
      <w:pPr>
        <w:ind w:right="280" w:firstLine="568"/>
        <w:spacing w:after="0" w:line="302" w:lineRule="auto"/>
        <w:rPr>
          <w:sz w:val="20"/>
          <w:szCs w:val="20"/>
          <w:color w:val="auto"/>
        </w:rPr>
      </w:pPr>
      <w:r>
        <w:rPr>
          <w:rFonts w:ascii="Arial" w:cs="Arial" w:eastAsia="Arial" w:hAnsi="Arial"/>
          <w:sz w:val="14"/>
          <w:szCs w:val="14"/>
          <w:color w:val="auto"/>
        </w:rPr>
        <w:t>The Company has four classes of authorized common stock. The Class A Common Stock and the Class C Common Stock have one vote per share. The Class B Common Stock and the Class D Common Stock have 10 votes per share. Shares of the Company’s common stock generally vote together as a single class on all matters submitted to a vote of the Company’s stockholders. The Founder Member controls approximately 85.4% of the combined voting power of our common stock as a result of its ownership of our Class C and Class D Common Stock. The Company holds approximately a 62.7% interest in Virtu Financial at December 31, 2021.</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2" w:name="page123"/>
    <w:bookmarkEnd w:id="12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60" w:firstLine="568"/>
        <w:spacing w:after="0" w:line="297" w:lineRule="auto"/>
        <w:rPr>
          <w:sz w:val="20"/>
          <w:szCs w:val="20"/>
          <w:color w:val="auto"/>
        </w:rPr>
      </w:pPr>
      <w:r>
        <w:rPr>
          <w:rFonts w:ascii="Arial" w:cs="Arial" w:eastAsia="Arial" w:hAnsi="Arial"/>
          <w:sz w:val="14"/>
          <w:szCs w:val="14"/>
          <w:color w:val="auto"/>
        </w:rPr>
        <w:t>During the period prior to the Reorganization Transactions and IPO, Class A-2 profits interests and Class B interests in Virtu Financial were issued to Employee Holdco (as defined below) on behalf of certain key employees and stakeholders. In connection with the Reorganization Transactions, all Class A-2 profits interests and Class B interests were reclassified into Virtu Financial Units. As of December 31, 2021 and December 31, 2020, there were 4,791,839 and 5,259,713 Virtu Financial Units outstanding held by Employee Holdco (as defined below), respectively, and 467,874, 2,660,239 and 840,803 of such Virtu Financial Units and corresponding Class C Common Stock were exchanged into Class A Common Stock, forfeited or repurchased during the years ended December 31, 2021, 2020, and 2019 respectively.</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Amended and Restated 2015 Management Incentive Plan</w:t>
      </w:r>
    </w:p>
    <w:p>
      <w:pPr>
        <w:spacing w:after="0" w:line="219" w:lineRule="exact"/>
        <w:rPr>
          <w:sz w:val="20"/>
          <w:szCs w:val="20"/>
          <w:color w:val="auto"/>
        </w:rPr>
      </w:pPr>
    </w:p>
    <w:p>
      <w:pPr>
        <w:ind w:right="100" w:firstLine="568"/>
        <w:spacing w:after="0" w:line="252" w:lineRule="auto"/>
        <w:rPr>
          <w:sz w:val="20"/>
          <w:szCs w:val="20"/>
          <w:color w:val="auto"/>
        </w:rPr>
      </w:pPr>
      <w:r>
        <w:rPr>
          <w:rFonts w:ascii="Arial" w:cs="Arial" w:eastAsia="Arial" w:hAnsi="Arial"/>
          <w:sz w:val="16"/>
          <w:szCs w:val="16"/>
          <w:color w:val="auto"/>
        </w:rPr>
        <w:t>The Company’s Board of Directors and stockholders adopted the 2015 Management Incentive Plan, which became effective upon consummation of the IPO, and was subsequently amended and restated following receipt of approval from the Company’s stockholders on June 30, 2017 and June 5, 2020. The Amended and Restated 2015 Management Incentive Plan provides for the grant of stock options, restricted stock units, and other awards based on an aggregate of 21,000,000 shares of Class A Common Stock, subject to additional sublimits, including limits on the total option grant to any one participant in a single year and the total performance award to any one participant in a single year.</w:t>
      </w:r>
    </w:p>
    <w:p>
      <w:pPr>
        <w:spacing w:after="0" w:line="194" w:lineRule="exact"/>
        <w:rPr>
          <w:sz w:val="20"/>
          <w:szCs w:val="20"/>
          <w:color w:val="auto"/>
        </w:rPr>
      </w:pPr>
    </w:p>
    <w:p>
      <w:pPr>
        <w:ind w:right="100" w:firstLine="568"/>
        <w:spacing w:after="0" w:line="254" w:lineRule="auto"/>
        <w:rPr>
          <w:sz w:val="20"/>
          <w:szCs w:val="20"/>
          <w:color w:val="auto"/>
        </w:rPr>
      </w:pPr>
      <w:r>
        <w:rPr>
          <w:rFonts w:ascii="Arial" w:cs="Arial" w:eastAsia="Arial" w:hAnsi="Arial"/>
          <w:sz w:val="16"/>
          <w:szCs w:val="16"/>
          <w:color w:val="auto"/>
        </w:rPr>
        <w:t>On April 23, 2020, the Company’s Board of Directors adopted an amendment to the Company’s Amended and Restated 2015 Management Incentive Plan in order to increase the number of shares of the Company’s Class A Common Stock reserved for issuance, and in respect of which awards may be granted under the Amended and Restated 2015 Plan from 16,000,000 shares of Class A Common Stock to an aggregate of 21,000,000 shares of Class A Common Stock, and the amendment was approved by the Company’s shareholders at the Company's annual meeting of stockholders on June 5, 2020.</w:t>
      </w:r>
    </w:p>
    <w:p>
      <w:pPr>
        <w:spacing w:after="0" w:line="192" w:lineRule="exact"/>
        <w:rPr>
          <w:sz w:val="20"/>
          <w:szCs w:val="20"/>
          <w:color w:val="auto"/>
        </w:rPr>
      </w:pPr>
    </w:p>
    <w:p>
      <w:pPr>
        <w:jc w:val="both"/>
        <w:ind w:right="140" w:firstLine="568"/>
        <w:spacing w:after="0" w:line="294" w:lineRule="auto"/>
        <w:rPr>
          <w:sz w:val="20"/>
          <w:szCs w:val="20"/>
          <w:color w:val="auto"/>
        </w:rPr>
      </w:pPr>
      <w:r>
        <w:rPr>
          <w:rFonts w:ascii="Arial" w:cs="Arial" w:eastAsia="Arial" w:hAnsi="Arial"/>
          <w:sz w:val="14"/>
          <w:szCs w:val="14"/>
          <w:color w:val="auto"/>
        </w:rPr>
        <w:t>On November 13, 2020, the Company amended its form award agreement for the issuance of RSUs to provide for the continued vesting of outstanding RSU awards upon the occurrence of a qualified retirement (the "RSU Amendment"). A qualified retirement generally means a voluntary resignation by the participant (i) after five years of service, (ii) the participant attaining the age of 50 and (iii) the sum of the participant's age and service at the time of termination equaling or exceeding 65. Continued vesting is subject to the participant entering into a 2 year non-compete. The RSU Amendment was authorized and approved by the Compensation Committee of the Company's Board of Directors. As a result of the RSU Amendment, currently issued and outstanding RSUs held by the Company's employees, including its executive officers, shall be deemed to be subject to the amended terms of the form award agreement, and any future RSU awards shall also be governed by such amended terms.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Amended and Restated Investment Technology Group, Inc. 2007 Omnibus Equity Compensation Plan</w:t>
      </w:r>
    </w:p>
    <w:p>
      <w:pPr>
        <w:spacing w:after="0" w:line="219" w:lineRule="exact"/>
        <w:rPr>
          <w:sz w:val="20"/>
          <w:szCs w:val="20"/>
          <w:color w:val="auto"/>
        </w:rPr>
      </w:pPr>
    </w:p>
    <w:p>
      <w:pPr>
        <w:ind w:firstLine="568"/>
        <w:spacing w:after="0" w:line="257" w:lineRule="auto"/>
        <w:rPr>
          <w:sz w:val="20"/>
          <w:szCs w:val="20"/>
          <w:color w:val="auto"/>
        </w:rPr>
      </w:pPr>
      <w:r>
        <w:rPr>
          <w:rFonts w:ascii="Arial" w:cs="Arial" w:eastAsia="Arial" w:hAnsi="Arial"/>
          <w:sz w:val="16"/>
          <w:szCs w:val="16"/>
          <w:color w:val="auto"/>
        </w:rPr>
        <w:t>On the ITG Closing Date, the Company assumed the Amended and Restated ITG 2007 Equity Plan and the Assumed Awards. As of the ITG Closing Date, the aggregate number of shares of Class A Common Stock subject to such Assumed Awards was 2,497,028 and the aggregate number of shares of Class A Common Stock that remained issuable pursuant to the Amended and Restated ITG 2007 Equity Plan was 1,230,406.</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 Repurchase Program</w:t>
      </w:r>
    </w:p>
    <w:p>
      <w:pPr>
        <w:spacing w:after="0" w:line="219" w:lineRule="exact"/>
        <w:rPr>
          <w:sz w:val="20"/>
          <w:szCs w:val="20"/>
          <w:color w:val="auto"/>
        </w:rPr>
      </w:pPr>
    </w:p>
    <w:p>
      <w:pPr>
        <w:ind w:right="80" w:firstLine="568"/>
        <w:spacing w:after="0" w:line="252" w:lineRule="auto"/>
        <w:rPr>
          <w:sz w:val="20"/>
          <w:szCs w:val="20"/>
          <w:color w:val="auto"/>
        </w:rPr>
      </w:pPr>
      <w:r>
        <w:rPr>
          <w:rFonts w:ascii="Arial" w:cs="Arial" w:eastAsia="Arial" w:hAnsi="Arial"/>
          <w:sz w:val="16"/>
          <w:szCs w:val="16"/>
          <w:color w:val="auto"/>
        </w:rPr>
        <w:t>In February 2018, the Company's Board of Directors authorized a share repurchase program of up to $50.0 million in Class A Common Stock and Virtu Financial Units by March 31, 2019. On July 27, 2018, the Company's Board of Directors authorized the expansion of the Company's share repurchase program, increasing the total authorized amount by $50.0 million to $100.0 million and extending the duration of the program through September 30, 2019. The program expired on September 30, 2019. From the inception of the program in February 2018, the Company repurchased approximately 2.6 million shares of Class A Common Stock and Virtu Financial Units for approximately $65.9 million.</w:t>
      </w:r>
    </w:p>
    <w:p>
      <w:pPr>
        <w:spacing w:after="0" w:line="194" w:lineRule="exact"/>
        <w:rPr>
          <w:sz w:val="20"/>
          <w:szCs w:val="20"/>
          <w:color w:val="auto"/>
        </w:rPr>
      </w:pPr>
    </w:p>
    <w:p>
      <w:pPr>
        <w:ind w:right="20" w:firstLine="568"/>
        <w:spacing w:after="0" w:line="250" w:lineRule="auto"/>
        <w:rPr>
          <w:sz w:val="20"/>
          <w:szCs w:val="20"/>
          <w:color w:val="auto"/>
        </w:rPr>
      </w:pPr>
      <w:r>
        <w:rPr>
          <w:rFonts w:ascii="Arial" w:cs="Arial" w:eastAsia="Arial" w:hAnsi="Arial"/>
          <w:sz w:val="16"/>
          <w:szCs w:val="16"/>
          <w:color w:val="auto"/>
        </w:rPr>
        <w:t>On November 6, 2020, the Company's Board of Directors authorized a new share repurchase program of up to $100.0 million in Class A common stock and Virtu Financial Units by December 31, 2021. On February 11, 2021, the Company's Board of Directors authorized the expansion of the program by an additional $70 million in Class A Common Stock and Virtu Financial Units. On May 4, 2021, the Company's Board of Directors authorized the expansion of the Company's share repurchase program, increasing the total authorized amount by $300 million to $470 million in Class A Common Stock and Virtu Financial Units and extending the duration of the program through May 4, 2022. Additionally, on November 3, 2021 the Company's Board of Directors authorized the expansion of the program by an additional $750 million to $1,220 million and extending the duration of the program through November 3, 2023. The share repurchase program authorizes the Company to repurchase shares from time to time in open market transactions, privately negotiated transactions or by other means. Repurchases are also permitted to be made under Rule 10b5-1 plans. The timing and amount of repurchase transactions are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3" w:name="page124"/>
    <w:bookmarkEnd w:id="12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4"/>
          <w:szCs w:val="14"/>
          <w:color w:val="auto"/>
        </w:rPr>
        <w:t>determined by the Company's management based on its evaluation of market conditions, share price, cash sources, legal requirements and other factors. From the inception of the</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program through December 31, 2021, the Company repurchased approximately 16.1 million shares of Class A Common Stock and Virtu Financial Units for approximately</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$439.1 million. As of December 31, 2021, the Company has approximately $780.9 million remaining capacity for future purchases of shares of Class A Common Stock and Virtu</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Financial Units under the program.</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Secondary Offerings</w:t>
      </w:r>
    </w:p>
    <w:p>
      <w:pPr>
        <w:spacing w:after="0" w:line="219" w:lineRule="exact"/>
        <w:rPr>
          <w:sz w:val="20"/>
          <w:szCs w:val="20"/>
          <w:color w:val="auto"/>
        </w:rPr>
      </w:pPr>
    </w:p>
    <w:p>
      <w:pPr>
        <w:ind w:right="240" w:firstLine="568"/>
        <w:spacing w:after="0" w:line="254" w:lineRule="auto"/>
        <w:rPr>
          <w:sz w:val="20"/>
          <w:szCs w:val="20"/>
          <w:color w:val="auto"/>
        </w:rPr>
      </w:pPr>
      <w:r>
        <w:rPr>
          <w:rFonts w:ascii="Arial" w:cs="Arial" w:eastAsia="Arial" w:hAnsi="Arial"/>
          <w:sz w:val="16"/>
          <w:szCs w:val="16"/>
          <w:color w:val="auto"/>
        </w:rPr>
        <w:t>In May 2019, the Company completed a public offering (the “May 2019 Secondary Offering”) of 9,000,000 shares of Class A Common Stock at a purchase price per share paid by the underwriters of $22.00, the proceeds of which were used to purchase an equivalent number of Virtu Financial Units and corresponding shares of Class D Common Stock from TJMT Holdings LLC pursuant to that certain Member Purchase Agreement, entered into on May 14, 2019 by and between the Company and TJMT Holdings LLC.</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Employee Exchanges</w:t>
      </w:r>
    </w:p>
    <w:p>
      <w:pPr>
        <w:spacing w:after="0" w:line="219" w:lineRule="exact"/>
        <w:rPr>
          <w:sz w:val="20"/>
          <w:szCs w:val="20"/>
          <w:color w:val="auto"/>
        </w:rPr>
      </w:pPr>
    </w:p>
    <w:p>
      <w:pPr>
        <w:ind w:right="160" w:firstLine="568"/>
        <w:spacing w:after="0" w:line="257" w:lineRule="auto"/>
        <w:rPr>
          <w:sz w:val="20"/>
          <w:szCs w:val="20"/>
          <w:color w:val="auto"/>
        </w:rPr>
      </w:pPr>
      <w:r>
        <w:rPr>
          <w:rFonts w:ascii="Arial" w:cs="Arial" w:eastAsia="Arial" w:hAnsi="Arial"/>
          <w:sz w:val="16"/>
          <w:szCs w:val="16"/>
          <w:color w:val="auto"/>
        </w:rPr>
        <w:t>During the years ended December 31, 2021, 2020 and 2019, pursuant to the exchange agreement by and among the Company, Virtu Financial and holders of Virtu Financial Units, certain current and former employees elected to exchange 747,849, 2,660,239 and 840,839 units, respectively in Virtu Financial held directly or on their behalf by Virtu Employee Holdco LLC (“Employee Holdco”) on a one-for-one basis for shares of Class A Common Stock.</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Warrant Issuance</w:t>
      </w:r>
    </w:p>
    <w:p>
      <w:pPr>
        <w:spacing w:after="0" w:line="219" w:lineRule="exact"/>
        <w:rPr>
          <w:sz w:val="20"/>
          <w:szCs w:val="20"/>
          <w:color w:val="auto"/>
        </w:rPr>
      </w:pPr>
    </w:p>
    <w:p>
      <w:pPr>
        <w:ind w:right="60" w:firstLine="568"/>
        <w:spacing w:after="0" w:line="288" w:lineRule="auto"/>
        <w:rPr>
          <w:sz w:val="20"/>
          <w:szCs w:val="20"/>
          <w:color w:val="auto"/>
        </w:rPr>
      </w:pPr>
      <w:r>
        <w:rPr>
          <w:rFonts w:ascii="Arial" w:cs="Arial" w:eastAsia="Arial" w:hAnsi="Arial"/>
          <w:sz w:val="14"/>
          <w:szCs w:val="14"/>
          <w:color w:val="auto"/>
        </w:rPr>
        <w:t>On March 20, 2020, in connection with and in consideration of the Founder Member’s commitments under the Founder Member Loan Facility (as described in Note 10 "Borrowings"), the Company delivered to the Founder Member a warrant (the “Warrant”) to purchase shares of the Company’s Class A Common Stock. Pursuant to the Warrant, the Founder Member was entitled to purchase up to 3,000,000 shares of Class A Common Stock on or after May 22, 2020 up to and including January 15, 2022. If at any time during the term of the Founder Member Loan Facility, the Founder Member Loans equal to or greater than $100 million had remained outstanding for a certain period of time specified in the Warrant, the number of shares would have increased to 10,000,000. The Founder Member Loan Facility Term expired on September 20, 2020 without the Company having borrowed any Founder Member Loans thereunder (as described in Note 10 "Borrowings"). The exercise price per share of the Class A Common Stock issuable pursuant to the Warrant was $22.98, which in accordance with the terms of the Warrant, is equal to the average of the volume weighted average prices of the Class A Common Stock for the ten (10) trading days following May 7, 2020, the date on which the Company publicly announced its earnings results for the first quarter of 2020. On December 17, 2021, the Founder Member exercised in full the Warrant to purchase 3,000,000 shares of the Company's Class A Common Stock. The Warrant and Class A Common Stock issued pursuant to the Warrant were offered, issued and sold, in reliance on the exemption from the registration requirements of the Securities Act of 1933, as amended (the "Securities Act"), set forth under Section 4(a)(2) of the Securities Act relating to sales by an issuer not involving any public offering.</w:t>
      </w:r>
    </w:p>
    <w:p>
      <w:pPr>
        <w:spacing w:after="0" w:line="172" w:lineRule="exact"/>
        <w:rPr>
          <w:sz w:val="20"/>
          <w:szCs w:val="20"/>
          <w:color w:val="auto"/>
        </w:rPr>
      </w:pPr>
    </w:p>
    <w:p>
      <w:pPr>
        <w:ind w:firstLine="568"/>
        <w:spacing w:after="0" w:line="276" w:lineRule="auto"/>
        <w:rPr>
          <w:sz w:val="20"/>
          <w:szCs w:val="20"/>
          <w:color w:val="auto"/>
        </w:rPr>
      </w:pPr>
      <w:r>
        <w:rPr>
          <w:rFonts w:ascii="Arial" w:cs="Arial" w:eastAsia="Arial" w:hAnsi="Arial"/>
          <w:sz w:val="15"/>
          <w:szCs w:val="15"/>
          <w:color w:val="auto"/>
        </w:rPr>
        <w:t>Upon issuance, the fair value of the Warrant was determined using a Black-Scholes-Merton model, and was recorded as a debt issuance cost within Other Assets on the Consolidated Statements of Financial Condition and as an increase to Additional paid-in capital on the Consolidated Statements of Changes in Equity. The balance was amortized on a straight-line basis from March 20, 2020 through September 20, 2020, the date on which the Founder Member Loan Facility expired, and recorded as expense within Debt issue cost related to debt refinancing, prepayment and commitment fees in the Consolidated Statements of Comprehensive Income.</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Accumulated Other Comprehensive Income (Loss)</w:t>
      </w:r>
    </w:p>
    <w:p>
      <w:pPr>
        <w:spacing w:after="0" w:line="21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presents the changes in Other Comprehensive Income (Loss) for the years ended December 31, 2021,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4" w:name="page125"/>
    <w:bookmarkEnd w:id="12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19" w:lineRule="exact"/>
        <w:rPr>
          <w:sz w:val="20"/>
          <w:szCs w:val="20"/>
          <w:color w:val="auto"/>
        </w:rPr>
      </w:pPr>
    </w:p>
    <w:tbl>
      <w:tblPr>
        <w:tblLayout w:type="fixed"/>
        <w:tblInd w:w="700" w:type="dxa"/>
        <w:tblCellMar>
          <w:top w:w="0" w:type="dxa"/>
          <w:left w:w="0" w:type="dxa"/>
          <w:bottom w:w="0" w:type="dxa"/>
          <w:right w:w="0" w:type="dxa"/>
        </w:tblCellMar>
      </w:tblPr>
      <w:tr>
        <w:trPr>
          <w:trHeight w:val="169"/>
        </w:trPr>
        <w:tc>
          <w:tcPr>
            <w:tcW w:w="3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5"/>
          </w:tcPr>
          <w:p>
            <w:pPr>
              <w:ind w:left="520"/>
              <w:spacing w:after="0"/>
              <w:rPr>
                <w:sz w:val="20"/>
                <w:szCs w:val="20"/>
                <w:color w:val="auto"/>
              </w:rPr>
            </w:pPr>
            <w:r>
              <w:rPr>
                <w:rFonts w:ascii="Arial" w:cs="Arial" w:eastAsia="Arial" w:hAnsi="Arial"/>
                <w:sz w:val="13"/>
                <w:szCs w:val="13"/>
                <w:b w:val="1"/>
                <w:bCs w:val="1"/>
                <w:color w:val="auto"/>
              </w:rPr>
              <w:t>Year Ended December 31, 2021</w:t>
            </w: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37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(in thousands)</w:t>
            </w:r>
          </w:p>
        </w:tc>
        <w:tc>
          <w:tcPr>
            <w:tcW w:w="156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w w:val="97"/>
              </w:rPr>
              <w:t>AOCI Beginning Balance</w:t>
            </w:r>
          </w:p>
        </w:tc>
        <w:tc>
          <w:tcPr>
            <w:tcW w:w="140" w:type="dxa"/>
            <w:vAlign w:val="bottom"/>
          </w:tcPr>
          <w:p>
            <w:pPr>
              <w:spacing w:after="0"/>
              <w:rPr>
                <w:sz w:val="9"/>
                <w:szCs w:val="9"/>
                <w:color w:val="auto"/>
              </w:rPr>
            </w:pPr>
          </w:p>
        </w:tc>
        <w:tc>
          <w:tcPr>
            <w:tcW w:w="1400" w:type="dxa"/>
            <w:vAlign w:val="bottom"/>
            <w:gridSpan w:val="2"/>
          </w:tcPr>
          <w:p>
            <w:pPr>
              <w:jc w:val="center"/>
              <w:ind w:right="240"/>
              <w:spacing w:after="0" w:line="115" w:lineRule="exact"/>
              <w:rPr>
                <w:sz w:val="20"/>
                <w:szCs w:val="20"/>
                <w:color w:val="auto"/>
              </w:rPr>
            </w:pPr>
            <w:r>
              <w:rPr>
                <w:rFonts w:ascii="Arial" w:cs="Arial" w:eastAsia="Arial" w:hAnsi="Arial"/>
                <w:sz w:val="13"/>
                <w:szCs w:val="13"/>
                <w:b w:val="1"/>
                <w:bCs w:val="1"/>
                <w:color w:val="auto"/>
                <w:w w:val="86"/>
              </w:rPr>
              <w:t>Amounts recorded</w:t>
            </w:r>
          </w:p>
        </w:tc>
        <w:tc>
          <w:tcPr>
            <w:tcW w:w="1560" w:type="dxa"/>
            <w:vAlign w:val="bottom"/>
            <w:gridSpan w:val="3"/>
          </w:tcPr>
          <w:p>
            <w:pPr>
              <w:ind w:left="20"/>
              <w:spacing w:after="0" w:line="115" w:lineRule="exact"/>
              <w:rPr>
                <w:sz w:val="20"/>
                <w:szCs w:val="20"/>
                <w:color w:val="auto"/>
              </w:rPr>
            </w:pPr>
            <w:r>
              <w:rPr>
                <w:rFonts w:ascii="Arial" w:cs="Arial" w:eastAsia="Arial" w:hAnsi="Arial"/>
                <w:sz w:val="13"/>
                <w:szCs w:val="13"/>
                <w:b w:val="1"/>
                <w:bCs w:val="1"/>
                <w:color w:val="auto"/>
                <w:w w:val="92"/>
              </w:rPr>
              <w:t>Amounts reclassified from</w:t>
            </w:r>
          </w:p>
        </w:tc>
        <w:tc>
          <w:tcPr>
            <w:tcW w:w="100" w:type="dxa"/>
            <w:vAlign w:val="bottom"/>
          </w:tcPr>
          <w:p>
            <w:pPr>
              <w:spacing w:after="0"/>
              <w:rPr>
                <w:sz w:val="9"/>
                <w:szCs w:val="9"/>
                <w:color w:val="auto"/>
              </w:rPr>
            </w:pPr>
          </w:p>
        </w:tc>
        <w:tc>
          <w:tcPr>
            <w:tcW w:w="136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w w:val="91"/>
              </w:rPr>
              <w:t>AOCI Ending Balance</w:t>
            </w:r>
          </w:p>
        </w:tc>
        <w:tc>
          <w:tcPr>
            <w:tcW w:w="0" w:type="dxa"/>
            <w:vAlign w:val="bottom"/>
          </w:tcPr>
          <w:p>
            <w:pPr>
              <w:spacing w:after="0"/>
              <w:rPr>
                <w:sz w:val="1"/>
                <w:szCs w:val="1"/>
                <w:color w:val="auto"/>
              </w:rPr>
            </w:pPr>
          </w:p>
        </w:tc>
      </w:tr>
      <w:tr>
        <w:trPr>
          <w:trHeight w:val="165"/>
        </w:trPr>
        <w:tc>
          <w:tcPr>
            <w:tcW w:w="3720" w:type="dxa"/>
            <w:vAlign w:val="bottom"/>
            <w:gridSpan w:val="2"/>
            <w:vMerge w:val="continue"/>
          </w:tcPr>
          <w:p>
            <w:pPr>
              <w:spacing w:after="0"/>
              <w:rPr>
                <w:sz w:val="14"/>
                <w:szCs w:val="14"/>
                <w:color w:val="auto"/>
              </w:rPr>
            </w:pPr>
          </w:p>
        </w:tc>
        <w:tc>
          <w:tcPr>
            <w:tcW w:w="15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in AOCI</w:t>
            </w:r>
          </w:p>
        </w:tc>
        <w:tc>
          <w:tcPr>
            <w:tcW w:w="180" w:type="dxa"/>
            <w:vAlign w:val="bottom"/>
          </w:tcPr>
          <w:p>
            <w:pPr>
              <w:spacing w:after="0"/>
              <w:rPr>
                <w:sz w:val="14"/>
                <w:szCs w:val="14"/>
                <w:color w:val="auto"/>
              </w:rPr>
            </w:pPr>
          </w:p>
        </w:tc>
        <w:tc>
          <w:tcPr>
            <w:tcW w:w="1380" w:type="dxa"/>
            <w:vAlign w:val="bottom"/>
            <w:gridSpan w:val="2"/>
          </w:tcPr>
          <w:p>
            <w:pPr>
              <w:ind w:left="120"/>
              <w:spacing w:after="0"/>
              <w:rPr>
                <w:sz w:val="20"/>
                <w:szCs w:val="20"/>
                <w:color w:val="auto"/>
              </w:rPr>
            </w:pPr>
            <w:r>
              <w:rPr>
                <w:rFonts w:ascii="Arial" w:cs="Arial" w:eastAsia="Arial" w:hAnsi="Arial"/>
                <w:sz w:val="13"/>
                <w:szCs w:val="13"/>
                <w:b w:val="1"/>
                <w:bCs w:val="1"/>
                <w:color w:val="auto"/>
              </w:rPr>
              <w:t>AOCI to income</w:t>
            </w:r>
          </w:p>
        </w:tc>
        <w:tc>
          <w:tcPr>
            <w:tcW w:w="1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Net change in unrealized cash flow hedges gains (losses) (1)</w:t>
            </w:r>
          </w:p>
        </w:tc>
        <w:tc>
          <w:tcPr>
            <w:tcW w:w="10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right"/>
              <w:ind w:right="397"/>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(33,444)</w:t>
            </w: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8,374</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14,590</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(10,480)</w:t>
            </w:r>
          </w:p>
        </w:tc>
        <w:tc>
          <w:tcPr>
            <w:tcW w:w="0" w:type="dxa"/>
            <w:vAlign w:val="bottom"/>
          </w:tcPr>
          <w:p>
            <w:pPr>
              <w:spacing w:after="0"/>
              <w:rPr>
                <w:sz w:val="1"/>
                <w:szCs w:val="1"/>
                <w:color w:val="auto"/>
              </w:rPr>
            </w:pPr>
          </w:p>
        </w:tc>
      </w:tr>
      <w:tr>
        <w:trPr>
          <w:trHeight w:val="163"/>
        </w:trPr>
        <w:tc>
          <w:tcPr>
            <w:tcW w:w="3720" w:type="dxa"/>
            <w:vAlign w:val="bottom"/>
            <w:gridSpan w:val="2"/>
          </w:tcPr>
          <w:p>
            <w:pPr>
              <w:ind w:left="20"/>
              <w:spacing w:after="0"/>
              <w:rPr>
                <w:sz w:val="20"/>
                <w:szCs w:val="20"/>
                <w:color w:val="auto"/>
              </w:rPr>
            </w:pPr>
            <w:r>
              <w:rPr>
                <w:rFonts w:ascii="Arial" w:cs="Arial" w:eastAsia="Arial" w:hAnsi="Arial"/>
                <w:sz w:val="13"/>
                <w:szCs w:val="13"/>
                <w:color w:val="auto"/>
              </w:rPr>
              <w:t>Foreign exchange translation adjustment</w:t>
            </w:r>
          </w:p>
        </w:tc>
        <w:tc>
          <w:tcPr>
            <w:tcW w:w="5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7,957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(7,672)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285</w:t>
            </w:r>
          </w:p>
        </w:tc>
        <w:tc>
          <w:tcPr>
            <w:tcW w:w="0" w:type="dxa"/>
            <w:vAlign w:val="bottom"/>
          </w:tcPr>
          <w:p>
            <w:pPr>
              <w:spacing w:after="0"/>
              <w:rPr>
                <w:sz w:val="1"/>
                <w:szCs w:val="1"/>
                <w:color w:val="auto"/>
              </w:rPr>
            </w:pPr>
          </w:p>
        </w:tc>
      </w:tr>
      <w:tr>
        <w:trPr>
          <w:trHeight w:val="164"/>
        </w:trPr>
        <w:tc>
          <w:tcPr>
            <w:tcW w:w="37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540" w:type="dxa"/>
            <w:vAlign w:val="bottom"/>
            <w:tcBorders>
              <w:top w:val="single" w:sz="8" w:color="auto"/>
              <w:bottom w:val="single" w:sz="8" w:color="auto"/>
            </w:tcBorders>
            <w:shd w:val="clear" w:color="auto" w:fill="CCEEFF"/>
          </w:tcPr>
          <w:p>
            <w:pPr>
              <w:jc w:val="right"/>
              <w:ind w:right="397"/>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(25,487)</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702</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14,590</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(10,195)</w:t>
            </w:r>
          </w:p>
        </w:tc>
        <w:tc>
          <w:tcPr>
            <w:tcW w:w="0" w:type="dxa"/>
            <w:vAlign w:val="bottom"/>
          </w:tcPr>
          <w:p>
            <w:pPr>
              <w:spacing w:after="0"/>
              <w:rPr>
                <w:sz w:val="1"/>
                <w:szCs w:val="1"/>
                <w:color w:val="auto"/>
              </w:rPr>
            </w:pPr>
          </w:p>
        </w:tc>
      </w:tr>
    </w:tbl>
    <w:p>
      <w:pPr>
        <w:ind w:left="720" w:right="740" w:firstLine="1"/>
        <w:spacing w:after="0" w:line="271" w:lineRule="auto"/>
        <w:tabs>
          <w:tab w:leader="none" w:pos="876" w:val="left"/>
        </w:tabs>
        <w:numPr>
          <w:ilvl w:val="0"/>
          <w:numId w:val="40"/>
        </w:numPr>
        <w:rPr>
          <w:rFonts w:ascii="Arial" w:cs="Arial" w:eastAsia="Arial" w:hAnsi="Arial"/>
          <w:sz w:val="10"/>
          <w:szCs w:val="10"/>
          <w:color w:val="auto"/>
        </w:rPr>
      </w:pPr>
      <w:r>
        <w:rPr>
          <w:rFonts w:ascii="Arial" w:cs="Arial" w:eastAsia="Arial" w:hAnsi="Arial"/>
          <w:sz w:val="10"/>
          <w:szCs w:val="10"/>
          <w:color w:val="auto"/>
        </w:rPr>
        <w:t>Amounts reclassified from AOCI to income are included within Financing interest expense on long-term borrowings on the Consolidated Statements of Comprehensive Income. As of December 31, 2021, the Company expects approximately $15.0 million to be reclassified from AOCI into earnings over the next 12 months. The timing of the reclassification is based on the interest payment schedule of the long-term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-156845</wp:posOffset>
            </wp:positionV>
            <wp:extent cx="3886835" cy="76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886835" cy="7620"/>
                    </a:xfrm>
                    <a:prstGeom prst="rect">
                      <a:avLst/>
                    </a:prstGeom>
                    <a:noFill/>
                  </pic:spPr>
                </pic:pic>
              </a:graphicData>
            </a:graphic>
          </wp:anchor>
        </w:drawing>
      </w:r>
    </w:p>
    <w:p>
      <w:pPr>
        <w:spacing w:after="0" w:line="67" w:lineRule="exact"/>
        <w:rPr>
          <w:sz w:val="20"/>
          <w:szCs w:val="20"/>
          <w:color w:val="auto"/>
        </w:rPr>
      </w:pPr>
    </w:p>
    <w:tbl>
      <w:tblPr>
        <w:tblLayout w:type="fixed"/>
        <w:tblInd w:w="700" w:type="dxa"/>
        <w:tblCellMar>
          <w:top w:w="0" w:type="dxa"/>
          <w:left w:w="0" w:type="dxa"/>
          <w:bottom w:w="0" w:type="dxa"/>
          <w:right w:w="0" w:type="dxa"/>
        </w:tblCellMar>
      </w:tblPr>
      <w:tr>
        <w:trPr>
          <w:trHeight w:val="169"/>
        </w:trPr>
        <w:tc>
          <w:tcPr>
            <w:tcW w:w="37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5"/>
          </w:tcPr>
          <w:p>
            <w:pPr>
              <w:ind w:left="520"/>
              <w:spacing w:after="0"/>
              <w:rPr>
                <w:sz w:val="20"/>
                <w:szCs w:val="20"/>
                <w:color w:val="auto"/>
              </w:rPr>
            </w:pPr>
            <w:r>
              <w:rPr>
                <w:rFonts w:ascii="Arial" w:cs="Arial" w:eastAsia="Arial" w:hAnsi="Arial"/>
                <w:sz w:val="13"/>
                <w:szCs w:val="13"/>
                <w:b w:val="1"/>
                <w:bCs w:val="1"/>
                <w:color w:val="auto"/>
              </w:rPr>
              <w:t>Year Ended December 31, 2020</w:t>
            </w: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37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thousands)</w:t>
            </w:r>
          </w:p>
        </w:tc>
        <w:tc>
          <w:tcPr>
            <w:tcW w:w="156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w w:val="97"/>
              </w:rPr>
              <w:t>AOCI Beginning Balance</w:t>
            </w:r>
          </w:p>
        </w:tc>
        <w:tc>
          <w:tcPr>
            <w:tcW w:w="140" w:type="dxa"/>
            <w:vAlign w:val="bottom"/>
          </w:tcPr>
          <w:p>
            <w:pPr>
              <w:spacing w:after="0"/>
              <w:rPr>
                <w:sz w:val="9"/>
                <w:szCs w:val="9"/>
                <w:color w:val="auto"/>
              </w:rPr>
            </w:pPr>
          </w:p>
        </w:tc>
        <w:tc>
          <w:tcPr>
            <w:tcW w:w="1400" w:type="dxa"/>
            <w:vAlign w:val="bottom"/>
            <w:gridSpan w:val="2"/>
          </w:tcPr>
          <w:p>
            <w:pPr>
              <w:jc w:val="center"/>
              <w:ind w:right="240"/>
              <w:spacing w:after="0" w:line="115" w:lineRule="exact"/>
              <w:rPr>
                <w:sz w:val="20"/>
                <w:szCs w:val="20"/>
                <w:color w:val="auto"/>
              </w:rPr>
            </w:pPr>
            <w:r>
              <w:rPr>
                <w:rFonts w:ascii="Arial" w:cs="Arial" w:eastAsia="Arial" w:hAnsi="Arial"/>
                <w:sz w:val="13"/>
                <w:szCs w:val="13"/>
                <w:b w:val="1"/>
                <w:bCs w:val="1"/>
                <w:color w:val="auto"/>
                <w:w w:val="86"/>
              </w:rPr>
              <w:t>Amounts recorded</w:t>
            </w:r>
          </w:p>
        </w:tc>
        <w:tc>
          <w:tcPr>
            <w:tcW w:w="1560" w:type="dxa"/>
            <w:vAlign w:val="bottom"/>
            <w:gridSpan w:val="3"/>
          </w:tcPr>
          <w:p>
            <w:pPr>
              <w:ind w:left="20"/>
              <w:spacing w:after="0" w:line="115" w:lineRule="exact"/>
              <w:rPr>
                <w:sz w:val="20"/>
                <w:szCs w:val="20"/>
                <w:color w:val="auto"/>
              </w:rPr>
            </w:pPr>
            <w:r>
              <w:rPr>
                <w:rFonts w:ascii="Arial" w:cs="Arial" w:eastAsia="Arial" w:hAnsi="Arial"/>
                <w:sz w:val="13"/>
                <w:szCs w:val="13"/>
                <w:b w:val="1"/>
                <w:bCs w:val="1"/>
                <w:color w:val="auto"/>
                <w:w w:val="92"/>
              </w:rPr>
              <w:t>Amounts reclassified from</w:t>
            </w:r>
          </w:p>
        </w:tc>
        <w:tc>
          <w:tcPr>
            <w:tcW w:w="100" w:type="dxa"/>
            <w:vAlign w:val="bottom"/>
          </w:tcPr>
          <w:p>
            <w:pPr>
              <w:spacing w:after="0"/>
              <w:rPr>
                <w:sz w:val="9"/>
                <w:szCs w:val="9"/>
                <w:color w:val="auto"/>
              </w:rPr>
            </w:pPr>
          </w:p>
        </w:tc>
        <w:tc>
          <w:tcPr>
            <w:tcW w:w="136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w w:val="91"/>
              </w:rPr>
              <w:t>AOCI Ending Balance</w:t>
            </w:r>
          </w:p>
        </w:tc>
        <w:tc>
          <w:tcPr>
            <w:tcW w:w="0" w:type="dxa"/>
            <w:vAlign w:val="bottom"/>
          </w:tcPr>
          <w:p>
            <w:pPr>
              <w:spacing w:after="0"/>
              <w:rPr>
                <w:sz w:val="1"/>
                <w:szCs w:val="1"/>
                <w:color w:val="auto"/>
              </w:rPr>
            </w:pPr>
          </w:p>
        </w:tc>
      </w:tr>
      <w:tr>
        <w:trPr>
          <w:trHeight w:val="165"/>
        </w:trPr>
        <w:tc>
          <w:tcPr>
            <w:tcW w:w="3720" w:type="dxa"/>
            <w:vAlign w:val="bottom"/>
            <w:vMerge w:val="continue"/>
          </w:tcPr>
          <w:p>
            <w:pPr>
              <w:spacing w:after="0"/>
              <w:rPr>
                <w:sz w:val="14"/>
                <w:szCs w:val="14"/>
                <w:color w:val="auto"/>
              </w:rPr>
            </w:pPr>
          </w:p>
        </w:tc>
        <w:tc>
          <w:tcPr>
            <w:tcW w:w="15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in AOCI</w:t>
            </w:r>
          </w:p>
        </w:tc>
        <w:tc>
          <w:tcPr>
            <w:tcW w:w="180" w:type="dxa"/>
            <w:vAlign w:val="bottom"/>
          </w:tcPr>
          <w:p>
            <w:pPr>
              <w:spacing w:after="0"/>
              <w:rPr>
                <w:sz w:val="14"/>
                <w:szCs w:val="14"/>
                <w:color w:val="auto"/>
              </w:rPr>
            </w:pPr>
          </w:p>
        </w:tc>
        <w:tc>
          <w:tcPr>
            <w:tcW w:w="1380" w:type="dxa"/>
            <w:vAlign w:val="bottom"/>
            <w:gridSpan w:val="2"/>
          </w:tcPr>
          <w:p>
            <w:pPr>
              <w:ind w:left="120"/>
              <w:spacing w:after="0"/>
              <w:rPr>
                <w:sz w:val="20"/>
                <w:szCs w:val="20"/>
                <w:color w:val="auto"/>
              </w:rPr>
            </w:pPr>
            <w:r>
              <w:rPr>
                <w:rFonts w:ascii="Arial" w:cs="Arial" w:eastAsia="Arial" w:hAnsi="Arial"/>
                <w:sz w:val="13"/>
                <w:szCs w:val="13"/>
                <w:b w:val="1"/>
                <w:bCs w:val="1"/>
                <w:color w:val="auto"/>
              </w:rPr>
              <w:t>AOCI to income</w:t>
            </w:r>
          </w:p>
        </w:tc>
        <w:tc>
          <w:tcPr>
            <w:tcW w:w="1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change in unrealized cash flow hedges gains (losses)</w:t>
            </w:r>
          </w:p>
        </w:tc>
        <w:tc>
          <w:tcPr>
            <w:tcW w:w="620" w:type="dxa"/>
            <w:vAlign w:val="bottom"/>
            <w:tcBorders>
              <w:top w:val="single" w:sz="8" w:color="auto"/>
            </w:tcBorders>
            <w:shd w:val="clear" w:color="auto" w:fill="CCEEFF"/>
          </w:tcPr>
          <w:p>
            <w:pPr>
              <w:jc w:val="right"/>
              <w:ind w:right="477"/>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(42,636)</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9,192</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(33,444)</w:t>
            </w:r>
          </w:p>
        </w:tc>
        <w:tc>
          <w:tcPr>
            <w:tcW w:w="0" w:type="dxa"/>
            <w:vAlign w:val="bottom"/>
          </w:tcPr>
          <w:p>
            <w:pPr>
              <w:spacing w:after="0"/>
              <w:rPr>
                <w:sz w:val="1"/>
                <w:szCs w:val="1"/>
                <w:color w:val="auto"/>
              </w:rPr>
            </w:pPr>
          </w:p>
        </w:tc>
      </w:tr>
      <w:tr>
        <w:trPr>
          <w:trHeight w:val="163"/>
        </w:trPr>
        <w:tc>
          <w:tcPr>
            <w:tcW w:w="3720" w:type="dxa"/>
            <w:vAlign w:val="bottom"/>
          </w:tcPr>
          <w:p>
            <w:pPr>
              <w:ind w:left="20"/>
              <w:spacing w:after="0"/>
              <w:rPr>
                <w:sz w:val="20"/>
                <w:szCs w:val="20"/>
                <w:color w:val="auto"/>
              </w:rPr>
            </w:pPr>
            <w:r>
              <w:rPr>
                <w:rFonts w:ascii="Arial" w:cs="Arial" w:eastAsia="Arial" w:hAnsi="Arial"/>
                <w:sz w:val="13"/>
                <w:szCs w:val="13"/>
                <w:color w:val="auto"/>
              </w:rPr>
              <w:t>Foreign exchange translation adjustment</w:t>
            </w:r>
          </w:p>
        </w:tc>
        <w:tc>
          <w:tcPr>
            <w:tcW w:w="6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(647)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8,604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7,957</w:t>
            </w:r>
          </w:p>
        </w:tc>
        <w:tc>
          <w:tcPr>
            <w:tcW w:w="0" w:type="dxa"/>
            <w:vAlign w:val="bottom"/>
          </w:tcPr>
          <w:p>
            <w:pPr>
              <w:spacing w:after="0"/>
              <w:rPr>
                <w:sz w:val="1"/>
                <w:szCs w:val="1"/>
                <w:color w:val="auto"/>
              </w:rPr>
            </w:pPr>
          </w:p>
        </w:tc>
      </w:tr>
      <w:tr>
        <w:trPr>
          <w:trHeight w:val="164"/>
        </w:trPr>
        <w:tc>
          <w:tcPr>
            <w:tcW w:w="3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620" w:type="dxa"/>
            <w:vAlign w:val="bottom"/>
            <w:tcBorders>
              <w:top w:val="single" w:sz="8" w:color="auto"/>
              <w:bottom w:val="single" w:sz="8" w:color="auto"/>
            </w:tcBorders>
            <w:shd w:val="clear" w:color="auto" w:fill="CCEEFF"/>
          </w:tcPr>
          <w:p>
            <w:pPr>
              <w:jc w:val="right"/>
              <w:ind w:right="477"/>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(647)</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(34,032)</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9,192</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(25,487)</w:t>
            </w:r>
          </w:p>
        </w:tc>
        <w:tc>
          <w:tcPr>
            <w:tcW w:w="0" w:type="dxa"/>
            <w:vAlign w:val="bottom"/>
          </w:tcPr>
          <w:p>
            <w:pPr>
              <w:spacing w:after="0"/>
              <w:rPr>
                <w:sz w:val="1"/>
                <w:szCs w:val="1"/>
                <w:color w:val="auto"/>
              </w:rPr>
            </w:pPr>
          </w:p>
        </w:tc>
      </w:tr>
    </w:tbl>
    <w:p>
      <w:pPr>
        <w:ind w:left="880" w:hanging="159"/>
        <w:spacing w:after="0"/>
        <w:tabs>
          <w:tab w:leader="none" w:pos="880" w:val="left"/>
        </w:tabs>
        <w:numPr>
          <w:ilvl w:val="0"/>
          <w:numId w:val="41"/>
        </w:numPr>
        <w:rPr>
          <w:rFonts w:ascii="Arial" w:cs="Arial" w:eastAsia="Arial" w:hAnsi="Arial"/>
          <w:sz w:val="11"/>
          <w:szCs w:val="11"/>
          <w:color w:val="auto"/>
        </w:rPr>
      </w:pPr>
      <w:r>
        <w:rPr>
          <w:rFonts w:ascii="Arial" w:cs="Arial" w:eastAsia="Arial" w:hAnsi="Arial"/>
          <w:sz w:val="11"/>
          <w:szCs w:val="11"/>
          <w:color w:val="auto"/>
        </w:rPr>
        <w:t>Amounts reclassified from AOCI to income are included within Financing interest expense on long-term borrowings on the Consolidated Statements of Comprehensive Income.</w:t>
      </w:r>
    </w:p>
    <w:p>
      <w:pPr>
        <w:spacing w:after="0" w:line="19" w:lineRule="exact"/>
        <w:rPr>
          <w:rFonts w:ascii="Arial" w:cs="Arial" w:eastAsia="Arial" w:hAnsi="Arial"/>
          <w:sz w:val="11"/>
          <w:szCs w:val="11"/>
          <w:color w:val="auto"/>
        </w:rPr>
      </w:pPr>
    </w:p>
    <w:p>
      <w:pPr>
        <w:ind w:left="6640"/>
        <w:spacing w:after="0"/>
        <w:rPr>
          <w:rFonts w:ascii="Arial" w:cs="Arial" w:eastAsia="Arial" w:hAnsi="Arial"/>
          <w:sz w:val="11"/>
          <w:szCs w:val="11"/>
          <w:color w:val="auto"/>
        </w:rPr>
      </w:pPr>
      <w:r>
        <w:rPr>
          <w:rFonts w:ascii="Arial" w:cs="Arial" w:eastAsia="Arial" w:hAnsi="Arial"/>
          <w:sz w:val="13"/>
          <w:szCs w:val="13"/>
          <w:b w:val="1"/>
          <w:bCs w:val="1"/>
          <w:color w:val="auto"/>
        </w:rPr>
        <w:t>Year Ended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-179070</wp:posOffset>
            </wp:positionV>
            <wp:extent cx="3886835" cy="76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886835" cy="7620"/>
                    </a:xfrm>
                    <a:prstGeom prst="rect">
                      <a:avLst/>
                    </a:prstGeom>
                    <a:noFill/>
                  </pic:spPr>
                </pic:pic>
              </a:graphicData>
            </a:graphic>
          </wp:anchor>
        </w:drawing>
      </w:r>
    </w:p>
    <w:tbl>
      <w:tblPr>
        <w:tblLayout w:type="fixed"/>
        <w:tblInd w:w="700" w:type="dxa"/>
        <w:tblCellMar>
          <w:top w:w="0" w:type="dxa"/>
          <w:left w:w="0" w:type="dxa"/>
          <w:bottom w:w="0" w:type="dxa"/>
          <w:right w:w="0" w:type="dxa"/>
        </w:tblCellMar>
      </w:tblPr>
      <w:tr>
        <w:trPr>
          <w:trHeight w:val="120"/>
        </w:trPr>
        <w:tc>
          <w:tcPr>
            <w:tcW w:w="37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(in thousands)</w:t>
            </w:r>
          </w:p>
        </w:tc>
        <w:tc>
          <w:tcPr>
            <w:tcW w:w="1560" w:type="dxa"/>
            <w:vAlign w:val="bottom"/>
            <w:tcBorders>
              <w:top w:val="single" w:sz="8" w:color="auto"/>
            </w:tcBorders>
            <w:gridSpan w:val="3"/>
            <w:vMerge w:val="restart"/>
          </w:tcPr>
          <w:p>
            <w:pPr>
              <w:ind w:left="40"/>
              <w:spacing w:after="0"/>
              <w:rPr>
                <w:sz w:val="20"/>
                <w:szCs w:val="20"/>
                <w:color w:val="auto"/>
              </w:rPr>
            </w:pPr>
            <w:r>
              <w:rPr>
                <w:rFonts w:ascii="Arial" w:cs="Arial" w:eastAsia="Arial" w:hAnsi="Arial"/>
                <w:sz w:val="13"/>
                <w:szCs w:val="13"/>
                <w:b w:val="1"/>
                <w:bCs w:val="1"/>
                <w:color w:val="auto"/>
                <w:w w:val="97"/>
              </w:rPr>
              <w:t>AOCI Beginning Balance</w:t>
            </w:r>
          </w:p>
        </w:tc>
        <w:tc>
          <w:tcPr>
            <w:tcW w:w="14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86"/>
              </w:rPr>
              <w:t>Amounts recorded</w:t>
            </w:r>
          </w:p>
        </w:tc>
        <w:tc>
          <w:tcPr>
            <w:tcW w:w="156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w w:val="92"/>
              </w:rPr>
              <w:t>Amounts reclassified from</w:t>
            </w:r>
          </w:p>
        </w:tc>
        <w:tc>
          <w:tcPr>
            <w:tcW w:w="10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vMerge w:val="restart"/>
          </w:tcPr>
          <w:p>
            <w:pPr>
              <w:jc w:val="right"/>
              <w:ind w:right="57"/>
              <w:spacing w:after="0"/>
              <w:rPr>
                <w:sz w:val="20"/>
                <w:szCs w:val="20"/>
                <w:color w:val="auto"/>
              </w:rPr>
            </w:pPr>
            <w:r>
              <w:rPr>
                <w:rFonts w:ascii="Arial" w:cs="Arial" w:eastAsia="Arial" w:hAnsi="Arial"/>
                <w:sz w:val="13"/>
                <w:szCs w:val="13"/>
                <w:b w:val="1"/>
                <w:bCs w:val="1"/>
                <w:color w:val="auto"/>
                <w:w w:val="91"/>
              </w:rPr>
              <w:t>AOCI Ending Balance</w:t>
            </w:r>
          </w:p>
        </w:tc>
        <w:tc>
          <w:tcPr>
            <w:tcW w:w="0" w:type="dxa"/>
            <w:vAlign w:val="bottom"/>
          </w:tcPr>
          <w:p>
            <w:pPr>
              <w:spacing w:after="0"/>
              <w:rPr>
                <w:sz w:val="1"/>
                <w:szCs w:val="1"/>
                <w:color w:val="auto"/>
              </w:rPr>
            </w:pPr>
          </w:p>
        </w:tc>
      </w:tr>
      <w:tr>
        <w:trPr>
          <w:trHeight w:val="165"/>
        </w:trPr>
        <w:tc>
          <w:tcPr>
            <w:tcW w:w="3720" w:type="dxa"/>
            <w:vAlign w:val="bottom"/>
            <w:gridSpan w:val="2"/>
            <w:vMerge w:val="continue"/>
          </w:tcPr>
          <w:p>
            <w:pPr>
              <w:spacing w:after="0"/>
              <w:rPr>
                <w:sz w:val="14"/>
                <w:szCs w:val="14"/>
                <w:color w:val="auto"/>
              </w:rPr>
            </w:pPr>
          </w:p>
        </w:tc>
        <w:tc>
          <w:tcPr>
            <w:tcW w:w="15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in AOCI</w:t>
            </w:r>
          </w:p>
        </w:tc>
        <w:tc>
          <w:tcPr>
            <w:tcW w:w="180" w:type="dxa"/>
            <w:vAlign w:val="bottom"/>
          </w:tcPr>
          <w:p>
            <w:pPr>
              <w:spacing w:after="0"/>
              <w:rPr>
                <w:sz w:val="14"/>
                <w:szCs w:val="14"/>
                <w:color w:val="auto"/>
              </w:rPr>
            </w:pPr>
          </w:p>
        </w:tc>
        <w:tc>
          <w:tcPr>
            <w:tcW w:w="1380" w:type="dxa"/>
            <w:vAlign w:val="bottom"/>
            <w:gridSpan w:val="2"/>
          </w:tcPr>
          <w:p>
            <w:pPr>
              <w:ind w:left="120"/>
              <w:spacing w:after="0"/>
              <w:rPr>
                <w:sz w:val="20"/>
                <w:szCs w:val="20"/>
                <w:color w:val="auto"/>
              </w:rPr>
            </w:pPr>
            <w:r>
              <w:rPr>
                <w:rFonts w:ascii="Arial" w:cs="Arial" w:eastAsia="Arial" w:hAnsi="Arial"/>
                <w:sz w:val="13"/>
                <w:szCs w:val="13"/>
                <w:b w:val="1"/>
                <w:bCs w:val="1"/>
                <w:color w:val="auto"/>
              </w:rPr>
              <w:t>AOCI to income</w:t>
            </w:r>
          </w:p>
        </w:tc>
        <w:tc>
          <w:tcPr>
            <w:tcW w:w="1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3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Net change in unrealized cash flow hedges gains (losses)</w:t>
            </w:r>
          </w:p>
        </w:tc>
        <w:tc>
          <w:tcPr>
            <w:tcW w:w="100" w:type="dxa"/>
            <w:vAlign w:val="bottom"/>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center"/>
              <w:ind w:left="469"/>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1"/>
        </w:trPr>
        <w:tc>
          <w:tcPr>
            <w:tcW w:w="3720" w:type="dxa"/>
            <w:vAlign w:val="bottom"/>
            <w:gridSpan w:val="2"/>
          </w:tcPr>
          <w:p>
            <w:pPr>
              <w:ind w:left="20"/>
              <w:spacing w:after="0"/>
              <w:rPr>
                <w:sz w:val="20"/>
                <w:szCs w:val="20"/>
                <w:color w:val="auto"/>
              </w:rPr>
            </w:pPr>
            <w:r>
              <w:rPr>
                <w:rFonts w:ascii="Arial" w:cs="Arial" w:eastAsia="Arial" w:hAnsi="Arial"/>
                <w:sz w:val="13"/>
                <w:szCs w:val="13"/>
                <w:color w:val="auto"/>
              </w:rPr>
              <w:t>Foreign exchange translation adjustment</w:t>
            </w:r>
          </w:p>
        </w:tc>
        <w:tc>
          <w:tcPr>
            <w:tcW w:w="6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center"/>
              <w:ind w:left="449"/>
              <w:spacing w:after="0"/>
              <w:rPr>
                <w:sz w:val="20"/>
                <w:szCs w:val="20"/>
                <w:color w:val="auto"/>
              </w:rPr>
            </w:pPr>
            <w:r>
              <w:rPr>
                <w:rFonts w:ascii="Arial" w:cs="Arial" w:eastAsia="Arial" w:hAnsi="Arial"/>
                <w:sz w:val="14"/>
                <w:szCs w:val="14"/>
                <w:color w:val="auto"/>
                <w:w w:val="96"/>
              </w:rPr>
              <w:t>(82)</w:t>
            </w: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(565)</w:t>
            </w:r>
          </w:p>
        </w:tc>
        <w:tc>
          <w:tcPr>
            <w:tcW w:w="100" w:type="dxa"/>
            <w:vAlign w:val="bottom"/>
          </w:tcPr>
          <w:p>
            <w:pPr>
              <w:spacing w:after="0"/>
              <w:rPr>
                <w:sz w:val="15"/>
                <w:szCs w:val="15"/>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auto"/>
            </w:tcBorders>
          </w:tcPr>
          <w:p>
            <w:pPr>
              <w:ind w:left="1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(647)</w:t>
            </w:r>
          </w:p>
        </w:tc>
        <w:tc>
          <w:tcPr>
            <w:tcW w:w="0" w:type="dxa"/>
            <w:vAlign w:val="bottom"/>
          </w:tcPr>
          <w:p>
            <w:pPr>
              <w:spacing w:after="0"/>
              <w:rPr>
                <w:sz w:val="1"/>
                <w:szCs w:val="1"/>
                <w:color w:val="auto"/>
              </w:rPr>
            </w:pPr>
          </w:p>
        </w:tc>
      </w:tr>
      <w:tr>
        <w:trPr>
          <w:trHeight w:val="184"/>
        </w:trPr>
        <w:tc>
          <w:tcPr>
            <w:tcW w:w="3720" w:type="dxa"/>
            <w:vAlign w:val="bottom"/>
            <w:gridSpan w:val="2"/>
          </w:tcPr>
          <w:p>
            <w:pPr>
              <w:ind w:left="20"/>
              <w:spacing w:after="0"/>
              <w:rPr>
                <w:sz w:val="20"/>
                <w:szCs w:val="20"/>
                <w:color w:val="auto"/>
              </w:rPr>
            </w:pPr>
            <w:r>
              <w:rPr>
                <w:rFonts w:ascii="Arial" w:cs="Arial" w:eastAsia="Arial" w:hAnsi="Arial"/>
                <w:sz w:val="13"/>
                <w:szCs w:val="13"/>
                <w:color w:val="auto"/>
              </w:rPr>
              <w:t>Total</w:t>
            </w:r>
          </w:p>
        </w:tc>
        <w:tc>
          <w:tcPr>
            <w:tcW w:w="640" w:type="dxa"/>
            <w:vAlign w:val="bottom"/>
          </w:tcPr>
          <w:p>
            <w:pPr>
              <w:jc w:val="right"/>
              <w:ind w:right="492"/>
              <w:spacing w:after="0"/>
              <w:rPr>
                <w:sz w:val="20"/>
                <w:szCs w:val="20"/>
                <w:color w:val="auto"/>
              </w:rPr>
            </w:pPr>
            <w:r>
              <w:rPr>
                <w:rFonts w:ascii="Arial" w:cs="Arial" w:eastAsia="Arial" w:hAnsi="Arial"/>
                <w:sz w:val="14"/>
                <w:szCs w:val="14"/>
                <w:color w:val="auto"/>
                <w:w w:val="76"/>
              </w:rPr>
              <w:t>$</w:t>
            </w:r>
          </w:p>
        </w:tc>
        <w:tc>
          <w:tcPr>
            <w:tcW w:w="800" w:type="dxa"/>
            <w:vAlign w:val="bottom"/>
          </w:tcPr>
          <w:p>
            <w:pPr>
              <w:jc w:val="center"/>
              <w:ind w:left="449"/>
              <w:spacing w:after="0"/>
              <w:rPr>
                <w:sz w:val="20"/>
                <w:szCs w:val="20"/>
                <w:color w:val="auto"/>
              </w:rPr>
            </w:pPr>
            <w:r>
              <w:rPr>
                <w:rFonts w:ascii="Arial" w:cs="Arial" w:eastAsia="Arial" w:hAnsi="Arial"/>
                <w:sz w:val="14"/>
                <w:szCs w:val="14"/>
                <w:color w:val="auto"/>
                <w:w w:val="96"/>
              </w:rPr>
              <w:t>(82)</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(565)</w:t>
            </w:r>
          </w:p>
        </w:tc>
        <w:tc>
          <w:tcPr>
            <w:tcW w:w="100" w:type="dxa"/>
            <w:vAlign w:val="bottom"/>
          </w:tcPr>
          <w:p>
            <w:pPr>
              <w:spacing w:after="0"/>
              <w:rPr>
                <w:sz w:val="15"/>
                <w:szCs w:val="15"/>
                <w:color w:val="auto"/>
              </w:rPr>
            </w:pP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1380" w:type="dxa"/>
            <w:vAlign w:val="bottom"/>
            <w:gridSpan w:val="2"/>
          </w:tcPr>
          <w:p>
            <w:pPr>
              <w:ind w:left="110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360" w:type="dxa"/>
            <w:vAlign w:val="bottom"/>
          </w:tcPr>
          <w:p>
            <w:pPr>
              <w:jc w:val="right"/>
              <w:spacing w:after="0"/>
              <w:rPr>
                <w:sz w:val="20"/>
                <w:szCs w:val="20"/>
                <w:color w:val="auto"/>
              </w:rPr>
            </w:pPr>
            <w:r>
              <w:rPr>
                <w:rFonts w:ascii="Arial" w:cs="Arial" w:eastAsia="Arial" w:hAnsi="Arial"/>
                <w:sz w:val="13"/>
                <w:szCs w:val="13"/>
                <w:color w:val="auto"/>
              </w:rPr>
              <w:t>(647)</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 Share-based Compensation</w:t>
      </w:r>
    </w:p>
    <w:p>
      <w:pPr>
        <w:spacing w:after="0" w:line="223" w:lineRule="exact"/>
        <w:rPr>
          <w:sz w:val="20"/>
          <w:szCs w:val="20"/>
          <w:color w:val="auto"/>
        </w:rPr>
      </w:pPr>
    </w:p>
    <w:p>
      <w:pPr>
        <w:ind w:firstLine="568"/>
        <w:spacing w:after="0" w:line="257" w:lineRule="auto"/>
        <w:rPr>
          <w:sz w:val="20"/>
          <w:szCs w:val="20"/>
          <w:color w:val="auto"/>
        </w:rPr>
      </w:pPr>
      <w:r>
        <w:rPr>
          <w:rFonts w:ascii="Arial" w:cs="Arial" w:eastAsia="Arial" w:hAnsi="Arial"/>
          <w:sz w:val="16"/>
          <w:szCs w:val="16"/>
          <w:color w:val="auto"/>
        </w:rPr>
        <w:t>Pursuant to the Amended and Restated 2015 Management Incentive Plan as described in Note 19 "Capital Structure", and in connection with the IPO, non-qualified stock options to purchase shares of Class A Common Stock were granted, each of which vests in equal annual installments over a period of four years from grant date and expires not later than 10 years from the date of grant.</w:t>
      </w:r>
    </w:p>
    <w:p>
      <w:pPr>
        <w:spacing w:after="0" w:line="19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summarizes activity related to stock options for the years ended December 31, 2021, 2020 and 2019:</w:t>
      </w: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400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ind w:left="180"/>
              <w:spacing w:after="0"/>
              <w:rPr>
                <w:sz w:val="20"/>
                <w:szCs w:val="20"/>
                <w:color w:val="auto"/>
              </w:rPr>
            </w:pPr>
            <w:r>
              <w:rPr>
                <w:rFonts w:ascii="Arial" w:cs="Arial" w:eastAsia="Arial" w:hAnsi="Arial"/>
                <w:sz w:val="13"/>
                <w:szCs w:val="13"/>
                <w:b w:val="1"/>
                <w:bCs w:val="1"/>
                <w:color w:val="auto"/>
                <w:w w:val="94"/>
              </w:rPr>
              <w:t>Options Outstanding</w:t>
            </w:r>
          </w:p>
        </w:tc>
        <w:tc>
          <w:tcPr>
            <w:tcW w:w="1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tcBorders>
              <w:bottom w:val="single" w:sz="8" w:color="auto"/>
            </w:tcBorders>
            <w:gridSpan w:val="3"/>
          </w:tcPr>
          <w:p>
            <w:pPr>
              <w:ind w:left="820"/>
              <w:spacing w:after="0"/>
              <w:rPr>
                <w:sz w:val="20"/>
                <w:szCs w:val="20"/>
                <w:color w:val="auto"/>
              </w:rPr>
            </w:pPr>
            <w:r>
              <w:rPr>
                <w:rFonts w:ascii="Arial" w:cs="Arial" w:eastAsia="Arial" w:hAnsi="Arial"/>
                <w:sz w:val="13"/>
                <w:szCs w:val="13"/>
                <w:b w:val="1"/>
                <w:bCs w:val="1"/>
                <w:color w:val="auto"/>
              </w:rPr>
              <w:t>Options Exercisable</w:t>
            </w:r>
          </w:p>
        </w:tc>
        <w:tc>
          <w:tcPr>
            <w:tcW w:w="4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40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20" w:type="dxa"/>
            <w:vAlign w:val="bottom"/>
            <w:gridSpan w:val="3"/>
            <w:vMerge w:val="restart"/>
          </w:tcPr>
          <w:p>
            <w:pPr>
              <w:spacing w:after="0"/>
              <w:rPr>
                <w:sz w:val="20"/>
                <w:szCs w:val="20"/>
                <w:color w:val="auto"/>
              </w:rPr>
            </w:pPr>
            <w:r>
              <w:rPr>
                <w:rFonts w:ascii="Arial" w:cs="Arial" w:eastAsia="Arial" w:hAnsi="Arial"/>
                <w:sz w:val="13"/>
                <w:szCs w:val="13"/>
                <w:b w:val="1"/>
                <w:bCs w:val="1"/>
                <w:color w:val="auto"/>
                <w:w w:val="93"/>
              </w:rPr>
              <w:t>Weighted Average Exercise</w:t>
            </w:r>
          </w:p>
        </w:tc>
        <w:tc>
          <w:tcPr>
            <w:tcW w:w="1500" w:type="dxa"/>
            <w:vAlign w:val="bottom"/>
          </w:tcPr>
          <w:p>
            <w:pPr>
              <w:jc w:val="center"/>
              <w:spacing w:after="0" w:line="115" w:lineRule="exact"/>
              <w:rPr>
                <w:sz w:val="20"/>
                <w:szCs w:val="20"/>
                <w:color w:val="auto"/>
              </w:rPr>
            </w:pPr>
            <w:r>
              <w:rPr>
                <w:rFonts w:ascii="Arial" w:cs="Arial" w:eastAsia="Arial" w:hAnsi="Arial"/>
                <w:sz w:val="13"/>
                <w:szCs w:val="13"/>
                <w:b w:val="1"/>
                <w:bCs w:val="1"/>
                <w:color w:val="auto"/>
                <w:w w:val="86"/>
              </w:rPr>
              <w:t>Weighted Average</w:t>
            </w: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tcPr>
          <w:p>
            <w:pPr>
              <w:ind w:left="20"/>
              <w:spacing w:after="0" w:line="115" w:lineRule="exact"/>
              <w:rPr>
                <w:sz w:val="20"/>
                <w:szCs w:val="20"/>
                <w:color w:val="auto"/>
              </w:rPr>
            </w:pPr>
            <w:r>
              <w:rPr>
                <w:rFonts w:ascii="Arial" w:cs="Arial" w:eastAsia="Arial" w:hAnsi="Arial"/>
                <w:sz w:val="13"/>
                <w:szCs w:val="13"/>
                <w:b w:val="1"/>
                <w:bCs w:val="1"/>
                <w:color w:val="auto"/>
                <w:w w:val="86"/>
              </w:rPr>
              <w:t>Weighted Average Exercise</w:t>
            </w:r>
          </w:p>
        </w:tc>
        <w:tc>
          <w:tcPr>
            <w:tcW w:w="0" w:type="dxa"/>
            <w:vAlign w:val="bottom"/>
          </w:tcPr>
          <w:p>
            <w:pPr>
              <w:spacing w:after="0"/>
              <w:rPr>
                <w:sz w:val="1"/>
                <w:szCs w:val="1"/>
                <w:color w:val="auto"/>
              </w:rPr>
            </w:pPr>
          </w:p>
        </w:tc>
      </w:tr>
      <w:tr>
        <w:trPr>
          <w:trHeight w:val="118"/>
        </w:trPr>
        <w:tc>
          <w:tcPr>
            <w:tcW w:w="400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89"/>
              </w:rPr>
              <w:t>Number of Options</w:t>
            </w:r>
          </w:p>
        </w:tc>
        <w:tc>
          <w:tcPr>
            <w:tcW w:w="120" w:type="dxa"/>
            <w:vAlign w:val="bottom"/>
          </w:tcPr>
          <w:p>
            <w:pPr>
              <w:spacing w:after="0"/>
              <w:rPr>
                <w:sz w:val="10"/>
                <w:szCs w:val="10"/>
                <w:color w:val="auto"/>
              </w:rPr>
            </w:pPr>
          </w:p>
        </w:tc>
        <w:tc>
          <w:tcPr>
            <w:tcW w:w="1620" w:type="dxa"/>
            <w:vAlign w:val="bottom"/>
            <w:gridSpan w:val="3"/>
            <w:vMerge w:val="continue"/>
          </w:tcPr>
          <w:p>
            <w:pPr>
              <w:spacing w:after="0"/>
              <w:rPr>
                <w:sz w:val="10"/>
                <w:szCs w:val="10"/>
                <w:color w:val="auto"/>
              </w:rPr>
            </w:pPr>
          </w:p>
        </w:tc>
        <w:tc>
          <w:tcPr>
            <w:tcW w:w="162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w w:val="89"/>
              </w:rPr>
              <w:t>Remaining Contractual</w:t>
            </w:r>
          </w:p>
        </w:tc>
        <w:tc>
          <w:tcPr>
            <w:tcW w:w="110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88"/>
              </w:rPr>
              <w:t>Number of Options</w:t>
            </w:r>
          </w:p>
        </w:tc>
        <w:tc>
          <w:tcPr>
            <w:tcW w:w="100" w:type="dxa"/>
            <w:vAlign w:val="bottom"/>
          </w:tcPr>
          <w:p>
            <w:pPr>
              <w:spacing w:after="0"/>
              <w:rPr>
                <w:sz w:val="10"/>
                <w:szCs w:val="10"/>
                <w:color w:val="auto"/>
              </w:rPr>
            </w:pPr>
          </w:p>
        </w:tc>
        <w:tc>
          <w:tcPr>
            <w:tcW w:w="1100" w:type="dxa"/>
            <w:vAlign w:val="bottom"/>
          </w:tcPr>
          <w:p>
            <w:pPr>
              <w:jc w:val="center"/>
              <w:ind w:left="357"/>
              <w:spacing w:after="0" w:line="119" w:lineRule="exact"/>
              <w:rPr>
                <w:sz w:val="20"/>
                <w:szCs w:val="20"/>
                <w:color w:val="auto"/>
              </w:rPr>
            </w:pPr>
            <w:r>
              <w:rPr>
                <w:rFonts w:ascii="Arial" w:cs="Arial" w:eastAsia="Arial" w:hAnsi="Arial"/>
                <w:sz w:val="13"/>
                <w:szCs w:val="13"/>
                <w:b w:val="1"/>
                <w:bCs w:val="1"/>
                <w:color w:val="auto"/>
                <w:w w:val="87"/>
              </w:rPr>
              <w:t>Price</w:t>
            </w: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40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ind w:left="120"/>
              <w:spacing w:after="0"/>
              <w:rPr>
                <w:sz w:val="20"/>
                <w:szCs w:val="20"/>
                <w:color w:val="auto"/>
              </w:rPr>
            </w:pPr>
            <w:r>
              <w:rPr>
                <w:rFonts w:ascii="Arial" w:cs="Arial" w:eastAsia="Arial" w:hAnsi="Arial"/>
                <w:sz w:val="13"/>
                <w:szCs w:val="13"/>
                <w:b w:val="1"/>
                <w:bCs w:val="1"/>
                <w:color w:val="auto"/>
              </w:rPr>
              <w:t>Price Per Share</w:t>
            </w:r>
          </w:p>
        </w:tc>
        <w:tc>
          <w:tcPr>
            <w:tcW w:w="16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4"/>
              </w:rPr>
              <w:t>Life</w:t>
            </w:r>
          </w:p>
        </w:tc>
        <w:tc>
          <w:tcPr>
            <w:tcW w:w="1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center"/>
              <w:ind w:left="357"/>
              <w:spacing w:after="0"/>
              <w:rPr>
                <w:sz w:val="20"/>
                <w:szCs w:val="20"/>
                <w:color w:val="auto"/>
              </w:rPr>
            </w:pPr>
            <w:r>
              <w:rPr>
                <w:rFonts w:ascii="Arial" w:cs="Arial" w:eastAsia="Arial" w:hAnsi="Arial"/>
                <w:sz w:val="13"/>
                <w:szCs w:val="13"/>
                <w:b w:val="1"/>
                <w:bCs w:val="1"/>
                <w:color w:val="auto"/>
                <w:w w:val="85"/>
              </w:rPr>
              <w:t>Per Share</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At December 31, 2018</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3,486,150</w:t>
            </w:r>
          </w:p>
        </w:tc>
        <w:tc>
          <w:tcPr>
            <w:tcW w:w="1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19.00</w:t>
            </w:r>
          </w:p>
        </w:tc>
        <w:tc>
          <w:tcPr>
            <w:tcW w:w="120" w:type="dxa"/>
            <w:vAlign w:val="bottom"/>
            <w:tcBorders>
              <w:top w:val="single" w:sz="8" w:color="CCEEFF"/>
            </w:tcBorders>
            <w:shd w:val="clear" w:color="auto" w:fill="CCEEFF"/>
          </w:tcPr>
          <w:p>
            <w:pPr>
              <w:spacing w:after="0"/>
              <w:rPr>
                <w:sz w:val="13"/>
                <w:szCs w:val="13"/>
                <w:color w:val="auto"/>
              </w:rPr>
            </w:pPr>
          </w:p>
        </w:tc>
        <w:tc>
          <w:tcPr>
            <w:tcW w:w="1500" w:type="dxa"/>
            <w:vAlign w:val="bottom"/>
            <w:tcBorders>
              <w:top w:val="single" w:sz="8" w:color="CCEEFF"/>
            </w:tcBorders>
            <w:shd w:val="clear" w:color="auto" w:fill="CCEEFF"/>
          </w:tcPr>
          <w:p>
            <w:pPr>
              <w:jc w:val="center"/>
              <w:ind w:left="1177"/>
              <w:spacing w:after="0"/>
              <w:rPr>
                <w:sz w:val="20"/>
                <w:szCs w:val="20"/>
                <w:color w:val="auto"/>
              </w:rPr>
            </w:pPr>
            <w:r>
              <w:rPr>
                <w:rFonts w:ascii="Arial" w:cs="Arial" w:eastAsia="Arial" w:hAnsi="Arial"/>
                <w:sz w:val="13"/>
                <w:szCs w:val="13"/>
                <w:color w:val="auto"/>
                <w:w w:val="86"/>
              </w:rPr>
              <w:t>6.30</w:t>
            </w:r>
          </w:p>
        </w:tc>
        <w:tc>
          <w:tcPr>
            <w:tcW w:w="120" w:type="dxa"/>
            <w:vAlign w:val="bottom"/>
            <w:tcBorders>
              <w:top w:val="single" w:sz="8" w:color="CCEEFF"/>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1,660,400</w:t>
            </w:r>
          </w:p>
        </w:tc>
        <w:tc>
          <w:tcPr>
            <w:tcW w:w="100" w:type="dxa"/>
            <w:vAlign w:val="bottom"/>
            <w:tcBorders>
              <w:top w:val="single" w:sz="8" w:color="CCEEFF"/>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19.00</w:t>
            </w:r>
          </w:p>
        </w:tc>
        <w:tc>
          <w:tcPr>
            <w:tcW w:w="0" w:type="dxa"/>
            <w:vAlign w:val="bottom"/>
          </w:tcPr>
          <w:p>
            <w:pPr>
              <w:spacing w:after="0"/>
              <w:rPr>
                <w:sz w:val="1"/>
                <w:szCs w:val="1"/>
                <w:color w:val="auto"/>
              </w:rPr>
            </w:pPr>
          </w:p>
        </w:tc>
      </w:tr>
      <w:tr>
        <w:trPr>
          <w:trHeight w:val="163"/>
        </w:trPr>
        <w:tc>
          <w:tcPr>
            <w:tcW w:w="4000" w:type="dxa"/>
            <w:vAlign w:val="bottom"/>
          </w:tcPr>
          <w:p>
            <w:pPr>
              <w:ind w:left="100"/>
              <w:spacing w:after="0"/>
              <w:rPr>
                <w:sz w:val="20"/>
                <w:szCs w:val="20"/>
                <w:color w:val="auto"/>
              </w:rPr>
            </w:pPr>
            <w:r>
              <w:rPr>
                <w:rFonts w:ascii="Arial" w:cs="Arial" w:eastAsia="Arial" w:hAnsi="Arial"/>
                <w:sz w:val="13"/>
                <w:szCs w:val="13"/>
                <w:color w:val="auto"/>
              </w:rPr>
              <w:t>Granted</w:t>
            </w:r>
          </w:p>
        </w:tc>
        <w:tc>
          <w:tcPr>
            <w:tcW w:w="1100" w:type="dxa"/>
            <w:vAlign w:val="bottom"/>
          </w:tcPr>
          <w:p>
            <w:pPr>
              <w:jc w:val="right"/>
              <w:spacing w:after="0"/>
              <w:rPr>
                <w:sz w:val="20"/>
                <w:szCs w:val="20"/>
                <w:color w:val="auto"/>
              </w:rPr>
            </w:pPr>
            <w:r>
              <w:rPr>
                <w:rFonts w:ascii="Arial" w:cs="Arial" w:eastAsia="Arial" w:hAnsi="Arial"/>
                <w:sz w:val="13"/>
                <w:szCs w:val="13"/>
                <w:color w:val="auto"/>
              </w:rPr>
              <w:t>156,129</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13.60</w:t>
            </w:r>
          </w:p>
        </w:tc>
        <w:tc>
          <w:tcPr>
            <w:tcW w:w="120" w:type="dxa"/>
            <w:vAlign w:val="bottom"/>
          </w:tcPr>
          <w:p>
            <w:pPr>
              <w:spacing w:after="0"/>
              <w:rPr>
                <w:sz w:val="14"/>
                <w:szCs w:val="14"/>
                <w:color w:val="auto"/>
              </w:rPr>
            </w:pPr>
          </w:p>
        </w:tc>
        <w:tc>
          <w:tcPr>
            <w:tcW w:w="1500" w:type="dxa"/>
            <w:vAlign w:val="bottom"/>
          </w:tcPr>
          <w:p>
            <w:pPr>
              <w:jc w:val="center"/>
              <w:ind w:left="1177"/>
              <w:spacing w:after="0"/>
              <w:rPr>
                <w:sz w:val="20"/>
                <w:szCs w:val="20"/>
                <w:color w:val="auto"/>
              </w:rPr>
            </w:pPr>
            <w:r>
              <w:rPr>
                <w:rFonts w:ascii="Arial" w:cs="Arial" w:eastAsia="Arial" w:hAnsi="Arial"/>
                <w:sz w:val="13"/>
                <w:szCs w:val="13"/>
                <w:color w:val="auto"/>
                <w:w w:val="86"/>
              </w:rPr>
              <w:t>4.37</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156,129</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13.60</w:t>
            </w:r>
          </w:p>
        </w:tc>
        <w:tc>
          <w:tcPr>
            <w:tcW w:w="0" w:type="dxa"/>
            <w:vAlign w:val="bottom"/>
          </w:tcPr>
          <w:p>
            <w:pPr>
              <w:spacing w:after="0"/>
              <w:rPr>
                <w:sz w:val="1"/>
                <w:szCs w:val="1"/>
                <w:color w:val="auto"/>
              </w:rPr>
            </w:pPr>
          </w:p>
        </w:tc>
      </w:tr>
      <w:tr>
        <w:trPr>
          <w:trHeight w:val="168"/>
        </w:trPr>
        <w:tc>
          <w:tcPr>
            <w:tcW w:w="40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Exercised</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(353,500)</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19.00</w:t>
            </w:r>
          </w:p>
        </w:tc>
        <w:tc>
          <w:tcPr>
            <w:tcW w:w="120" w:type="dxa"/>
            <w:vAlign w:val="bottom"/>
            <w:shd w:val="clear" w:color="auto" w:fill="CCEEFF"/>
          </w:tcPr>
          <w:p>
            <w:pPr>
              <w:spacing w:after="0"/>
              <w:rPr>
                <w:sz w:val="14"/>
                <w:szCs w:val="14"/>
                <w:color w:val="auto"/>
              </w:rPr>
            </w:pPr>
          </w:p>
        </w:tc>
        <w:tc>
          <w:tcPr>
            <w:tcW w:w="1620" w:type="dxa"/>
            <w:vAlign w:val="bottom"/>
            <w:gridSpan w:val="2"/>
            <w:shd w:val="clear" w:color="auto" w:fill="CCEEFF"/>
          </w:tcPr>
          <w:p>
            <w:pPr>
              <w:jc w:val="center"/>
              <w:ind w:left="1077"/>
              <w:spacing w:after="0"/>
              <w:rPr>
                <w:sz w:val="20"/>
                <w:szCs w:val="20"/>
                <w:color w:val="auto"/>
              </w:rPr>
            </w:pPr>
            <w:r>
              <w:rPr>
                <w:rFonts w:ascii="Arial" w:cs="Arial" w:eastAsia="Arial" w:hAnsi="Arial"/>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(353,500)</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19.00</w:t>
            </w:r>
          </w:p>
        </w:tc>
        <w:tc>
          <w:tcPr>
            <w:tcW w:w="0" w:type="dxa"/>
            <w:vAlign w:val="bottom"/>
          </w:tcPr>
          <w:p>
            <w:pPr>
              <w:spacing w:after="0"/>
              <w:rPr>
                <w:sz w:val="1"/>
                <w:szCs w:val="1"/>
                <w:color w:val="auto"/>
              </w:rPr>
            </w:pPr>
          </w:p>
        </w:tc>
      </w:tr>
      <w:tr>
        <w:trPr>
          <w:trHeight w:val="163"/>
        </w:trPr>
        <w:tc>
          <w:tcPr>
            <w:tcW w:w="400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Forfeited or expired</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(55,000)</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42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3"/>
                <w:szCs w:val="13"/>
                <w:color w:val="auto"/>
              </w:rPr>
              <w:t>—</w:t>
            </w:r>
          </w:p>
        </w:tc>
        <w:tc>
          <w:tcPr>
            <w:tcW w:w="1620" w:type="dxa"/>
            <w:vAlign w:val="bottom"/>
            <w:tcBorders>
              <w:bottom w:val="single" w:sz="8" w:color="CCEEFF"/>
            </w:tcBorders>
            <w:gridSpan w:val="2"/>
          </w:tcPr>
          <w:p>
            <w:pPr>
              <w:jc w:val="center"/>
              <w:ind w:left="1077"/>
              <w:spacing w:after="0"/>
              <w:rPr>
                <w:sz w:val="20"/>
                <w:szCs w:val="20"/>
                <w:color w:val="auto"/>
              </w:rPr>
            </w:pPr>
            <w:r>
              <w:rPr>
                <w:rFonts w:ascii="Arial" w:cs="Arial" w:eastAsia="Arial" w:hAnsi="Arial"/>
                <w:sz w:val="13"/>
                <w:szCs w:val="13"/>
                <w:color w:val="auto"/>
                <w:w w:val="9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10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4000" w:type="dxa"/>
            <w:vAlign w:val="bottom"/>
            <w:shd w:val="clear" w:color="auto" w:fill="CCEEFF"/>
          </w:tcPr>
          <w:p>
            <w:pPr>
              <w:spacing w:after="0"/>
              <w:rPr>
                <w:sz w:val="20"/>
                <w:szCs w:val="20"/>
                <w:color w:val="auto"/>
              </w:rPr>
            </w:pPr>
            <w:r>
              <w:rPr>
                <w:rFonts w:ascii="Arial" w:cs="Arial" w:eastAsia="Arial" w:hAnsi="Arial"/>
                <w:sz w:val="13"/>
                <w:szCs w:val="13"/>
                <w:color w:val="auto"/>
              </w:rPr>
              <w:t>At December 31, 2019</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3,233,779</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18.74</w:t>
            </w:r>
          </w:p>
        </w:tc>
        <w:tc>
          <w:tcPr>
            <w:tcW w:w="120" w:type="dxa"/>
            <w:vAlign w:val="bottom"/>
            <w:shd w:val="clear" w:color="auto" w:fill="CCEEFF"/>
          </w:tcPr>
          <w:p>
            <w:pPr>
              <w:spacing w:after="0"/>
              <w:rPr>
                <w:sz w:val="13"/>
                <w:szCs w:val="13"/>
                <w:color w:val="auto"/>
              </w:rPr>
            </w:pPr>
          </w:p>
        </w:tc>
        <w:tc>
          <w:tcPr>
            <w:tcW w:w="1500" w:type="dxa"/>
            <w:vAlign w:val="bottom"/>
            <w:shd w:val="clear" w:color="auto" w:fill="CCEEFF"/>
          </w:tcPr>
          <w:p>
            <w:pPr>
              <w:jc w:val="center"/>
              <w:ind w:left="1177"/>
              <w:spacing w:after="0"/>
              <w:rPr>
                <w:sz w:val="20"/>
                <w:szCs w:val="20"/>
                <w:color w:val="auto"/>
              </w:rPr>
            </w:pPr>
            <w:r>
              <w:rPr>
                <w:rFonts w:ascii="Arial" w:cs="Arial" w:eastAsia="Arial" w:hAnsi="Arial"/>
                <w:sz w:val="13"/>
                <w:szCs w:val="13"/>
                <w:color w:val="auto"/>
                <w:w w:val="86"/>
              </w:rPr>
              <w:t>5.24</w:t>
            </w: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3,248,779</w:t>
            </w:r>
          </w:p>
        </w:tc>
        <w:tc>
          <w:tcPr>
            <w:tcW w:w="12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18.74</w:t>
            </w:r>
          </w:p>
        </w:tc>
        <w:tc>
          <w:tcPr>
            <w:tcW w:w="0" w:type="dxa"/>
            <w:vAlign w:val="bottom"/>
          </w:tcPr>
          <w:p>
            <w:pPr>
              <w:spacing w:after="0"/>
              <w:rPr>
                <w:sz w:val="1"/>
                <w:szCs w:val="1"/>
                <w:color w:val="auto"/>
              </w:rPr>
            </w:pPr>
          </w:p>
        </w:tc>
      </w:tr>
      <w:tr>
        <w:trPr>
          <w:trHeight w:val="163"/>
        </w:trPr>
        <w:tc>
          <w:tcPr>
            <w:tcW w:w="4000" w:type="dxa"/>
            <w:vAlign w:val="bottom"/>
          </w:tcPr>
          <w:p>
            <w:pPr>
              <w:ind w:left="100"/>
              <w:spacing w:after="0"/>
              <w:rPr>
                <w:sz w:val="20"/>
                <w:szCs w:val="20"/>
                <w:color w:val="auto"/>
              </w:rPr>
            </w:pPr>
            <w:r>
              <w:rPr>
                <w:rFonts w:ascii="Arial" w:cs="Arial" w:eastAsia="Arial" w:hAnsi="Arial"/>
                <w:sz w:val="13"/>
                <w:szCs w:val="13"/>
                <w:color w:val="auto"/>
              </w:rPr>
              <w:t>Granted</w:t>
            </w: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20" w:type="dxa"/>
            <w:vAlign w:val="bottom"/>
            <w:gridSpan w:val="2"/>
          </w:tcPr>
          <w:p>
            <w:pPr>
              <w:jc w:val="center"/>
              <w:ind w:left="1077"/>
              <w:spacing w:after="0"/>
              <w:rPr>
                <w:sz w:val="20"/>
                <w:szCs w:val="20"/>
                <w:color w:val="auto"/>
              </w:rPr>
            </w:pPr>
            <w:r>
              <w:rPr>
                <w:rFonts w:ascii="Arial" w:cs="Arial" w:eastAsia="Arial" w:hAnsi="Arial"/>
                <w:sz w:val="13"/>
                <w:szCs w:val="13"/>
                <w:color w:val="auto"/>
                <w:w w:val="91"/>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40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Exercised</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(909,627)</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18.07</w:t>
            </w:r>
          </w:p>
        </w:tc>
        <w:tc>
          <w:tcPr>
            <w:tcW w:w="120" w:type="dxa"/>
            <w:vAlign w:val="bottom"/>
            <w:shd w:val="clear" w:color="auto" w:fill="CCEEFF"/>
          </w:tcPr>
          <w:p>
            <w:pPr>
              <w:spacing w:after="0"/>
              <w:rPr>
                <w:sz w:val="14"/>
                <w:szCs w:val="14"/>
                <w:color w:val="auto"/>
              </w:rPr>
            </w:pPr>
          </w:p>
        </w:tc>
        <w:tc>
          <w:tcPr>
            <w:tcW w:w="1620" w:type="dxa"/>
            <w:vAlign w:val="bottom"/>
            <w:gridSpan w:val="2"/>
            <w:shd w:val="clear" w:color="auto" w:fill="CCEEFF"/>
          </w:tcPr>
          <w:p>
            <w:pPr>
              <w:jc w:val="center"/>
              <w:ind w:left="1077"/>
              <w:spacing w:after="0"/>
              <w:rPr>
                <w:sz w:val="20"/>
                <w:szCs w:val="20"/>
                <w:color w:val="auto"/>
              </w:rPr>
            </w:pPr>
            <w:r>
              <w:rPr>
                <w:rFonts w:ascii="Arial" w:cs="Arial" w:eastAsia="Arial" w:hAnsi="Arial"/>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(909,627)</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18.07</w:t>
            </w:r>
          </w:p>
        </w:tc>
        <w:tc>
          <w:tcPr>
            <w:tcW w:w="0" w:type="dxa"/>
            <w:vAlign w:val="bottom"/>
          </w:tcPr>
          <w:p>
            <w:pPr>
              <w:spacing w:after="0"/>
              <w:rPr>
                <w:sz w:val="1"/>
                <w:szCs w:val="1"/>
                <w:color w:val="auto"/>
              </w:rPr>
            </w:pPr>
          </w:p>
        </w:tc>
      </w:tr>
      <w:tr>
        <w:trPr>
          <w:trHeight w:val="163"/>
        </w:trPr>
        <w:tc>
          <w:tcPr>
            <w:tcW w:w="400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Forfeited or expired</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42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3"/>
                <w:szCs w:val="13"/>
                <w:color w:val="auto"/>
              </w:rPr>
              <w:t>—</w:t>
            </w:r>
          </w:p>
        </w:tc>
        <w:tc>
          <w:tcPr>
            <w:tcW w:w="1620" w:type="dxa"/>
            <w:vAlign w:val="bottom"/>
            <w:tcBorders>
              <w:bottom w:val="single" w:sz="8" w:color="CCEEFF"/>
            </w:tcBorders>
            <w:gridSpan w:val="2"/>
          </w:tcPr>
          <w:p>
            <w:pPr>
              <w:jc w:val="center"/>
              <w:ind w:left="1077"/>
              <w:spacing w:after="0"/>
              <w:rPr>
                <w:sz w:val="20"/>
                <w:szCs w:val="20"/>
                <w:color w:val="auto"/>
              </w:rPr>
            </w:pPr>
            <w:r>
              <w:rPr>
                <w:rFonts w:ascii="Arial" w:cs="Arial" w:eastAsia="Arial" w:hAnsi="Arial"/>
                <w:sz w:val="13"/>
                <w:szCs w:val="13"/>
                <w:color w:val="auto"/>
                <w:w w:val="9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10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4000" w:type="dxa"/>
            <w:vAlign w:val="bottom"/>
            <w:shd w:val="clear" w:color="auto" w:fill="CCEEFF"/>
          </w:tcPr>
          <w:p>
            <w:pPr>
              <w:spacing w:after="0"/>
              <w:rPr>
                <w:sz w:val="20"/>
                <w:szCs w:val="20"/>
                <w:color w:val="auto"/>
              </w:rPr>
            </w:pPr>
            <w:r>
              <w:rPr>
                <w:rFonts w:ascii="Arial" w:cs="Arial" w:eastAsia="Arial" w:hAnsi="Arial"/>
                <w:sz w:val="13"/>
                <w:szCs w:val="13"/>
                <w:color w:val="auto"/>
              </w:rPr>
              <w:t>At December 31, 2020</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2,324,152</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19.00</w:t>
            </w:r>
          </w:p>
        </w:tc>
        <w:tc>
          <w:tcPr>
            <w:tcW w:w="120" w:type="dxa"/>
            <w:vAlign w:val="bottom"/>
            <w:shd w:val="clear" w:color="auto" w:fill="CCEEFF"/>
          </w:tcPr>
          <w:p>
            <w:pPr>
              <w:spacing w:after="0"/>
              <w:rPr>
                <w:sz w:val="13"/>
                <w:szCs w:val="13"/>
                <w:color w:val="auto"/>
              </w:rPr>
            </w:pPr>
          </w:p>
        </w:tc>
        <w:tc>
          <w:tcPr>
            <w:tcW w:w="1500" w:type="dxa"/>
            <w:vAlign w:val="bottom"/>
            <w:shd w:val="clear" w:color="auto" w:fill="CCEEFF"/>
          </w:tcPr>
          <w:p>
            <w:pPr>
              <w:jc w:val="center"/>
              <w:ind w:left="1177"/>
              <w:spacing w:after="0"/>
              <w:rPr>
                <w:sz w:val="20"/>
                <w:szCs w:val="20"/>
                <w:color w:val="auto"/>
              </w:rPr>
            </w:pPr>
            <w:r>
              <w:rPr>
                <w:rFonts w:ascii="Arial" w:cs="Arial" w:eastAsia="Arial" w:hAnsi="Arial"/>
                <w:sz w:val="13"/>
                <w:szCs w:val="13"/>
                <w:color w:val="auto"/>
                <w:w w:val="86"/>
              </w:rPr>
              <w:t>4.24</w:t>
            </w: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2,324,152</w:t>
            </w:r>
          </w:p>
        </w:tc>
        <w:tc>
          <w:tcPr>
            <w:tcW w:w="12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19.00</w:t>
            </w:r>
          </w:p>
        </w:tc>
        <w:tc>
          <w:tcPr>
            <w:tcW w:w="0" w:type="dxa"/>
            <w:vAlign w:val="bottom"/>
          </w:tcPr>
          <w:p>
            <w:pPr>
              <w:spacing w:after="0"/>
              <w:rPr>
                <w:sz w:val="1"/>
                <w:szCs w:val="1"/>
                <w:color w:val="auto"/>
              </w:rPr>
            </w:pPr>
          </w:p>
        </w:tc>
      </w:tr>
      <w:tr>
        <w:trPr>
          <w:trHeight w:val="163"/>
        </w:trPr>
        <w:tc>
          <w:tcPr>
            <w:tcW w:w="4000" w:type="dxa"/>
            <w:vAlign w:val="bottom"/>
          </w:tcPr>
          <w:p>
            <w:pPr>
              <w:ind w:left="100"/>
              <w:spacing w:after="0"/>
              <w:rPr>
                <w:sz w:val="20"/>
                <w:szCs w:val="20"/>
                <w:color w:val="auto"/>
              </w:rPr>
            </w:pPr>
            <w:r>
              <w:rPr>
                <w:rFonts w:ascii="Arial" w:cs="Arial" w:eastAsia="Arial" w:hAnsi="Arial"/>
                <w:sz w:val="13"/>
                <w:szCs w:val="13"/>
                <w:color w:val="auto"/>
              </w:rPr>
              <w:t>Granted</w:t>
            </w: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20" w:type="dxa"/>
            <w:vAlign w:val="bottom"/>
            <w:gridSpan w:val="2"/>
          </w:tcPr>
          <w:p>
            <w:pPr>
              <w:jc w:val="center"/>
              <w:ind w:left="1077"/>
              <w:spacing w:after="0"/>
              <w:rPr>
                <w:sz w:val="20"/>
                <w:szCs w:val="20"/>
                <w:color w:val="auto"/>
              </w:rPr>
            </w:pPr>
            <w:r>
              <w:rPr>
                <w:rFonts w:ascii="Arial" w:cs="Arial" w:eastAsia="Arial" w:hAnsi="Arial"/>
                <w:sz w:val="13"/>
                <w:szCs w:val="13"/>
                <w:color w:val="auto"/>
                <w:w w:val="91"/>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40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Exercised</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(528,497)</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19.00</w:t>
            </w:r>
          </w:p>
        </w:tc>
        <w:tc>
          <w:tcPr>
            <w:tcW w:w="120" w:type="dxa"/>
            <w:vAlign w:val="bottom"/>
            <w:shd w:val="clear" w:color="auto" w:fill="CCEEFF"/>
          </w:tcPr>
          <w:p>
            <w:pPr>
              <w:spacing w:after="0"/>
              <w:rPr>
                <w:sz w:val="14"/>
                <w:szCs w:val="14"/>
                <w:color w:val="auto"/>
              </w:rPr>
            </w:pPr>
          </w:p>
        </w:tc>
        <w:tc>
          <w:tcPr>
            <w:tcW w:w="1620" w:type="dxa"/>
            <w:vAlign w:val="bottom"/>
            <w:gridSpan w:val="2"/>
            <w:shd w:val="clear" w:color="auto" w:fill="CCEEFF"/>
          </w:tcPr>
          <w:p>
            <w:pPr>
              <w:jc w:val="center"/>
              <w:ind w:left="1077"/>
              <w:spacing w:after="0"/>
              <w:rPr>
                <w:sz w:val="20"/>
                <w:szCs w:val="20"/>
                <w:color w:val="auto"/>
              </w:rPr>
            </w:pPr>
            <w:r>
              <w:rPr>
                <w:rFonts w:ascii="Arial" w:cs="Arial" w:eastAsia="Arial" w:hAnsi="Arial"/>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(528,497)</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19.00</w:t>
            </w:r>
          </w:p>
        </w:tc>
        <w:tc>
          <w:tcPr>
            <w:tcW w:w="0" w:type="dxa"/>
            <w:vAlign w:val="bottom"/>
          </w:tcPr>
          <w:p>
            <w:pPr>
              <w:spacing w:after="0"/>
              <w:rPr>
                <w:sz w:val="1"/>
                <w:szCs w:val="1"/>
                <w:color w:val="auto"/>
              </w:rPr>
            </w:pPr>
          </w:p>
        </w:tc>
      </w:tr>
      <w:tr>
        <w:trPr>
          <w:trHeight w:val="163"/>
        </w:trPr>
        <w:tc>
          <w:tcPr>
            <w:tcW w:w="400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Forfeited or expired</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42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3"/>
                <w:szCs w:val="13"/>
                <w:color w:val="auto"/>
              </w:rPr>
              <w:t>—</w:t>
            </w:r>
          </w:p>
        </w:tc>
        <w:tc>
          <w:tcPr>
            <w:tcW w:w="1620" w:type="dxa"/>
            <w:vAlign w:val="bottom"/>
            <w:tcBorders>
              <w:bottom w:val="single" w:sz="8" w:color="CCEEFF"/>
            </w:tcBorders>
            <w:gridSpan w:val="2"/>
          </w:tcPr>
          <w:p>
            <w:pPr>
              <w:jc w:val="center"/>
              <w:ind w:left="1077"/>
              <w:spacing w:after="0"/>
              <w:rPr>
                <w:sz w:val="20"/>
                <w:szCs w:val="20"/>
                <w:color w:val="auto"/>
              </w:rPr>
            </w:pPr>
            <w:r>
              <w:rPr>
                <w:rFonts w:ascii="Arial" w:cs="Arial" w:eastAsia="Arial" w:hAnsi="Arial"/>
                <w:sz w:val="13"/>
                <w:szCs w:val="13"/>
                <w:color w:val="auto"/>
                <w:w w:val="9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10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5"/>
        </w:trPr>
        <w:tc>
          <w:tcPr>
            <w:tcW w:w="4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At December 31, 2021</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1,795,655</w:t>
            </w:r>
          </w:p>
        </w:tc>
        <w:tc>
          <w:tcPr>
            <w:tcW w:w="3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19.00</w:t>
            </w:r>
          </w:p>
        </w:tc>
        <w:tc>
          <w:tcPr>
            <w:tcW w:w="12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jc w:val="center"/>
              <w:ind w:left="1177"/>
              <w:spacing w:after="0"/>
              <w:rPr>
                <w:sz w:val="20"/>
                <w:szCs w:val="20"/>
                <w:color w:val="auto"/>
              </w:rPr>
            </w:pPr>
            <w:r>
              <w:rPr>
                <w:rFonts w:ascii="Arial" w:cs="Arial" w:eastAsia="Arial" w:hAnsi="Arial"/>
                <w:sz w:val="13"/>
                <w:szCs w:val="13"/>
                <w:color w:val="auto"/>
                <w:w w:val="86"/>
              </w:rPr>
              <w:t>3.24</w:t>
            </w:r>
          </w:p>
        </w:tc>
        <w:tc>
          <w:tcPr>
            <w:tcW w:w="1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1,795,655</w:t>
            </w:r>
          </w:p>
        </w:tc>
        <w:tc>
          <w:tcPr>
            <w:tcW w:w="12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19.00</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2" w:lineRule="exact"/>
        <w:rPr>
          <w:sz w:val="20"/>
          <w:szCs w:val="20"/>
          <w:color w:val="auto"/>
        </w:rPr>
      </w:pPr>
    </w:p>
    <w:p>
      <w:pPr>
        <w:jc w:val="both"/>
        <w:ind w:right="40" w:firstLine="568"/>
        <w:spacing w:after="0" w:line="268" w:lineRule="auto"/>
        <w:rPr>
          <w:sz w:val="20"/>
          <w:szCs w:val="20"/>
          <w:color w:val="auto"/>
        </w:rPr>
      </w:pPr>
      <w:r>
        <w:rPr>
          <w:rFonts w:ascii="Arial" w:cs="Arial" w:eastAsia="Arial" w:hAnsi="Arial"/>
          <w:sz w:val="16"/>
          <w:szCs w:val="16"/>
          <w:color w:val="auto"/>
        </w:rPr>
        <w:t>The expected life was determined based on an average of vesting and contractual period. The risk-free interest rate was determined based on the yields available on U.S. Treasury zero-coupon issues. The expected stock price volatility was</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5" w:name="page126"/>
    <w:bookmarkEnd w:id="12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ind w:right="220"/>
        <w:spacing w:after="0" w:line="268" w:lineRule="auto"/>
        <w:rPr>
          <w:sz w:val="20"/>
          <w:szCs w:val="20"/>
          <w:color w:val="auto"/>
        </w:rPr>
      </w:pPr>
      <w:r>
        <w:rPr>
          <w:rFonts w:ascii="Arial" w:cs="Arial" w:eastAsia="Arial" w:hAnsi="Arial"/>
          <w:sz w:val="16"/>
          <w:szCs w:val="16"/>
          <w:color w:val="auto"/>
        </w:rPr>
        <w:t>determined based on historical volatilities of comparable companies. The expected dividend yield was determined based on estimated future dividend payments divided by the IPO stock price.</w:t>
      </w:r>
    </w:p>
    <w:p>
      <w:pPr>
        <w:spacing w:after="0" w:line="181" w:lineRule="exact"/>
        <w:rPr>
          <w:sz w:val="20"/>
          <w:szCs w:val="20"/>
          <w:color w:val="auto"/>
        </w:rPr>
      </w:pPr>
    </w:p>
    <w:p>
      <w:pPr>
        <w:ind w:right="40" w:firstLine="568"/>
        <w:spacing w:after="0" w:line="257" w:lineRule="auto"/>
        <w:rPr>
          <w:sz w:val="20"/>
          <w:szCs w:val="20"/>
          <w:color w:val="auto"/>
        </w:rPr>
      </w:pPr>
      <w:r>
        <w:rPr>
          <w:rFonts w:ascii="Arial" w:cs="Arial" w:eastAsia="Arial" w:hAnsi="Arial"/>
          <w:sz w:val="16"/>
          <w:szCs w:val="16"/>
          <w:color w:val="auto"/>
        </w:rPr>
        <w:t>The Company recognized $1.4 million of compensation expense for the year ended December 31, 2019 in relation to the stock options issued and outstanding. The stock options to purchase shares of Class A Common Stock were fully vested in 2019, and as such there was no compensation expense recognized in relation to stock options for the years ended December 31, 2021, and 2020.</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Amended and Restated Investment Technology Group, Inc. 2007 Omnibus Equity Compensation Plan</w:t>
      </w:r>
    </w:p>
    <w:p>
      <w:pPr>
        <w:spacing w:after="0" w:line="219" w:lineRule="exact"/>
        <w:rPr>
          <w:sz w:val="20"/>
          <w:szCs w:val="20"/>
          <w:color w:val="auto"/>
        </w:rPr>
      </w:pPr>
    </w:p>
    <w:p>
      <w:pPr>
        <w:ind w:right="40" w:firstLine="568"/>
        <w:spacing w:after="0" w:line="292" w:lineRule="auto"/>
        <w:rPr>
          <w:sz w:val="20"/>
          <w:szCs w:val="20"/>
          <w:color w:val="auto"/>
        </w:rPr>
      </w:pPr>
      <w:r>
        <w:rPr>
          <w:rFonts w:ascii="Arial" w:cs="Arial" w:eastAsia="Arial" w:hAnsi="Arial"/>
          <w:sz w:val="14"/>
          <w:szCs w:val="14"/>
          <w:color w:val="auto"/>
        </w:rPr>
        <w:t>On the ITG Closing Date, the Company assumed the Amended and Restated ITG 2007 Equity Plan and the Assumed Awards. The Assumed Awards are subject to the same terms and conditions that were applicable to them under the Amended and Restated ITG 2007 Equity Plan, except that (i) the Assumed Awards relate to shares of the Company’s Class A Common Stock, (ii) the number of shares of Class A Common Stock subject to the Assumed Awards was the result of an adjustment based upon an Exchange Ratio (as defined in the ITG Merger Agreement) and (iii) the performance share unit awards were converted into service-based vesting restricted stock unit awards that were no longer subject to any performance based vesting conditions. As of the ITG Closing Date, the aggregate number of shares of Class A Common Stock subject to such Assumed Awards was 2,497,028 and the aggregate number of shares of Class A Common Stock that remained issuable pursuant to the Amended and Restated ITG 2007 Equity Plan was 1,230,406. The Company filed a Registration Statement on Form S-8 on the ITG Closing Date to register such shares of Class A Common Stock.</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Class A Common Stock, Restricted Stock Units and Restricted Stock Awards</w:t>
      </w:r>
    </w:p>
    <w:p>
      <w:pPr>
        <w:spacing w:after="0" w:line="219" w:lineRule="exact"/>
        <w:rPr>
          <w:sz w:val="20"/>
          <w:szCs w:val="20"/>
          <w:color w:val="auto"/>
        </w:rPr>
      </w:pPr>
    </w:p>
    <w:p>
      <w:pPr>
        <w:ind w:right="40" w:firstLine="568"/>
        <w:spacing w:after="0" w:line="267" w:lineRule="auto"/>
        <w:rPr>
          <w:sz w:val="20"/>
          <w:szCs w:val="20"/>
          <w:color w:val="auto"/>
        </w:rPr>
      </w:pPr>
      <w:r>
        <w:rPr>
          <w:rFonts w:ascii="Arial" w:cs="Arial" w:eastAsia="Arial" w:hAnsi="Arial"/>
          <w:sz w:val="15"/>
          <w:szCs w:val="15"/>
          <w:color w:val="auto"/>
        </w:rPr>
        <w:t>Pursuant to the Amended and Restated 2015 Management Incentive Plan as described in Note 19 "Capital Structure", subsequent to the IPO, shares of immediately vested Class A Common Stock, RSUs and RSAs were granted, with RSUs and RSAs vesting over a period of up to 4 years. The fair value of the Class A Common Stock and RSUs was determined based on a volume weighted average price and the expense is recognized on a straight-line basis over the vesting period. The fair value of the RSAs was determined based on the closing price as of the date of grant and the expense is recognized from the date that achievement of the performance target becomes probable through the remainder of the vesting period. Performance targets are based on the Company's adjusted EBITDA for certain future periods. For the years ended December 31, 2021, 2020, and 2019, respectively, there were 633,938, 967,526 and 441,920 shares of immediately vested Class A Common Stock granted as part of year-end compensation. In addition, the Company accrued compensation expense of $29.4 million, $25.2 million and $12.6 million for the years ended December 31, 2021, 2020, and 2019 respectively, related to immediately vested Class A Common Stock expected to be awarded as part of year-end incentive compensation, which was included in Employee compensation and payroll taxes on the Consolidated Statements of Comprehensive Income and Accounts payable, accrued expenses and other liabilities on the Consolidated Statements of Financial Condition.</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5"/>
          <w:szCs w:val="15"/>
          <w:color w:val="auto"/>
        </w:rPr>
        <w:t>The following table summarizes activity related to RSUs (including the Assumed Awards) and RSAs for the years ended December 31, 2021, 2020, and 2019:</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580" w:type="dxa"/>
            <w:vAlign w:val="bottom"/>
          </w:tcPr>
          <w:p>
            <w:pPr>
              <w:spacing w:after="0"/>
              <w:rPr>
                <w:sz w:val="12"/>
                <w:szCs w:val="12"/>
                <w:color w:val="auto"/>
              </w:rPr>
            </w:pPr>
          </w:p>
        </w:tc>
        <w:tc>
          <w:tcPr>
            <w:tcW w:w="1400" w:type="dxa"/>
            <w:vAlign w:val="bottom"/>
          </w:tcPr>
          <w:p>
            <w:pPr>
              <w:jc w:val="right"/>
              <w:ind w:right="57"/>
              <w:spacing w:after="0"/>
              <w:rPr>
                <w:sz w:val="20"/>
                <w:szCs w:val="20"/>
                <w:color w:val="auto"/>
              </w:rPr>
            </w:pPr>
            <w:r>
              <w:rPr>
                <w:rFonts w:ascii="Arial" w:cs="Arial" w:eastAsia="Arial" w:hAnsi="Arial"/>
                <w:sz w:val="13"/>
                <w:szCs w:val="13"/>
                <w:b w:val="1"/>
                <w:bCs w:val="1"/>
                <w:color w:val="auto"/>
                <w:w w:val="96"/>
              </w:rPr>
              <w:t>Number of RSUs and</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right"/>
              <w:ind w:right="277"/>
              <w:spacing w:after="0"/>
              <w:rPr>
                <w:sz w:val="20"/>
                <w:szCs w:val="20"/>
                <w:color w:val="auto"/>
              </w:rPr>
            </w:pPr>
            <w:r>
              <w:rPr>
                <w:rFonts w:ascii="Arial" w:cs="Arial" w:eastAsia="Arial" w:hAnsi="Arial"/>
                <w:sz w:val="13"/>
                <w:szCs w:val="13"/>
                <w:b w:val="1"/>
                <w:bCs w:val="1"/>
                <w:color w:val="auto"/>
              </w:rPr>
              <w:t>Weighted</w:t>
            </w:r>
          </w:p>
        </w:tc>
      </w:tr>
      <w:tr>
        <w:trPr>
          <w:trHeight w:val="165"/>
        </w:trPr>
        <w:tc>
          <w:tcPr>
            <w:tcW w:w="858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tcPr>
          <w:p>
            <w:pPr>
              <w:jc w:val="right"/>
              <w:ind w:right="477"/>
              <w:spacing w:after="0"/>
              <w:rPr>
                <w:sz w:val="20"/>
                <w:szCs w:val="20"/>
                <w:color w:val="auto"/>
              </w:rPr>
            </w:pPr>
            <w:r>
              <w:rPr>
                <w:rFonts w:ascii="Arial" w:cs="Arial" w:eastAsia="Arial" w:hAnsi="Arial"/>
                <w:sz w:val="13"/>
                <w:szCs w:val="13"/>
                <w:b w:val="1"/>
                <w:bCs w:val="1"/>
                <w:color w:val="auto"/>
              </w:rPr>
              <w:t>RSAs</w:t>
            </w:r>
          </w:p>
        </w:tc>
        <w:tc>
          <w:tcPr>
            <w:tcW w:w="10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gridSpan w:val="2"/>
          </w:tcPr>
          <w:p>
            <w:pPr>
              <w:jc w:val="right"/>
              <w:ind w:right="17"/>
              <w:spacing w:after="0"/>
              <w:rPr>
                <w:sz w:val="20"/>
                <w:szCs w:val="20"/>
                <w:color w:val="auto"/>
              </w:rPr>
            </w:pPr>
            <w:r>
              <w:rPr>
                <w:rFonts w:ascii="Arial" w:cs="Arial" w:eastAsia="Arial" w:hAnsi="Arial"/>
                <w:sz w:val="13"/>
                <w:szCs w:val="13"/>
                <w:b w:val="1"/>
                <w:bCs w:val="1"/>
                <w:color w:val="auto"/>
                <w:w w:val="92"/>
              </w:rPr>
              <w:t>Average Fair Value</w:t>
            </w:r>
          </w:p>
        </w:tc>
      </w:tr>
      <w:tr>
        <w:trPr>
          <w:trHeight w:val="158"/>
        </w:trPr>
        <w:tc>
          <w:tcPr>
            <w:tcW w:w="8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At December 31, 2018</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1,378,922</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20.03</w:t>
            </w:r>
          </w:p>
        </w:tc>
      </w:tr>
      <w:tr>
        <w:trPr>
          <w:trHeight w:val="163"/>
        </w:trPr>
        <w:tc>
          <w:tcPr>
            <w:tcW w:w="8580" w:type="dxa"/>
            <w:vAlign w:val="bottom"/>
          </w:tcPr>
          <w:p>
            <w:pPr>
              <w:ind w:left="120"/>
              <w:spacing w:after="0"/>
              <w:rPr>
                <w:sz w:val="20"/>
                <w:szCs w:val="20"/>
                <w:color w:val="auto"/>
              </w:rPr>
            </w:pPr>
            <w:r>
              <w:rPr>
                <w:rFonts w:ascii="Arial" w:cs="Arial" w:eastAsia="Arial" w:hAnsi="Arial"/>
                <w:sz w:val="13"/>
                <w:szCs w:val="13"/>
                <w:color w:val="auto"/>
              </w:rPr>
              <w:t>Granted</w:t>
            </w:r>
          </w:p>
        </w:tc>
        <w:tc>
          <w:tcPr>
            <w:tcW w:w="1400" w:type="dxa"/>
            <w:vAlign w:val="bottom"/>
          </w:tcPr>
          <w:p>
            <w:pPr>
              <w:jc w:val="right"/>
              <w:spacing w:after="0"/>
              <w:rPr>
                <w:sz w:val="20"/>
                <w:szCs w:val="20"/>
                <w:color w:val="auto"/>
              </w:rPr>
            </w:pPr>
            <w:r>
              <w:rPr>
                <w:rFonts w:ascii="Arial" w:cs="Arial" w:eastAsia="Arial" w:hAnsi="Arial"/>
                <w:sz w:val="13"/>
                <w:szCs w:val="13"/>
                <w:color w:val="auto"/>
              </w:rPr>
              <w:t>4,063,541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25.07</w:t>
            </w:r>
          </w:p>
        </w:tc>
      </w:tr>
      <w:tr>
        <w:trPr>
          <w:trHeight w:val="168"/>
        </w:trPr>
        <w:tc>
          <w:tcPr>
            <w:tcW w:w="85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Forfeited</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(643,709)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21.58</w:t>
            </w:r>
          </w:p>
        </w:tc>
      </w:tr>
      <w:tr>
        <w:trPr>
          <w:trHeight w:val="163"/>
        </w:trPr>
        <w:tc>
          <w:tcPr>
            <w:tcW w:w="858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Vested</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(1,805,265)</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24.08</w:t>
            </w:r>
          </w:p>
        </w:tc>
      </w:tr>
      <w:tr>
        <w:trPr>
          <w:trHeight w:val="160"/>
        </w:trPr>
        <w:tc>
          <w:tcPr>
            <w:tcW w:w="8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At December 31, 2019</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2,993,489</w:t>
            </w:r>
          </w:p>
        </w:tc>
        <w:tc>
          <w:tcPr>
            <w:tcW w:w="30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24.10</w:t>
            </w:r>
          </w:p>
        </w:tc>
      </w:tr>
      <w:tr>
        <w:trPr>
          <w:trHeight w:val="163"/>
        </w:trPr>
        <w:tc>
          <w:tcPr>
            <w:tcW w:w="8580" w:type="dxa"/>
            <w:vAlign w:val="bottom"/>
          </w:tcPr>
          <w:p>
            <w:pPr>
              <w:ind w:left="120"/>
              <w:spacing w:after="0"/>
              <w:rPr>
                <w:sz w:val="20"/>
                <w:szCs w:val="20"/>
                <w:color w:val="auto"/>
              </w:rPr>
            </w:pPr>
            <w:r>
              <w:rPr>
                <w:rFonts w:ascii="Arial" w:cs="Arial" w:eastAsia="Arial" w:hAnsi="Arial"/>
                <w:sz w:val="13"/>
                <w:szCs w:val="13"/>
                <w:color w:val="auto"/>
              </w:rPr>
              <w:t>Granted</w:t>
            </w:r>
          </w:p>
        </w:tc>
        <w:tc>
          <w:tcPr>
            <w:tcW w:w="1400" w:type="dxa"/>
            <w:vAlign w:val="bottom"/>
          </w:tcPr>
          <w:p>
            <w:pPr>
              <w:jc w:val="right"/>
              <w:spacing w:after="0"/>
              <w:rPr>
                <w:sz w:val="20"/>
                <w:szCs w:val="20"/>
                <w:color w:val="auto"/>
              </w:rPr>
            </w:pPr>
            <w:r>
              <w:rPr>
                <w:rFonts w:ascii="Arial" w:cs="Arial" w:eastAsia="Arial" w:hAnsi="Arial"/>
                <w:sz w:val="13"/>
                <w:szCs w:val="13"/>
                <w:color w:val="auto"/>
              </w:rPr>
              <w:t>3,318,169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17.49</w:t>
            </w:r>
          </w:p>
        </w:tc>
      </w:tr>
      <w:tr>
        <w:trPr>
          <w:trHeight w:val="168"/>
        </w:trPr>
        <w:tc>
          <w:tcPr>
            <w:tcW w:w="85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Forfeited</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(430,961)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17.45</w:t>
            </w:r>
          </w:p>
        </w:tc>
      </w:tr>
      <w:tr>
        <w:trPr>
          <w:trHeight w:val="163"/>
        </w:trPr>
        <w:tc>
          <w:tcPr>
            <w:tcW w:w="858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Vested</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(2,487,613)</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20.17</w:t>
            </w:r>
          </w:p>
        </w:tc>
      </w:tr>
      <w:tr>
        <w:trPr>
          <w:trHeight w:val="160"/>
        </w:trPr>
        <w:tc>
          <w:tcPr>
            <w:tcW w:w="8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At December 31, 2020</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3,393,084</w:t>
            </w:r>
          </w:p>
        </w:tc>
        <w:tc>
          <w:tcPr>
            <w:tcW w:w="30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21.35</w:t>
            </w:r>
          </w:p>
        </w:tc>
      </w:tr>
      <w:tr>
        <w:trPr>
          <w:trHeight w:val="163"/>
        </w:trPr>
        <w:tc>
          <w:tcPr>
            <w:tcW w:w="8580" w:type="dxa"/>
            <w:vAlign w:val="bottom"/>
          </w:tcPr>
          <w:p>
            <w:pPr>
              <w:ind w:left="120"/>
              <w:spacing w:after="0"/>
              <w:rPr>
                <w:sz w:val="20"/>
                <w:szCs w:val="20"/>
                <w:color w:val="auto"/>
              </w:rPr>
            </w:pPr>
            <w:r>
              <w:rPr>
                <w:rFonts w:ascii="Arial" w:cs="Arial" w:eastAsia="Arial" w:hAnsi="Arial"/>
                <w:sz w:val="13"/>
                <w:szCs w:val="13"/>
                <w:color w:val="auto"/>
              </w:rPr>
              <w:t>Granted (1)</w:t>
            </w:r>
          </w:p>
        </w:tc>
        <w:tc>
          <w:tcPr>
            <w:tcW w:w="1400" w:type="dxa"/>
            <w:vAlign w:val="bottom"/>
          </w:tcPr>
          <w:p>
            <w:pPr>
              <w:jc w:val="right"/>
              <w:spacing w:after="0"/>
              <w:rPr>
                <w:sz w:val="20"/>
                <w:szCs w:val="20"/>
                <w:color w:val="auto"/>
              </w:rPr>
            </w:pPr>
            <w:r>
              <w:rPr>
                <w:rFonts w:ascii="Arial" w:cs="Arial" w:eastAsia="Arial" w:hAnsi="Arial"/>
                <w:sz w:val="13"/>
                <w:szCs w:val="13"/>
                <w:color w:val="auto"/>
              </w:rPr>
              <w:t>2,466,311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27.07</w:t>
            </w:r>
          </w:p>
        </w:tc>
      </w:tr>
      <w:tr>
        <w:trPr>
          <w:trHeight w:val="168"/>
        </w:trPr>
        <w:tc>
          <w:tcPr>
            <w:tcW w:w="85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Forfeited</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(200,697)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22.95</w:t>
            </w:r>
          </w:p>
        </w:tc>
      </w:tr>
      <w:tr>
        <w:trPr>
          <w:trHeight w:val="163"/>
        </w:trPr>
        <w:tc>
          <w:tcPr>
            <w:tcW w:w="858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Vested</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(2,434,251)</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23.11</w:t>
            </w:r>
          </w:p>
        </w:tc>
      </w:tr>
      <w:tr>
        <w:trPr>
          <w:trHeight w:val="164"/>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At December 31, 2021</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3,224,447</w:t>
            </w:r>
          </w:p>
        </w:tc>
        <w:tc>
          <w:tcPr>
            <w:tcW w:w="300" w:type="dxa"/>
            <w:vAlign w:val="bottom"/>
            <w:tcBorders>
              <w:bottom w:val="single" w:sz="8" w:color="CCEEFF"/>
            </w:tcBorders>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24.30</w:t>
            </w:r>
          </w:p>
        </w:tc>
      </w:tr>
    </w:tbl>
    <w:p>
      <w:pPr>
        <w:ind w:left="20"/>
        <w:spacing w:after="0"/>
        <w:rPr>
          <w:sz w:val="20"/>
          <w:szCs w:val="20"/>
          <w:color w:val="auto"/>
        </w:rPr>
      </w:pPr>
      <w:r>
        <w:rPr>
          <w:rFonts w:ascii="Arial" w:cs="Arial" w:eastAsia="Arial" w:hAnsi="Arial"/>
          <w:sz w:val="11"/>
          <w:szCs w:val="11"/>
          <w:color w:val="auto"/>
        </w:rPr>
        <w:t>(1) Excluded in the number of RSUs and RSAs are 350,000 participating RSAs where the grant date has not been achieved because the performance conditions have not been met.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5454650</wp:posOffset>
            </wp:positionH>
            <wp:positionV relativeFrom="paragraph">
              <wp:posOffset>-72390</wp:posOffset>
            </wp:positionV>
            <wp:extent cx="879475" cy="76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7947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126" w:name="page127"/>
    <w:bookmarkEnd w:id="12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ind w:firstLine="568"/>
        <w:spacing w:after="0" w:line="254" w:lineRule="auto"/>
        <w:rPr>
          <w:sz w:val="20"/>
          <w:szCs w:val="20"/>
          <w:color w:val="auto"/>
        </w:rPr>
      </w:pPr>
      <w:r>
        <w:rPr>
          <w:rFonts w:ascii="Arial" w:cs="Arial" w:eastAsia="Arial" w:hAnsi="Arial"/>
          <w:sz w:val="16"/>
          <w:szCs w:val="16"/>
          <w:color w:val="auto"/>
        </w:rPr>
        <w:t>The Company recognized $26.4 million, $37.4 million and $66.1 million for the years ended December 31, 2021, 2020, and 2019, respectively, of compensation expense in relation to RSUs. As of December 31, 2021 and December 31, 2020, total unrecognized share-based compensation expense related to unvested RSUs was $41.9 million and $37.1 million, respectively, and this amount is to be recognized over a weighted average period of 0.9 years and 1.03, respectively. Awards in which the specific performance conditions have not been met are not included in unrecognized share-based compensation expense.</w:t>
      </w:r>
    </w:p>
    <w:p>
      <w:pPr>
        <w:spacing w:after="0" w:line="192" w:lineRule="exact"/>
        <w:rPr>
          <w:sz w:val="20"/>
          <w:szCs w:val="20"/>
          <w:color w:val="auto"/>
        </w:rPr>
      </w:pPr>
    </w:p>
    <w:p>
      <w:pPr>
        <w:ind w:right="20" w:firstLine="568"/>
        <w:spacing w:after="0" w:line="254" w:lineRule="auto"/>
        <w:rPr>
          <w:sz w:val="20"/>
          <w:szCs w:val="20"/>
          <w:color w:val="auto"/>
        </w:rPr>
      </w:pPr>
      <w:r>
        <w:rPr>
          <w:rFonts w:ascii="Arial" w:cs="Arial" w:eastAsia="Arial" w:hAnsi="Arial"/>
          <w:sz w:val="16"/>
          <w:szCs w:val="16"/>
          <w:color w:val="auto"/>
        </w:rPr>
        <w:t>On November 13, 2020, the Company adopted the Virtu Financial, Inc. Deferred Compensation Plan (the "DCP"). The DCP permits eligible executive officers and other employees to defer cash or equity-based compensation beginning in the calendar year ending December 31, 2021, subject to certain limitations and restrictions. Deferrals of cash compensation may also be directed to notional investments in certain of the employee investment opportunities. The Company recognized $5.0 million as compensation cost under the DCP as of December 31, 2021.</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 Property, Equipment and Capitalized Software</w:t>
      </w:r>
    </w:p>
    <w:p>
      <w:pPr>
        <w:spacing w:after="0" w:line="22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Property, equipment and capitalized software consisted of the following at December 31, 2021 and December 31, 2020:</w:t>
      </w:r>
    </w:p>
    <w:p>
      <w:pPr>
        <w:spacing w:after="0" w:line="223" w:lineRule="exact"/>
        <w:rPr>
          <w:sz w:val="20"/>
          <w:szCs w:val="20"/>
          <w:color w:val="auto"/>
        </w:rPr>
      </w:pPr>
    </w:p>
    <w:tbl>
      <w:tblPr>
        <w:tblLayout w:type="fixed"/>
        <w:tblInd w:w="1160" w:type="dxa"/>
        <w:tblCellMar>
          <w:top w:w="0" w:type="dxa"/>
          <w:left w:w="0" w:type="dxa"/>
          <w:bottom w:w="0" w:type="dxa"/>
          <w:right w:w="0" w:type="dxa"/>
        </w:tblCellMar>
      </w:tblPr>
      <w:tr>
        <w:trPr>
          <w:trHeight w:val="169"/>
        </w:trPr>
        <w:tc>
          <w:tcPr>
            <w:tcW w:w="63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(in thousands)</w:t>
            </w:r>
          </w:p>
        </w:tc>
        <w:tc>
          <w:tcPr>
            <w:tcW w:w="10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3"/>
                <w:szCs w:val="13"/>
                <w:b w:val="1"/>
                <w:bCs w:val="1"/>
                <w:color w:val="auto"/>
                <w:w w:val="92"/>
              </w:rPr>
              <w:t>December 31, 2021</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3"/>
                <w:szCs w:val="13"/>
                <w:b w:val="1"/>
                <w:bCs w:val="1"/>
                <w:color w:val="auto"/>
                <w:w w:val="85"/>
              </w:rPr>
              <w:t>December 31, 2020</w:t>
            </w:r>
          </w:p>
        </w:tc>
      </w:tr>
      <w:tr>
        <w:trPr>
          <w:trHeight w:val="186"/>
        </w:trPr>
        <w:tc>
          <w:tcPr>
            <w:tcW w:w="64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Capitalized software costs</w:t>
            </w:r>
          </w:p>
        </w:tc>
        <w:tc>
          <w:tcPr>
            <w:tcW w:w="340" w:type="dxa"/>
            <w:vAlign w:val="bottom"/>
            <w:shd w:val="clear" w:color="auto" w:fill="CCEEFF"/>
          </w:tcPr>
          <w:p>
            <w:pPr>
              <w:jc w:val="right"/>
              <w:ind w:right="192"/>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210,647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183,208</w:t>
            </w:r>
          </w:p>
        </w:tc>
      </w:tr>
      <w:tr>
        <w:trPr>
          <w:trHeight w:val="187"/>
        </w:trPr>
        <w:tc>
          <w:tcPr>
            <w:tcW w:w="6460" w:type="dxa"/>
            <w:vAlign w:val="bottom"/>
            <w:gridSpan w:val="2"/>
          </w:tcPr>
          <w:p>
            <w:pPr>
              <w:spacing w:after="0"/>
              <w:rPr>
                <w:sz w:val="20"/>
                <w:szCs w:val="20"/>
                <w:color w:val="auto"/>
              </w:rPr>
            </w:pPr>
            <w:r>
              <w:rPr>
                <w:rFonts w:ascii="Arial" w:cs="Arial" w:eastAsia="Arial" w:hAnsi="Arial"/>
                <w:sz w:val="13"/>
                <w:szCs w:val="13"/>
                <w:color w:val="auto"/>
              </w:rPr>
              <w:t>Leasehold improvements</w:t>
            </w:r>
          </w:p>
        </w:tc>
        <w:tc>
          <w:tcPr>
            <w:tcW w:w="3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17,773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54,094</w:t>
            </w:r>
          </w:p>
        </w:tc>
      </w:tr>
      <w:tr>
        <w:trPr>
          <w:trHeight w:val="189"/>
        </w:trPr>
        <w:tc>
          <w:tcPr>
            <w:tcW w:w="64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Furniture and equipment</w:t>
            </w:r>
          </w:p>
        </w:tc>
        <w:tc>
          <w:tcPr>
            <w:tcW w:w="3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333,330</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332,249</w:t>
            </w:r>
          </w:p>
        </w:tc>
      </w:tr>
      <w:tr>
        <w:trPr>
          <w:trHeight w:val="181"/>
        </w:trPr>
        <w:tc>
          <w:tcPr>
            <w:tcW w:w="6460" w:type="dxa"/>
            <w:vAlign w:val="bottom"/>
            <w:gridSpan w:val="2"/>
          </w:tcPr>
          <w:p>
            <w:pPr>
              <w:spacing w:after="0"/>
              <w:rPr>
                <w:sz w:val="20"/>
                <w:szCs w:val="20"/>
                <w:color w:val="auto"/>
              </w:rPr>
            </w:pPr>
            <w:r>
              <w:rPr>
                <w:rFonts w:ascii="Arial" w:cs="Arial" w:eastAsia="Arial" w:hAnsi="Arial"/>
                <w:sz w:val="13"/>
                <w:szCs w:val="13"/>
                <w:color w:val="auto"/>
              </w:rPr>
              <w:t>Total</w:t>
            </w:r>
          </w:p>
        </w:tc>
        <w:tc>
          <w:tcPr>
            <w:tcW w:w="3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561,750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569,551</w:t>
            </w:r>
          </w:p>
        </w:tc>
      </w:tr>
      <w:tr>
        <w:trPr>
          <w:trHeight w:val="189"/>
        </w:trPr>
        <w:tc>
          <w:tcPr>
            <w:tcW w:w="64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Less: Accumulated depreciation and amortization</w:t>
            </w:r>
          </w:p>
        </w:tc>
        <w:tc>
          <w:tcPr>
            <w:tcW w:w="3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(472,155)</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(455,961)</w:t>
            </w:r>
          </w:p>
        </w:tc>
      </w:tr>
      <w:tr>
        <w:trPr>
          <w:trHeight w:val="184"/>
        </w:trPr>
        <w:tc>
          <w:tcPr>
            <w:tcW w:w="6460" w:type="dxa"/>
            <w:vAlign w:val="bottom"/>
            <w:gridSpan w:val="2"/>
          </w:tcPr>
          <w:p>
            <w:pPr>
              <w:spacing w:after="0"/>
              <w:rPr>
                <w:sz w:val="20"/>
                <w:szCs w:val="20"/>
                <w:color w:val="auto"/>
              </w:rPr>
            </w:pPr>
            <w:r>
              <w:rPr>
                <w:rFonts w:ascii="Arial" w:cs="Arial" w:eastAsia="Arial" w:hAnsi="Arial"/>
                <w:sz w:val="13"/>
                <w:szCs w:val="13"/>
                <w:color w:val="auto"/>
              </w:rPr>
              <w:t>Total property, equipment and capitalized software, net</w:t>
            </w:r>
          </w:p>
        </w:tc>
        <w:tc>
          <w:tcPr>
            <w:tcW w:w="3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89,595</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113,590</w:t>
            </w:r>
          </w:p>
        </w:tc>
      </w:tr>
      <w:tr>
        <w:trPr>
          <w:trHeight w:val="20"/>
        </w:trPr>
        <w:tc>
          <w:tcPr>
            <w:tcW w:w="6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ind w:right="220" w:firstLine="568"/>
        <w:spacing w:after="0" w:line="302" w:lineRule="auto"/>
        <w:rPr>
          <w:sz w:val="20"/>
          <w:szCs w:val="20"/>
          <w:color w:val="auto"/>
        </w:rPr>
      </w:pPr>
      <w:r>
        <w:rPr>
          <w:rFonts w:ascii="Arial" w:cs="Arial" w:eastAsia="Arial" w:hAnsi="Arial"/>
          <w:sz w:val="15"/>
          <w:szCs w:val="15"/>
          <w:color w:val="auto"/>
        </w:rPr>
        <w:t>Depreciation expense for property and equipment for the years ended December 31, 2021, 2020, and 2019 was approximately $28.4 million, $37.4 million, and $44.7 million, respectively, and is included within depreciation and amortization expense in the Consolidated Statements of Comprehensive Income.</w:t>
      </w:r>
    </w:p>
    <w:p>
      <w:pPr>
        <w:spacing w:after="0" w:line="158" w:lineRule="exact"/>
        <w:rPr>
          <w:sz w:val="20"/>
          <w:szCs w:val="20"/>
          <w:color w:val="auto"/>
        </w:rPr>
      </w:pPr>
    </w:p>
    <w:p>
      <w:pPr>
        <w:ind w:right="80" w:firstLine="568"/>
        <w:spacing w:after="0" w:line="283" w:lineRule="auto"/>
        <w:rPr>
          <w:sz w:val="20"/>
          <w:szCs w:val="20"/>
          <w:color w:val="auto"/>
        </w:rPr>
      </w:pPr>
      <w:r>
        <w:rPr>
          <w:rFonts w:ascii="Arial" w:cs="Arial" w:eastAsia="Arial" w:hAnsi="Arial"/>
          <w:sz w:val="15"/>
          <w:szCs w:val="15"/>
          <w:color w:val="auto"/>
        </w:rPr>
        <w:t>The Company’s capitalized software development costs were approximately $35.8 million, $37.0 million, and $32.5 million for the years ended December 31, 2021, 2020, and 2019, respectively. The related amortization expense was approximately $39.4 million, $29.3 million, and $21.0 million for the years ended December 31, 2021, 2020, and 2019, respectively, and is included within Depreciation and amortization in the Consolidated Statements of Comprehensive Income.</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22. Regulatory Requirement</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U.S. Subsidiary</w:t>
      </w:r>
    </w:p>
    <w:p>
      <w:pPr>
        <w:spacing w:after="0" w:line="219" w:lineRule="exact"/>
        <w:rPr>
          <w:sz w:val="20"/>
          <w:szCs w:val="20"/>
          <w:color w:val="auto"/>
        </w:rPr>
      </w:pPr>
    </w:p>
    <w:p>
      <w:pPr>
        <w:ind w:right="60" w:firstLine="568"/>
        <w:spacing w:after="0" w:line="276" w:lineRule="auto"/>
        <w:rPr>
          <w:sz w:val="20"/>
          <w:szCs w:val="20"/>
          <w:color w:val="auto"/>
        </w:rPr>
      </w:pPr>
      <w:r>
        <w:rPr>
          <w:rFonts w:ascii="Arial" w:cs="Arial" w:eastAsia="Arial" w:hAnsi="Arial"/>
          <w:sz w:val="15"/>
          <w:szCs w:val="15"/>
          <w:color w:val="auto"/>
        </w:rPr>
        <w:t>The Company's U.S. broker-dealer subsidiary, VAL, is subject to the SEC Uniform Net Capital Rule 15c3-1, which requires the maintenance of minimum net capital as detailed in the table below. Pursuant to New York Stock Exchange ("NYSE") rules, VAL was also required to maintain $1.0 million of capital in connection with the operation of its designated market maker (“DMM”) business as of December 31, 2021. The required amount is determined under the exchange rules as the greater of (i) $1 million or (ii) $75,000 for every 0.1% of NYSE transaction dollar volume in each of the securities for which the Company is registered as the DMM.</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VAL's regulatory capital and regulatory capital requirements as of December 31, 2021 was as follows:</w:t>
      </w:r>
    </w:p>
    <w:p>
      <w:pPr>
        <w:spacing w:after="0" w:line="11" w:lineRule="exact"/>
        <w:rPr>
          <w:sz w:val="20"/>
          <w:szCs w:val="20"/>
          <w:color w:val="auto"/>
        </w:rPr>
      </w:pPr>
    </w:p>
    <w:tbl>
      <w:tblPr>
        <w:tblLayout w:type="fixed"/>
        <w:tblInd w:w="180" w:type="dxa"/>
        <w:tblCellMar>
          <w:top w:w="0" w:type="dxa"/>
          <w:left w:w="0" w:type="dxa"/>
          <w:bottom w:w="0" w:type="dxa"/>
          <w:right w:w="0" w:type="dxa"/>
        </w:tblCellMar>
      </w:tblPr>
      <w:tr>
        <w:trPr>
          <w:trHeight w:val="149"/>
        </w:trPr>
        <w:tc>
          <w:tcPr>
            <w:tcW w:w="57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(in thousands)</w:t>
            </w:r>
          </w:p>
        </w:tc>
        <w:tc>
          <w:tcPr>
            <w:tcW w:w="180" w:type="dxa"/>
            <w:vAlign w:val="bottom"/>
          </w:tcPr>
          <w:p>
            <w:pPr>
              <w:spacing w:after="0"/>
              <w:rPr>
                <w:sz w:val="12"/>
                <w:szCs w:val="12"/>
                <w:color w:val="auto"/>
              </w:rPr>
            </w:pPr>
          </w:p>
        </w:tc>
        <w:tc>
          <w:tcPr>
            <w:tcW w:w="158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Regulatory Capital</w:t>
            </w:r>
          </w:p>
        </w:tc>
        <w:tc>
          <w:tcPr>
            <w:tcW w:w="200" w:type="dxa"/>
            <w:vAlign w:val="bottom"/>
          </w:tcPr>
          <w:p>
            <w:pPr>
              <w:spacing w:after="0"/>
              <w:rPr>
                <w:sz w:val="12"/>
                <w:szCs w:val="12"/>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0"/>
              </w:rPr>
              <w:t>Regulatory Capital</w:t>
            </w:r>
          </w:p>
        </w:tc>
        <w:tc>
          <w:tcPr>
            <w:tcW w:w="100" w:type="dxa"/>
            <w:vAlign w:val="bottom"/>
          </w:tcPr>
          <w:p>
            <w:pPr>
              <w:spacing w:after="0"/>
              <w:rPr>
                <w:sz w:val="12"/>
                <w:szCs w:val="12"/>
                <w:color w:val="auto"/>
              </w:rPr>
            </w:pPr>
          </w:p>
        </w:tc>
        <w:tc>
          <w:tcPr>
            <w:tcW w:w="158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auto"/>
                <w:w w:val="86"/>
              </w:rPr>
              <w:t>Excess Regulatory Capital</w:t>
            </w:r>
          </w:p>
        </w:tc>
        <w:tc>
          <w:tcPr>
            <w:tcW w:w="0" w:type="dxa"/>
            <w:vAlign w:val="bottom"/>
          </w:tcPr>
          <w:p>
            <w:pPr>
              <w:spacing w:after="0"/>
              <w:rPr>
                <w:sz w:val="1"/>
                <w:szCs w:val="1"/>
                <w:color w:val="auto"/>
              </w:rPr>
            </w:pPr>
          </w:p>
        </w:tc>
      </w:tr>
      <w:tr>
        <w:trPr>
          <w:trHeight w:val="165"/>
        </w:trPr>
        <w:tc>
          <w:tcPr>
            <w:tcW w:w="57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8"/>
              </w:rPr>
              <w:t>Requirement</w:t>
            </w:r>
          </w:p>
        </w:tc>
        <w:tc>
          <w:tcPr>
            <w:tcW w:w="100" w:type="dxa"/>
            <w:vAlign w:val="bottom"/>
          </w:tcPr>
          <w:p>
            <w:pPr>
              <w:spacing w:after="0"/>
              <w:rPr>
                <w:sz w:val="14"/>
                <w:szCs w:val="14"/>
                <w:color w:val="auto"/>
              </w:rPr>
            </w:pPr>
          </w:p>
        </w:tc>
        <w:tc>
          <w:tcPr>
            <w:tcW w:w="1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Virtu Americas LLC</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536,647</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1,194</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535,453</w:t>
            </w:r>
          </w:p>
        </w:tc>
        <w:tc>
          <w:tcPr>
            <w:tcW w:w="0" w:type="dxa"/>
            <w:vAlign w:val="bottom"/>
          </w:tcPr>
          <w:p>
            <w:pPr>
              <w:spacing w:after="0"/>
              <w:rPr>
                <w:sz w:val="1"/>
                <w:szCs w:val="1"/>
                <w:color w:val="auto"/>
              </w:rPr>
            </w:pPr>
          </w:p>
        </w:tc>
      </w:tr>
    </w:tbl>
    <w:p>
      <w:pPr>
        <w:spacing w:after="0" w:line="331" w:lineRule="exact"/>
        <w:rPr>
          <w:sz w:val="20"/>
          <w:szCs w:val="20"/>
          <w:color w:val="auto"/>
        </w:rPr>
      </w:pPr>
    </w:p>
    <w:p>
      <w:pPr>
        <w:ind w:right="160" w:firstLine="568"/>
        <w:spacing w:after="0" w:line="257" w:lineRule="auto"/>
        <w:rPr>
          <w:sz w:val="20"/>
          <w:szCs w:val="20"/>
          <w:color w:val="auto"/>
        </w:rPr>
      </w:pPr>
      <w:r>
        <w:rPr>
          <w:rFonts w:ascii="Arial" w:cs="Arial" w:eastAsia="Arial" w:hAnsi="Arial"/>
          <w:sz w:val="16"/>
          <w:szCs w:val="16"/>
          <w:color w:val="auto"/>
        </w:rPr>
        <w:t xml:space="preserve">As of December 31, 2021, VAL had $43.0 million of cash in special reserve bank accounts for the benefit of customers pursuant to SEC Rule 15c3-3, </w:t>
      </w:r>
      <w:r>
        <w:rPr>
          <w:rFonts w:ascii="Arial" w:cs="Arial" w:eastAsia="Arial" w:hAnsi="Arial"/>
          <w:sz w:val="16"/>
          <w:szCs w:val="16"/>
          <w:i w:val="1"/>
          <w:iCs w:val="1"/>
          <w:color w:val="auto"/>
        </w:rPr>
        <w:t>Computation for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Determination of Reserve Requirements, </w:t>
      </w:r>
      <w:r>
        <w:rPr>
          <w:rFonts w:ascii="Arial" w:cs="Arial" w:eastAsia="Arial" w:hAnsi="Arial"/>
          <w:sz w:val="16"/>
          <w:szCs w:val="16"/>
          <w:color w:val="auto"/>
        </w:rPr>
        <w:t>and $5.8 million of cash in reserve bank accounts for the benefit of proprietary accounts of brokers. The balances are included within</w:t>
      </w:r>
      <w:r>
        <w:rPr>
          <w:rFonts w:ascii="Arial" w:cs="Arial" w:eastAsia="Arial" w:hAnsi="Arial"/>
          <w:sz w:val="16"/>
          <w:szCs w:val="16"/>
          <w:i w:val="1"/>
          <w:iCs w:val="1"/>
          <w:color w:val="auto"/>
        </w:rPr>
        <w:t xml:space="preserve"> </w:t>
      </w:r>
      <w:r>
        <w:rPr>
          <w:rFonts w:ascii="Arial" w:cs="Arial" w:eastAsia="Arial" w:hAnsi="Arial"/>
          <w:sz w:val="16"/>
          <w:szCs w:val="16"/>
          <w:color w:val="auto"/>
        </w:rPr>
        <w:t>Cash restricted or segregated under regulations and other on the Consolidated Statements of Financial Condition.</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127" w:name="page128"/>
    <w:bookmarkEnd w:id="12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VAL's regulatory capital and regulatory capital requirements as of December 31, 2020 was as follows:</w:t>
      </w:r>
    </w:p>
    <w:p>
      <w:pPr>
        <w:spacing w:after="0" w:line="11" w:lineRule="exact"/>
        <w:rPr>
          <w:sz w:val="20"/>
          <w:szCs w:val="20"/>
          <w:color w:val="auto"/>
        </w:rPr>
      </w:pPr>
    </w:p>
    <w:tbl>
      <w:tblPr>
        <w:tblLayout w:type="fixed"/>
        <w:tblInd w:w="180" w:type="dxa"/>
        <w:tblCellMar>
          <w:top w:w="0" w:type="dxa"/>
          <w:left w:w="0" w:type="dxa"/>
          <w:bottom w:w="0" w:type="dxa"/>
          <w:right w:w="0" w:type="dxa"/>
        </w:tblCellMar>
      </w:tblPr>
      <w:tr>
        <w:trPr>
          <w:trHeight w:val="149"/>
        </w:trPr>
        <w:tc>
          <w:tcPr>
            <w:tcW w:w="57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(in thousands)</w:t>
            </w:r>
          </w:p>
        </w:tc>
        <w:tc>
          <w:tcPr>
            <w:tcW w:w="180" w:type="dxa"/>
            <w:vAlign w:val="bottom"/>
          </w:tcPr>
          <w:p>
            <w:pPr>
              <w:spacing w:after="0"/>
              <w:rPr>
                <w:sz w:val="13"/>
                <w:szCs w:val="13"/>
                <w:color w:val="auto"/>
              </w:rPr>
            </w:pPr>
          </w:p>
        </w:tc>
        <w:tc>
          <w:tcPr>
            <w:tcW w:w="158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Regulatory Capital</w:t>
            </w:r>
          </w:p>
        </w:tc>
        <w:tc>
          <w:tcPr>
            <w:tcW w:w="200" w:type="dxa"/>
            <w:vAlign w:val="bottom"/>
          </w:tcPr>
          <w:p>
            <w:pPr>
              <w:spacing w:after="0"/>
              <w:rPr>
                <w:sz w:val="13"/>
                <w:szCs w:val="13"/>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0"/>
              </w:rPr>
              <w:t>Regulatory Capital</w:t>
            </w:r>
          </w:p>
        </w:tc>
        <w:tc>
          <w:tcPr>
            <w:tcW w:w="100" w:type="dxa"/>
            <w:vAlign w:val="bottom"/>
          </w:tcPr>
          <w:p>
            <w:pPr>
              <w:spacing w:after="0"/>
              <w:rPr>
                <w:sz w:val="13"/>
                <w:szCs w:val="13"/>
                <w:color w:val="auto"/>
              </w:rPr>
            </w:pPr>
          </w:p>
        </w:tc>
        <w:tc>
          <w:tcPr>
            <w:tcW w:w="158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auto"/>
                <w:w w:val="86"/>
              </w:rPr>
              <w:t>Excess Regulatory Capital</w:t>
            </w:r>
          </w:p>
        </w:tc>
        <w:tc>
          <w:tcPr>
            <w:tcW w:w="0" w:type="dxa"/>
            <w:vAlign w:val="bottom"/>
          </w:tcPr>
          <w:p>
            <w:pPr>
              <w:spacing w:after="0"/>
              <w:rPr>
                <w:sz w:val="1"/>
                <w:szCs w:val="1"/>
                <w:color w:val="auto"/>
              </w:rPr>
            </w:pPr>
          </w:p>
        </w:tc>
      </w:tr>
      <w:tr>
        <w:trPr>
          <w:trHeight w:val="165"/>
        </w:trPr>
        <w:tc>
          <w:tcPr>
            <w:tcW w:w="57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8"/>
              </w:rPr>
              <w:t>Requirement</w:t>
            </w:r>
          </w:p>
        </w:tc>
        <w:tc>
          <w:tcPr>
            <w:tcW w:w="100" w:type="dxa"/>
            <w:vAlign w:val="bottom"/>
          </w:tcPr>
          <w:p>
            <w:pPr>
              <w:spacing w:after="0"/>
              <w:rPr>
                <w:sz w:val="14"/>
                <w:szCs w:val="14"/>
                <w:color w:val="auto"/>
              </w:rPr>
            </w:pPr>
          </w:p>
        </w:tc>
        <w:tc>
          <w:tcPr>
            <w:tcW w:w="1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Virtu Americas LLC</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621,253</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2,917</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618,336</w:t>
            </w:r>
          </w:p>
        </w:tc>
        <w:tc>
          <w:tcPr>
            <w:tcW w:w="0" w:type="dxa"/>
            <w:vAlign w:val="bottom"/>
          </w:tcPr>
          <w:p>
            <w:pPr>
              <w:spacing w:after="0"/>
              <w:rPr>
                <w:sz w:val="1"/>
                <w:szCs w:val="1"/>
                <w:color w:val="auto"/>
              </w:rPr>
            </w:pPr>
          </w:p>
        </w:tc>
      </w:tr>
    </w:tbl>
    <w:p>
      <w:pPr>
        <w:spacing w:after="0" w:line="295" w:lineRule="exact"/>
        <w:rPr>
          <w:sz w:val="20"/>
          <w:szCs w:val="20"/>
          <w:color w:val="auto"/>
        </w:rPr>
      </w:pPr>
    </w:p>
    <w:p>
      <w:pPr>
        <w:jc w:val="both"/>
        <w:ind w:right="100" w:firstLine="568"/>
        <w:spacing w:after="0" w:line="302" w:lineRule="auto"/>
        <w:rPr>
          <w:sz w:val="20"/>
          <w:szCs w:val="20"/>
          <w:color w:val="auto"/>
        </w:rPr>
      </w:pPr>
      <w:r>
        <w:rPr>
          <w:rFonts w:ascii="Arial" w:cs="Arial" w:eastAsia="Arial" w:hAnsi="Arial"/>
          <w:sz w:val="15"/>
          <w:szCs w:val="15"/>
          <w:color w:val="auto"/>
        </w:rPr>
        <w:t xml:space="preserve">As of December 31, 2020, VAL had $96.2 million of cash in special reserve bank accounts for the benefit of customers pursuant to SEC Rule 15c3-3, </w:t>
      </w:r>
      <w:r>
        <w:rPr>
          <w:rFonts w:ascii="Arial" w:cs="Arial" w:eastAsia="Arial" w:hAnsi="Arial"/>
          <w:sz w:val="15"/>
          <w:szCs w:val="15"/>
          <w:i w:val="1"/>
          <w:iCs w:val="1"/>
          <w:color w:val="auto"/>
        </w:rPr>
        <w:t>Computation for</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Determination of Reserve Requirements, </w:t>
      </w:r>
      <w:r>
        <w:rPr>
          <w:rFonts w:ascii="Arial" w:cs="Arial" w:eastAsia="Arial" w:hAnsi="Arial"/>
          <w:sz w:val="15"/>
          <w:szCs w:val="15"/>
          <w:color w:val="auto"/>
        </w:rPr>
        <w:t>and $20.4 million of cash in reserve bank accounts for the benefit of proprietary accounts of brokers.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Foreign Subsidiaries</w:t>
      </w:r>
    </w:p>
    <w:p>
      <w:pPr>
        <w:spacing w:after="0" w:line="219" w:lineRule="exact"/>
        <w:rPr>
          <w:sz w:val="20"/>
          <w:szCs w:val="20"/>
          <w:color w:val="auto"/>
        </w:rPr>
      </w:pPr>
    </w:p>
    <w:p>
      <w:pPr>
        <w:jc w:val="both"/>
        <w:ind w:right="520" w:firstLine="568"/>
        <w:spacing w:after="0" w:line="311" w:lineRule="auto"/>
        <w:rPr>
          <w:sz w:val="20"/>
          <w:szCs w:val="20"/>
          <w:color w:val="auto"/>
        </w:rPr>
      </w:pPr>
      <w:r>
        <w:rPr>
          <w:rFonts w:ascii="Arial" w:cs="Arial" w:eastAsia="Arial" w:hAnsi="Arial"/>
          <w:sz w:val="14"/>
          <w:szCs w:val="14"/>
          <w:color w:val="auto"/>
        </w:rPr>
        <w:t>The Company’s foreign subsidiaries are subject to regulatory capital requirements set by local regulatory bodies, including the Investment Industry Regulatory Organization of Canada (“IIROC”), the Central Bank of Ireland ("CBI"), the Financial Conduct Authority ("FCA") in the United Kingdom, the Australian Securities and Investments Commission ("ASIC"), the Securities and Futures Commission in Hong Kong ("SFC"), and the Monetary Authority of Singapore ("MAS").</w:t>
      </w:r>
    </w:p>
    <w:p>
      <w:pPr>
        <w:spacing w:after="0" w:line="155"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regulatory net capital balances and regulatory capital requirements applicable to the Company's foreign subsidiaries as of December 31, 2021 were as follows:</w:t>
      </w:r>
    </w:p>
    <w:p>
      <w:pPr>
        <w:spacing w:after="0" w:line="34" w:lineRule="exact"/>
        <w:rPr>
          <w:sz w:val="20"/>
          <w:szCs w:val="20"/>
          <w:color w:val="auto"/>
        </w:rPr>
      </w:pPr>
    </w:p>
    <w:tbl>
      <w:tblPr>
        <w:tblLayout w:type="fixed"/>
        <w:tblInd w:w="180" w:type="dxa"/>
        <w:tblCellMar>
          <w:top w:w="0" w:type="dxa"/>
          <w:left w:w="0" w:type="dxa"/>
          <w:bottom w:w="0" w:type="dxa"/>
          <w:right w:w="0" w:type="dxa"/>
        </w:tblCellMar>
      </w:tblPr>
      <w:tr>
        <w:trPr>
          <w:trHeight w:val="149"/>
        </w:trPr>
        <w:tc>
          <w:tcPr>
            <w:tcW w:w="57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(in thousands)</w:t>
            </w:r>
          </w:p>
        </w:tc>
        <w:tc>
          <w:tcPr>
            <w:tcW w:w="180" w:type="dxa"/>
            <w:vAlign w:val="bottom"/>
          </w:tcPr>
          <w:p>
            <w:pPr>
              <w:spacing w:after="0"/>
              <w:rPr>
                <w:sz w:val="13"/>
                <w:szCs w:val="13"/>
                <w:color w:val="auto"/>
              </w:rPr>
            </w:pPr>
          </w:p>
        </w:tc>
        <w:tc>
          <w:tcPr>
            <w:tcW w:w="158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Regulatory Capital</w:t>
            </w:r>
          </w:p>
        </w:tc>
        <w:tc>
          <w:tcPr>
            <w:tcW w:w="200" w:type="dxa"/>
            <w:vAlign w:val="bottom"/>
          </w:tcPr>
          <w:p>
            <w:pPr>
              <w:spacing w:after="0"/>
              <w:rPr>
                <w:sz w:val="13"/>
                <w:szCs w:val="13"/>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0"/>
              </w:rPr>
              <w:t>Regulatory Capital</w:t>
            </w:r>
          </w:p>
        </w:tc>
        <w:tc>
          <w:tcPr>
            <w:tcW w:w="100" w:type="dxa"/>
            <w:vAlign w:val="bottom"/>
          </w:tcPr>
          <w:p>
            <w:pPr>
              <w:spacing w:after="0"/>
              <w:rPr>
                <w:sz w:val="13"/>
                <w:szCs w:val="13"/>
                <w:color w:val="auto"/>
              </w:rPr>
            </w:pPr>
          </w:p>
        </w:tc>
        <w:tc>
          <w:tcPr>
            <w:tcW w:w="158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auto"/>
                <w:w w:val="86"/>
              </w:rPr>
              <w:t>Excess Regulatory Capital</w:t>
            </w:r>
          </w:p>
        </w:tc>
        <w:tc>
          <w:tcPr>
            <w:tcW w:w="0" w:type="dxa"/>
            <w:vAlign w:val="bottom"/>
          </w:tcPr>
          <w:p>
            <w:pPr>
              <w:spacing w:after="0"/>
              <w:rPr>
                <w:sz w:val="1"/>
                <w:szCs w:val="1"/>
                <w:color w:val="auto"/>
              </w:rPr>
            </w:pPr>
          </w:p>
        </w:tc>
      </w:tr>
      <w:tr>
        <w:trPr>
          <w:trHeight w:val="165"/>
        </w:trPr>
        <w:tc>
          <w:tcPr>
            <w:tcW w:w="57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8"/>
              </w:rPr>
              <w:t>Requirement</w:t>
            </w:r>
          </w:p>
        </w:tc>
        <w:tc>
          <w:tcPr>
            <w:tcW w:w="100" w:type="dxa"/>
            <w:vAlign w:val="bottom"/>
          </w:tcPr>
          <w:p>
            <w:pPr>
              <w:spacing w:after="0"/>
              <w:rPr>
                <w:sz w:val="14"/>
                <w:szCs w:val="14"/>
                <w:color w:val="auto"/>
              </w:rPr>
            </w:pPr>
          </w:p>
        </w:tc>
        <w:tc>
          <w:tcPr>
            <w:tcW w:w="1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Canada</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4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4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5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5700" w:type="dxa"/>
            <w:vAlign w:val="bottom"/>
            <w:gridSpan w:val="2"/>
          </w:tcPr>
          <w:p>
            <w:pPr>
              <w:ind w:left="120"/>
              <w:spacing w:after="0"/>
              <w:rPr>
                <w:sz w:val="20"/>
                <w:szCs w:val="20"/>
                <w:color w:val="auto"/>
              </w:rPr>
            </w:pPr>
            <w:r>
              <w:rPr>
                <w:rFonts w:ascii="Arial" w:cs="Arial" w:eastAsia="Arial" w:hAnsi="Arial"/>
                <w:sz w:val="13"/>
                <w:szCs w:val="13"/>
                <w:color w:val="auto"/>
              </w:rPr>
              <w:t>Virtu ITG Canada Corp</w:t>
            </w: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1480" w:type="dxa"/>
            <w:vAlign w:val="bottom"/>
          </w:tcPr>
          <w:p>
            <w:pPr>
              <w:jc w:val="right"/>
              <w:spacing w:after="0"/>
              <w:rPr>
                <w:sz w:val="20"/>
                <w:szCs w:val="20"/>
                <w:color w:val="auto"/>
              </w:rPr>
            </w:pPr>
            <w:r>
              <w:rPr>
                <w:rFonts w:ascii="Arial" w:cs="Arial" w:eastAsia="Arial" w:hAnsi="Arial"/>
                <w:sz w:val="13"/>
                <w:szCs w:val="13"/>
                <w:color w:val="auto"/>
              </w:rPr>
              <w:t>15,482</w:t>
            </w:r>
          </w:p>
        </w:tc>
        <w:tc>
          <w:tcPr>
            <w:tcW w:w="100" w:type="dxa"/>
            <w:vAlign w:val="bottom"/>
          </w:tcPr>
          <w:p>
            <w:pPr>
              <w:spacing w:after="0"/>
              <w:rPr>
                <w:sz w:val="14"/>
                <w:szCs w:val="14"/>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1460" w:type="dxa"/>
            <w:vAlign w:val="bottom"/>
          </w:tcPr>
          <w:p>
            <w:pPr>
              <w:jc w:val="right"/>
              <w:spacing w:after="0"/>
              <w:rPr>
                <w:sz w:val="20"/>
                <w:szCs w:val="20"/>
                <w:color w:val="auto"/>
              </w:rPr>
            </w:pPr>
            <w:r>
              <w:rPr>
                <w:rFonts w:ascii="Arial" w:cs="Arial" w:eastAsia="Arial" w:hAnsi="Arial"/>
                <w:sz w:val="13"/>
                <w:szCs w:val="13"/>
                <w:color w:val="auto"/>
              </w:rPr>
              <w:t>198</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580" w:type="dxa"/>
            <w:vAlign w:val="bottom"/>
          </w:tcPr>
          <w:p>
            <w:pPr>
              <w:jc w:val="right"/>
              <w:spacing w:after="0"/>
              <w:rPr>
                <w:sz w:val="20"/>
                <w:szCs w:val="20"/>
                <w:color w:val="auto"/>
              </w:rPr>
            </w:pPr>
            <w:r>
              <w:rPr>
                <w:rFonts w:ascii="Arial" w:cs="Arial" w:eastAsia="Arial" w:hAnsi="Arial"/>
                <w:sz w:val="13"/>
                <w:szCs w:val="13"/>
                <w:color w:val="auto"/>
              </w:rPr>
              <w:t>15,284</w:t>
            </w:r>
          </w:p>
        </w:tc>
        <w:tc>
          <w:tcPr>
            <w:tcW w:w="0" w:type="dxa"/>
            <w:vAlign w:val="bottom"/>
          </w:tcPr>
          <w:p>
            <w:pPr>
              <w:spacing w:after="0"/>
              <w:rPr>
                <w:sz w:val="1"/>
                <w:szCs w:val="1"/>
                <w:color w:val="auto"/>
              </w:rPr>
            </w:pPr>
          </w:p>
        </w:tc>
      </w:tr>
      <w:tr>
        <w:trPr>
          <w:trHeight w:val="168"/>
        </w:trPr>
        <w:tc>
          <w:tcPr>
            <w:tcW w:w="57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Virtu Financial Canada ULC</w:t>
            </w:r>
          </w:p>
        </w:tc>
        <w:tc>
          <w:tcPr>
            <w:tcW w:w="18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65"/>
        </w:trPr>
        <w:tc>
          <w:tcPr>
            <w:tcW w:w="5700" w:type="dxa"/>
            <w:vAlign w:val="bottom"/>
            <w:gridSpan w:val="2"/>
          </w:tcPr>
          <w:p>
            <w:pPr>
              <w:ind w:left="20"/>
              <w:spacing w:after="0"/>
              <w:rPr>
                <w:sz w:val="20"/>
                <w:szCs w:val="20"/>
                <w:color w:val="auto"/>
              </w:rPr>
            </w:pPr>
            <w:r>
              <w:rPr>
                <w:rFonts w:ascii="Arial" w:cs="Arial" w:eastAsia="Arial" w:hAnsi="Arial"/>
                <w:sz w:val="13"/>
                <w:szCs w:val="13"/>
                <w:b w:val="1"/>
                <w:bCs w:val="1"/>
                <w:color w:val="auto"/>
              </w:rPr>
              <w:t>Ireland</w:t>
            </w: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7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Virtu ITG Europe Limited</w:t>
            </w:r>
          </w:p>
        </w:tc>
        <w:tc>
          <w:tcPr>
            <w:tcW w:w="18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79,087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39,331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39,756</w:t>
            </w:r>
          </w:p>
        </w:tc>
        <w:tc>
          <w:tcPr>
            <w:tcW w:w="0" w:type="dxa"/>
            <w:vAlign w:val="bottom"/>
          </w:tcPr>
          <w:p>
            <w:pPr>
              <w:spacing w:after="0"/>
              <w:rPr>
                <w:sz w:val="1"/>
                <w:szCs w:val="1"/>
                <w:color w:val="auto"/>
              </w:rPr>
            </w:pPr>
          </w:p>
        </w:tc>
      </w:tr>
      <w:tr>
        <w:trPr>
          <w:trHeight w:val="163"/>
        </w:trPr>
        <w:tc>
          <w:tcPr>
            <w:tcW w:w="5700" w:type="dxa"/>
            <w:vAlign w:val="bottom"/>
            <w:gridSpan w:val="2"/>
          </w:tcPr>
          <w:p>
            <w:pPr>
              <w:ind w:left="120"/>
              <w:spacing w:after="0"/>
              <w:rPr>
                <w:sz w:val="20"/>
                <w:szCs w:val="20"/>
                <w:color w:val="auto"/>
              </w:rPr>
            </w:pPr>
            <w:r>
              <w:rPr>
                <w:rFonts w:ascii="Arial" w:cs="Arial" w:eastAsia="Arial" w:hAnsi="Arial"/>
                <w:sz w:val="13"/>
                <w:szCs w:val="13"/>
                <w:color w:val="auto"/>
              </w:rPr>
              <w:t>Virtu Financial Ireland Limited</w:t>
            </w:r>
          </w:p>
        </w:tc>
        <w:tc>
          <w:tcPr>
            <w:tcW w:w="1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107,293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47,872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59,421</w:t>
            </w:r>
          </w:p>
        </w:tc>
        <w:tc>
          <w:tcPr>
            <w:tcW w:w="0" w:type="dxa"/>
            <w:vAlign w:val="bottom"/>
          </w:tcPr>
          <w:p>
            <w:pPr>
              <w:spacing w:after="0"/>
              <w:rPr>
                <w:sz w:val="1"/>
                <w:szCs w:val="1"/>
                <w:color w:val="auto"/>
              </w:rPr>
            </w:pPr>
          </w:p>
        </w:tc>
      </w:tr>
      <w:tr>
        <w:trPr>
          <w:trHeight w:val="168"/>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United Kingdom</w:t>
            </w:r>
          </w:p>
        </w:tc>
        <w:tc>
          <w:tcPr>
            <w:tcW w:w="18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700" w:type="dxa"/>
            <w:vAlign w:val="bottom"/>
            <w:gridSpan w:val="2"/>
          </w:tcPr>
          <w:p>
            <w:pPr>
              <w:ind w:left="120"/>
              <w:spacing w:after="0"/>
              <w:rPr>
                <w:sz w:val="20"/>
                <w:szCs w:val="20"/>
                <w:color w:val="auto"/>
              </w:rPr>
            </w:pPr>
            <w:r>
              <w:rPr>
                <w:rFonts w:ascii="Arial" w:cs="Arial" w:eastAsia="Arial" w:hAnsi="Arial"/>
                <w:sz w:val="13"/>
                <w:szCs w:val="13"/>
                <w:color w:val="auto"/>
              </w:rPr>
              <w:t>Virtu ITG UK Limited</w:t>
            </w:r>
          </w:p>
        </w:tc>
        <w:tc>
          <w:tcPr>
            <w:tcW w:w="1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1,142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830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312</w:t>
            </w:r>
          </w:p>
        </w:tc>
        <w:tc>
          <w:tcPr>
            <w:tcW w:w="0" w:type="dxa"/>
            <w:vAlign w:val="bottom"/>
          </w:tcPr>
          <w:p>
            <w:pPr>
              <w:spacing w:after="0"/>
              <w:rPr>
                <w:sz w:val="1"/>
                <w:szCs w:val="1"/>
                <w:color w:val="auto"/>
              </w:rPr>
            </w:pPr>
          </w:p>
        </w:tc>
      </w:tr>
      <w:tr>
        <w:trPr>
          <w:trHeight w:val="168"/>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Asia Pacific</w:t>
            </w:r>
          </w:p>
        </w:tc>
        <w:tc>
          <w:tcPr>
            <w:tcW w:w="18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700" w:type="dxa"/>
            <w:vAlign w:val="bottom"/>
            <w:gridSpan w:val="2"/>
          </w:tcPr>
          <w:p>
            <w:pPr>
              <w:ind w:left="120"/>
              <w:spacing w:after="0"/>
              <w:rPr>
                <w:sz w:val="20"/>
                <w:szCs w:val="20"/>
                <w:color w:val="auto"/>
              </w:rPr>
            </w:pPr>
            <w:r>
              <w:rPr>
                <w:rFonts w:ascii="Arial" w:cs="Arial" w:eastAsia="Arial" w:hAnsi="Arial"/>
                <w:sz w:val="13"/>
                <w:szCs w:val="13"/>
                <w:color w:val="auto"/>
              </w:rPr>
              <w:t>Virtu ITG Australia Limited</w:t>
            </w:r>
          </w:p>
        </w:tc>
        <w:tc>
          <w:tcPr>
            <w:tcW w:w="1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32,186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7,164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25,022</w:t>
            </w:r>
          </w:p>
        </w:tc>
        <w:tc>
          <w:tcPr>
            <w:tcW w:w="0" w:type="dxa"/>
            <w:vAlign w:val="bottom"/>
          </w:tcPr>
          <w:p>
            <w:pPr>
              <w:spacing w:after="0"/>
              <w:rPr>
                <w:sz w:val="1"/>
                <w:szCs w:val="1"/>
                <w:color w:val="auto"/>
              </w:rPr>
            </w:pPr>
          </w:p>
        </w:tc>
      </w:tr>
      <w:tr>
        <w:trPr>
          <w:trHeight w:val="168"/>
        </w:trPr>
        <w:tc>
          <w:tcPr>
            <w:tcW w:w="57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Virtu ITG Hong Kong Limited</w:t>
            </w:r>
          </w:p>
        </w:tc>
        <w:tc>
          <w:tcPr>
            <w:tcW w:w="18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4,514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3,985</w:t>
            </w:r>
          </w:p>
        </w:tc>
        <w:tc>
          <w:tcPr>
            <w:tcW w:w="0" w:type="dxa"/>
            <w:vAlign w:val="bottom"/>
          </w:tcPr>
          <w:p>
            <w:pPr>
              <w:spacing w:after="0"/>
              <w:rPr>
                <w:sz w:val="1"/>
                <w:szCs w:val="1"/>
                <w:color w:val="auto"/>
              </w:rPr>
            </w:pPr>
          </w:p>
        </w:tc>
      </w:tr>
      <w:tr>
        <w:trPr>
          <w:trHeight w:val="160"/>
        </w:trPr>
        <w:tc>
          <w:tcPr>
            <w:tcW w:w="5700" w:type="dxa"/>
            <w:vAlign w:val="bottom"/>
            <w:gridSpan w:val="2"/>
          </w:tcPr>
          <w:p>
            <w:pPr>
              <w:ind w:left="120"/>
              <w:spacing w:after="0"/>
              <w:rPr>
                <w:sz w:val="20"/>
                <w:szCs w:val="20"/>
                <w:color w:val="auto"/>
              </w:rPr>
            </w:pPr>
            <w:r>
              <w:rPr>
                <w:rFonts w:ascii="Arial" w:cs="Arial" w:eastAsia="Arial" w:hAnsi="Arial"/>
                <w:sz w:val="13"/>
                <w:szCs w:val="13"/>
                <w:color w:val="auto"/>
              </w:rPr>
              <w:t>Virtu ITG Singapore Pte Limited</w:t>
            </w:r>
          </w:p>
        </w:tc>
        <w:tc>
          <w:tcPr>
            <w:tcW w:w="18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897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74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823</w:t>
            </w:r>
          </w:p>
        </w:tc>
        <w:tc>
          <w:tcPr>
            <w:tcW w:w="0" w:type="dxa"/>
            <w:vAlign w:val="bottom"/>
          </w:tcPr>
          <w:p>
            <w:pPr>
              <w:spacing w:after="0"/>
              <w:rPr>
                <w:sz w:val="1"/>
                <w:szCs w:val="1"/>
                <w:color w:val="auto"/>
              </w:rPr>
            </w:pPr>
          </w:p>
        </w:tc>
      </w:tr>
    </w:tbl>
    <w:p>
      <w:pPr>
        <w:spacing w:after="0" w:line="87" w:lineRule="exact"/>
        <w:rPr>
          <w:sz w:val="20"/>
          <w:szCs w:val="20"/>
          <w:color w:val="auto"/>
        </w:rPr>
      </w:pPr>
    </w:p>
    <w:p>
      <w:pPr>
        <w:jc w:val="both"/>
        <w:ind w:right="240" w:firstLine="568"/>
        <w:spacing w:after="0" w:line="257" w:lineRule="auto"/>
        <w:rPr>
          <w:sz w:val="20"/>
          <w:szCs w:val="20"/>
          <w:color w:val="auto"/>
        </w:rPr>
      </w:pPr>
      <w:r>
        <w:rPr>
          <w:rFonts w:ascii="Arial" w:cs="Arial" w:eastAsia="Arial" w:hAnsi="Arial"/>
          <w:sz w:val="16"/>
          <w:szCs w:val="16"/>
          <w:color w:val="auto"/>
        </w:rPr>
        <w:t>As of December 31, 2021, Virtu ITG Europe Limited and Virtu ITG Canada Corp had $0.1 million and $0.4 million, respectively, of segregated funds on deposit for trade clearing and settlement activity, and Virtu ITG Hong Kong Ltd. had $30 thousand of segregated balances under a collateral account control agreement for the benefit of certain customers.</w:t>
      </w:r>
    </w:p>
    <w:p>
      <w:pPr>
        <w:spacing w:after="0" w:line="190"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regulatory net capital balances and regulatory capital requirements applicable to the Company's foreign subsidiaries as of December 31, 2020 were as follows:</w:t>
      </w:r>
    </w:p>
    <w:p>
      <w:pPr>
        <w:spacing w:after="0" w:line="34" w:lineRule="exact"/>
        <w:rPr>
          <w:sz w:val="20"/>
          <w:szCs w:val="20"/>
          <w:color w:val="auto"/>
        </w:rPr>
      </w:pPr>
    </w:p>
    <w:tbl>
      <w:tblPr>
        <w:tblLayout w:type="fixed"/>
        <w:tblInd w:w="180" w:type="dxa"/>
        <w:tblCellMar>
          <w:top w:w="0" w:type="dxa"/>
          <w:left w:w="0" w:type="dxa"/>
          <w:bottom w:w="0" w:type="dxa"/>
          <w:right w:w="0" w:type="dxa"/>
        </w:tblCellMar>
      </w:tblPr>
      <w:tr>
        <w:trPr>
          <w:trHeight w:val="149"/>
        </w:trPr>
        <w:tc>
          <w:tcPr>
            <w:tcW w:w="57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(in thousands)</w:t>
            </w:r>
          </w:p>
        </w:tc>
        <w:tc>
          <w:tcPr>
            <w:tcW w:w="180" w:type="dxa"/>
            <w:vAlign w:val="bottom"/>
          </w:tcPr>
          <w:p>
            <w:pPr>
              <w:spacing w:after="0"/>
              <w:rPr>
                <w:sz w:val="12"/>
                <w:szCs w:val="12"/>
                <w:color w:val="auto"/>
              </w:rPr>
            </w:pPr>
          </w:p>
        </w:tc>
        <w:tc>
          <w:tcPr>
            <w:tcW w:w="158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Regulatory Capital</w:t>
            </w:r>
          </w:p>
        </w:tc>
        <w:tc>
          <w:tcPr>
            <w:tcW w:w="200" w:type="dxa"/>
            <w:vAlign w:val="bottom"/>
          </w:tcPr>
          <w:p>
            <w:pPr>
              <w:spacing w:after="0"/>
              <w:rPr>
                <w:sz w:val="12"/>
                <w:szCs w:val="12"/>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0"/>
              </w:rPr>
              <w:t>Regulatory Capital</w:t>
            </w:r>
          </w:p>
        </w:tc>
        <w:tc>
          <w:tcPr>
            <w:tcW w:w="100" w:type="dxa"/>
            <w:vAlign w:val="bottom"/>
          </w:tcPr>
          <w:p>
            <w:pPr>
              <w:spacing w:after="0"/>
              <w:rPr>
                <w:sz w:val="12"/>
                <w:szCs w:val="12"/>
                <w:color w:val="auto"/>
              </w:rPr>
            </w:pPr>
          </w:p>
        </w:tc>
        <w:tc>
          <w:tcPr>
            <w:tcW w:w="158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auto"/>
                <w:w w:val="86"/>
              </w:rPr>
              <w:t>Excess Regulatory Capital</w:t>
            </w:r>
          </w:p>
        </w:tc>
        <w:tc>
          <w:tcPr>
            <w:tcW w:w="0" w:type="dxa"/>
            <w:vAlign w:val="bottom"/>
          </w:tcPr>
          <w:p>
            <w:pPr>
              <w:spacing w:after="0"/>
              <w:rPr>
                <w:sz w:val="1"/>
                <w:szCs w:val="1"/>
                <w:color w:val="auto"/>
              </w:rPr>
            </w:pPr>
          </w:p>
        </w:tc>
      </w:tr>
      <w:tr>
        <w:trPr>
          <w:trHeight w:val="165"/>
        </w:trPr>
        <w:tc>
          <w:tcPr>
            <w:tcW w:w="57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8"/>
              </w:rPr>
              <w:t>Requirement</w:t>
            </w:r>
          </w:p>
        </w:tc>
        <w:tc>
          <w:tcPr>
            <w:tcW w:w="100" w:type="dxa"/>
            <w:vAlign w:val="bottom"/>
          </w:tcPr>
          <w:p>
            <w:pPr>
              <w:spacing w:after="0"/>
              <w:rPr>
                <w:sz w:val="14"/>
                <w:szCs w:val="14"/>
                <w:color w:val="auto"/>
              </w:rPr>
            </w:pPr>
          </w:p>
        </w:tc>
        <w:tc>
          <w:tcPr>
            <w:tcW w:w="1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Canada</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4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4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5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5700" w:type="dxa"/>
            <w:vAlign w:val="bottom"/>
            <w:gridSpan w:val="2"/>
          </w:tcPr>
          <w:p>
            <w:pPr>
              <w:ind w:left="120"/>
              <w:spacing w:after="0"/>
              <w:rPr>
                <w:sz w:val="20"/>
                <w:szCs w:val="20"/>
                <w:color w:val="auto"/>
              </w:rPr>
            </w:pPr>
            <w:r>
              <w:rPr>
                <w:rFonts w:ascii="Arial" w:cs="Arial" w:eastAsia="Arial" w:hAnsi="Arial"/>
                <w:sz w:val="13"/>
                <w:szCs w:val="13"/>
                <w:color w:val="auto"/>
              </w:rPr>
              <w:t>Virtu ITG Canada Corp</w:t>
            </w: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1480" w:type="dxa"/>
            <w:vAlign w:val="bottom"/>
          </w:tcPr>
          <w:p>
            <w:pPr>
              <w:jc w:val="right"/>
              <w:spacing w:after="0"/>
              <w:rPr>
                <w:sz w:val="20"/>
                <w:szCs w:val="20"/>
                <w:color w:val="auto"/>
              </w:rPr>
            </w:pPr>
            <w:r>
              <w:rPr>
                <w:rFonts w:ascii="Arial" w:cs="Arial" w:eastAsia="Arial" w:hAnsi="Arial"/>
                <w:sz w:val="13"/>
                <w:szCs w:val="13"/>
                <w:color w:val="auto"/>
              </w:rPr>
              <w:t>12,944</w:t>
            </w:r>
          </w:p>
        </w:tc>
        <w:tc>
          <w:tcPr>
            <w:tcW w:w="100" w:type="dxa"/>
            <w:vAlign w:val="bottom"/>
          </w:tcPr>
          <w:p>
            <w:pPr>
              <w:spacing w:after="0"/>
              <w:rPr>
                <w:sz w:val="14"/>
                <w:szCs w:val="14"/>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1460" w:type="dxa"/>
            <w:vAlign w:val="bottom"/>
          </w:tcPr>
          <w:p>
            <w:pPr>
              <w:jc w:val="right"/>
              <w:spacing w:after="0"/>
              <w:rPr>
                <w:sz w:val="20"/>
                <w:szCs w:val="20"/>
                <w:color w:val="auto"/>
              </w:rPr>
            </w:pPr>
            <w:r>
              <w:rPr>
                <w:rFonts w:ascii="Arial" w:cs="Arial" w:eastAsia="Arial" w:hAnsi="Arial"/>
                <w:sz w:val="13"/>
                <w:szCs w:val="13"/>
                <w:color w:val="auto"/>
              </w:rPr>
              <w:t>196</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580" w:type="dxa"/>
            <w:vAlign w:val="bottom"/>
          </w:tcPr>
          <w:p>
            <w:pPr>
              <w:jc w:val="right"/>
              <w:spacing w:after="0"/>
              <w:rPr>
                <w:sz w:val="20"/>
                <w:szCs w:val="20"/>
                <w:color w:val="auto"/>
              </w:rPr>
            </w:pPr>
            <w:r>
              <w:rPr>
                <w:rFonts w:ascii="Arial" w:cs="Arial" w:eastAsia="Arial" w:hAnsi="Arial"/>
                <w:sz w:val="13"/>
                <w:szCs w:val="13"/>
                <w:color w:val="auto"/>
              </w:rPr>
              <w:t>12,748</w:t>
            </w:r>
          </w:p>
        </w:tc>
        <w:tc>
          <w:tcPr>
            <w:tcW w:w="0" w:type="dxa"/>
            <w:vAlign w:val="bottom"/>
          </w:tcPr>
          <w:p>
            <w:pPr>
              <w:spacing w:after="0"/>
              <w:rPr>
                <w:sz w:val="1"/>
                <w:szCs w:val="1"/>
                <w:color w:val="auto"/>
              </w:rPr>
            </w:pPr>
          </w:p>
        </w:tc>
      </w:tr>
      <w:tr>
        <w:trPr>
          <w:trHeight w:val="168"/>
        </w:trPr>
        <w:tc>
          <w:tcPr>
            <w:tcW w:w="57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Virtu Financial Canada ULC</w:t>
            </w:r>
          </w:p>
        </w:tc>
        <w:tc>
          <w:tcPr>
            <w:tcW w:w="18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2,486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2,290</w:t>
            </w:r>
          </w:p>
        </w:tc>
        <w:tc>
          <w:tcPr>
            <w:tcW w:w="0" w:type="dxa"/>
            <w:vAlign w:val="bottom"/>
          </w:tcPr>
          <w:p>
            <w:pPr>
              <w:spacing w:after="0"/>
              <w:rPr>
                <w:sz w:val="1"/>
                <w:szCs w:val="1"/>
                <w:color w:val="auto"/>
              </w:rPr>
            </w:pPr>
          </w:p>
        </w:tc>
      </w:tr>
      <w:tr>
        <w:trPr>
          <w:trHeight w:val="165"/>
        </w:trPr>
        <w:tc>
          <w:tcPr>
            <w:tcW w:w="5700" w:type="dxa"/>
            <w:vAlign w:val="bottom"/>
            <w:gridSpan w:val="2"/>
          </w:tcPr>
          <w:p>
            <w:pPr>
              <w:ind w:left="20"/>
              <w:spacing w:after="0"/>
              <w:rPr>
                <w:sz w:val="20"/>
                <w:szCs w:val="20"/>
                <w:color w:val="auto"/>
              </w:rPr>
            </w:pPr>
            <w:r>
              <w:rPr>
                <w:rFonts w:ascii="Arial" w:cs="Arial" w:eastAsia="Arial" w:hAnsi="Arial"/>
                <w:sz w:val="13"/>
                <w:szCs w:val="13"/>
                <w:b w:val="1"/>
                <w:bCs w:val="1"/>
                <w:color w:val="auto"/>
              </w:rPr>
              <w:t>Ireland</w:t>
            </w: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7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Virtu ITG Europe Limited</w:t>
            </w:r>
          </w:p>
        </w:tc>
        <w:tc>
          <w:tcPr>
            <w:tcW w:w="18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57,459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32,106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25,353</w:t>
            </w:r>
          </w:p>
        </w:tc>
        <w:tc>
          <w:tcPr>
            <w:tcW w:w="0" w:type="dxa"/>
            <w:vAlign w:val="bottom"/>
          </w:tcPr>
          <w:p>
            <w:pPr>
              <w:spacing w:after="0"/>
              <w:rPr>
                <w:sz w:val="1"/>
                <w:szCs w:val="1"/>
                <w:color w:val="auto"/>
              </w:rPr>
            </w:pPr>
          </w:p>
        </w:tc>
      </w:tr>
      <w:tr>
        <w:trPr>
          <w:trHeight w:val="163"/>
        </w:trPr>
        <w:tc>
          <w:tcPr>
            <w:tcW w:w="5700" w:type="dxa"/>
            <w:vAlign w:val="bottom"/>
            <w:gridSpan w:val="2"/>
          </w:tcPr>
          <w:p>
            <w:pPr>
              <w:ind w:left="120"/>
              <w:spacing w:after="0"/>
              <w:rPr>
                <w:sz w:val="20"/>
                <w:szCs w:val="20"/>
                <w:color w:val="auto"/>
              </w:rPr>
            </w:pPr>
            <w:r>
              <w:rPr>
                <w:rFonts w:ascii="Arial" w:cs="Arial" w:eastAsia="Arial" w:hAnsi="Arial"/>
                <w:sz w:val="13"/>
                <w:szCs w:val="13"/>
                <w:color w:val="auto"/>
              </w:rPr>
              <w:t>Virtu Financial Ireland Limited</w:t>
            </w:r>
          </w:p>
        </w:tc>
        <w:tc>
          <w:tcPr>
            <w:tcW w:w="1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94,528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41,038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53,490</w:t>
            </w:r>
          </w:p>
        </w:tc>
        <w:tc>
          <w:tcPr>
            <w:tcW w:w="0" w:type="dxa"/>
            <w:vAlign w:val="bottom"/>
          </w:tcPr>
          <w:p>
            <w:pPr>
              <w:spacing w:after="0"/>
              <w:rPr>
                <w:sz w:val="1"/>
                <w:szCs w:val="1"/>
                <w:color w:val="auto"/>
              </w:rPr>
            </w:pPr>
          </w:p>
        </w:tc>
      </w:tr>
      <w:tr>
        <w:trPr>
          <w:trHeight w:val="168"/>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United Kingdom</w:t>
            </w:r>
          </w:p>
        </w:tc>
        <w:tc>
          <w:tcPr>
            <w:tcW w:w="18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700" w:type="dxa"/>
            <w:vAlign w:val="bottom"/>
            <w:gridSpan w:val="2"/>
          </w:tcPr>
          <w:p>
            <w:pPr>
              <w:ind w:left="120"/>
              <w:spacing w:after="0"/>
              <w:rPr>
                <w:sz w:val="20"/>
                <w:szCs w:val="20"/>
                <w:color w:val="auto"/>
              </w:rPr>
            </w:pPr>
            <w:r>
              <w:rPr>
                <w:rFonts w:ascii="Arial" w:cs="Arial" w:eastAsia="Arial" w:hAnsi="Arial"/>
                <w:sz w:val="13"/>
                <w:szCs w:val="13"/>
                <w:color w:val="auto"/>
              </w:rPr>
              <w:t>Virtu ITG UK Limited</w:t>
            </w:r>
          </w:p>
        </w:tc>
        <w:tc>
          <w:tcPr>
            <w:tcW w:w="1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1,290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910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380</w:t>
            </w:r>
          </w:p>
        </w:tc>
        <w:tc>
          <w:tcPr>
            <w:tcW w:w="0" w:type="dxa"/>
            <w:vAlign w:val="bottom"/>
          </w:tcPr>
          <w:p>
            <w:pPr>
              <w:spacing w:after="0"/>
              <w:rPr>
                <w:sz w:val="1"/>
                <w:szCs w:val="1"/>
                <w:color w:val="auto"/>
              </w:rPr>
            </w:pPr>
          </w:p>
        </w:tc>
      </w:tr>
      <w:tr>
        <w:trPr>
          <w:trHeight w:val="168"/>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Asia Pacific</w:t>
            </w:r>
          </w:p>
        </w:tc>
        <w:tc>
          <w:tcPr>
            <w:tcW w:w="18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700" w:type="dxa"/>
            <w:vAlign w:val="bottom"/>
            <w:gridSpan w:val="2"/>
          </w:tcPr>
          <w:p>
            <w:pPr>
              <w:ind w:left="120"/>
              <w:spacing w:after="0"/>
              <w:rPr>
                <w:sz w:val="20"/>
                <w:szCs w:val="20"/>
                <w:color w:val="auto"/>
              </w:rPr>
            </w:pPr>
            <w:r>
              <w:rPr>
                <w:rFonts w:ascii="Arial" w:cs="Arial" w:eastAsia="Arial" w:hAnsi="Arial"/>
                <w:sz w:val="13"/>
                <w:szCs w:val="13"/>
                <w:color w:val="auto"/>
              </w:rPr>
              <w:t>Virtu ITG Australia Limited</w:t>
            </w:r>
          </w:p>
        </w:tc>
        <w:tc>
          <w:tcPr>
            <w:tcW w:w="1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30,606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12,729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17,877</w:t>
            </w:r>
          </w:p>
        </w:tc>
        <w:tc>
          <w:tcPr>
            <w:tcW w:w="0" w:type="dxa"/>
            <w:vAlign w:val="bottom"/>
          </w:tcPr>
          <w:p>
            <w:pPr>
              <w:spacing w:after="0"/>
              <w:rPr>
                <w:sz w:val="1"/>
                <w:szCs w:val="1"/>
                <w:color w:val="auto"/>
              </w:rPr>
            </w:pPr>
          </w:p>
        </w:tc>
      </w:tr>
      <w:tr>
        <w:trPr>
          <w:trHeight w:val="168"/>
        </w:trPr>
        <w:tc>
          <w:tcPr>
            <w:tcW w:w="57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Virtu ITG Hong Kong Limited</w:t>
            </w:r>
          </w:p>
        </w:tc>
        <w:tc>
          <w:tcPr>
            <w:tcW w:w="18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4,290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3,665</w:t>
            </w:r>
          </w:p>
        </w:tc>
        <w:tc>
          <w:tcPr>
            <w:tcW w:w="0" w:type="dxa"/>
            <w:vAlign w:val="bottom"/>
          </w:tcPr>
          <w:p>
            <w:pPr>
              <w:spacing w:after="0"/>
              <w:rPr>
                <w:sz w:val="1"/>
                <w:szCs w:val="1"/>
                <w:color w:val="auto"/>
              </w:rPr>
            </w:pPr>
          </w:p>
        </w:tc>
      </w:tr>
      <w:tr>
        <w:trPr>
          <w:trHeight w:val="160"/>
        </w:trPr>
        <w:tc>
          <w:tcPr>
            <w:tcW w:w="5700" w:type="dxa"/>
            <w:vAlign w:val="bottom"/>
            <w:gridSpan w:val="2"/>
          </w:tcPr>
          <w:p>
            <w:pPr>
              <w:ind w:left="120"/>
              <w:spacing w:after="0"/>
              <w:rPr>
                <w:sz w:val="20"/>
                <w:szCs w:val="20"/>
                <w:color w:val="auto"/>
              </w:rPr>
            </w:pPr>
            <w:r>
              <w:rPr>
                <w:rFonts w:ascii="Arial" w:cs="Arial" w:eastAsia="Arial" w:hAnsi="Arial"/>
                <w:sz w:val="13"/>
                <w:szCs w:val="13"/>
                <w:color w:val="auto"/>
              </w:rPr>
              <w:t>Virtu ITG Singapore Pte Limited</w:t>
            </w:r>
          </w:p>
        </w:tc>
        <w:tc>
          <w:tcPr>
            <w:tcW w:w="18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796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76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720</w:t>
            </w:r>
          </w:p>
        </w:tc>
        <w:tc>
          <w:tcPr>
            <w:tcW w:w="0" w:type="dxa"/>
            <w:vAlign w:val="bottom"/>
          </w:tcPr>
          <w:p>
            <w:pPr>
              <w:spacing w:after="0"/>
              <w:rPr>
                <w:sz w:val="1"/>
                <w:szCs w:val="1"/>
                <w:color w:val="auto"/>
              </w:rPr>
            </w:pPr>
          </w:p>
        </w:tc>
      </w:tr>
    </w:tbl>
    <w:p>
      <w:pPr>
        <w:spacing w:after="0" w:line="301" w:lineRule="exact"/>
        <w:rPr>
          <w:sz w:val="20"/>
          <w:szCs w:val="20"/>
          <w:color w:val="auto"/>
        </w:rPr>
      </w:pPr>
    </w:p>
    <w:p>
      <w:pPr>
        <w:jc w:val="both"/>
        <w:ind w:firstLine="568"/>
        <w:spacing w:after="0" w:line="341" w:lineRule="auto"/>
        <w:rPr>
          <w:sz w:val="20"/>
          <w:szCs w:val="20"/>
          <w:color w:val="auto"/>
        </w:rPr>
      </w:pPr>
      <w:r>
        <w:rPr>
          <w:rFonts w:ascii="Arial" w:cs="Arial" w:eastAsia="Arial" w:hAnsi="Arial"/>
          <w:sz w:val="14"/>
          <w:szCs w:val="14"/>
          <w:color w:val="auto"/>
        </w:rPr>
        <w:t>As of December 31, 2020, Virtu ITG Europe Limited and Virtu ITG Canada Corp had $0.2 million and $0.4 million, respectively, of funds on deposit for trade clearing and settlement activity, and Virtu ITG Hong Kong Ltd had $30 thousand of segregated balances under a collateral account control agreement for the benefit of certain customers.</w:t>
      </w: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128" w:name="page129"/>
    <w:bookmarkEnd w:id="12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23. Geographic Information and Business Segments</w:t>
      </w:r>
    </w:p>
    <w:p>
      <w:pPr>
        <w:spacing w:after="0" w:line="223" w:lineRule="exact"/>
        <w:rPr>
          <w:sz w:val="20"/>
          <w:szCs w:val="20"/>
          <w:color w:val="auto"/>
        </w:rPr>
      </w:pPr>
    </w:p>
    <w:p>
      <w:pPr>
        <w:ind w:right="160" w:firstLine="568"/>
        <w:spacing w:after="0" w:line="271" w:lineRule="auto"/>
        <w:rPr>
          <w:sz w:val="20"/>
          <w:szCs w:val="20"/>
          <w:color w:val="auto"/>
        </w:rPr>
      </w:pPr>
      <w:r>
        <w:rPr>
          <w:rFonts w:ascii="Arial" w:cs="Arial" w:eastAsia="Arial" w:hAnsi="Arial"/>
          <w:sz w:val="15"/>
          <w:szCs w:val="15"/>
          <w:color w:val="auto"/>
        </w:rPr>
        <w:t>The Company operates its business in the U.S. and internationally, primarily in Europe, Asia and Canada. Significant transactions and balances between geographic regions occur primarily as a result of certain of the Company’s subsidiaries incurring operating expenses such as employee compensation, communications and data processing and other overhead costs, for the purpose of providing execution, clearing and other support services to affiliates. Charges for transactions between regions are designed to approximate full costs. Intra-region income and expenses and related balances have been eliminated in the geographic information presented below to accurately reflect the external business conducted in each geographical region. The revenues are attributed to countries based on the locations of the subsidiaries. The following table presents total revenues by geographic area for the years ended December 31, 2021, 2020 and 2019</w:t>
      </w:r>
      <w:r>
        <w:rPr>
          <w:rFonts w:ascii="Arial" w:cs="Arial" w:eastAsia="Arial" w:hAnsi="Arial"/>
          <w:sz w:val="13"/>
          <w:szCs w:val="13"/>
          <w:color w:val="auto"/>
        </w:rPr>
        <w:t>:</w:t>
      </w:r>
    </w:p>
    <w:p>
      <w:pPr>
        <w:spacing w:after="0" w:line="209" w:lineRule="exact"/>
        <w:rPr>
          <w:sz w:val="20"/>
          <w:szCs w:val="20"/>
          <w:color w:val="auto"/>
        </w:rPr>
      </w:pPr>
    </w:p>
    <w:tbl>
      <w:tblPr>
        <w:tblLayout w:type="fixed"/>
        <w:tblInd w:w="1140" w:type="dxa"/>
        <w:tblCellMar>
          <w:top w:w="0" w:type="dxa"/>
          <w:left w:w="0" w:type="dxa"/>
          <w:bottom w:w="0" w:type="dxa"/>
          <w:right w:w="0" w:type="dxa"/>
        </w:tblCellMar>
      </w:tblPr>
      <w:tr>
        <w:trPr>
          <w:trHeight w:val="166"/>
        </w:trPr>
        <w:tc>
          <w:tcPr>
            <w:tcW w:w="4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w w:val="91"/>
              </w:rPr>
              <w:t>Years Ended December 31,</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r>
        <w:trPr>
          <w:trHeight w:val="165"/>
        </w:trPr>
        <w:tc>
          <w:tcPr>
            <w:tcW w:w="444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320" w:type="dxa"/>
            <w:vAlign w:val="bottom"/>
          </w:tcPr>
          <w:p>
            <w:pPr>
              <w:spacing w:after="0"/>
              <w:rPr>
                <w:sz w:val="14"/>
                <w:szCs w:val="14"/>
                <w:color w:val="auto"/>
              </w:rPr>
            </w:pPr>
          </w:p>
        </w:tc>
        <w:tc>
          <w:tcPr>
            <w:tcW w:w="1100" w:type="dxa"/>
            <w:vAlign w:val="bottom"/>
          </w:tcPr>
          <w:p>
            <w:pPr>
              <w:jc w:val="right"/>
              <w:ind w:right="517"/>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537"/>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537"/>
              <w:spacing w:after="0"/>
              <w:rPr>
                <w:sz w:val="20"/>
                <w:szCs w:val="20"/>
                <w:color w:val="auto"/>
              </w:rPr>
            </w:pPr>
            <w:r>
              <w:rPr>
                <w:rFonts w:ascii="Arial" w:cs="Arial" w:eastAsia="Arial" w:hAnsi="Arial"/>
                <w:sz w:val="13"/>
                <w:szCs w:val="13"/>
                <w:b w:val="1"/>
                <w:bCs w:val="1"/>
                <w:color w:val="auto"/>
              </w:rPr>
              <w:t>2019</w:t>
            </w:r>
          </w:p>
        </w:tc>
      </w:tr>
      <w:tr>
        <w:trPr>
          <w:trHeight w:val="158"/>
        </w:trPr>
        <w:tc>
          <w:tcPr>
            <w:tcW w:w="4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b w:val="1"/>
                <w:bCs w:val="1"/>
                <w:color w:val="auto"/>
              </w:rPr>
              <w:t>Revenues:</w:t>
            </w:r>
          </w:p>
        </w:tc>
        <w:tc>
          <w:tcPr>
            <w:tcW w:w="12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r>
      <w:tr>
        <w:trPr>
          <w:trHeight w:val="163"/>
        </w:trPr>
        <w:tc>
          <w:tcPr>
            <w:tcW w:w="4440" w:type="dxa"/>
            <w:vAlign w:val="bottom"/>
            <w:gridSpan w:val="2"/>
          </w:tcPr>
          <w:p>
            <w:pPr>
              <w:spacing w:after="0"/>
              <w:rPr>
                <w:sz w:val="20"/>
                <w:szCs w:val="20"/>
                <w:color w:val="auto"/>
              </w:rPr>
            </w:pPr>
            <w:r>
              <w:rPr>
                <w:rFonts w:ascii="Arial" w:cs="Arial" w:eastAsia="Arial" w:hAnsi="Arial"/>
                <w:sz w:val="13"/>
                <w:szCs w:val="13"/>
                <w:color w:val="auto"/>
              </w:rPr>
              <w:t>United States</w:t>
            </w:r>
          </w:p>
        </w:tc>
        <w:tc>
          <w:tcPr>
            <w:tcW w:w="320" w:type="dxa"/>
            <w:vAlign w:val="bottom"/>
          </w:tcPr>
          <w:p>
            <w:pPr>
              <w:jc w:val="right"/>
              <w:ind w:right="213"/>
              <w:spacing w:after="0"/>
              <w:rPr>
                <w:sz w:val="20"/>
                <w:szCs w:val="20"/>
                <w:color w:val="auto"/>
              </w:rPr>
            </w:pPr>
            <w:r>
              <w:rPr>
                <w:rFonts w:ascii="Arial" w:cs="Arial" w:eastAsia="Arial" w:hAnsi="Arial"/>
                <w:sz w:val="9"/>
                <w:szCs w:val="9"/>
                <w:color w:val="auto"/>
                <w:w w:val="78"/>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2,260,750</w:t>
            </w:r>
          </w:p>
        </w:tc>
        <w:tc>
          <w:tcPr>
            <w:tcW w:w="100" w:type="dxa"/>
            <w:vAlign w:val="bottom"/>
          </w:tcPr>
          <w:p>
            <w:pPr>
              <w:spacing w:after="0"/>
              <w:rPr>
                <w:sz w:val="14"/>
                <w:szCs w:val="14"/>
                <w:color w:val="auto"/>
              </w:rPr>
            </w:pPr>
          </w:p>
        </w:tc>
        <w:tc>
          <w:tcPr>
            <w:tcW w:w="340" w:type="dxa"/>
            <w:vAlign w:val="bottom"/>
          </w:tcPr>
          <w:p>
            <w:pPr>
              <w:ind w:left="20"/>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2,569,147</w:t>
            </w:r>
          </w:p>
        </w:tc>
        <w:tc>
          <w:tcPr>
            <w:tcW w:w="10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1,133,514</w:t>
            </w:r>
          </w:p>
        </w:tc>
      </w:tr>
      <w:tr>
        <w:trPr>
          <w:trHeight w:val="168"/>
        </w:trPr>
        <w:tc>
          <w:tcPr>
            <w:tcW w:w="44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Ireland</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305,509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323,519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188,154</w:t>
            </w:r>
          </w:p>
        </w:tc>
      </w:tr>
      <w:tr>
        <w:trPr>
          <w:trHeight w:val="163"/>
        </w:trPr>
        <w:tc>
          <w:tcPr>
            <w:tcW w:w="4440" w:type="dxa"/>
            <w:vAlign w:val="bottom"/>
            <w:gridSpan w:val="2"/>
          </w:tcPr>
          <w:p>
            <w:pPr>
              <w:spacing w:after="0"/>
              <w:rPr>
                <w:sz w:val="20"/>
                <w:szCs w:val="20"/>
                <w:color w:val="auto"/>
              </w:rPr>
            </w:pPr>
            <w:r>
              <w:rPr>
                <w:rFonts w:ascii="Arial" w:cs="Arial" w:eastAsia="Arial" w:hAnsi="Arial"/>
                <w:sz w:val="13"/>
                <w:szCs w:val="13"/>
                <w:color w:val="auto"/>
              </w:rPr>
              <w:t>Singapore</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135,779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176,665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109,761</w:t>
            </w:r>
          </w:p>
        </w:tc>
      </w:tr>
      <w:tr>
        <w:trPr>
          <w:trHeight w:val="168"/>
        </w:trPr>
        <w:tc>
          <w:tcPr>
            <w:tcW w:w="44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Canada</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61,378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116,521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49,666</w:t>
            </w:r>
          </w:p>
        </w:tc>
      </w:tr>
      <w:tr>
        <w:trPr>
          <w:trHeight w:val="163"/>
        </w:trPr>
        <w:tc>
          <w:tcPr>
            <w:tcW w:w="4440" w:type="dxa"/>
            <w:vAlign w:val="bottom"/>
            <w:gridSpan w:val="2"/>
          </w:tcPr>
          <w:p>
            <w:pPr>
              <w:spacing w:after="0"/>
              <w:rPr>
                <w:sz w:val="20"/>
                <w:szCs w:val="20"/>
                <w:color w:val="auto"/>
              </w:rPr>
            </w:pPr>
            <w:r>
              <w:rPr>
                <w:rFonts w:ascii="Arial" w:cs="Arial" w:eastAsia="Arial" w:hAnsi="Arial"/>
                <w:sz w:val="13"/>
                <w:szCs w:val="13"/>
                <w:color w:val="auto"/>
              </w:rPr>
              <w:t>Australia</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40,613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44,552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34,933</w:t>
            </w:r>
          </w:p>
        </w:tc>
      </w:tr>
      <w:tr>
        <w:trPr>
          <w:trHeight w:val="168"/>
        </w:trPr>
        <w:tc>
          <w:tcPr>
            <w:tcW w:w="44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United Kingdom</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4,218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(1,735)</w:t>
            </w:r>
          </w:p>
        </w:tc>
      </w:tr>
      <w:tr>
        <w:trPr>
          <w:trHeight w:val="163"/>
        </w:trPr>
        <w:tc>
          <w:tcPr>
            <w:tcW w:w="444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Others</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5,711</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4,709</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3,199</w:t>
            </w:r>
          </w:p>
        </w:tc>
      </w:tr>
      <w:tr>
        <w:trPr>
          <w:trHeight w:val="185"/>
        </w:trPr>
        <w:tc>
          <w:tcPr>
            <w:tcW w:w="4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Total revenues</w:t>
            </w:r>
          </w:p>
        </w:tc>
        <w:tc>
          <w:tcPr>
            <w:tcW w:w="32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9"/>
                <w:szCs w:val="9"/>
                <w:color w:val="auto"/>
                <w:w w:val="7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2,811,485</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3,239,331</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1,517,492</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 has two operating segments: (i) Market Making and (ii) Execution Services; and one non-operating segment: Corporate.</w:t>
      </w:r>
    </w:p>
    <w:p>
      <w:pPr>
        <w:spacing w:after="0" w:line="219" w:lineRule="exact"/>
        <w:rPr>
          <w:sz w:val="20"/>
          <w:szCs w:val="20"/>
          <w:color w:val="auto"/>
        </w:rPr>
      </w:pPr>
    </w:p>
    <w:p>
      <w:pPr>
        <w:ind w:firstLine="568"/>
        <w:spacing w:after="0" w:line="251" w:lineRule="auto"/>
        <w:rPr>
          <w:sz w:val="20"/>
          <w:szCs w:val="20"/>
          <w:color w:val="auto"/>
        </w:rPr>
      </w:pPr>
      <w:r>
        <w:rPr>
          <w:rFonts w:ascii="Arial" w:cs="Arial" w:eastAsia="Arial" w:hAnsi="Arial"/>
          <w:sz w:val="16"/>
          <w:szCs w:val="16"/>
          <w:color w:val="auto"/>
        </w:rPr>
        <w:t>The Market Making segment principally consists of market making in the cash, futures and options markets across global equities, fixed income, currencies and commodities. As a market maker, the Company commits capital on a principal basis by offering to buy securities from, or sell securities to, broker-dealers, banks and institutions. The Company engages in principal trading in the Market Making segment direct to clients as well as in a supplemental capacity on exchanges, Electronic Communications Networks ("ECNs") and ATSs. The Company is an active participant on all major global equity and futures exchanges and also trades on substantially all domestic electronic options exchanges. As a complement to electronic market making, the cash trading business handles specialized orders and also transacts on the OTC Link ATS operated by OTC Markets Group Inc.</w:t>
      </w:r>
    </w:p>
    <w:p>
      <w:pPr>
        <w:spacing w:after="0" w:line="195" w:lineRule="exact"/>
        <w:rPr>
          <w:sz w:val="20"/>
          <w:szCs w:val="20"/>
          <w:color w:val="auto"/>
        </w:rPr>
      </w:pPr>
    </w:p>
    <w:p>
      <w:pPr>
        <w:ind w:right="20" w:firstLine="568"/>
        <w:spacing w:after="0" w:line="267" w:lineRule="auto"/>
        <w:rPr>
          <w:sz w:val="20"/>
          <w:szCs w:val="20"/>
          <w:color w:val="auto"/>
        </w:rPr>
      </w:pPr>
      <w:r>
        <w:rPr>
          <w:rFonts w:ascii="Arial" w:cs="Arial" w:eastAsia="Arial" w:hAnsi="Arial"/>
          <w:sz w:val="15"/>
          <w:szCs w:val="15"/>
          <w:color w:val="auto"/>
        </w:rPr>
        <w:t>The Execution Services segment comprises client-based trading and trading venues, offering execution services in global equities, options, futures and fixed income on behalf of institutions, banks and broker-dealers. The Company earns commissions and commission equivalents as an agent on behalf of clients as well as between principals to transactions; in addition, the Company will commit capital on behalf of clients as needed. Client-based, execution-only trading in the segment is done primarily through a variety of access points including: (i) algorithmic trading and order routing in global equities and options; (ii) institutional sales traders who offer portfolio trading and single stock sales trading which provides execution expertise for program, block and riskless principal trades in global equities and ETFs; and (iii) matching of client conditional orders in POSIT Alert and client orders in the Company's ATSs, including Virtu MatchIt, and POSIT. The Execution Services segment also includes revenues derived from providing (a) proprietary risk management and trading infrastructure technology to select third parties for a service fee, (b) workflow technology, the Company’s integrated, broker-neutral trading tools delivered across the globe including trade order and execution management and order management software applications and network connectivity and (c) trading analytics, including (1) tools enabling portfolio managers and traders to improve pre-trade, real-time and post-trade execution performance, (2) portfolio construction and optimization decisions and (3) securities valuation. The segment also includes the results of the Company's capital markets business, in which the Company act as an agent for issuers in connection with at-the-market offerings and buyback programs.</w:t>
      </w:r>
    </w:p>
    <w:p>
      <w:pPr>
        <w:spacing w:after="0" w:line="186" w:lineRule="exact"/>
        <w:rPr>
          <w:sz w:val="20"/>
          <w:szCs w:val="20"/>
          <w:color w:val="auto"/>
        </w:rPr>
      </w:pPr>
    </w:p>
    <w:p>
      <w:pPr>
        <w:ind w:right="260" w:firstLine="568"/>
        <w:spacing w:after="0" w:line="268" w:lineRule="auto"/>
        <w:rPr>
          <w:sz w:val="20"/>
          <w:szCs w:val="20"/>
          <w:color w:val="auto"/>
        </w:rPr>
      </w:pPr>
      <w:r>
        <w:rPr>
          <w:rFonts w:ascii="Arial" w:cs="Arial" w:eastAsia="Arial" w:hAnsi="Arial"/>
          <w:sz w:val="16"/>
          <w:szCs w:val="16"/>
          <w:color w:val="auto"/>
        </w:rPr>
        <w:t>The Corporate segment contains the Company's investments, principally in strategic trading-related opportunities and maintains corporate overhead expenses and all other income and expenses that are not attributable to the Company's other segments.</w:t>
      </w:r>
    </w:p>
    <w:p>
      <w:pPr>
        <w:spacing w:after="0" w:line="181" w:lineRule="exact"/>
        <w:rPr>
          <w:sz w:val="20"/>
          <w:szCs w:val="20"/>
          <w:color w:val="auto"/>
        </w:rPr>
      </w:pPr>
    </w:p>
    <w:p>
      <w:pPr>
        <w:ind w:right="40" w:firstLine="568"/>
        <w:spacing w:after="0" w:line="268" w:lineRule="auto"/>
        <w:rPr>
          <w:sz w:val="20"/>
          <w:szCs w:val="20"/>
          <w:color w:val="auto"/>
        </w:rPr>
      </w:pPr>
      <w:r>
        <w:rPr>
          <w:rFonts w:ascii="Arial" w:cs="Arial" w:eastAsia="Arial" w:hAnsi="Arial"/>
          <w:sz w:val="16"/>
          <w:szCs w:val="16"/>
          <w:color w:val="auto"/>
        </w:rPr>
        <w:t>Management evaluates the performance of its segments on a pre-tax basis. Segment assets and liabilities are not used for evaluating segment performance or in deciding how to allocate resources to segments. The Company’s total revenues and</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29" w:name="page130"/>
    <w:bookmarkEnd w:id="12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ind w:right="140"/>
        <w:spacing w:after="0" w:line="268" w:lineRule="auto"/>
        <w:rPr>
          <w:sz w:val="20"/>
          <w:szCs w:val="20"/>
          <w:color w:val="auto"/>
        </w:rPr>
      </w:pPr>
      <w:r>
        <w:rPr>
          <w:rFonts w:ascii="Arial" w:cs="Arial" w:eastAsia="Arial" w:hAnsi="Arial"/>
          <w:sz w:val="16"/>
          <w:szCs w:val="16"/>
          <w:color w:val="auto"/>
        </w:rPr>
        <w:t>income before income taxes and noncontrolling interest (“Pre-tax earnings”) by segment for the years ended December 31, 2021 and 2020 and are summarized in the following table:</w:t>
      </w:r>
    </w:p>
    <w:p>
      <w:pPr>
        <w:spacing w:after="0" w:line="11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Company's Pre-tax earnings by segment for the year ended December 31, 2021, 2020 and 2019 are summarized in the following table:</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4640" w:type="dxa"/>
            <w:vAlign w:val="bottom"/>
          </w:tcPr>
          <w:p>
            <w:pPr>
              <w:spacing w:after="0"/>
              <w:rPr>
                <w:sz w:val="20"/>
                <w:szCs w:val="20"/>
                <w:color w:val="auto"/>
              </w:rPr>
            </w:pPr>
            <w:r>
              <w:rPr>
                <w:rFonts w:ascii="Arial" w:cs="Arial" w:eastAsia="Arial" w:hAnsi="Arial"/>
                <w:sz w:val="13"/>
                <w:szCs w:val="13"/>
                <w:b w:val="1"/>
                <w:bCs w:val="1"/>
                <w:color w:val="auto"/>
              </w:rPr>
              <w:t>(in thousands)</w:t>
            </w:r>
          </w:p>
        </w:tc>
        <w:tc>
          <w:tcPr>
            <w:tcW w:w="1520" w:type="dxa"/>
            <w:vAlign w:val="bottom"/>
          </w:tcPr>
          <w:p>
            <w:pPr>
              <w:spacing w:after="0"/>
              <w:rPr>
                <w:sz w:val="14"/>
                <w:szCs w:val="14"/>
                <w:color w:val="auto"/>
              </w:rPr>
            </w:pPr>
          </w:p>
        </w:tc>
        <w:tc>
          <w:tcPr>
            <w:tcW w:w="1180" w:type="dxa"/>
            <w:vAlign w:val="bottom"/>
            <w:gridSpan w:val="2"/>
          </w:tcPr>
          <w:p>
            <w:pPr>
              <w:ind w:left="40"/>
              <w:spacing w:after="0"/>
              <w:rPr>
                <w:sz w:val="20"/>
                <w:szCs w:val="20"/>
                <w:color w:val="auto"/>
              </w:rPr>
            </w:pPr>
            <w:r>
              <w:rPr>
                <w:rFonts w:ascii="Arial" w:cs="Arial" w:eastAsia="Arial" w:hAnsi="Arial"/>
                <w:sz w:val="13"/>
                <w:szCs w:val="13"/>
                <w:b w:val="1"/>
                <w:bCs w:val="1"/>
                <w:color w:val="auto"/>
              </w:rPr>
              <w:t>Market Making</w:t>
            </w:r>
          </w:p>
        </w:tc>
        <w:tc>
          <w:tcPr>
            <w:tcW w:w="100" w:type="dxa"/>
            <w:vAlign w:val="bottom"/>
          </w:tcPr>
          <w:p>
            <w:pPr>
              <w:spacing w:after="0"/>
              <w:rPr>
                <w:sz w:val="14"/>
                <w:szCs w:val="14"/>
                <w:color w:val="auto"/>
              </w:rPr>
            </w:pPr>
          </w:p>
        </w:tc>
        <w:tc>
          <w:tcPr>
            <w:tcW w:w="1220" w:type="dxa"/>
            <w:vAlign w:val="bottom"/>
            <w:gridSpan w:val="2"/>
          </w:tcPr>
          <w:p>
            <w:pPr>
              <w:spacing w:after="0"/>
              <w:rPr>
                <w:sz w:val="20"/>
                <w:szCs w:val="20"/>
                <w:color w:val="auto"/>
              </w:rPr>
            </w:pPr>
            <w:r>
              <w:rPr>
                <w:rFonts w:ascii="Arial" w:cs="Arial" w:eastAsia="Arial" w:hAnsi="Arial"/>
                <w:sz w:val="13"/>
                <w:szCs w:val="13"/>
                <w:b w:val="1"/>
                <w:bCs w:val="1"/>
                <w:color w:val="auto"/>
              </w:rPr>
              <w:t>Execution Services</w:t>
            </w:r>
          </w:p>
        </w:tc>
        <w:tc>
          <w:tcPr>
            <w:tcW w:w="200" w:type="dxa"/>
            <w:vAlign w:val="bottom"/>
          </w:tcPr>
          <w:p>
            <w:pPr>
              <w:spacing w:after="0"/>
              <w:rPr>
                <w:sz w:val="14"/>
                <w:szCs w:val="14"/>
                <w:color w:val="auto"/>
              </w:rPr>
            </w:pPr>
          </w:p>
        </w:tc>
        <w:tc>
          <w:tcPr>
            <w:tcW w:w="1120" w:type="dxa"/>
            <w:vAlign w:val="bottom"/>
            <w:gridSpan w:val="2"/>
          </w:tcPr>
          <w:p>
            <w:pPr>
              <w:ind w:left="120"/>
              <w:spacing w:after="0"/>
              <w:rPr>
                <w:sz w:val="20"/>
                <w:szCs w:val="20"/>
                <w:color w:val="auto"/>
              </w:rPr>
            </w:pPr>
            <w:r>
              <w:rPr>
                <w:rFonts w:ascii="Arial" w:cs="Arial" w:eastAsia="Arial" w:hAnsi="Arial"/>
                <w:sz w:val="13"/>
                <w:szCs w:val="13"/>
                <w:b w:val="1"/>
                <w:bCs w:val="1"/>
                <w:color w:val="auto"/>
              </w:rPr>
              <w:t>Corporate</w:t>
            </w:r>
          </w:p>
        </w:tc>
        <w:tc>
          <w:tcPr>
            <w:tcW w:w="80" w:type="dxa"/>
            <w:vAlign w:val="bottom"/>
          </w:tcPr>
          <w:p>
            <w:pPr>
              <w:spacing w:after="0"/>
              <w:rPr>
                <w:sz w:val="14"/>
                <w:szCs w:val="14"/>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b w:val="1"/>
                <w:bCs w:val="1"/>
                <w:color w:val="auto"/>
                <w:w w:val="85"/>
              </w:rPr>
              <w:t>Consolidated Total</w:t>
            </w:r>
          </w:p>
        </w:tc>
      </w:tr>
      <w:tr>
        <w:trPr>
          <w:trHeight w:val="162"/>
        </w:trPr>
        <w:tc>
          <w:tcPr>
            <w:tcW w:w="46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2021</w:t>
            </w:r>
          </w:p>
        </w:tc>
        <w:tc>
          <w:tcPr>
            <w:tcW w:w="15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r>
      <w:tr>
        <w:trPr>
          <w:trHeight w:val="166"/>
        </w:trPr>
        <w:tc>
          <w:tcPr>
            <w:tcW w:w="46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Total revenue</w:t>
            </w: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2,203,046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600,215</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8,224</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2,811,485</w:t>
            </w:r>
          </w:p>
        </w:tc>
      </w:tr>
      <w:tr>
        <w:trPr>
          <w:trHeight w:val="163"/>
        </w:trPr>
        <w:tc>
          <w:tcPr>
            <w:tcW w:w="4640" w:type="dxa"/>
            <w:vAlign w:val="bottom"/>
          </w:tcPr>
          <w:p>
            <w:pPr>
              <w:ind w:left="120"/>
              <w:spacing w:after="0"/>
              <w:rPr>
                <w:sz w:val="20"/>
                <w:szCs w:val="20"/>
                <w:color w:val="auto"/>
              </w:rPr>
            </w:pPr>
            <w:r>
              <w:rPr>
                <w:rFonts w:ascii="Arial" w:cs="Arial" w:eastAsia="Arial" w:hAnsi="Arial"/>
                <w:sz w:val="13"/>
                <w:szCs w:val="13"/>
                <w:color w:val="auto"/>
              </w:rPr>
              <w:t>Income (loss) before income taxes and noncontrolling interest</w:t>
            </w:r>
          </w:p>
        </w:tc>
        <w:tc>
          <w:tcPr>
            <w:tcW w:w="15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925,968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70,019</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917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996,904</w:t>
            </w:r>
          </w:p>
        </w:tc>
      </w:tr>
      <w:tr>
        <w:trPr>
          <w:trHeight w:val="192"/>
        </w:trPr>
        <w:tc>
          <w:tcPr>
            <w:tcW w:w="464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65"/>
        </w:trPr>
        <w:tc>
          <w:tcPr>
            <w:tcW w:w="4640" w:type="dxa"/>
            <w:vAlign w:val="bottom"/>
          </w:tcPr>
          <w:p>
            <w:pPr>
              <w:spacing w:after="0"/>
              <w:rPr>
                <w:sz w:val="20"/>
                <w:szCs w:val="20"/>
                <w:color w:val="auto"/>
              </w:rPr>
            </w:pPr>
            <w:r>
              <w:rPr>
                <w:rFonts w:ascii="Arial" w:cs="Arial" w:eastAsia="Arial" w:hAnsi="Arial"/>
                <w:sz w:val="13"/>
                <w:szCs w:val="13"/>
                <w:b w:val="1"/>
                <w:bCs w:val="1"/>
                <w:color w:val="auto"/>
              </w:rPr>
              <w:t>2020</w:t>
            </w:r>
          </w:p>
        </w:tc>
        <w:tc>
          <w:tcPr>
            <w:tcW w:w="1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6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Total revenue</w:t>
            </w:r>
          </w:p>
        </w:tc>
        <w:tc>
          <w:tcPr>
            <w:tcW w:w="15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2,593,342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650,143</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(4,154)</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3,239,331</w:t>
            </w:r>
          </w:p>
        </w:tc>
      </w:tr>
      <w:tr>
        <w:trPr>
          <w:trHeight w:val="163"/>
        </w:trPr>
        <w:tc>
          <w:tcPr>
            <w:tcW w:w="4640" w:type="dxa"/>
            <w:vAlign w:val="bottom"/>
          </w:tcPr>
          <w:p>
            <w:pPr>
              <w:ind w:left="120"/>
              <w:spacing w:after="0"/>
              <w:rPr>
                <w:sz w:val="20"/>
                <w:szCs w:val="20"/>
                <w:color w:val="auto"/>
              </w:rPr>
            </w:pPr>
            <w:r>
              <w:rPr>
                <w:rFonts w:ascii="Arial" w:cs="Arial" w:eastAsia="Arial" w:hAnsi="Arial"/>
                <w:sz w:val="13"/>
                <w:szCs w:val="13"/>
                <w:color w:val="auto"/>
              </w:rPr>
              <w:t>Income (loss) before income taxes and noncontrolling interest</w:t>
            </w:r>
          </w:p>
        </w:tc>
        <w:tc>
          <w:tcPr>
            <w:tcW w:w="15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1,241,313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174,617</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(33,093)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1,382,837</w:t>
            </w:r>
          </w:p>
        </w:tc>
      </w:tr>
      <w:tr>
        <w:trPr>
          <w:trHeight w:val="192"/>
        </w:trPr>
        <w:tc>
          <w:tcPr>
            <w:tcW w:w="464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65"/>
        </w:trPr>
        <w:tc>
          <w:tcPr>
            <w:tcW w:w="4640" w:type="dxa"/>
            <w:vAlign w:val="bottom"/>
          </w:tcPr>
          <w:p>
            <w:pPr>
              <w:spacing w:after="0"/>
              <w:rPr>
                <w:sz w:val="20"/>
                <w:szCs w:val="20"/>
                <w:color w:val="auto"/>
              </w:rPr>
            </w:pPr>
            <w:r>
              <w:rPr>
                <w:rFonts w:ascii="Arial" w:cs="Arial" w:eastAsia="Arial" w:hAnsi="Arial"/>
                <w:sz w:val="13"/>
                <w:szCs w:val="13"/>
                <w:b w:val="1"/>
                <w:bCs w:val="1"/>
                <w:color w:val="auto"/>
              </w:rPr>
              <w:t>2019</w:t>
            </w:r>
          </w:p>
        </w:tc>
        <w:tc>
          <w:tcPr>
            <w:tcW w:w="1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6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Total revenue</w:t>
            </w:r>
          </w:p>
        </w:tc>
        <w:tc>
          <w:tcPr>
            <w:tcW w:w="15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1,028,094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491,736</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(2,338)</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1,517,492</w:t>
            </w:r>
          </w:p>
        </w:tc>
      </w:tr>
      <w:tr>
        <w:trPr>
          <w:trHeight w:val="160"/>
        </w:trPr>
        <w:tc>
          <w:tcPr>
            <w:tcW w:w="4640" w:type="dxa"/>
            <w:vAlign w:val="bottom"/>
          </w:tcPr>
          <w:p>
            <w:pPr>
              <w:ind w:left="120"/>
              <w:spacing w:after="0"/>
              <w:rPr>
                <w:sz w:val="20"/>
                <w:szCs w:val="20"/>
                <w:color w:val="auto"/>
              </w:rPr>
            </w:pPr>
            <w:r>
              <w:rPr>
                <w:rFonts w:ascii="Arial" w:cs="Arial" w:eastAsia="Arial" w:hAnsi="Arial"/>
                <w:sz w:val="13"/>
                <w:szCs w:val="13"/>
                <w:color w:val="auto"/>
              </w:rPr>
              <w:t>Income (loss) before income taxes and noncontrolling interest</w:t>
            </w:r>
          </w:p>
        </w:tc>
        <w:tc>
          <w:tcPr>
            <w:tcW w:w="15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109,190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(126,931)</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(98,241)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(115,982)</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24. Related Party Transactions</w:t>
      </w:r>
    </w:p>
    <w:p>
      <w:pPr>
        <w:spacing w:after="0" w:line="199" w:lineRule="exact"/>
        <w:rPr>
          <w:sz w:val="20"/>
          <w:szCs w:val="20"/>
          <w:color w:val="auto"/>
        </w:rPr>
      </w:pPr>
    </w:p>
    <w:p>
      <w:pPr>
        <w:ind w:right="400" w:firstLine="568"/>
        <w:spacing w:after="0" w:line="302" w:lineRule="auto"/>
        <w:rPr>
          <w:sz w:val="20"/>
          <w:szCs w:val="20"/>
          <w:color w:val="auto"/>
        </w:rPr>
      </w:pPr>
      <w:r>
        <w:rPr>
          <w:rFonts w:ascii="Arial" w:cs="Arial" w:eastAsia="Arial" w:hAnsi="Arial"/>
          <w:sz w:val="15"/>
          <w:szCs w:val="15"/>
          <w:color w:val="auto"/>
        </w:rPr>
        <w:t>The Company incurs expenses and maintains balances with its affiliates in the ordinary course of business. As of December 31, 2021, and December 31, 2020, the Company had a net receivable from its affiliates of $2.2 million and a net receivable from its affiliates of $2.3 million, respectively.</w:t>
      </w:r>
    </w:p>
    <w:p>
      <w:pPr>
        <w:spacing w:after="0" w:line="158" w:lineRule="exact"/>
        <w:rPr>
          <w:sz w:val="20"/>
          <w:szCs w:val="20"/>
          <w:color w:val="auto"/>
        </w:rPr>
      </w:pPr>
    </w:p>
    <w:p>
      <w:pPr>
        <w:jc w:val="both"/>
        <w:ind w:right="40" w:firstLine="568"/>
        <w:spacing w:after="0" w:line="257" w:lineRule="auto"/>
        <w:rPr>
          <w:sz w:val="20"/>
          <w:szCs w:val="20"/>
          <w:color w:val="auto"/>
        </w:rPr>
      </w:pPr>
      <w:r>
        <w:rPr>
          <w:rFonts w:ascii="Arial" w:cs="Arial" w:eastAsia="Arial" w:hAnsi="Arial"/>
          <w:sz w:val="16"/>
          <w:szCs w:val="16"/>
          <w:color w:val="auto"/>
        </w:rPr>
        <w:t>The Company has held a minority interest in JNX since 2016 (see Note 11 "Financial Assets and Liabilities"). The Company pays exchange fees to JNX for the trading activities conducted on its proprietary trading system. The Company paid $12.5 million, $16.7 million and $12.9 million for the years ended December 31, 2021, 2020 and 2019, respectively, to JNX for these trading activities.</w:t>
      </w:r>
    </w:p>
    <w:p>
      <w:pPr>
        <w:spacing w:after="0" w:line="167" w:lineRule="exact"/>
        <w:rPr>
          <w:sz w:val="20"/>
          <w:szCs w:val="20"/>
          <w:color w:val="auto"/>
        </w:rPr>
      </w:pPr>
    </w:p>
    <w:p>
      <w:pPr>
        <w:ind w:right="320" w:firstLine="568"/>
        <w:spacing w:after="0" w:line="254" w:lineRule="auto"/>
        <w:rPr>
          <w:sz w:val="20"/>
          <w:szCs w:val="20"/>
          <w:color w:val="auto"/>
        </w:rPr>
      </w:pPr>
      <w:r>
        <w:rPr>
          <w:rFonts w:ascii="Arial" w:cs="Arial" w:eastAsia="Arial" w:hAnsi="Arial"/>
          <w:sz w:val="16"/>
          <w:szCs w:val="16"/>
          <w:color w:val="auto"/>
        </w:rPr>
        <w:t>The Company makes payments to two JVs (see Note 2 "Summary of Significant Accounting Policies") to fund the construction of the microwave communication networks, and to purchase microwave communication networks, which are recorded within Communications and data processing on the Consolidated Statements of Comprehensive Income. The Company made payments of $25.3 million, $18.7 million and $19.9 million to the JVs for the years ended December 31, 2021, 2020 and 2019, respectively.</w:t>
      </w:r>
    </w:p>
    <w:p>
      <w:pPr>
        <w:spacing w:after="0" w:line="192" w:lineRule="exact"/>
        <w:rPr>
          <w:sz w:val="20"/>
          <w:szCs w:val="20"/>
          <w:color w:val="auto"/>
        </w:rPr>
      </w:pPr>
    </w:p>
    <w:p>
      <w:pPr>
        <w:ind w:right="160" w:firstLine="568"/>
        <w:spacing w:after="0" w:line="257" w:lineRule="auto"/>
        <w:rPr>
          <w:sz w:val="20"/>
          <w:szCs w:val="20"/>
          <w:color w:val="auto"/>
        </w:rPr>
      </w:pPr>
      <w:r>
        <w:rPr>
          <w:rFonts w:ascii="Arial" w:cs="Arial" w:eastAsia="Arial" w:hAnsi="Arial"/>
          <w:sz w:val="16"/>
          <w:szCs w:val="16"/>
          <w:color w:val="auto"/>
        </w:rPr>
        <w:t>The Company purchases network connections services from affiliates of Level 3 Communications (“Level 3”). Temasek and its affiliates have a significant ownership interest in Level 3. The Company paid $1.5 million, $1.5 million and $1.5 million for the years ended December 31, 2021, 2020 and 2019, respectively, to Level 3 for these services.</w:t>
      </w:r>
    </w:p>
    <w:p>
      <w:pPr>
        <w:spacing w:after="0" w:line="190" w:lineRule="exact"/>
        <w:rPr>
          <w:sz w:val="20"/>
          <w:szCs w:val="20"/>
          <w:color w:val="auto"/>
        </w:rPr>
      </w:pPr>
    </w:p>
    <w:p>
      <w:pPr>
        <w:ind w:right="60" w:firstLine="568"/>
        <w:spacing w:after="0" w:line="257" w:lineRule="auto"/>
        <w:rPr>
          <w:sz w:val="20"/>
          <w:szCs w:val="20"/>
          <w:color w:val="auto"/>
        </w:rPr>
      </w:pPr>
      <w:r>
        <w:rPr>
          <w:rFonts w:ascii="Arial" w:cs="Arial" w:eastAsia="Arial" w:hAnsi="Arial"/>
          <w:sz w:val="16"/>
          <w:szCs w:val="16"/>
          <w:color w:val="auto"/>
        </w:rPr>
        <w:t>Subsequent to the ITG Acquisition, the Company makes commission-sharing arrangement payments to affiliates of DBS Group Holdings (“DBS”). Temasek and its affiliates have a significant ownership interest in DBS. The Company paid $0.2 million, $0.2 million and $0.1 million to DBS for the years ended December 31, 2021, 2020, and 2019 respectively.</w:t>
      </w:r>
    </w:p>
    <w:p>
      <w:pPr>
        <w:spacing w:after="0" w:line="190" w:lineRule="exact"/>
        <w:rPr>
          <w:sz w:val="20"/>
          <w:szCs w:val="20"/>
          <w:color w:val="auto"/>
        </w:rPr>
      </w:pPr>
    </w:p>
    <w:p>
      <w:pPr>
        <w:ind w:right="200" w:firstLine="568"/>
        <w:spacing w:after="0" w:line="268" w:lineRule="auto"/>
        <w:rPr>
          <w:sz w:val="20"/>
          <w:szCs w:val="20"/>
          <w:color w:val="auto"/>
        </w:rPr>
      </w:pPr>
      <w:r>
        <w:rPr>
          <w:rFonts w:ascii="Arial" w:cs="Arial" w:eastAsia="Arial" w:hAnsi="Arial"/>
          <w:sz w:val="16"/>
          <w:szCs w:val="16"/>
          <w:color w:val="auto"/>
        </w:rPr>
        <w:t>The Company incurs consulting fees from American Continental Group, an affiliate of a director. The Company paid $0.1 million to American Continental Group for the years ending December 31, 2021, 2020 and 2019.</w:t>
      </w:r>
    </w:p>
    <w:p>
      <w:pPr>
        <w:spacing w:after="0" w:line="181" w:lineRule="exact"/>
        <w:rPr>
          <w:sz w:val="20"/>
          <w:szCs w:val="20"/>
          <w:color w:val="auto"/>
        </w:rPr>
      </w:pPr>
    </w:p>
    <w:p>
      <w:pPr>
        <w:jc w:val="both"/>
        <w:ind w:firstLine="568"/>
        <w:spacing w:after="0" w:line="257" w:lineRule="auto"/>
        <w:rPr>
          <w:sz w:val="20"/>
          <w:szCs w:val="20"/>
          <w:color w:val="auto"/>
        </w:rPr>
      </w:pPr>
      <w:r>
        <w:rPr>
          <w:rFonts w:ascii="Arial" w:cs="Arial" w:eastAsia="Arial" w:hAnsi="Arial"/>
          <w:sz w:val="16"/>
          <w:szCs w:val="16"/>
          <w:color w:val="auto"/>
        </w:rPr>
        <w:t>The Company has an interest in Members Exchange, a member-owned equities exchange. The Company pays regulatory and transaction fees and receives rebates from trading activities. The Company received $3.6 million, and $0.6 million for the years ended December 31, 2021, and 2020. There were no transactions with this party for the year ended 2019.</w:t>
      </w:r>
    </w:p>
    <w:p>
      <w:pPr>
        <w:spacing w:after="0" w:line="190" w:lineRule="exact"/>
        <w:rPr>
          <w:sz w:val="20"/>
          <w:szCs w:val="20"/>
          <w:color w:val="auto"/>
        </w:rPr>
      </w:pPr>
    </w:p>
    <w:p>
      <w:pPr>
        <w:ind w:right="60" w:firstLine="568"/>
        <w:spacing w:after="0" w:line="254" w:lineRule="auto"/>
        <w:rPr>
          <w:sz w:val="20"/>
          <w:szCs w:val="20"/>
          <w:color w:val="auto"/>
        </w:rPr>
      </w:pPr>
      <w:r>
        <w:rPr>
          <w:rFonts w:ascii="Arial" w:cs="Arial" w:eastAsia="Arial" w:hAnsi="Arial"/>
          <w:sz w:val="16"/>
          <w:szCs w:val="16"/>
          <w:color w:val="auto"/>
        </w:rPr>
        <w:t>In May 2019, the Company completed the May 2019 Secondary Offering of 9,000,000 shares of Class A Common Stock at a purchase price per share paid by the underwriters of $22.00, the proceeds of which were used to purchase an equivalent number of Virtu Financial Units and corresponding shares of Class D Common Stock from TJMT Holdings LLC, the Company’s founding equity holder, pursuant to that certain Member Purchase Agreement, entered into on May 14, 2019 by and between the Company and TJMT Holdings LLC.</w:t>
      </w:r>
    </w:p>
    <w:p>
      <w:pPr>
        <w:spacing w:after="0" w:line="192" w:lineRule="exact"/>
        <w:rPr>
          <w:sz w:val="20"/>
          <w:szCs w:val="20"/>
          <w:color w:val="auto"/>
        </w:rPr>
      </w:pPr>
    </w:p>
    <w:p>
      <w:pPr>
        <w:ind w:right="60" w:firstLine="568"/>
        <w:spacing w:after="0" w:line="268" w:lineRule="auto"/>
        <w:rPr>
          <w:sz w:val="20"/>
          <w:szCs w:val="20"/>
          <w:color w:val="auto"/>
        </w:rPr>
      </w:pPr>
      <w:r>
        <w:rPr>
          <w:rFonts w:ascii="Arial" w:cs="Arial" w:eastAsia="Arial" w:hAnsi="Arial"/>
          <w:sz w:val="16"/>
          <w:szCs w:val="16"/>
          <w:color w:val="auto"/>
        </w:rPr>
        <w:t>On August 12, 2021, the Company entered into a Purchase Agreement with Ordinal Holdings I, LP to repurchase 1.5 million shares of the Company's Class A common stock for $39.2 million in accordance with the Company's previously</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30" w:name="page131"/>
    <w:bookmarkEnd w:id="13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disclosed share repurchase program. See Note 19 "Capital Structure" for a further discussion of the Company's share repurchase program.</w:t>
      </w:r>
    </w:p>
    <w:p>
      <w:pPr>
        <w:spacing w:after="0" w:line="219" w:lineRule="exact"/>
        <w:rPr>
          <w:sz w:val="20"/>
          <w:szCs w:val="20"/>
          <w:color w:val="auto"/>
        </w:rPr>
      </w:pPr>
    </w:p>
    <w:p>
      <w:pPr>
        <w:ind w:right="20" w:firstLine="568"/>
        <w:spacing w:after="0" w:line="252" w:lineRule="auto"/>
        <w:rPr>
          <w:sz w:val="20"/>
          <w:szCs w:val="20"/>
          <w:color w:val="auto"/>
        </w:rPr>
      </w:pPr>
      <w:r>
        <w:rPr>
          <w:rFonts w:ascii="Arial" w:cs="Arial" w:eastAsia="Arial" w:hAnsi="Arial"/>
          <w:sz w:val="16"/>
          <w:szCs w:val="16"/>
          <w:color w:val="auto"/>
        </w:rPr>
        <w:t>As described in Note 10 "Borrowings" and Note 19 "Capital Structure", on March 20, 2020 a subsidiary of the Company entered into an agreement with the Founder Member to establish the Founder Member Facility and, upon the execution of the Founder Member Facility and in consideration of the Founder Member’s commitments thereunder, the Company delivered to the Founder Member the Warrant. The transactions were unanimously approved by the Company’s disinterested Directors. The Founder Member Loan Term expired as of September 20, 2020. On December 17, 2021, the Founder Member exercised in full its Warrant to purchase 3,000,000 shares of the Company's Class A Common Stock.</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25. Parent Company</w:t>
      </w:r>
    </w:p>
    <w:p>
      <w:pPr>
        <w:spacing w:after="0" w:line="223" w:lineRule="exact"/>
        <w:rPr>
          <w:sz w:val="20"/>
          <w:szCs w:val="20"/>
          <w:color w:val="auto"/>
        </w:rPr>
      </w:pPr>
    </w:p>
    <w:p>
      <w:pPr>
        <w:ind w:firstLine="439"/>
        <w:spacing w:after="0" w:line="254" w:lineRule="auto"/>
        <w:rPr>
          <w:sz w:val="20"/>
          <w:szCs w:val="20"/>
          <w:color w:val="auto"/>
        </w:rPr>
      </w:pPr>
      <w:r>
        <w:rPr>
          <w:rFonts w:ascii="Arial" w:cs="Arial" w:eastAsia="Arial" w:hAnsi="Arial"/>
          <w:sz w:val="16"/>
          <w:szCs w:val="16"/>
          <w:color w:val="auto"/>
        </w:rPr>
        <w:t>VFI is the sole managing member of Virtu Financial, which guarantees the indebtedness of its direct subsidiary under the First Lien Term Loan Facility (see Note 10 "Borrowings"). VFI is limited to its ability to receive distributions (including for purposes of paying corporate and other overhead expenses and dividends) from Virtu Financial under the Credit Agreement. The following financial statements (the “Parent Company Only Financial Statements”) should be read in conjunction with the consolidated financial statements of the Company and the foregoing.</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Virtu Financial,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(Parent Company Only)</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Statements of Financial Condition</w:t>
      </w:r>
    </w:p>
    <w:p>
      <w:pPr>
        <w:spacing w:after="0" w:line="22" w:lineRule="exact"/>
        <w:rPr>
          <w:sz w:val="20"/>
          <w:szCs w:val="20"/>
          <w:color w:val="auto"/>
        </w:rPr>
      </w:pPr>
    </w:p>
    <w:tbl>
      <w:tblPr>
        <w:tblLayout w:type="fixed"/>
        <w:tblInd w:w="560" w:type="dxa"/>
        <w:tblCellMar>
          <w:top w:w="0" w:type="dxa"/>
          <w:left w:w="0" w:type="dxa"/>
          <w:bottom w:w="0" w:type="dxa"/>
          <w:right w:w="0" w:type="dxa"/>
        </w:tblCellMar>
      </w:tblPr>
      <w:tr>
        <w:trPr>
          <w:trHeight w:val="166"/>
        </w:trPr>
        <w:tc>
          <w:tcPr>
            <w:tcW w:w="7620" w:type="dxa"/>
            <w:vAlign w:val="bottom"/>
          </w:tcPr>
          <w:p>
            <w:pPr>
              <w:ind w:left="20"/>
              <w:spacing w:after="0"/>
              <w:rPr>
                <w:sz w:val="20"/>
                <w:szCs w:val="20"/>
                <w:color w:val="auto"/>
              </w:rPr>
            </w:pPr>
            <w:r>
              <w:rPr>
                <w:rFonts w:ascii="Arial" w:cs="Arial" w:eastAsia="Arial" w:hAnsi="Arial"/>
                <w:sz w:val="13"/>
                <w:szCs w:val="13"/>
                <w:b w:val="1"/>
                <w:bCs w:val="1"/>
                <w:color w:val="auto"/>
              </w:rPr>
              <w:t>(In thousands except interest data)</w:t>
            </w:r>
          </w:p>
        </w:tc>
        <w:tc>
          <w:tcPr>
            <w:tcW w:w="80" w:type="dxa"/>
            <w:vAlign w:val="bottom"/>
          </w:tcPr>
          <w:p>
            <w:pPr>
              <w:spacing w:after="0"/>
              <w:rPr>
                <w:sz w:val="14"/>
                <w:szCs w:val="14"/>
                <w:color w:val="auto"/>
              </w:rPr>
            </w:pPr>
          </w:p>
        </w:tc>
        <w:tc>
          <w:tcPr>
            <w:tcW w:w="1220" w:type="dxa"/>
            <w:vAlign w:val="bottom"/>
            <w:gridSpan w:val="2"/>
          </w:tcPr>
          <w:p>
            <w:pPr>
              <w:spacing w:after="0"/>
              <w:rPr>
                <w:sz w:val="20"/>
                <w:szCs w:val="20"/>
                <w:color w:val="auto"/>
              </w:rPr>
            </w:pPr>
            <w:r>
              <w:rPr>
                <w:rFonts w:ascii="Arial" w:cs="Arial" w:eastAsia="Arial" w:hAnsi="Arial"/>
                <w:sz w:val="13"/>
                <w:szCs w:val="13"/>
                <w:b w:val="1"/>
                <w:bCs w:val="1"/>
                <w:color w:val="auto"/>
              </w:rPr>
              <w:t>December 31, 2021</w:t>
            </w:r>
          </w:p>
        </w:tc>
        <w:tc>
          <w:tcPr>
            <w:tcW w:w="80" w:type="dxa"/>
            <w:vAlign w:val="bottom"/>
          </w:tcPr>
          <w:p>
            <w:pPr>
              <w:spacing w:after="0"/>
              <w:rPr>
                <w:sz w:val="14"/>
                <w:szCs w:val="14"/>
                <w:color w:val="auto"/>
              </w:rPr>
            </w:pPr>
          </w:p>
        </w:tc>
        <w:tc>
          <w:tcPr>
            <w:tcW w:w="1140" w:type="dxa"/>
            <w:vAlign w:val="bottom"/>
          </w:tcPr>
          <w:p>
            <w:pPr>
              <w:jc w:val="right"/>
              <w:ind w:right="37"/>
              <w:spacing w:after="0"/>
              <w:rPr>
                <w:sz w:val="20"/>
                <w:szCs w:val="20"/>
                <w:color w:val="auto"/>
              </w:rPr>
            </w:pPr>
            <w:r>
              <w:rPr>
                <w:rFonts w:ascii="Arial" w:cs="Arial" w:eastAsia="Arial" w:hAnsi="Arial"/>
                <w:sz w:val="13"/>
                <w:szCs w:val="13"/>
                <w:b w:val="1"/>
                <w:bCs w:val="1"/>
                <w:color w:val="auto"/>
                <w:w w:val="87"/>
              </w:rPr>
              <w:t>December 31, 2020</w:t>
            </w:r>
          </w:p>
        </w:tc>
        <w:tc>
          <w:tcPr>
            <w:tcW w:w="0" w:type="dxa"/>
            <w:vAlign w:val="bottom"/>
          </w:tcPr>
          <w:p>
            <w:pPr>
              <w:spacing w:after="0"/>
              <w:rPr>
                <w:sz w:val="1"/>
                <w:szCs w:val="1"/>
                <w:color w:val="auto"/>
              </w:rPr>
            </w:pPr>
          </w:p>
        </w:tc>
      </w:tr>
      <w:tr>
        <w:trPr>
          <w:trHeight w:val="161"/>
        </w:trPr>
        <w:tc>
          <w:tcPr>
            <w:tcW w:w="7620" w:type="dxa"/>
            <w:vAlign w:val="bottom"/>
          </w:tcPr>
          <w:p>
            <w:pPr>
              <w:ind w:left="20"/>
              <w:spacing w:after="0"/>
              <w:rPr>
                <w:sz w:val="20"/>
                <w:szCs w:val="20"/>
                <w:color w:val="auto"/>
              </w:rPr>
            </w:pPr>
            <w:r>
              <w:rPr>
                <w:rFonts w:ascii="Arial" w:cs="Arial" w:eastAsia="Arial" w:hAnsi="Arial"/>
                <w:sz w:val="13"/>
                <w:szCs w:val="13"/>
                <w:b w:val="1"/>
                <w:bCs w:val="1"/>
                <w:color w:val="auto"/>
              </w:rPr>
              <w:t>Assets</w:t>
            </w:r>
          </w:p>
        </w:tc>
        <w:tc>
          <w:tcPr>
            <w:tcW w:w="8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6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Cash</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129,229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71,481</w:t>
            </w:r>
          </w:p>
        </w:tc>
        <w:tc>
          <w:tcPr>
            <w:tcW w:w="0" w:type="dxa"/>
            <w:vAlign w:val="bottom"/>
          </w:tcPr>
          <w:p>
            <w:pPr>
              <w:spacing w:after="0"/>
              <w:rPr>
                <w:sz w:val="1"/>
                <w:szCs w:val="1"/>
                <w:color w:val="auto"/>
              </w:rPr>
            </w:pPr>
          </w:p>
        </w:tc>
      </w:tr>
      <w:tr>
        <w:trPr>
          <w:trHeight w:val="163"/>
        </w:trPr>
        <w:tc>
          <w:tcPr>
            <w:tcW w:w="7620" w:type="dxa"/>
            <w:vAlign w:val="bottom"/>
          </w:tcPr>
          <w:p>
            <w:pPr>
              <w:ind w:left="120"/>
              <w:spacing w:after="0"/>
              <w:rPr>
                <w:sz w:val="20"/>
                <w:szCs w:val="20"/>
                <w:color w:val="auto"/>
              </w:rPr>
            </w:pPr>
            <w:r>
              <w:rPr>
                <w:rFonts w:ascii="Arial" w:cs="Arial" w:eastAsia="Arial" w:hAnsi="Arial"/>
                <w:sz w:val="13"/>
                <w:szCs w:val="13"/>
                <w:color w:val="auto"/>
              </w:rPr>
              <w:t>Deferred tax asset</w:t>
            </w: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149,742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183,549</w:t>
            </w:r>
          </w:p>
        </w:tc>
        <w:tc>
          <w:tcPr>
            <w:tcW w:w="0" w:type="dxa"/>
            <w:vAlign w:val="bottom"/>
          </w:tcPr>
          <w:p>
            <w:pPr>
              <w:spacing w:after="0"/>
              <w:rPr>
                <w:sz w:val="1"/>
                <w:szCs w:val="1"/>
                <w:color w:val="auto"/>
              </w:rPr>
            </w:pPr>
          </w:p>
        </w:tc>
      </w:tr>
      <w:tr>
        <w:trPr>
          <w:trHeight w:val="168"/>
        </w:trPr>
        <w:tc>
          <w:tcPr>
            <w:tcW w:w="76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Investment in subsidiary</w:t>
            </w: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3,221,605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3,126,502</w:t>
            </w:r>
          </w:p>
        </w:tc>
        <w:tc>
          <w:tcPr>
            <w:tcW w:w="0" w:type="dxa"/>
            <w:vAlign w:val="bottom"/>
          </w:tcPr>
          <w:p>
            <w:pPr>
              <w:spacing w:after="0"/>
              <w:rPr>
                <w:sz w:val="1"/>
                <w:szCs w:val="1"/>
                <w:color w:val="auto"/>
              </w:rPr>
            </w:pPr>
          </w:p>
        </w:tc>
      </w:tr>
      <w:tr>
        <w:trPr>
          <w:trHeight w:val="163"/>
        </w:trPr>
        <w:tc>
          <w:tcPr>
            <w:tcW w:w="762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Other assets</w:t>
            </w: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40,183</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82,917</w:t>
            </w:r>
          </w:p>
        </w:tc>
        <w:tc>
          <w:tcPr>
            <w:tcW w:w="0" w:type="dxa"/>
            <w:vAlign w:val="bottom"/>
          </w:tcPr>
          <w:p>
            <w:pPr>
              <w:spacing w:after="0"/>
              <w:rPr>
                <w:sz w:val="1"/>
                <w:szCs w:val="1"/>
                <w:color w:val="auto"/>
              </w:rPr>
            </w:pPr>
          </w:p>
        </w:tc>
      </w:tr>
      <w:tr>
        <w:trPr>
          <w:trHeight w:val="185"/>
        </w:trPr>
        <w:tc>
          <w:tcPr>
            <w:tcW w:w="76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3"/>
                <w:szCs w:val="13"/>
                <w:color w:val="auto"/>
              </w:rPr>
              <w:t>Total assets</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3,540,759</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3,464,449</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7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76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Liabilities, redeemable membership interest and equity</w:t>
            </w: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620" w:type="dxa"/>
            <w:vAlign w:val="bottom"/>
          </w:tcPr>
          <w:p>
            <w:pPr>
              <w:ind w:left="20"/>
              <w:spacing w:after="0"/>
              <w:rPr>
                <w:sz w:val="20"/>
                <w:szCs w:val="20"/>
                <w:color w:val="auto"/>
              </w:rPr>
            </w:pPr>
            <w:r>
              <w:rPr>
                <w:rFonts w:ascii="Arial" w:cs="Arial" w:eastAsia="Arial" w:hAnsi="Arial"/>
                <w:sz w:val="13"/>
                <w:szCs w:val="13"/>
                <w:color w:val="auto"/>
              </w:rPr>
              <w:t>Liabilities</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6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Payable to affiliate</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1,729,320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1,724,046</w:t>
            </w:r>
          </w:p>
        </w:tc>
        <w:tc>
          <w:tcPr>
            <w:tcW w:w="0" w:type="dxa"/>
            <w:vAlign w:val="bottom"/>
          </w:tcPr>
          <w:p>
            <w:pPr>
              <w:spacing w:after="0"/>
              <w:rPr>
                <w:sz w:val="1"/>
                <w:szCs w:val="1"/>
                <w:color w:val="auto"/>
              </w:rPr>
            </w:pPr>
          </w:p>
        </w:tc>
      </w:tr>
      <w:tr>
        <w:trPr>
          <w:trHeight w:val="163"/>
        </w:trPr>
        <w:tc>
          <w:tcPr>
            <w:tcW w:w="7620" w:type="dxa"/>
            <w:vAlign w:val="bottom"/>
          </w:tcPr>
          <w:p>
            <w:pPr>
              <w:ind w:left="120"/>
              <w:spacing w:after="0"/>
              <w:rPr>
                <w:sz w:val="20"/>
                <w:szCs w:val="20"/>
                <w:color w:val="auto"/>
              </w:rPr>
            </w:pPr>
            <w:r>
              <w:rPr>
                <w:rFonts w:ascii="Arial" w:cs="Arial" w:eastAsia="Arial" w:hAnsi="Arial"/>
                <w:sz w:val="13"/>
                <w:szCs w:val="13"/>
                <w:color w:val="auto"/>
              </w:rPr>
              <w:t>Accounts payable and accrued expenses and other liabilities</w:t>
            </w: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50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698</w:t>
            </w:r>
          </w:p>
        </w:tc>
        <w:tc>
          <w:tcPr>
            <w:tcW w:w="0" w:type="dxa"/>
            <w:vAlign w:val="bottom"/>
          </w:tcPr>
          <w:p>
            <w:pPr>
              <w:spacing w:after="0"/>
              <w:rPr>
                <w:sz w:val="1"/>
                <w:szCs w:val="1"/>
                <w:color w:val="auto"/>
              </w:rPr>
            </w:pPr>
          </w:p>
        </w:tc>
      </w:tr>
      <w:tr>
        <w:trPr>
          <w:trHeight w:val="168"/>
        </w:trPr>
        <w:tc>
          <w:tcPr>
            <w:tcW w:w="76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Deferred tax liabilities</w:t>
            </w: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2,719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3"/>
        </w:trPr>
        <w:tc>
          <w:tcPr>
            <w:tcW w:w="762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Tax receivable agreement obligations</w:t>
            </w: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259,282</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271,165</w:t>
            </w:r>
          </w:p>
        </w:tc>
        <w:tc>
          <w:tcPr>
            <w:tcW w:w="0" w:type="dxa"/>
            <w:vAlign w:val="bottom"/>
          </w:tcPr>
          <w:p>
            <w:pPr>
              <w:spacing w:after="0"/>
              <w:rPr>
                <w:sz w:val="1"/>
                <w:szCs w:val="1"/>
                <w:color w:val="auto"/>
              </w:rPr>
            </w:pPr>
          </w:p>
        </w:tc>
      </w:tr>
      <w:tr>
        <w:trPr>
          <w:trHeight w:val="160"/>
        </w:trPr>
        <w:tc>
          <w:tcPr>
            <w:tcW w:w="7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liabilities</w:t>
            </w: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1,991,371</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1,995,909</w:t>
            </w:r>
          </w:p>
        </w:tc>
        <w:tc>
          <w:tcPr>
            <w:tcW w:w="0" w:type="dxa"/>
            <w:vAlign w:val="bottom"/>
          </w:tcPr>
          <w:p>
            <w:pPr>
              <w:spacing w:after="0"/>
              <w:rPr>
                <w:sz w:val="1"/>
                <w:szCs w:val="1"/>
                <w:color w:val="auto"/>
              </w:rPr>
            </w:pPr>
          </w:p>
        </w:tc>
      </w:tr>
      <w:tr>
        <w:trPr>
          <w:trHeight w:val="189"/>
        </w:trPr>
        <w:tc>
          <w:tcPr>
            <w:tcW w:w="7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7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Virtu Financial Inc. Stockholders' equity</w:t>
            </w: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7620" w:type="dxa"/>
            <w:vAlign w:val="bottom"/>
          </w:tcPr>
          <w:p>
            <w:pPr>
              <w:ind w:left="120"/>
              <w:spacing w:after="0" w:line="119" w:lineRule="exact"/>
              <w:rPr>
                <w:sz w:val="20"/>
                <w:szCs w:val="20"/>
                <w:color w:val="auto"/>
              </w:rPr>
            </w:pPr>
            <w:r>
              <w:rPr>
                <w:rFonts w:ascii="Arial" w:cs="Arial" w:eastAsia="Arial" w:hAnsi="Arial"/>
                <w:sz w:val="13"/>
                <w:szCs w:val="13"/>
                <w:color w:val="auto"/>
                <w:w w:val="90"/>
              </w:rPr>
              <w:t>Class A common stock (par value $0.00001), Authorized — 1,000,000,000 and 1,000,000,000 shares, Issued — 131,497,645 and 125,627,277</w:t>
            </w:r>
          </w:p>
        </w:tc>
        <w:tc>
          <w:tcPr>
            <w:tcW w:w="80" w:type="dxa"/>
            <w:vAlign w:val="bottom"/>
          </w:tcPr>
          <w:p>
            <w:pPr>
              <w:spacing w:after="0"/>
              <w:rPr>
                <w:sz w:val="10"/>
                <w:szCs w:val="10"/>
                <w:color w:val="auto"/>
              </w:rPr>
            </w:pPr>
          </w:p>
        </w:tc>
        <w:tc>
          <w:tcPr>
            <w:tcW w:w="112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63"/>
        </w:trPr>
        <w:tc>
          <w:tcPr>
            <w:tcW w:w="7620" w:type="dxa"/>
            <w:vAlign w:val="bottom"/>
          </w:tcPr>
          <w:p>
            <w:pPr>
              <w:ind w:left="120"/>
              <w:spacing w:after="0"/>
              <w:rPr>
                <w:sz w:val="20"/>
                <w:szCs w:val="20"/>
                <w:color w:val="auto"/>
              </w:rPr>
            </w:pPr>
            <w:r>
              <w:rPr>
                <w:rFonts w:ascii="Arial" w:cs="Arial" w:eastAsia="Arial" w:hAnsi="Arial"/>
                <w:sz w:val="13"/>
                <w:szCs w:val="13"/>
                <w:color w:val="auto"/>
              </w:rPr>
              <w:t>shares, Outstanding — 113,170,782 and 122,012,180 shares at December 31, 2021 and December 31, 2020, respectively</w:t>
            </w:r>
          </w:p>
        </w:tc>
        <w:tc>
          <w:tcPr>
            <w:tcW w:w="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762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w w:val="90"/>
              </w:rPr>
              <w:t>Class B common stock (par value $0.00001), Authorized — 175,000,000 and 175,000,000 shares, Issued and Outstanding — 0 and 0 shares at</w:t>
            </w:r>
          </w:p>
        </w:tc>
        <w:tc>
          <w:tcPr>
            <w:tcW w:w="80" w:type="dxa"/>
            <w:vAlign w:val="bottom"/>
            <w:shd w:val="clear" w:color="auto" w:fill="CCEEFF"/>
          </w:tcPr>
          <w:p>
            <w:pPr>
              <w:spacing w:after="0"/>
              <w:rPr>
                <w:sz w:val="10"/>
                <w:szCs w:val="10"/>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6"/>
        </w:trPr>
        <w:tc>
          <w:tcPr>
            <w:tcW w:w="76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December 31, 2021 and December 31, 2020, respectively</w:t>
            </w:r>
          </w:p>
        </w:tc>
        <w:tc>
          <w:tcPr>
            <w:tcW w:w="80" w:type="dxa"/>
            <w:vAlign w:val="bottom"/>
            <w:shd w:val="clear" w:color="auto" w:fill="CCEEFF"/>
          </w:tcPr>
          <w:p>
            <w:pPr>
              <w:spacing w:after="0"/>
              <w:rPr>
                <w:sz w:val="14"/>
                <w:szCs w:val="14"/>
                <w:color w:val="auto"/>
              </w:rPr>
            </w:pPr>
          </w:p>
        </w:tc>
        <w:tc>
          <w:tcPr>
            <w:tcW w:w="12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7620" w:type="dxa"/>
            <w:vAlign w:val="bottom"/>
          </w:tcPr>
          <w:p>
            <w:pPr>
              <w:ind w:left="120"/>
              <w:spacing w:after="0" w:line="119" w:lineRule="exact"/>
              <w:rPr>
                <w:sz w:val="20"/>
                <w:szCs w:val="20"/>
                <w:color w:val="auto"/>
              </w:rPr>
            </w:pPr>
            <w:r>
              <w:rPr>
                <w:rFonts w:ascii="Arial" w:cs="Arial" w:eastAsia="Arial" w:hAnsi="Arial"/>
                <w:sz w:val="13"/>
                <w:szCs w:val="13"/>
                <w:color w:val="auto"/>
                <w:w w:val="94"/>
              </w:rPr>
              <w:t>Class C common stock (par value $0.00001), Authorized — 90,000,000 and 90,000,000 shares, Issued and Outstanding — 9,359,065 and</w:t>
            </w:r>
          </w:p>
        </w:tc>
        <w:tc>
          <w:tcPr>
            <w:tcW w:w="80" w:type="dxa"/>
            <w:vAlign w:val="bottom"/>
          </w:tcPr>
          <w:p>
            <w:pPr>
              <w:spacing w:after="0"/>
              <w:rPr>
                <w:sz w:val="10"/>
                <w:szCs w:val="10"/>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3"/>
        </w:trPr>
        <w:tc>
          <w:tcPr>
            <w:tcW w:w="7620" w:type="dxa"/>
            <w:vAlign w:val="bottom"/>
          </w:tcPr>
          <w:p>
            <w:pPr>
              <w:ind w:left="120"/>
              <w:spacing w:after="0"/>
              <w:rPr>
                <w:sz w:val="20"/>
                <w:szCs w:val="20"/>
                <w:color w:val="auto"/>
              </w:rPr>
            </w:pPr>
            <w:r>
              <w:rPr>
                <w:rFonts w:ascii="Arial" w:cs="Arial" w:eastAsia="Arial" w:hAnsi="Arial"/>
                <w:sz w:val="13"/>
                <w:szCs w:val="13"/>
                <w:color w:val="auto"/>
              </w:rPr>
              <w:t>10,226,939 shares at December 31, 2021 and December 31, 2020, respectively</w:t>
            </w:r>
          </w:p>
        </w:tc>
        <w:tc>
          <w:tcPr>
            <w:tcW w:w="8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762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w w:val="91"/>
              </w:rPr>
              <w:t>Class D common stock (par value $0.00001), Authorized — 175,000,000 and 175,000,000 shares, Issued and Outstanding — 60,091,740 and</w:t>
            </w:r>
          </w:p>
        </w:tc>
        <w:tc>
          <w:tcPr>
            <w:tcW w:w="80" w:type="dxa"/>
            <w:vAlign w:val="bottom"/>
            <w:shd w:val="clear" w:color="auto" w:fill="CCEEFF"/>
          </w:tcPr>
          <w:p>
            <w:pPr>
              <w:spacing w:after="0"/>
              <w:rPr>
                <w:sz w:val="10"/>
                <w:szCs w:val="10"/>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66"/>
        </w:trPr>
        <w:tc>
          <w:tcPr>
            <w:tcW w:w="76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60,091,740 shares at December 31, 2021 and December 31, 2020, respectively</w:t>
            </w:r>
          </w:p>
        </w:tc>
        <w:tc>
          <w:tcPr>
            <w:tcW w:w="80" w:type="dxa"/>
            <w:vAlign w:val="bottom"/>
            <w:shd w:val="clear" w:color="auto" w:fill="CCEEFF"/>
          </w:tcPr>
          <w:p>
            <w:pPr>
              <w:spacing w:after="0"/>
              <w:rPr>
                <w:sz w:val="14"/>
                <w:szCs w:val="14"/>
                <w:color w:val="auto"/>
              </w:rPr>
            </w:pPr>
          </w:p>
        </w:tc>
        <w:tc>
          <w:tcPr>
            <w:tcW w:w="11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620" w:type="dxa"/>
            <w:vAlign w:val="bottom"/>
          </w:tcPr>
          <w:p>
            <w:pPr>
              <w:ind w:left="120"/>
              <w:spacing w:after="0"/>
              <w:rPr>
                <w:sz w:val="20"/>
                <w:szCs w:val="20"/>
                <w:color w:val="auto"/>
              </w:rPr>
            </w:pPr>
            <w:r>
              <w:rPr>
                <w:rFonts w:ascii="Arial" w:cs="Arial" w:eastAsia="Arial" w:hAnsi="Arial"/>
                <w:sz w:val="13"/>
                <w:szCs w:val="13"/>
                <w:color w:val="auto"/>
              </w:rPr>
              <w:t>Treasury stock, at cost, 18,326,863 and 3,615,097 shares at December 31, 2021 and December 31, 2020, respectively</w:t>
            </w: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(494,075)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(88,923)</w:t>
            </w:r>
          </w:p>
        </w:tc>
        <w:tc>
          <w:tcPr>
            <w:tcW w:w="0" w:type="dxa"/>
            <w:vAlign w:val="bottom"/>
          </w:tcPr>
          <w:p>
            <w:pPr>
              <w:spacing w:after="0"/>
              <w:rPr>
                <w:sz w:val="1"/>
                <w:szCs w:val="1"/>
                <w:color w:val="auto"/>
              </w:rPr>
            </w:pPr>
          </w:p>
        </w:tc>
      </w:tr>
      <w:tr>
        <w:trPr>
          <w:trHeight w:val="168"/>
        </w:trPr>
        <w:tc>
          <w:tcPr>
            <w:tcW w:w="76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Additional paid-in capital</w:t>
            </w: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1,223,119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1,160,567</w:t>
            </w:r>
          </w:p>
        </w:tc>
        <w:tc>
          <w:tcPr>
            <w:tcW w:w="0" w:type="dxa"/>
            <w:vAlign w:val="bottom"/>
          </w:tcPr>
          <w:p>
            <w:pPr>
              <w:spacing w:after="0"/>
              <w:rPr>
                <w:sz w:val="1"/>
                <w:szCs w:val="1"/>
                <w:color w:val="auto"/>
              </w:rPr>
            </w:pPr>
          </w:p>
        </w:tc>
      </w:tr>
      <w:tr>
        <w:trPr>
          <w:trHeight w:val="163"/>
        </w:trPr>
        <w:tc>
          <w:tcPr>
            <w:tcW w:w="7620" w:type="dxa"/>
            <w:vAlign w:val="bottom"/>
          </w:tcPr>
          <w:p>
            <w:pPr>
              <w:ind w:left="120"/>
              <w:spacing w:after="0"/>
              <w:rPr>
                <w:sz w:val="20"/>
                <w:szCs w:val="20"/>
                <w:color w:val="auto"/>
              </w:rPr>
            </w:pPr>
            <w:r>
              <w:rPr>
                <w:rFonts w:ascii="Arial" w:cs="Arial" w:eastAsia="Arial" w:hAnsi="Arial"/>
                <w:sz w:val="13"/>
                <w:szCs w:val="13"/>
                <w:color w:val="auto"/>
              </w:rPr>
              <w:t>Retained earnings (accumulated deficit)</w:t>
            </w: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830,538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422,381</w:t>
            </w:r>
          </w:p>
        </w:tc>
        <w:tc>
          <w:tcPr>
            <w:tcW w:w="0" w:type="dxa"/>
            <w:vAlign w:val="bottom"/>
          </w:tcPr>
          <w:p>
            <w:pPr>
              <w:spacing w:after="0"/>
              <w:rPr>
                <w:sz w:val="1"/>
                <w:szCs w:val="1"/>
                <w:color w:val="auto"/>
              </w:rPr>
            </w:pPr>
          </w:p>
        </w:tc>
      </w:tr>
      <w:tr>
        <w:trPr>
          <w:trHeight w:val="168"/>
        </w:trPr>
        <w:tc>
          <w:tcPr>
            <w:tcW w:w="76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Accumulated other comprehensive income (loss)</w:t>
            </w:r>
          </w:p>
        </w:tc>
        <w:tc>
          <w:tcPr>
            <w:tcW w:w="8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(10,196)</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(25,487)</w:t>
            </w:r>
          </w:p>
        </w:tc>
        <w:tc>
          <w:tcPr>
            <w:tcW w:w="0" w:type="dxa"/>
            <w:vAlign w:val="bottom"/>
          </w:tcPr>
          <w:p>
            <w:pPr>
              <w:spacing w:after="0"/>
              <w:rPr>
                <w:sz w:val="1"/>
                <w:szCs w:val="1"/>
                <w:color w:val="auto"/>
              </w:rPr>
            </w:pPr>
          </w:p>
        </w:tc>
      </w:tr>
      <w:tr>
        <w:trPr>
          <w:trHeight w:val="155"/>
        </w:trPr>
        <w:tc>
          <w:tcPr>
            <w:tcW w:w="7620" w:type="dxa"/>
            <w:vAlign w:val="bottom"/>
          </w:tcPr>
          <w:p>
            <w:pPr>
              <w:ind w:left="20"/>
              <w:spacing w:after="0" w:line="148" w:lineRule="exact"/>
              <w:rPr>
                <w:sz w:val="20"/>
                <w:szCs w:val="20"/>
                <w:color w:val="auto"/>
              </w:rPr>
            </w:pPr>
            <w:r>
              <w:rPr>
                <w:rFonts w:ascii="Arial" w:cs="Arial" w:eastAsia="Arial" w:hAnsi="Arial"/>
                <w:sz w:val="13"/>
                <w:szCs w:val="13"/>
                <w:color w:val="auto"/>
              </w:rPr>
              <w:t>Total Virtu Financial Inc. stockholders' equity</w:t>
            </w:r>
          </w:p>
        </w:tc>
        <w:tc>
          <w:tcPr>
            <w:tcW w:w="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1,549,388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1,468,540</w:t>
            </w:r>
          </w:p>
        </w:tc>
        <w:tc>
          <w:tcPr>
            <w:tcW w:w="0" w:type="dxa"/>
            <w:vAlign w:val="bottom"/>
          </w:tcPr>
          <w:p>
            <w:pPr>
              <w:spacing w:after="0"/>
              <w:rPr>
                <w:sz w:val="1"/>
                <w:szCs w:val="1"/>
                <w:color w:val="auto"/>
              </w:rPr>
            </w:pPr>
          </w:p>
        </w:tc>
      </w:tr>
      <w:tr>
        <w:trPr>
          <w:trHeight w:val="192"/>
        </w:trPr>
        <w:tc>
          <w:tcPr>
            <w:tcW w:w="76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7620" w:type="dxa"/>
            <w:vAlign w:val="bottom"/>
          </w:tcPr>
          <w:p>
            <w:pPr>
              <w:ind w:left="20"/>
              <w:spacing w:after="0"/>
              <w:rPr>
                <w:sz w:val="20"/>
                <w:szCs w:val="20"/>
                <w:color w:val="auto"/>
              </w:rPr>
            </w:pPr>
            <w:r>
              <w:rPr>
                <w:rFonts w:ascii="Arial" w:cs="Arial" w:eastAsia="Arial" w:hAnsi="Arial"/>
                <w:sz w:val="13"/>
                <w:szCs w:val="13"/>
                <w:color w:val="auto"/>
              </w:rPr>
              <w:t>Total liabilities and stockholders' equity</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3,540,759</w:t>
            </w:r>
          </w:p>
        </w:tc>
        <w:tc>
          <w:tcPr>
            <w:tcW w:w="1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3,464,449</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131" w:name="page132"/>
    <w:bookmarkEnd w:id="13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Virtu Financial,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(Parent Company Only)</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Statements of Comprehensive Income</w:t>
      </w:r>
    </w:p>
    <w:p>
      <w:pPr>
        <w:spacing w:after="0" w:line="22" w:lineRule="exact"/>
        <w:rPr>
          <w:sz w:val="20"/>
          <w:szCs w:val="20"/>
          <w:color w:val="auto"/>
        </w:rPr>
      </w:pPr>
    </w:p>
    <w:tbl>
      <w:tblPr>
        <w:tblLayout w:type="fixed"/>
        <w:tblInd w:w="60" w:type="dxa"/>
        <w:tblCellMar>
          <w:top w:w="0" w:type="dxa"/>
          <w:left w:w="0" w:type="dxa"/>
          <w:bottom w:w="0" w:type="dxa"/>
          <w:right w:w="0" w:type="dxa"/>
        </w:tblCellMar>
      </w:tblPr>
      <w:tr>
        <w:trPr>
          <w:trHeight w:val="166"/>
        </w:trPr>
        <w:tc>
          <w:tcPr>
            <w:tcW w:w="73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5"/>
          </w:tcPr>
          <w:p>
            <w:pPr>
              <w:spacing w:after="0"/>
              <w:rPr>
                <w:sz w:val="20"/>
                <w:szCs w:val="20"/>
                <w:color w:val="auto"/>
              </w:rPr>
            </w:pPr>
            <w:r>
              <w:rPr>
                <w:rFonts w:ascii="Arial" w:cs="Arial" w:eastAsia="Arial" w:hAnsi="Arial"/>
                <w:sz w:val="13"/>
                <w:szCs w:val="13"/>
                <w:b w:val="1"/>
                <w:bCs w:val="1"/>
                <w:color w:val="auto"/>
                <w:w w:val="85"/>
              </w:rPr>
              <w:t>Years Ended December 31,</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164"/>
        </w:trPr>
        <w:tc>
          <w:tcPr>
            <w:tcW w:w="7320" w:type="dxa"/>
            <w:vAlign w:val="bottom"/>
          </w:tcPr>
          <w:p>
            <w:pPr>
              <w:spacing w:after="0"/>
              <w:rPr>
                <w:sz w:val="20"/>
                <w:szCs w:val="20"/>
                <w:color w:val="auto"/>
              </w:rPr>
            </w:pPr>
            <w:r>
              <w:rPr>
                <w:rFonts w:ascii="Arial" w:cs="Arial" w:eastAsia="Arial" w:hAnsi="Arial"/>
                <w:sz w:val="13"/>
                <w:szCs w:val="13"/>
                <w:b w:val="1"/>
                <w:bCs w:val="1"/>
                <w:color w:val="auto"/>
              </w:rPr>
              <w:t>(in thousands)</w:t>
            </w: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b w:val="1"/>
                <w:bCs w:val="1"/>
                <w:color w:val="auto"/>
              </w:rPr>
              <w:t>2021</w:t>
            </w: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37"/>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17"/>
              <w:spacing w:after="0"/>
              <w:rPr>
                <w:sz w:val="20"/>
                <w:szCs w:val="20"/>
                <w:color w:val="auto"/>
              </w:rPr>
            </w:pPr>
            <w:r>
              <w:rPr>
                <w:rFonts w:ascii="Arial" w:cs="Arial" w:eastAsia="Arial" w:hAnsi="Arial"/>
                <w:sz w:val="13"/>
                <w:szCs w:val="13"/>
                <w:b w:val="1"/>
                <w:bCs w:val="1"/>
                <w:color w:val="auto"/>
              </w:rPr>
              <w:t>2019</w:t>
            </w:r>
          </w:p>
        </w:tc>
      </w:tr>
      <w:tr>
        <w:trPr>
          <w:trHeight w:val="146"/>
        </w:trPr>
        <w:tc>
          <w:tcPr>
            <w:tcW w:w="7320" w:type="dxa"/>
            <w:vAlign w:val="bottom"/>
          </w:tcPr>
          <w:p>
            <w:pPr>
              <w:spacing w:after="0" w:line="144" w:lineRule="exact"/>
              <w:rPr>
                <w:sz w:val="20"/>
                <w:szCs w:val="20"/>
                <w:color w:val="auto"/>
              </w:rPr>
            </w:pPr>
            <w:r>
              <w:rPr>
                <w:rFonts w:ascii="Arial" w:cs="Arial" w:eastAsia="Arial" w:hAnsi="Arial"/>
                <w:sz w:val="13"/>
                <w:szCs w:val="13"/>
                <w:b w:val="1"/>
                <w:bCs w:val="1"/>
                <w:color w:val="auto"/>
              </w:rPr>
              <w:t>Revenues:</w:t>
            </w: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67"/>
        </w:trPr>
        <w:tc>
          <w:tcPr>
            <w:tcW w:w="73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Other Income</w:t>
            </w:r>
          </w:p>
        </w:tc>
        <w:tc>
          <w:tcPr>
            <w:tcW w:w="260" w:type="dxa"/>
            <w:vAlign w:val="bottom"/>
            <w:shd w:val="clear" w:color="auto" w:fill="CCEEFF"/>
          </w:tcPr>
          <w:p>
            <w:pPr>
              <w:jc w:val="right"/>
              <w:ind w:right="153"/>
              <w:spacing w:after="0"/>
              <w:rPr>
                <w:sz w:val="20"/>
                <w:szCs w:val="20"/>
                <w:color w:val="auto"/>
              </w:rPr>
            </w:pPr>
            <w:r>
              <w:rPr>
                <w:rFonts w:ascii="Arial" w:cs="Arial" w:eastAsia="Arial" w:hAnsi="Arial"/>
                <w:sz w:val="9"/>
                <w:szCs w:val="9"/>
                <w:color w:val="auto"/>
                <w:w w:val="78"/>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gridSpan w:val="3"/>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55"/>
        </w:trPr>
        <w:tc>
          <w:tcPr>
            <w:tcW w:w="73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92"/>
        </w:trPr>
        <w:tc>
          <w:tcPr>
            <w:tcW w:w="7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65"/>
        </w:trPr>
        <w:tc>
          <w:tcPr>
            <w:tcW w:w="7320" w:type="dxa"/>
            <w:vAlign w:val="bottom"/>
          </w:tcPr>
          <w:p>
            <w:pPr>
              <w:spacing w:after="0"/>
              <w:rPr>
                <w:sz w:val="20"/>
                <w:szCs w:val="20"/>
                <w:color w:val="auto"/>
              </w:rPr>
            </w:pPr>
            <w:r>
              <w:rPr>
                <w:rFonts w:ascii="Arial" w:cs="Arial" w:eastAsia="Arial" w:hAnsi="Arial"/>
                <w:sz w:val="13"/>
                <w:szCs w:val="13"/>
                <w:b w:val="1"/>
                <w:bCs w:val="1"/>
                <w:color w:val="auto"/>
              </w:rPr>
              <w:t>Operating Expenses:</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73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Operations and administrative</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734</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r>
      <w:tr>
        <w:trPr>
          <w:trHeight w:val="189"/>
        </w:trPr>
        <w:tc>
          <w:tcPr>
            <w:tcW w:w="73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58"/>
        </w:trPr>
        <w:tc>
          <w:tcPr>
            <w:tcW w:w="73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Income (loss) before equity in income of subsidiary</w:t>
            </w: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(734)</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r>
      <w:tr>
        <w:trPr>
          <w:trHeight w:val="163"/>
        </w:trPr>
        <w:tc>
          <w:tcPr>
            <w:tcW w:w="732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Equity in income (loss) of subsidiary, net of tax</w:t>
            </w: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827,968</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1,121,084</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(29,416)</w:t>
            </w:r>
          </w:p>
        </w:tc>
      </w:tr>
      <w:tr>
        <w:trPr>
          <w:trHeight w:val="185"/>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Net income (loss)</w:t>
            </w:r>
          </w:p>
        </w:tc>
        <w:tc>
          <w:tcPr>
            <w:tcW w:w="2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9"/>
                <w:szCs w:val="9"/>
                <w:color w:val="auto"/>
                <w:w w:val="7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827,234</w:t>
            </w: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1,120,913</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(29,419)</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33"/>
        </w:trPr>
        <w:tc>
          <w:tcPr>
            <w:tcW w:w="7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66"/>
        </w:trPr>
        <w:tc>
          <w:tcPr>
            <w:tcW w:w="7320" w:type="dxa"/>
            <w:vAlign w:val="bottom"/>
            <w:shd w:val="clear" w:color="auto" w:fill="CCEEFF"/>
          </w:tcPr>
          <w:p>
            <w:pPr>
              <w:spacing w:after="0"/>
              <w:rPr>
                <w:sz w:val="20"/>
                <w:szCs w:val="20"/>
                <w:color w:val="auto"/>
              </w:rPr>
            </w:pPr>
            <w:r>
              <w:rPr>
                <w:rFonts w:ascii="Arial" w:cs="Arial" w:eastAsia="Arial" w:hAnsi="Arial"/>
                <w:sz w:val="13"/>
                <w:szCs w:val="13"/>
                <w:color w:val="auto"/>
              </w:rPr>
              <w:t>Net income (loss) attributable to common stockholders</w:t>
            </w:r>
          </w:p>
        </w:tc>
        <w:tc>
          <w:tcPr>
            <w:tcW w:w="260" w:type="dxa"/>
            <w:vAlign w:val="bottom"/>
            <w:shd w:val="clear" w:color="auto" w:fill="CCEEFF"/>
          </w:tcPr>
          <w:p>
            <w:pPr>
              <w:jc w:val="right"/>
              <w:ind w:right="153"/>
              <w:spacing w:after="0"/>
              <w:rPr>
                <w:sz w:val="20"/>
                <w:szCs w:val="20"/>
                <w:color w:val="auto"/>
              </w:rPr>
            </w:pPr>
            <w:r>
              <w:rPr>
                <w:rFonts w:ascii="Arial" w:cs="Arial" w:eastAsia="Arial" w:hAnsi="Arial"/>
                <w:sz w:val="9"/>
                <w:szCs w:val="9"/>
                <w:color w:val="auto"/>
                <w:w w:val="78"/>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827,234</w:t>
            </w:r>
          </w:p>
        </w:tc>
        <w:tc>
          <w:tcPr>
            <w:tcW w:w="400" w:type="dxa"/>
            <w:vAlign w:val="bottom"/>
            <w:gridSpan w:val="3"/>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1,120,913</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(29,419)</w:t>
            </w:r>
          </w:p>
        </w:tc>
      </w:tr>
      <w:tr>
        <w:trPr>
          <w:trHeight w:val="163"/>
        </w:trPr>
        <w:tc>
          <w:tcPr>
            <w:tcW w:w="7320" w:type="dxa"/>
            <w:vAlign w:val="bottom"/>
          </w:tcPr>
          <w:p>
            <w:pPr>
              <w:spacing w:after="0"/>
              <w:rPr>
                <w:sz w:val="20"/>
                <w:szCs w:val="20"/>
                <w:color w:val="auto"/>
              </w:rPr>
            </w:pPr>
            <w:r>
              <w:rPr>
                <w:rFonts w:ascii="Arial" w:cs="Arial" w:eastAsia="Arial" w:hAnsi="Arial"/>
                <w:sz w:val="13"/>
                <w:szCs w:val="13"/>
                <w:color w:val="auto"/>
              </w:rPr>
              <w:t>Other comprehensive income (loss):</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73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Foreign currency translation adjustment, net of taxes</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(7,672)</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8,604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(565)</w:t>
            </w:r>
          </w:p>
        </w:tc>
      </w:tr>
      <w:tr>
        <w:trPr>
          <w:trHeight w:val="163"/>
        </w:trPr>
        <w:tc>
          <w:tcPr>
            <w:tcW w:w="732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Net change in unrealized cash flow hedges gains (losses), net of taxes</w:t>
            </w: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22,964</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(33,444)</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85"/>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Comprehensive income (loss)</w:t>
            </w:r>
          </w:p>
        </w:tc>
        <w:tc>
          <w:tcPr>
            <w:tcW w:w="2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9"/>
                <w:szCs w:val="9"/>
                <w:color w:val="auto"/>
                <w:w w:val="7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842,526</w:t>
            </w: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1,096,073</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(29,984)</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132" w:name="page133"/>
    <w:bookmarkEnd w:id="13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Virtu Financial,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(Parent Company Only)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Statements of Cash Flows</w:t>
      </w:r>
    </w:p>
    <w:p>
      <w:pPr>
        <w:spacing w:after="0" w:line="22" w:lineRule="exact"/>
        <w:rPr>
          <w:sz w:val="20"/>
          <w:szCs w:val="20"/>
          <w:color w:val="auto"/>
        </w:rPr>
      </w:pPr>
    </w:p>
    <w:tbl>
      <w:tblPr>
        <w:tblLayout w:type="fixed"/>
        <w:tblInd w:w="60" w:type="dxa"/>
        <w:tblCellMar>
          <w:top w:w="0" w:type="dxa"/>
          <w:left w:w="0" w:type="dxa"/>
          <w:bottom w:w="0" w:type="dxa"/>
          <w:right w:w="0" w:type="dxa"/>
        </w:tblCellMar>
      </w:tblPr>
      <w:tr>
        <w:trPr>
          <w:trHeight w:val="166"/>
        </w:trPr>
        <w:tc>
          <w:tcPr>
            <w:tcW w:w="73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5"/>
          </w:tcPr>
          <w:p>
            <w:pPr>
              <w:spacing w:after="0"/>
              <w:rPr>
                <w:sz w:val="20"/>
                <w:szCs w:val="20"/>
                <w:color w:val="auto"/>
              </w:rPr>
            </w:pPr>
            <w:r>
              <w:rPr>
                <w:rFonts w:ascii="Arial" w:cs="Arial" w:eastAsia="Arial" w:hAnsi="Arial"/>
                <w:sz w:val="13"/>
                <w:szCs w:val="13"/>
                <w:b w:val="1"/>
                <w:bCs w:val="1"/>
                <w:color w:val="auto"/>
                <w:w w:val="85"/>
              </w:rPr>
              <w:t>Years Ended December 31,</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164"/>
        </w:trPr>
        <w:tc>
          <w:tcPr>
            <w:tcW w:w="7320" w:type="dxa"/>
            <w:vAlign w:val="bottom"/>
          </w:tcPr>
          <w:p>
            <w:pPr>
              <w:spacing w:after="0"/>
              <w:rPr>
                <w:sz w:val="20"/>
                <w:szCs w:val="20"/>
                <w:color w:val="auto"/>
              </w:rPr>
            </w:pPr>
            <w:r>
              <w:rPr>
                <w:rFonts w:ascii="Arial" w:cs="Arial" w:eastAsia="Arial" w:hAnsi="Arial"/>
                <w:sz w:val="13"/>
                <w:szCs w:val="13"/>
                <w:b w:val="1"/>
                <w:bCs w:val="1"/>
                <w:color w:val="auto"/>
              </w:rPr>
              <w:t>(in thousands)</w:t>
            </w: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b w:val="1"/>
                <w:bCs w:val="1"/>
                <w:color w:val="auto"/>
              </w:rPr>
              <w:t>2021</w:t>
            </w: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37"/>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17"/>
              <w:spacing w:after="0"/>
              <w:rPr>
                <w:sz w:val="20"/>
                <w:szCs w:val="20"/>
                <w:color w:val="auto"/>
              </w:rPr>
            </w:pPr>
            <w:r>
              <w:rPr>
                <w:rFonts w:ascii="Arial" w:cs="Arial" w:eastAsia="Arial" w:hAnsi="Arial"/>
                <w:sz w:val="13"/>
                <w:szCs w:val="13"/>
                <w:b w:val="1"/>
                <w:bCs w:val="1"/>
                <w:color w:val="auto"/>
              </w:rPr>
              <w:t>2019</w:t>
            </w:r>
          </w:p>
        </w:tc>
      </w:tr>
      <w:tr>
        <w:trPr>
          <w:trHeight w:val="146"/>
        </w:trPr>
        <w:tc>
          <w:tcPr>
            <w:tcW w:w="7320" w:type="dxa"/>
            <w:vAlign w:val="bottom"/>
          </w:tcPr>
          <w:p>
            <w:pPr>
              <w:spacing w:after="0" w:line="144" w:lineRule="exact"/>
              <w:rPr>
                <w:sz w:val="20"/>
                <w:szCs w:val="20"/>
                <w:color w:val="auto"/>
              </w:rPr>
            </w:pPr>
            <w:r>
              <w:rPr>
                <w:rFonts w:ascii="Arial" w:cs="Arial" w:eastAsia="Arial" w:hAnsi="Arial"/>
                <w:sz w:val="13"/>
                <w:szCs w:val="13"/>
                <w:b w:val="1"/>
                <w:bCs w:val="1"/>
                <w:color w:val="auto"/>
              </w:rPr>
              <w:t>Cash flows from operating activities</w:t>
            </w: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67"/>
        </w:trPr>
        <w:tc>
          <w:tcPr>
            <w:tcW w:w="73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Net income</w:t>
            </w:r>
          </w:p>
        </w:tc>
        <w:tc>
          <w:tcPr>
            <w:tcW w:w="260" w:type="dxa"/>
            <w:vAlign w:val="bottom"/>
            <w:shd w:val="clear" w:color="auto" w:fill="CCEEFF"/>
          </w:tcPr>
          <w:p>
            <w:pPr>
              <w:jc w:val="right"/>
              <w:ind w:right="153"/>
              <w:spacing w:after="0"/>
              <w:rPr>
                <w:sz w:val="20"/>
                <w:szCs w:val="20"/>
                <w:color w:val="auto"/>
              </w:rPr>
            </w:pPr>
            <w:r>
              <w:rPr>
                <w:rFonts w:ascii="Arial" w:cs="Arial" w:eastAsia="Arial" w:hAnsi="Arial"/>
                <w:sz w:val="9"/>
                <w:szCs w:val="9"/>
                <w:color w:val="auto"/>
                <w:w w:val="78"/>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827,234</w:t>
            </w:r>
          </w:p>
        </w:tc>
        <w:tc>
          <w:tcPr>
            <w:tcW w:w="400" w:type="dxa"/>
            <w:vAlign w:val="bottom"/>
            <w:gridSpan w:val="3"/>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1,120,913</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(29,419)</w:t>
            </w:r>
          </w:p>
        </w:tc>
      </w:tr>
      <w:tr>
        <w:trPr>
          <w:trHeight w:val="189"/>
        </w:trPr>
        <w:tc>
          <w:tcPr>
            <w:tcW w:w="7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66"/>
        </w:trPr>
        <w:tc>
          <w:tcPr>
            <w:tcW w:w="73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Adjustments to reconcile net income to net cash provided by operating activities:</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3"/>
        </w:trPr>
        <w:tc>
          <w:tcPr>
            <w:tcW w:w="7320" w:type="dxa"/>
            <w:vAlign w:val="bottom"/>
          </w:tcPr>
          <w:p>
            <w:pPr>
              <w:ind w:left="180"/>
              <w:spacing w:after="0"/>
              <w:rPr>
                <w:sz w:val="20"/>
                <w:szCs w:val="20"/>
                <w:color w:val="auto"/>
              </w:rPr>
            </w:pPr>
            <w:r>
              <w:rPr>
                <w:rFonts w:ascii="Arial" w:cs="Arial" w:eastAsia="Arial" w:hAnsi="Arial"/>
                <w:sz w:val="13"/>
                <w:szCs w:val="13"/>
                <w:color w:val="auto"/>
              </w:rPr>
              <w:t>Equity in income of subsidiary, net of tax</w:t>
            </w: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87,055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(543,992)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136,878</w:t>
            </w:r>
          </w:p>
        </w:tc>
      </w:tr>
      <w:tr>
        <w:trPr>
          <w:trHeight w:val="168"/>
        </w:trPr>
        <w:tc>
          <w:tcPr>
            <w:tcW w:w="73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Tax receivable agreement obligation reduction</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4,622</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15,169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54,879</w:t>
            </w:r>
          </w:p>
        </w:tc>
      </w:tr>
      <w:tr>
        <w:trPr>
          <w:trHeight w:val="163"/>
        </w:trPr>
        <w:tc>
          <w:tcPr>
            <w:tcW w:w="7320" w:type="dxa"/>
            <w:vAlign w:val="bottom"/>
          </w:tcPr>
          <w:p>
            <w:pPr>
              <w:ind w:left="180"/>
              <w:spacing w:after="0"/>
              <w:rPr>
                <w:sz w:val="20"/>
                <w:szCs w:val="20"/>
                <w:color w:val="auto"/>
              </w:rPr>
            </w:pPr>
            <w:r>
              <w:rPr>
                <w:rFonts w:ascii="Arial" w:cs="Arial" w:eastAsia="Arial" w:hAnsi="Arial"/>
                <w:sz w:val="13"/>
                <w:szCs w:val="13"/>
                <w:color w:val="auto"/>
              </w:rPr>
              <w:t>Deferred taxes</w:t>
            </w: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36,526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14,243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(8,165)</w:t>
            </w:r>
          </w:p>
        </w:tc>
      </w:tr>
      <w:tr>
        <w:trPr>
          <w:trHeight w:val="168"/>
        </w:trPr>
        <w:tc>
          <w:tcPr>
            <w:tcW w:w="73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Changes in operating assets and liabilities:</w:t>
            </w:r>
          </w:p>
        </w:tc>
        <w:tc>
          <w:tcPr>
            <w:tcW w:w="2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42,086</w:t>
            </w: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(48,566)</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2,339</w:t>
            </w:r>
          </w:p>
        </w:tc>
      </w:tr>
      <w:tr>
        <w:trPr>
          <w:trHeight w:val="155"/>
        </w:trPr>
        <w:tc>
          <w:tcPr>
            <w:tcW w:w="7320" w:type="dxa"/>
            <w:vAlign w:val="bottom"/>
          </w:tcPr>
          <w:p>
            <w:pPr>
              <w:ind w:left="280"/>
              <w:spacing w:after="0" w:line="148" w:lineRule="exact"/>
              <w:rPr>
                <w:sz w:val="20"/>
                <w:szCs w:val="20"/>
                <w:color w:val="auto"/>
              </w:rPr>
            </w:pPr>
            <w:r>
              <w:rPr>
                <w:rFonts w:ascii="Arial" w:cs="Arial" w:eastAsia="Arial" w:hAnsi="Arial"/>
                <w:sz w:val="13"/>
                <w:szCs w:val="13"/>
                <w:color w:val="auto"/>
              </w:rPr>
              <w:t>Net cash provided by operating activities</w:t>
            </w:r>
          </w:p>
        </w:tc>
        <w:tc>
          <w:tcPr>
            <w:tcW w:w="2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997,523</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557,767</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156,512</w:t>
            </w:r>
          </w:p>
        </w:tc>
      </w:tr>
      <w:tr>
        <w:trPr>
          <w:trHeight w:val="192"/>
        </w:trPr>
        <w:tc>
          <w:tcPr>
            <w:tcW w:w="7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65"/>
        </w:trPr>
        <w:tc>
          <w:tcPr>
            <w:tcW w:w="7320" w:type="dxa"/>
            <w:vAlign w:val="bottom"/>
          </w:tcPr>
          <w:p>
            <w:pPr>
              <w:spacing w:after="0"/>
              <w:rPr>
                <w:sz w:val="20"/>
                <w:szCs w:val="20"/>
                <w:color w:val="auto"/>
              </w:rPr>
            </w:pPr>
            <w:r>
              <w:rPr>
                <w:rFonts w:ascii="Arial" w:cs="Arial" w:eastAsia="Arial" w:hAnsi="Arial"/>
                <w:sz w:val="13"/>
                <w:szCs w:val="13"/>
                <w:b w:val="1"/>
                <w:bCs w:val="1"/>
                <w:color w:val="auto"/>
              </w:rPr>
              <w:t>Cash flows from investing activities</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73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Investments in subsidiaries, equity basis</w:t>
            </w:r>
          </w:p>
        </w:tc>
        <w:tc>
          <w:tcPr>
            <w:tcW w:w="2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55,654</w:t>
            </w: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56,629</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70,762</w:t>
            </w:r>
          </w:p>
        </w:tc>
      </w:tr>
      <w:tr>
        <w:trPr>
          <w:trHeight w:val="155"/>
        </w:trPr>
        <w:tc>
          <w:tcPr>
            <w:tcW w:w="7320" w:type="dxa"/>
            <w:vAlign w:val="bottom"/>
          </w:tcPr>
          <w:p>
            <w:pPr>
              <w:ind w:left="280"/>
              <w:spacing w:after="0" w:line="148" w:lineRule="exact"/>
              <w:rPr>
                <w:sz w:val="20"/>
                <w:szCs w:val="20"/>
                <w:color w:val="auto"/>
              </w:rPr>
            </w:pPr>
            <w:r>
              <w:rPr>
                <w:rFonts w:ascii="Arial" w:cs="Arial" w:eastAsia="Arial" w:hAnsi="Arial"/>
                <w:sz w:val="13"/>
                <w:szCs w:val="13"/>
                <w:color w:val="auto"/>
              </w:rPr>
              <w:t>Net cash provided by investing activities</w:t>
            </w:r>
          </w:p>
        </w:tc>
        <w:tc>
          <w:tcPr>
            <w:tcW w:w="2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55,654</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56,629</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70,762</w:t>
            </w:r>
          </w:p>
        </w:tc>
      </w:tr>
      <w:tr>
        <w:trPr>
          <w:trHeight w:val="192"/>
        </w:trPr>
        <w:tc>
          <w:tcPr>
            <w:tcW w:w="7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65"/>
        </w:trPr>
        <w:tc>
          <w:tcPr>
            <w:tcW w:w="7320" w:type="dxa"/>
            <w:vAlign w:val="bottom"/>
          </w:tcPr>
          <w:p>
            <w:pPr>
              <w:spacing w:after="0"/>
              <w:rPr>
                <w:sz w:val="20"/>
                <w:szCs w:val="20"/>
                <w:color w:val="auto"/>
              </w:rPr>
            </w:pPr>
            <w:r>
              <w:rPr>
                <w:rFonts w:ascii="Arial" w:cs="Arial" w:eastAsia="Arial" w:hAnsi="Arial"/>
                <w:sz w:val="13"/>
                <w:szCs w:val="13"/>
                <w:b w:val="1"/>
                <w:bCs w:val="1"/>
                <w:color w:val="auto"/>
              </w:rPr>
              <w:t>Cash flows from financing activities</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73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Dividends to stockholders and distributions from Virtu Financial to noncontrolling interest</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(548,017)</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(484,415)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(211,635)</w:t>
            </w:r>
          </w:p>
        </w:tc>
      </w:tr>
      <w:tr>
        <w:trPr>
          <w:trHeight w:val="163"/>
        </w:trPr>
        <w:tc>
          <w:tcPr>
            <w:tcW w:w="7320" w:type="dxa"/>
            <w:vAlign w:val="bottom"/>
          </w:tcPr>
          <w:p>
            <w:pPr>
              <w:ind w:left="120"/>
              <w:spacing w:after="0"/>
              <w:rPr>
                <w:sz w:val="20"/>
                <w:szCs w:val="20"/>
                <w:color w:val="auto"/>
              </w:rPr>
            </w:pPr>
            <w:r>
              <w:rPr>
                <w:rFonts w:ascii="Arial" w:cs="Arial" w:eastAsia="Arial" w:hAnsi="Arial"/>
                <w:sz w:val="13"/>
                <w:szCs w:val="13"/>
                <w:color w:val="auto"/>
              </w:rPr>
              <w:t>Repurchase of Class C common stock</w:t>
            </w: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(3,454)</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(196)</w:t>
            </w:r>
          </w:p>
        </w:tc>
      </w:tr>
      <w:tr>
        <w:trPr>
          <w:trHeight w:val="168"/>
        </w:trPr>
        <w:tc>
          <w:tcPr>
            <w:tcW w:w="73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Purchase of treasury stock</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(427,454)</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(49,864)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(14,259)</w:t>
            </w:r>
          </w:p>
        </w:tc>
      </w:tr>
      <w:tr>
        <w:trPr>
          <w:trHeight w:val="163"/>
        </w:trPr>
        <w:tc>
          <w:tcPr>
            <w:tcW w:w="7320" w:type="dxa"/>
            <w:vAlign w:val="bottom"/>
          </w:tcPr>
          <w:p>
            <w:pPr>
              <w:ind w:left="120"/>
              <w:spacing w:after="0"/>
              <w:rPr>
                <w:sz w:val="20"/>
                <w:szCs w:val="20"/>
                <w:color w:val="auto"/>
              </w:rPr>
            </w:pPr>
            <w:r>
              <w:rPr>
                <w:rFonts w:ascii="Arial" w:cs="Arial" w:eastAsia="Arial" w:hAnsi="Arial"/>
                <w:sz w:val="13"/>
                <w:szCs w:val="13"/>
                <w:color w:val="auto"/>
              </w:rPr>
              <w:t>Tax receivable agreement obligations</w:t>
            </w: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(16,505)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(13,286)</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73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Issuance of common stock in connection with secondary offering, net of offering costs</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(375)</w:t>
            </w:r>
          </w:p>
        </w:tc>
      </w:tr>
      <w:tr>
        <w:trPr>
          <w:trHeight w:val="155"/>
        </w:trPr>
        <w:tc>
          <w:tcPr>
            <w:tcW w:w="7320" w:type="dxa"/>
            <w:vAlign w:val="bottom"/>
          </w:tcPr>
          <w:p>
            <w:pPr>
              <w:ind w:left="280"/>
              <w:spacing w:after="0" w:line="148" w:lineRule="exact"/>
              <w:rPr>
                <w:sz w:val="20"/>
                <w:szCs w:val="20"/>
                <w:color w:val="auto"/>
              </w:rPr>
            </w:pPr>
            <w:r>
              <w:rPr>
                <w:rFonts w:ascii="Arial" w:cs="Arial" w:eastAsia="Arial" w:hAnsi="Arial"/>
                <w:sz w:val="13"/>
                <w:szCs w:val="13"/>
                <w:color w:val="auto"/>
              </w:rPr>
              <w:t>Net cash used in financing activities</w:t>
            </w: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(995,430)</w:t>
            </w:r>
          </w:p>
        </w:tc>
        <w:tc>
          <w:tcPr>
            <w:tcW w:w="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(547,565)</w:t>
            </w: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(226,465)</w:t>
            </w:r>
          </w:p>
        </w:tc>
      </w:tr>
      <w:tr>
        <w:trPr>
          <w:trHeight w:val="192"/>
        </w:trPr>
        <w:tc>
          <w:tcPr>
            <w:tcW w:w="7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63"/>
        </w:trPr>
        <w:tc>
          <w:tcPr>
            <w:tcW w:w="7320" w:type="dxa"/>
            <w:vAlign w:val="bottom"/>
          </w:tcPr>
          <w:p>
            <w:pPr>
              <w:spacing w:after="0"/>
              <w:rPr>
                <w:sz w:val="20"/>
                <w:szCs w:val="20"/>
                <w:color w:val="auto"/>
              </w:rPr>
            </w:pPr>
            <w:r>
              <w:rPr>
                <w:rFonts w:ascii="Arial" w:cs="Arial" w:eastAsia="Arial" w:hAnsi="Arial"/>
                <w:sz w:val="13"/>
                <w:szCs w:val="13"/>
                <w:color w:val="auto"/>
              </w:rPr>
              <w:t>Net increase (decrease) in Cash</w:t>
            </w: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57,747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66,831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809</w:t>
            </w:r>
          </w:p>
        </w:tc>
      </w:tr>
      <w:tr>
        <w:trPr>
          <w:trHeight w:val="168"/>
        </w:trPr>
        <w:tc>
          <w:tcPr>
            <w:tcW w:w="7320" w:type="dxa"/>
            <w:vAlign w:val="bottom"/>
            <w:shd w:val="clear" w:color="auto" w:fill="CCEEFF"/>
          </w:tcPr>
          <w:p>
            <w:pPr>
              <w:spacing w:after="0"/>
              <w:rPr>
                <w:sz w:val="20"/>
                <w:szCs w:val="20"/>
                <w:color w:val="auto"/>
              </w:rPr>
            </w:pPr>
            <w:r>
              <w:rPr>
                <w:rFonts w:ascii="Arial" w:cs="Arial" w:eastAsia="Arial" w:hAnsi="Arial"/>
                <w:sz w:val="13"/>
                <w:szCs w:val="13"/>
                <w:color w:val="auto"/>
              </w:rPr>
              <w:t>Cash, beginning of period</w:t>
            </w:r>
          </w:p>
        </w:tc>
        <w:tc>
          <w:tcPr>
            <w:tcW w:w="2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71,481</w:t>
            </w: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4,650</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3,841</w:t>
            </w:r>
          </w:p>
        </w:tc>
      </w:tr>
      <w:tr>
        <w:trPr>
          <w:trHeight w:val="158"/>
        </w:trPr>
        <w:tc>
          <w:tcPr>
            <w:tcW w:w="7320" w:type="dxa"/>
            <w:vAlign w:val="bottom"/>
          </w:tcPr>
          <w:p>
            <w:pPr>
              <w:spacing w:after="0"/>
              <w:rPr>
                <w:sz w:val="20"/>
                <w:szCs w:val="20"/>
                <w:color w:val="auto"/>
              </w:rPr>
            </w:pPr>
            <w:r>
              <w:rPr>
                <w:rFonts w:ascii="Arial" w:cs="Arial" w:eastAsia="Arial" w:hAnsi="Arial"/>
                <w:sz w:val="13"/>
                <w:szCs w:val="13"/>
                <w:color w:val="auto"/>
              </w:rPr>
              <w:t>Cash, end of period</w:t>
            </w:r>
          </w:p>
        </w:tc>
        <w:tc>
          <w:tcPr>
            <w:tcW w:w="260" w:type="dxa"/>
            <w:vAlign w:val="bottom"/>
            <w:tcBorders>
              <w:bottom w:val="single" w:sz="8" w:color="auto"/>
            </w:tcBorders>
          </w:tcPr>
          <w:p>
            <w:pPr>
              <w:jc w:val="right"/>
              <w:ind w:right="153"/>
              <w:spacing w:after="0"/>
              <w:rPr>
                <w:sz w:val="20"/>
                <w:szCs w:val="20"/>
                <w:color w:val="auto"/>
              </w:rPr>
            </w:pPr>
            <w:r>
              <w:rPr>
                <w:rFonts w:ascii="Arial" w:cs="Arial" w:eastAsia="Arial" w:hAnsi="Arial"/>
                <w:sz w:val="9"/>
                <w:szCs w:val="9"/>
                <w:color w:val="auto"/>
                <w:w w:val="78"/>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129,228</w:t>
            </w: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71,481</w:t>
            </w:r>
          </w:p>
        </w:tc>
        <w:tc>
          <w:tcPr>
            <w:tcW w:w="100" w:type="dxa"/>
            <w:vAlign w:val="bottom"/>
          </w:tcPr>
          <w:p>
            <w:pPr>
              <w:spacing w:after="0"/>
              <w:rPr>
                <w:sz w:val="13"/>
                <w:szCs w:val="13"/>
                <w:color w:val="auto"/>
              </w:rPr>
            </w:pPr>
          </w:p>
        </w:tc>
        <w:tc>
          <w:tcPr>
            <w:tcW w:w="2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4,650</w:t>
            </w:r>
          </w:p>
        </w:tc>
      </w:tr>
      <w:tr>
        <w:trPr>
          <w:trHeight w:val="20"/>
        </w:trPr>
        <w:tc>
          <w:tcPr>
            <w:tcW w:w="73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53"/>
        </w:trPr>
        <w:tc>
          <w:tcPr>
            <w:tcW w:w="73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65"/>
        </w:trPr>
        <w:tc>
          <w:tcPr>
            <w:tcW w:w="7320" w:type="dxa"/>
            <w:vAlign w:val="bottom"/>
          </w:tcPr>
          <w:p>
            <w:pPr>
              <w:spacing w:after="0"/>
              <w:rPr>
                <w:sz w:val="20"/>
                <w:szCs w:val="20"/>
                <w:color w:val="auto"/>
              </w:rPr>
            </w:pPr>
            <w:r>
              <w:rPr>
                <w:rFonts w:ascii="Arial" w:cs="Arial" w:eastAsia="Arial" w:hAnsi="Arial"/>
                <w:sz w:val="13"/>
                <w:szCs w:val="13"/>
                <w:b w:val="1"/>
                <w:bCs w:val="1"/>
                <w:color w:val="auto"/>
              </w:rPr>
              <w:t>Supplemental disclosure of cash flow information:</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73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Taxes paid</w:t>
            </w:r>
          </w:p>
        </w:tc>
        <w:tc>
          <w:tcPr>
            <w:tcW w:w="260" w:type="dxa"/>
            <w:vAlign w:val="bottom"/>
            <w:shd w:val="clear" w:color="auto" w:fill="CCEEFF"/>
          </w:tcPr>
          <w:p>
            <w:pPr>
              <w:jc w:val="right"/>
              <w:ind w:right="153"/>
              <w:spacing w:after="0"/>
              <w:rPr>
                <w:sz w:val="20"/>
                <w:szCs w:val="20"/>
                <w:color w:val="auto"/>
              </w:rPr>
            </w:pPr>
            <w:r>
              <w:rPr>
                <w:rFonts w:ascii="Arial" w:cs="Arial" w:eastAsia="Arial" w:hAnsi="Arial"/>
                <w:sz w:val="9"/>
                <w:szCs w:val="9"/>
                <w:color w:val="auto"/>
                <w:w w:val="78"/>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78,844</w:t>
            </w:r>
          </w:p>
        </w:tc>
        <w:tc>
          <w:tcPr>
            <w:tcW w:w="400" w:type="dxa"/>
            <w:vAlign w:val="bottom"/>
            <w:gridSpan w:val="3"/>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203,031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1,332</w:t>
            </w:r>
          </w:p>
        </w:tc>
      </w:tr>
      <w:tr>
        <w:trPr>
          <w:trHeight w:val="189"/>
        </w:trPr>
        <w:tc>
          <w:tcPr>
            <w:tcW w:w="7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66"/>
        </w:trPr>
        <w:tc>
          <w:tcPr>
            <w:tcW w:w="73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Non-cash financing activities</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0"/>
        </w:trPr>
        <w:tc>
          <w:tcPr>
            <w:tcW w:w="7320" w:type="dxa"/>
            <w:vAlign w:val="bottom"/>
          </w:tcPr>
          <w:p>
            <w:pPr>
              <w:ind w:left="120"/>
              <w:spacing w:after="0"/>
              <w:rPr>
                <w:sz w:val="20"/>
                <w:szCs w:val="20"/>
                <w:color w:val="auto"/>
              </w:rPr>
            </w:pPr>
            <w:r>
              <w:rPr>
                <w:rFonts w:ascii="Arial" w:cs="Arial" w:eastAsia="Arial" w:hAnsi="Arial"/>
                <w:sz w:val="13"/>
                <w:szCs w:val="13"/>
                <w:color w:val="auto"/>
              </w:rPr>
              <w:t>Tax receivable agreement described in Note 6</w:t>
            </w:r>
          </w:p>
        </w:tc>
        <w:tc>
          <w:tcPr>
            <w:tcW w:w="2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311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(1,388)</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(5,811)</w:t>
            </w:r>
          </w:p>
        </w:tc>
      </w:tr>
    </w:tbl>
    <w:p>
      <w:pPr>
        <w:spacing w:after="0" w:line="3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26. Subsequent Events</w:t>
      </w:r>
    </w:p>
    <w:p>
      <w:pPr>
        <w:spacing w:after="0" w:line="223" w:lineRule="exact"/>
        <w:rPr>
          <w:sz w:val="20"/>
          <w:szCs w:val="20"/>
          <w:color w:val="auto"/>
        </w:rPr>
      </w:pPr>
    </w:p>
    <w:p>
      <w:pPr>
        <w:ind w:right="540" w:firstLine="568"/>
        <w:spacing w:after="0" w:line="341" w:lineRule="auto"/>
        <w:rPr>
          <w:sz w:val="20"/>
          <w:szCs w:val="20"/>
          <w:color w:val="auto"/>
        </w:rPr>
      </w:pPr>
      <w:r>
        <w:rPr>
          <w:rFonts w:ascii="Arial" w:cs="Arial" w:eastAsia="Arial" w:hAnsi="Arial"/>
          <w:sz w:val="14"/>
          <w:szCs w:val="14"/>
          <w:color w:val="auto"/>
        </w:rPr>
        <w:t>The Company has evaluated subsequent events for adjustment to or disclosure in its consolidated financial statements through the date of this report, and has not identified any recordable or disclosable events, not otherwise reported in these consolidated financial statements or the notes thereto, except for the following:</w:t>
      </w:r>
    </w:p>
    <w:p>
      <w:pPr>
        <w:spacing w:after="0" w:line="123" w:lineRule="exact"/>
        <w:rPr>
          <w:sz w:val="20"/>
          <w:szCs w:val="20"/>
          <w:color w:val="auto"/>
        </w:rPr>
      </w:pPr>
    </w:p>
    <w:p>
      <w:pPr>
        <w:ind w:firstLine="568"/>
        <w:spacing w:after="0"/>
        <w:rPr>
          <w:sz w:val="20"/>
          <w:szCs w:val="20"/>
          <w:color w:val="auto"/>
        </w:rPr>
      </w:pPr>
      <w:r>
        <w:rPr>
          <w:rFonts w:ascii="Arial" w:cs="Arial" w:eastAsia="Arial" w:hAnsi="Arial"/>
          <w:sz w:val="15"/>
          <w:szCs w:val="15"/>
          <w:color w:val="auto"/>
        </w:rPr>
        <w:t>On January 13, 2022 ("Credit Agreement Closing Date"), the Company completed issuance of a $1.8 billion senior secured first lien term loan due in 2029 (“New Term Loan”). The Credit Agreement provides (i) a senior secured first lien term loan in an aggregate principal amount of $1.8 billion, drawn in its entirety on the Credit Agreement Closing Date, the proceeds of which were used to repay all amounts outstanding under the First Lien Term Loan Facility, and to pay related fees and expenses, with the remainder of the proceeds to be used to fund share repurchases under the Company’s repurchase program and for general corporate purposes, and (ii) a $250.0 million senior secured first lien revolving facility to VFH, with a $20.0 million letter of credit subfacility and a $20.0 million swingline subfacility.</w:t>
      </w:r>
    </w:p>
    <w:p>
      <w:pPr>
        <w:spacing w:after="0" w:line="191" w:lineRule="exact"/>
        <w:rPr>
          <w:sz w:val="20"/>
          <w:szCs w:val="20"/>
          <w:color w:val="auto"/>
        </w:rPr>
      </w:pPr>
    </w:p>
    <w:p>
      <w:pPr>
        <w:ind w:right="600" w:firstLine="568"/>
        <w:spacing w:after="0" w:line="302" w:lineRule="auto"/>
        <w:rPr>
          <w:sz w:val="20"/>
          <w:szCs w:val="20"/>
          <w:color w:val="auto"/>
        </w:rPr>
      </w:pPr>
      <w:r>
        <w:rPr>
          <w:rFonts w:ascii="Arial" w:cs="Arial" w:eastAsia="Arial" w:hAnsi="Arial"/>
          <w:sz w:val="15"/>
          <w:szCs w:val="15"/>
          <w:color w:val="auto"/>
        </w:rPr>
        <w:t>On February 8, 2022, the Company’s Board of Directors declared a dividend of $0.24 per share of Class A Common Stock and Class B Common Stock and per participating Restricted Stock Unit and Restricted Stock Award that will be paid on March 15, 2022 to holders of record as of March 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3" w:name="page134"/>
    <w:bookmarkEnd w:id="13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 CHANGES IN AND DISAGREEMENTS WITH ACCOUNTANTS ON ACCOUNTING AND FINANCIAL DISCLOSURE</w:t>
      </w:r>
    </w:p>
    <w:p>
      <w:pPr>
        <w:spacing w:after="0" w:line="19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None.</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9A. CONTROLS AND PROCEDURES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223" w:lineRule="exact"/>
        <w:rPr>
          <w:sz w:val="20"/>
          <w:szCs w:val="20"/>
          <w:color w:val="auto"/>
        </w:rPr>
      </w:pPr>
    </w:p>
    <w:p>
      <w:pPr>
        <w:ind w:right="80" w:firstLine="568"/>
        <w:spacing w:after="0" w:line="271" w:lineRule="auto"/>
        <w:rPr>
          <w:sz w:val="20"/>
          <w:szCs w:val="20"/>
          <w:color w:val="auto"/>
        </w:rPr>
      </w:pPr>
      <w:r>
        <w:rPr>
          <w:rFonts w:ascii="Arial" w:cs="Arial" w:eastAsia="Arial" w:hAnsi="Arial"/>
          <w:sz w:val="15"/>
          <w:szCs w:val="15"/>
          <w:color w:val="auto"/>
        </w:rPr>
        <w:t>Under the supervision and with the participation of our Chief Executive Officer and Chief Financial Officer, management has evaluated the effectiveness of the design and operation of our disclosure controls and procedures (as defined in Rules 13a-15(e) or 15d-15(e) of the Securities Exchange Act of 1934, as amended (the “Exchange Act”)) as of December 31, 2021. Based upon that evaluation, our Chief Executive Officer and Chief Financial Officer concluded that, as of December 31, 2021, our disclosure controls and procedures were effective to ensure information required to be disclosed by us in the reports we file or submit under the Exchange Act is recorded, processed, summarized and reported within the periods specified in the SEC’s rules and forms and is accumulated and communicated to our management, including our Chief Executive Officer and Chief Financial Officer, as appropriate to allow timely decisions regarding required disclosure.</w:t>
      </w:r>
    </w:p>
    <w:p>
      <w:pPr>
        <w:spacing w:after="0" w:line="181" w:lineRule="exact"/>
        <w:rPr>
          <w:sz w:val="20"/>
          <w:szCs w:val="20"/>
          <w:color w:val="auto"/>
        </w:rPr>
      </w:pPr>
    </w:p>
    <w:p>
      <w:pPr>
        <w:ind w:firstLine="568"/>
        <w:spacing w:after="0" w:line="294" w:lineRule="auto"/>
        <w:rPr>
          <w:sz w:val="20"/>
          <w:szCs w:val="20"/>
          <w:color w:val="auto"/>
        </w:rPr>
      </w:pPr>
      <w:r>
        <w:rPr>
          <w:rFonts w:ascii="Arial" w:cs="Arial" w:eastAsia="Arial" w:hAnsi="Arial"/>
          <w:sz w:val="14"/>
          <w:szCs w:val="14"/>
          <w:color w:val="auto"/>
        </w:rPr>
        <w:t>Our management, including our Chief Executive Officer and Chief Financial Officer, does not expect that our disclosure controls and procedures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 the Company have been detected. These inherent limitations include the realities that judgments in decision-making can be faulty and that breakdowns can occur because of simple error and mistake. Additionally, controls can be circumvented by the individual acts of some persons, by collusion of two or more people or by management override of controls.</w:t>
      </w:r>
    </w:p>
    <w:p>
      <w:pPr>
        <w:spacing w:after="0" w:line="166" w:lineRule="exact"/>
        <w:rPr>
          <w:sz w:val="20"/>
          <w:szCs w:val="20"/>
          <w:color w:val="auto"/>
        </w:rPr>
      </w:pPr>
    </w:p>
    <w:p>
      <w:pPr>
        <w:ind w:right="100" w:firstLine="568"/>
        <w:spacing w:after="0" w:line="254" w:lineRule="auto"/>
        <w:rPr>
          <w:sz w:val="20"/>
          <w:szCs w:val="20"/>
          <w:color w:val="auto"/>
        </w:rPr>
      </w:pPr>
      <w:r>
        <w:rPr>
          <w:rFonts w:ascii="Arial" w:cs="Arial" w:eastAsia="Arial" w:hAnsi="Arial"/>
          <w:sz w:val="16"/>
          <w:szCs w:val="16"/>
          <w:color w:val="auto"/>
        </w:rPr>
        <w:t>The design of any system of controls also is based in part upon certain assumptions about the likelihood of future events, and there can be no assurance that any design will succeed in achieving its stated goals under all potential future conditions. Over time, a control may become inadequate because of changes in conditions or because the degree of compliance with the policies or procedures may deteriorate. Because of the inherent limitations in a cost-effective control system, misstatements due to error or fraud may occur and may not be detected.</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134" w:name="page135"/>
    <w:bookmarkEnd w:id="13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Management’s Report on Internal Control over Financial Reporting</w:t>
      </w:r>
    </w:p>
    <w:p>
      <w:pPr>
        <w:spacing w:after="0" w:line="223" w:lineRule="exact"/>
        <w:rPr>
          <w:sz w:val="20"/>
          <w:szCs w:val="20"/>
          <w:color w:val="auto"/>
        </w:rPr>
      </w:pPr>
    </w:p>
    <w:p>
      <w:pPr>
        <w:ind w:firstLine="568"/>
        <w:spacing w:after="0" w:line="254" w:lineRule="auto"/>
        <w:rPr>
          <w:sz w:val="20"/>
          <w:szCs w:val="20"/>
          <w:color w:val="auto"/>
        </w:rPr>
      </w:pPr>
      <w:r>
        <w:rPr>
          <w:rFonts w:ascii="Arial" w:cs="Arial" w:eastAsia="Arial" w:hAnsi="Arial"/>
          <w:sz w:val="16"/>
          <w:szCs w:val="16"/>
          <w:color w:val="auto"/>
        </w:rPr>
        <w:t>Management is responsible for establishing and maintaining adequate internal control over financial reporting as defined in Rule 13a-15(f) under the Exchange Act. Our internal control over financial reporting is a process designed to provide reasonable assurance regarding the reliability of financial reporting and the preparation of financial statements for external purposes in accordance with generally accepted accounting principles. Our internal control over financial reporting includes those written policies and procedures that:</w:t>
      </w:r>
    </w:p>
    <w:p>
      <w:pPr>
        <w:spacing w:after="0" w:line="192" w:lineRule="exact"/>
        <w:rPr>
          <w:sz w:val="20"/>
          <w:szCs w:val="20"/>
          <w:color w:val="auto"/>
        </w:rPr>
      </w:pPr>
    </w:p>
    <w:p>
      <w:pPr>
        <w:ind w:left="560" w:hanging="281"/>
        <w:spacing w:after="0"/>
        <w:tabs>
          <w:tab w:leader="none" w:pos="5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assets;</w:t>
      </w:r>
    </w:p>
    <w:p>
      <w:pPr>
        <w:spacing w:after="0" w:line="218" w:lineRule="exact"/>
        <w:rPr>
          <w:rFonts w:ascii="Arial" w:cs="Arial" w:eastAsia="Arial" w:hAnsi="Arial"/>
          <w:sz w:val="16"/>
          <w:szCs w:val="16"/>
          <w:color w:val="auto"/>
        </w:rPr>
      </w:pPr>
    </w:p>
    <w:p>
      <w:pPr>
        <w:ind w:left="560" w:right="60" w:hanging="281"/>
        <w:spacing w:after="0" w:line="268" w:lineRule="auto"/>
        <w:tabs>
          <w:tab w:leader="none" w:pos="556" w:val="left"/>
        </w:tabs>
        <w:numPr>
          <w:ilvl w:val="0"/>
          <w:numId w:val="42"/>
        </w:numPr>
        <w:rPr>
          <w:rFonts w:ascii="Arial" w:cs="Arial" w:eastAsia="Arial" w:hAnsi="Arial"/>
          <w:sz w:val="16"/>
          <w:szCs w:val="16"/>
          <w:color w:val="auto"/>
        </w:rPr>
      </w:pPr>
      <w:r>
        <w:rPr>
          <w:rFonts w:ascii="Arial" w:cs="Arial" w:eastAsia="Arial" w:hAnsi="Arial"/>
          <w:sz w:val="16"/>
          <w:szCs w:val="16"/>
          <w:color w:val="auto"/>
        </w:rPr>
        <w:t>provide reasonable assurance that transactions are recorded as necessary to permit preparation of financial statements in accordance with generally accepted accounting principles;</w:t>
      </w:r>
    </w:p>
    <w:p>
      <w:pPr>
        <w:spacing w:after="0" w:line="181" w:lineRule="exact"/>
        <w:rPr>
          <w:rFonts w:ascii="Arial" w:cs="Arial" w:eastAsia="Arial" w:hAnsi="Arial"/>
          <w:sz w:val="16"/>
          <w:szCs w:val="16"/>
          <w:color w:val="auto"/>
        </w:rPr>
      </w:pPr>
    </w:p>
    <w:p>
      <w:pPr>
        <w:ind w:left="560" w:hanging="281"/>
        <w:spacing w:after="0"/>
        <w:tabs>
          <w:tab w:leader="none" w:pos="5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provide reasonable assurance that receipts and expenditures are being made only in accordance with management and director authorization; and</w:t>
      </w:r>
    </w:p>
    <w:p>
      <w:pPr>
        <w:spacing w:after="0" w:line="218" w:lineRule="exact"/>
        <w:rPr>
          <w:rFonts w:ascii="Arial" w:cs="Arial" w:eastAsia="Arial" w:hAnsi="Arial"/>
          <w:sz w:val="16"/>
          <w:szCs w:val="16"/>
          <w:color w:val="auto"/>
        </w:rPr>
      </w:pPr>
    </w:p>
    <w:p>
      <w:pPr>
        <w:ind w:left="560" w:right="180" w:hanging="281"/>
        <w:spacing w:after="0" w:line="268" w:lineRule="auto"/>
        <w:tabs>
          <w:tab w:leader="none" w:pos="556" w:val="left"/>
        </w:tabs>
        <w:numPr>
          <w:ilvl w:val="0"/>
          <w:numId w:val="42"/>
        </w:numPr>
        <w:rPr>
          <w:rFonts w:ascii="Arial" w:cs="Arial" w:eastAsia="Arial" w:hAnsi="Arial"/>
          <w:sz w:val="16"/>
          <w:szCs w:val="16"/>
          <w:color w:val="auto"/>
        </w:rPr>
      </w:pPr>
      <w:r>
        <w:rPr>
          <w:rFonts w:ascii="Arial" w:cs="Arial" w:eastAsia="Arial" w:hAnsi="Arial"/>
          <w:sz w:val="16"/>
          <w:szCs w:val="16"/>
          <w:color w:val="auto"/>
        </w:rPr>
        <w:t>provide reasonable assurance regarding prevention or timely detection of unauthorized acquisition, use or disposition of assets that could have a material effect on the consolidated financial statements.</w:t>
      </w:r>
    </w:p>
    <w:p>
      <w:pPr>
        <w:spacing w:after="0" w:line="181" w:lineRule="exact"/>
        <w:rPr>
          <w:sz w:val="20"/>
          <w:szCs w:val="20"/>
          <w:color w:val="auto"/>
        </w:rPr>
      </w:pPr>
    </w:p>
    <w:p>
      <w:pPr>
        <w:ind w:firstLine="568"/>
        <w:spacing w:after="0" w:line="257"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0" w:lineRule="exact"/>
        <w:rPr>
          <w:sz w:val="20"/>
          <w:szCs w:val="20"/>
          <w:color w:val="auto"/>
        </w:rPr>
      </w:pPr>
    </w:p>
    <w:p>
      <w:pPr>
        <w:ind w:right="400" w:firstLine="568"/>
        <w:spacing w:after="0" w:line="341" w:lineRule="auto"/>
        <w:rPr>
          <w:sz w:val="20"/>
          <w:szCs w:val="20"/>
          <w:color w:val="auto"/>
        </w:rPr>
      </w:pPr>
      <w:r>
        <w:rPr>
          <w:rFonts w:ascii="Arial" w:cs="Arial" w:eastAsia="Arial" w:hAnsi="Arial"/>
          <w:sz w:val="14"/>
          <w:szCs w:val="14"/>
          <w:color w:val="auto"/>
        </w:rPr>
        <w:t xml:space="preserve">Management assessed the effectiveness of our internal control over financial reporting as of December 31, 2021. In making this assessment, management used the criteria set forth by the Committee of Sponsoring Organizations of the Treadway Commission (COSO) in </w:t>
      </w:r>
      <w:r>
        <w:rPr>
          <w:rFonts w:ascii="Arial" w:cs="Arial" w:eastAsia="Arial" w:hAnsi="Arial"/>
          <w:sz w:val="14"/>
          <w:szCs w:val="14"/>
          <w:i w:val="1"/>
          <w:iCs w:val="1"/>
          <w:color w:val="auto"/>
        </w:rPr>
        <w:t>Internal Control - Integrated Framework (2013)</w:t>
      </w:r>
      <w:r>
        <w:rPr>
          <w:rFonts w:ascii="Arial" w:cs="Arial" w:eastAsia="Arial" w:hAnsi="Arial"/>
          <w:sz w:val="14"/>
          <w:szCs w:val="14"/>
          <w:color w:val="auto"/>
        </w:rPr>
        <w:t>.</w:t>
      </w:r>
    </w:p>
    <w:p>
      <w:pPr>
        <w:spacing w:after="0" w:line="13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Based on this assessment, management determined that as of December 31, 2021, internal control over financial reporting is effective.</w:t>
      </w:r>
    </w:p>
    <w:p>
      <w:pPr>
        <w:spacing w:after="0" w:line="219" w:lineRule="exact"/>
        <w:rPr>
          <w:sz w:val="20"/>
          <w:szCs w:val="20"/>
          <w:color w:val="auto"/>
        </w:rPr>
      </w:pPr>
    </w:p>
    <w:p>
      <w:pPr>
        <w:ind w:right="180" w:firstLine="158"/>
        <w:spacing w:after="0" w:line="268" w:lineRule="auto"/>
        <w:rPr>
          <w:sz w:val="20"/>
          <w:szCs w:val="20"/>
          <w:color w:val="auto"/>
        </w:rPr>
      </w:pPr>
      <w:r>
        <w:rPr>
          <w:rFonts w:ascii="Arial" w:cs="Arial" w:eastAsia="Arial" w:hAnsi="Arial"/>
          <w:sz w:val="16"/>
          <w:szCs w:val="16"/>
          <w:color w:val="auto"/>
        </w:rPr>
        <w:t>PricewaterhouseCoopers LLP has audited our internal control over financial reporting as of December 31, 2021; their report is included in Item 8 “Financial Statements and Supplementary Data” of this Annual Report on Form 10-K.</w:t>
      </w: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to Internal Control over Financial Reporting</w:t>
      </w:r>
    </w:p>
    <w:p>
      <w:pPr>
        <w:spacing w:after="0" w:line="223" w:lineRule="exact"/>
        <w:rPr>
          <w:sz w:val="20"/>
          <w:szCs w:val="20"/>
          <w:color w:val="auto"/>
        </w:rPr>
      </w:pPr>
    </w:p>
    <w:p>
      <w:pPr>
        <w:ind w:right="60" w:firstLine="568"/>
        <w:spacing w:after="0" w:line="268" w:lineRule="auto"/>
        <w:rPr>
          <w:sz w:val="20"/>
          <w:szCs w:val="20"/>
          <w:color w:val="auto"/>
        </w:rPr>
      </w:pPr>
      <w:r>
        <w:rPr>
          <w:rFonts w:ascii="Arial" w:cs="Arial" w:eastAsia="Arial" w:hAnsi="Arial"/>
          <w:sz w:val="16"/>
          <w:szCs w:val="16"/>
          <w:color w:val="auto"/>
        </w:rPr>
        <w:t>No change in our internal control over financial reporting (as defined in Rule 13a-15(f) under the Exchange Act) occurred during the three months ended December 31, 2021 that has or is reasonably likely to materially affect, our internal control over financial reporting.</w:t>
      </w: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135" w:name="page136"/>
    <w:bookmarkEnd w:id="13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9B. OTHER INFORMATION</w:t>
      </w:r>
    </w:p>
    <w:p>
      <w:pPr>
        <w:spacing w:after="0" w:line="22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91" w:lineRule="exact"/>
        <w:rPr>
          <w:sz w:val="20"/>
          <w:szCs w:val="20"/>
          <w:color w:val="auto"/>
        </w:rPr>
      </w:pPr>
    </w:p>
    <w:p>
      <w:pPr>
        <w:jc w:val="right"/>
        <w:ind w:right="4399"/>
        <w:spacing w:after="0"/>
        <w:rPr>
          <w:sz w:val="20"/>
          <w:szCs w:val="20"/>
          <w:color w:val="auto"/>
        </w:rPr>
      </w:pPr>
      <w:r>
        <w:rPr>
          <w:rFonts w:ascii="Arial" w:cs="Arial" w:eastAsia="Arial" w:hAnsi="Arial"/>
          <w:sz w:val="16"/>
          <w:szCs w:val="16"/>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139"/>
          </w:cols>
          <w:pgMar w:left="320" w:top="127" w:right="1440" w:bottom="1440" w:gutter="0" w:footer="0" w:header="0"/>
        </w:sectPr>
      </w:pPr>
    </w:p>
    <w:bookmarkStart w:id="136" w:name="page137"/>
    <w:bookmarkEnd w:id="13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ind w:right="4199"/>
        <w:spacing w:after="0"/>
        <w:rPr>
          <w:sz w:val="20"/>
          <w:szCs w:val="20"/>
          <w:color w:val="auto"/>
        </w:rPr>
      </w:pPr>
      <w:r>
        <w:rPr>
          <w:rFonts w:ascii="Arial" w:cs="Arial" w:eastAsia="Arial" w:hAnsi="Arial"/>
          <w:sz w:val="16"/>
          <w:szCs w:val="16"/>
          <w:b w:val="1"/>
          <w:bCs w:val="1"/>
          <w:color w:val="auto"/>
        </w:rPr>
        <w:t>PART III</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139"/>
          </w:cols>
          <w:pgMar w:left="320" w:top="127" w:right="1440" w:bottom="1440" w:gutter="0" w:footer="0" w:header="0"/>
        </w:sectPr>
      </w:pPr>
    </w:p>
    <w:bookmarkStart w:id="137" w:name="page138"/>
    <w:bookmarkEnd w:id="13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 DIRECTORS, EXECUTIVE OFFICERS, AND CORPORATE GOVERNANCE</w:t>
      </w:r>
    </w:p>
    <w:p>
      <w:pPr>
        <w:spacing w:after="0" w:line="223" w:lineRule="exact"/>
        <w:rPr>
          <w:sz w:val="20"/>
          <w:szCs w:val="20"/>
          <w:color w:val="auto"/>
        </w:rPr>
      </w:pPr>
    </w:p>
    <w:p>
      <w:pPr>
        <w:jc w:val="both"/>
        <w:ind w:firstLine="568"/>
        <w:spacing w:after="0" w:line="311" w:lineRule="auto"/>
        <w:rPr>
          <w:sz w:val="20"/>
          <w:szCs w:val="20"/>
          <w:color w:val="auto"/>
        </w:rPr>
      </w:pPr>
      <w:r>
        <w:rPr>
          <w:rFonts w:ascii="Arial" w:cs="Arial" w:eastAsia="Arial" w:hAnsi="Arial"/>
          <w:sz w:val="14"/>
          <w:szCs w:val="14"/>
          <w:color w:val="auto"/>
        </w:rPr>
        <w:t>Information with respect to this Item will be set forth in our 2022 Proxy Statement, which will be filed with the Securities and Exchange Commission no later than 120 days after December 31, 2021. For the limited purpose of providing the information necessary to comply with this Item 10, the 2022 Proxy Statement is incorporated herein by this reference. All references to the 2022 Proxy Statement in this Part III are exclusive of the information set forth under the caption “Audit Committee Report.”</w:t>
      </w:r>
    </w:p>
    <w:p>
      <w:pPr>
        <w:spacing w:after="0" w:line="155" w:lineRule="exact"/>
        <w:rPr>
          <w:sz w:val="20"/>
          <w:szCs w:val="20"/>
          <w:color w:val="auto"/>
        </w:rPr>
      </w:pPr>
    </w:p>
    <w:p>
      <w:pPr>
        <w:jc w:val="both"/>
        <w:ind w:right="340" w:firstLine="568"/>
        <w:spacing w:after="0" w:line="283" w:lineRule="auto"/>
        <w:rPr>
          <w:sz w:val="20"/>
          <w:szCs w:val="20"/>
          <w:color w:val="auto"/>
        </w:rPr>
      </w:pPr>
      <w:r>
        <w:rPr>
          <w:rFonts w:ascii="Arial" w:cs="Arial" w:eastAsia="Arial" w:hAnsi="Arial"/>
          <w:sz w:val="15"/>
          <w:szCs w:val="15"/>
          <w:color w:val="auto"/>
        </w:rPr>
        <w:t>Our Board of Directors has adopted a Code of Business Conduct and Ethics applicable to all officers, directors and employees, which is available on our website (www.virtu.com) under “Corporate Governance.” We intend to satisfy the disclosure requirement under Item 5.05 of Form 8-K regarding amendment to, or waiver from, a provision of our Code of Business Conduct and Ethics by posting such information on our website at the address and location specified above.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20"/>
          </w:cols>
          <w:pgMar w:left="320" w:top="127" w:right="459" w:bottom="1440" w:gutter="0" w:footer="0" w:header="0"/>
        </w:sectPr>
      </w:pPr>
    </w:p>
    <w:bookmarkStart w:id="138" w:name="page139"/>
    <w:bookmarkEnd w:id="13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11. EXECUTIVE COMPENSATION</w:t>
      </w:r>
    </w:p>
    <w:p>
      <w:pPr>
        <w:spacing w:after="0" w:line="223" w:lineRule="exact"/>
        <w:rPr>
          <w:sz w:val="20"/>
          <w:szCs w:val="20"/>
          <w:color w:val="auto"/>
        </w:rPr>
      </w:pPr>
    </w:p>
    <w:p>
      <w:pPr>
        <w:jc w:val="both"/>
        <w:ind w:firstLine="568"/>
        <w:spacing w:after="0" w:line="257" w:lineRule="auto"/>
        <w:rPr>
          <w:sz w:val="20"/>
          <w:szCs w:val="20"/>
          <w:color w:val="auto"/>
        </w:rPr>
      </w:pPr>
      <w:r>
        <w:rPr>
          <w:rFonts w:ascii="Arial" w:cs="Arial" w:eastAsia="Arial" w:hAnsi="Arial"/>
          <w:sz w:val="16"/>
          <w:szCs w:val="16"/>
          <w:color w:val="auto"/>
        </w:rPr>
        <w:t>Information with respect to this Item will be set forth in our 2022 Proxy Statement, which will be filed with the Securities and Exchange Commission no later than 120 days after December 31, 2021. For the limited purpose of providing the information necessary to comply with this Item 11, the 2022 Proxy Statement is incorporated herein by this reference.</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20"/>
          </w:cols>
          <w:pgMar w:left="320" w:top="127" w:right="459" w:bottom="1440" w:gutter="0" w:footer="0" w:header="0"/>
        </w:sectPr>
      </w:pPr>
    </w:p>
    <w:bookmarkStart w:id="139" w:name="page140"/>
    <w:bookmarkEnd w:id="13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12. SECURITY OWNERSHIP OF CERTAIN BENEFICIAL OWNERS AND MANAGEMENT AND RELATED STOCKHOLDER MATTERS</w:t>
      </w:r>
    </w:p>
    <w:p>
      <w:pPr>
        <w:spacing w:after="0" w:line="223" w:lineRule="exact"/>
        <w:rPr>
          <w:sz w:val="20"/>
          <w:szCs w:val="20"/>
          <w:color w:val="auto"/>
        </w:rPr>
      </w:pPr>
    </w:p>
    <w:p>
      <w:pPr>
        <w:jc w:val="both"/>
        <w:ind w:firstLine="568"/>
        <w:spacing w:after="0" w:line="257" w:lineRule="auto"/>
        <w:rPr>
          <w:sz w:val="20"/>
          <w:szCs w:val="20"/>
          <w:color w:val="auto"/>
        </w:rPr>
      </w:pPr>
      <w:r>
        <w:rPr>
          <w:rFonts w:ascii="Arial" w:cs="Arial" w:eastAsia="Arial" w:hAnsi="Arial"/>
          <w:sz w:val="16"/>
          <w:szCs w:val="16"/>
          <w:color w:val="auto"/>
        </w:rPr>
        <w:t>Information with respect to this Item will be set forth in our 2022 Proxy Statement, which will be filed with the Securities and Exchange Commission no later than 120 days after December 31, 2021. For the limited purpose of providing the information necessary to comply with this Item 12, the 2022 Proxy Statement is incorporated herein by this reference.</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20"/>
          </w:cols>
          <w:pgMar w:left="320" w:top="127" w:right="459" w:bottom="1440" w:gutter="0" w:footer="0" w:header="0"/>
        </w:sectPr>
      </w:pPr>
    </w:p>
    <w:bookmarkStart w:id="140" w:name="page141"/>
    <w:bookmarkEnd w:id="14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13. CERTAIN RELATIONSHIPS AND RELATED TRANSACTIONS, AND DIRECTOR INDEPENDENCE</w:t>
      </w:r>
    </w:p>
    <w:p>
      <w:pPr>
        <w:spacing w:after="0" w:line="223" w:lineRule="exact"/>
        <w:rPr>
          <w:sz w:val="20"/>
          <w:szCs w:val="20"/>
          <w:color w:val="auto"/>
        </w:rPr>
      </w:pPr>
    </w:p>
    <w:p>
      <w:pPr>
        <w:jc w:val="both"/>
        <w:ind w:firstLine="568"/>
        <w:spacing w:after="0" w:line="257" w:lineRule="auto"/>
        <w:rPr>
          <w:sz w:val="20"/>
          <w:szCs w:val="20"/>
          <w:color w:val="auto"/>
        </w:rPr>
      </w:pPr>
      <w:r>
        <w:rPr>
          <w:rFonts w:ascii="Arial" w:cs="Arial" w:eastAsia="Arial" w:hAnsi="Arial"/>
          <w:sz w:val="16"/>
          <w:szCs w:val="16"/>
          <w:color w:val="auto"/>
        </w:rPr>
        <w:t>Information with respect to this Item will be set forth in our 2022 Proxy Statement, which will be filed with the Securities and Exchange Commission no later than 120 days after December 31, 2021. For the limited purpose of providing the information necessary to comply with this Item 13, the 2022 Proxy Statement is incorporated herein by this reference.</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20"/>
          </w:cols>
          <w:pgMar w:left="320" w:top="127" w:right="459" w:bottom="1440" w:gutter="0" w:footer="0" w:header="0"/>
        </w:sectPr>
      </w:pPr>
    </w:p>
    <w:bookmarkStart w:id="141" w:name="page142"/>
    <w:bookmarkEnd w:id="14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14. PRINCIPAL ACCOUNTANT FEES AND SERVICES</w:t>
      </w:r>
    </w:p>
    <w:p>
      <w:pPr>
        <w:spacing w:after="0" w:line="223" w:lineRule="exact"/>
        <w:rPr>
          <w:sz w:val="20"/>
          <w:szCs w:val="20"/>
          <w:color w:val="auto"/>
        </w:rPr>
      </w:pPr>
    </w:p>
    <w:p>
      <w:pPr>
        <w:jc w:val="both"/>
        <w:ind w:firstLine="568"/>
        <w:spacing w:after="0" w:line="257" w:lineRule="auto"/>
        <w:rPr>
          <w:sz w:val="20"/>
          <w:szCs w:val="20"/>
          <w:color w:val="auto"/>
        </w:rPr>
      </w:pPr>
      <w:r>
        <w:rPr>
          <w:rFonts w:ascii="Arial" w:cs="Arial" w:eastAsia="Arial" w:hAnsi="Arial"/>
          <w:sz w:val="16"/>
          <w:szCs w:val="16"/>
          <w:color w:val="auto"/>
        </w:rPr>
        <w:t>Information with respect to this Item will be set forth in our 2022 Proxy Statement, which will be filed with the Securities and Exchange Commission no later than 120 days after December 31, 2021. For the limited purpose of providing the information necessary to comply with this Item 14, the 2022 Proxy Statement is incorporated herein by this reference.</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20"/>
          </w:cols>
          <w:pgMar w:left="320" w:top="127" w:right="459" w:bottom="1440" w:gutter="0" w:footer="0" w:header="0"/>
        </w:sectPr>
      </w:pPr>
    </w:p>
    <w:bookmarkStart w:id="142" w:name="page143"/>
    <w:bookmarkEnd w:id="14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40" w:type="dxa"/>
            <w:vAlign w:val="bottom"/>
            <w:gridSpan w:val="27"/>
          </w:tcPr>
          <w:p>
            <w:pPr>
              <w:ind w:left="1120"/>
              <w:spacing w:after="0"/>
              <w:rPr>
                <w:sz w:val="20"/>
                <w:szCs w:val="20"/>
                <w:color w:val="auto"/>
              </w:rPr>
            </w:pPr>
            <w:r>
              <w:rPr>
                <w:rFonts w:ascii="Arial" w:cs="Arial" w:eastAsia="Arial" w:hAnsi="Arial"/>
                <w:sz w:val="16"/>
                <w:szCs w:val="16"/>
                <w:b w:val="1"/>
                <w:bCs w:val="1"/>
                <w:color w:val="auto"/>
              </w:rPr>
              <w:t>PART IV</w:t>
            </w:r>
          </w:p>
        </w:tc>
        <w:tc>
          <w:tcPr>
            <w:tcW w:w="0" w:type="dxa"/>
            <w:vAlign w:val="bottom"/>
          </w:tcPr>
          <w:p>
            <w:pPr>
              <w:spacing w:after="0"/>
              <w:rPr>
                <w:sz w:val="1"/>
                <w:szCs w:val="1"/>
                <w:color w:val="auto"/>
              </w:rPr>
            </w:pPr>
          </w:p>
        </w:tc>
      </w:tr>
      <w:tr>
        <w:trPr>
          <w:trHeight w:val="497"/>
        </w:trPr>
        <w:tc>
          <w:tcPr>
            <w:tcW w:w="1980" w:type="dxa"/>
            <w:vAlign w:val="bottom"/>
            <w:gridSpan w:val="2"/>
          </w:tcPr>
          <w:p>
            <w:pPr>
              <w:spacing w:after="0"/>
              <w:rPr>
                <w:sz w:val="20"/>
                <w:szCs w:val="20"/>
                <w:color w:val="auto"/>
              </w:rPr>
            </w:pPr>
            <w:r>
              <w:rPr>
                <w:rFonts w:ascii="Arial" w:cs="Arial" w:eastAsia="Arial" w:hAnsi="Arial"/>
                <w:sz w:val="16"/>
                <w:szCs w:val="16"/>
                <w:b w:val="1"/>
                <w:bCs w:val="1"/>
                <w:color w:val="auto"/>
              </w:rPr>
              <w:t>ITEM 15. EXHIBITS</w:t>
            </w: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980" w:type="dxa"/>
            <w:vAlign w:val="bottom"/>
            <w:gridSpan w:val="2"/>
          </w:tcPr>
          <w:p>
            <w:pPr>
              <w:ind w:left="20"/>
              <w:spacing w:after="0"/>
              <w:rPr>
                <w:sz w:val="20"/>
                <w:szCs w:val="20"/>
                <w:color w:val="auto"/>
              </w:rPr>
            </w:pPr>
            <w:r>
              <w:rPr>
                <w:rFonts w:ascii="Arial" w:cs="Arial" w:eastAsia="Arial" w:hAnsi="Arial"/>
                <w:sz w:val="13"/>
                <w:szCs w:val="13"/>
                <w:b w:val="1"/>
                <w:bCs w:val="1"/>
                <w:color w:val="auto"/>
              </w:rPr>
              <w:t>Exhibit Number</w:t>
            </w: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140" w:type="dxa"/>
            <w:vAlign w:val="bottom"/>
            <w:gridSpan w:val="25"/>
          </w:tcPr>
          <w:p>
            <w:pPr>
              <w:ind w:left="180"/>
              <w:spacing w:after="0"/>
              <w:rPr>
                <w:sz w:val="20"/>
                <w:szCs w:val="20"/>
                <w:color w:val="auto"/>
              </w:rPr>
            </w:pPr>
            <w:r>
              <w:rPr>
                <w:rFonts w:ascii="Arial" w:cs="Arial" w:eastAsia="Arial" w:hAnsi="Arial"/>
                <w:sz w:val="13"/>
                <w:szCs w:val="13"/>
                <w:b w:val="1"/>
                <w:bCs w:val="1"/>
                <w:color w:val="auto"/>
              </w:rPr>
              <w:t>Description</w:t>
            </w:r>
          </w:p>
        </w:tc>
        <w:tc>
          <w:tcPr>
            <w:tcW w:w="0" w:type="dxa"/>
            <w:vAlign w:val="bottom"/>
          </w:tcPr>
          <w:p>
            <w:pPr>
              <w:spacing w:after="0"/>
              <w:rPr>
                <w:sz w:val="1"/>
                <w:szCs w:val="1"/>
                <w:color w:val="auto"/>
              </w:rPr>
            </w:pPr>
          </w:p>
        </w:tc>
      </w:tr>
      <w:tr>
        <w:trPr>
          <w:trHeight w:val="162"/>
        </w:trPr>
        <w:tc>
          <w:tcPr>
            <w:tcW w:w="1440" w:type="dxa"/>
            <w:vAlign w:val="bottom"/>
            <w:tcBorders>
              <w:top w:val="single" w:sz="8" w:color="auto"/>
            </w:tcBorders>
          </w:tcPr>
          <w:p>
            <w:pPr>
              <w:ind w:left="20"/>
              <w:spacing w:after="0" w:line="162" w:lineRule="exact"/>
              <w:rPr>
                <w:sz w:val="20"/>
                <w:szCs w:val="20"/>
                <w:color w:val="auto"/>
              </w:rPr>
            </w:pPr>
            <w:r>
              <w:rPr>
                <w:rFonts w:ascii="Arial" w:cs="Arial" w:eastAsia="Arial" w:hAnsi="Arial"/>
                <w:sz w:val="16"/>
                <w:szCs w:val="16"/>
                <w:color w:val="auto"/>
              </w:rPr>
              <w:t>2.1</w:t>
            </w:r>
          </w:p>
        </w:tc>
        <w:tc>
          <w:tcPr>
            <w:tcW w:w="540" w:type="dxa"/>
            <w:vAlign w:val="bottom"/>
          </w:tcPr>
          <w:p>
            <w:pPr>
              <w:spacing w:after="0"/>
              <w:rPr>
                <w:sz w:val="14"/>
                <w:szCs w:val="14"/>
                <w:color w:val="auto"/>
              </w:rPr>
            </w:pPr>
          </w:p>
        </w:tc>
        <w:tc>
          <w:tcPr>
            <w:tcW w:w="8560" w:type="dxa"/>
            <w:vAlign w:val="bottom"/>
            <w:tcBorders>
              <w:top w:val="single" w:sz="8" w:color="auto"/>
              <w:bottom w:val="single" w:sz="8" w:color="0000FF"/>
            </w:tcBorders>
            <w:gridSpan w:val="13"/>
          </w:tcPr>
          <w:p>
            <w:pPr>
              <w:spacing w:after="0" w:line="162" w:lineRule="exact"/>
              <w:rPr>
                <w:rFonts w:ascii="Arial" w:cs="Arial" w:eastAsia="Arial" w:hAnsi="Arial"/>
                <w:sz w:val="16"/>
                <w:szCs w:val="16"/>
                <w:color w:val="0000FF"/>
                <w:w w:val="91"/>
              </w:rPr>
            </w:pPr>
            <w:hyperlink r:id="rId169">
              <w:r>
                <w:rPr>
                  <w:rFonts w:ascii="Arial" w:cs="Arial" w:eastAsia="Arial" w:hAnsi="Arial"/>
                  <w:sz w:val="16"/>
                  <w:szCs w:val="16"/>
                  <w:color w:val="0000FF"/>
                  <w:w w:val="91"/>
                </w:rPr>
                <w:t>Reorganization Agreement, dated April 15, 2015, by and among Virtu Financial, Inc., Virtu Financial Merger Sub LLC, Virtu Financial</w:t>
              </w:r>
            </w:hyperlink>
          </w:p>
        </w:tc>
        <w:tc>
          <w:tcPr>
            <w:tcW w:w="700" w:type="dxa"/>
            <w:vAlign w:val="bottom"/>
            <w:tcBorders>
              <w:top w:val="single" w:sz="8" w:color="auto"/>
            </w:tcBorders>
            <w:gridSpan w:val="18"/>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1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60" w:type="dxa"/>
            <w:vAlign w:val="bottom"/>
            <w:gridSpan w:val="31"/>
          </w:tcPr>
          <w:p>
            <w:pPr>
              <w:spacing w:after="0" w:line="134" w:lineRule="exact"/>
              <w:rPr>
                <w:rFonts w:ascii="Arial" w:cs="Arial" w:eastAsia="Arial" w:hAnsi="Arial"/>
                <w:sz w:val="15"/>
                <w:szCs w:val="15"/>
                <w:color w:val="0000FF"/>
                <w:w w:val="99"/>
              </w:rPr>
            </w:pPr>
            <w:hyperlink r:id="rId169">
              <w:r>
                <w:rPr>
                  <w:rFonts w:ascii="Arial" w:cs="Arial" w:eastAsia="Arial" w:hAnsi="Arial"/>
                  <w:sz w:val="15"/>
                  <w:szCs w:val="15"/>
                  <w:color w:val="0000FF"/>
                  <w:w w:val="99"/>
                </w:rPr>
                <w:t>Intermediate Holdings LLC, Virtu Financial Merger Sub II LLC, Virtu Financial Intermediate Holdings II LLC, Virtu Financial LLC, VFH Parent</w:t>
              </w:r>
            </w:hyperlink>
          </w:p>
        </w:tc>
        <w:tc>
          <w:tcPr>
            <w:tcW w:w="0" w:type="dxa"/>
            <w:vAlign w:val="bottom"/>
          </w:tcPr>
          <w:p>
            <w:pPr>
              <w:spacing w:after="0"/>
              <w:rPr>
                <w:sz w:val="1"/>
                <w:szCs w:val="1"/>
                <w:color w:val="auto"/>
              </w:rPr>
            </w:pPr>
          </w:p>
        </w:tc>
      </w:tr>
      <w:tr>
        <w:trPr>
          <w:trHeight w:val="134"/>
        </w:trPr>
        <w:tc>
          <w:tcPr>
            <w:tcW w:w="1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40" w:type="dxa"/>
            <w:vAlign w:val="bottom"/>
            <w:tcBorders>
              <w:top w:val="single" w:sz="8" w:color="0000FF"/>
            </w:tcBorders>
            <w:gridSpan w:val="30"/>
          </w:tcPr>
          <w:p>
            <w:pPr>
              <w:spacing w:after="0" w:line="134" w:lineRule="exact"/>
              <w:rPr>
                <w:rFonts w:ascii="Arial" w:cs="Arial" w:eastAsia="Arial" w:hAnsi="Arial"/>
                <w:sz w:val="15"/>
                <w:szCs w:val="15"/>
                <w:color w:val="0000FF"/>
                <w:w w:val="98"/>
              </w:rPr>
            </w:pPr>
            <w:hyperlink r:id="rId169">
              <w:r>
                <w:rPr>
                  <w:rFonts w:ascii="Arial" w:cs="Arial" w:eastAsia="Arial" w:hAnsi="Arial"/>
                  <w:sz w:val="15"/>
                  <w:szCs w:val="15"/>
                  <w:color w:val="0000FF"/>
                  <w:w w:val="98"/>
                </w:rPr>
                <w:t>LLC, SLP Virtu Investors, LLC, SLP III EW Feeder I, L.P., SLP III EW Feeder II, L.P., Silver Lake Technology Associates III, L.P., SLP III EW</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180" w:type="dxa"/>
            <w:vAlign w:val="bottom"/>
            <w:tcBorders>
              <w:top w:val="single" w:sz="8" w:color="0000FF"/>
            </w:tcBorders>
            <w:gridSpan w:val="27"/>
          </w:tcPr>
          <w:p>
            <w:pPr>
              <w:spacing w:after="0" w:line="134" w:lineRule="exact"/>
              <w:rPr>
                <w:rFonts w:ascii="Arial" w:cs="Arial" w:eastAsia="Arial" w:hAnsi="Arial"/>
                <w:sz w:val="15"/>
                <w:szCs w:val="15"/>
                <w:color w:val="0000FF"/>
                <w:w w:val="98"/>
              </w:rPr>
            </w:pPr>
            <w:hyperlink r:id="rId169">
              <w:r>
                <w:rPr>
                  <w:rFonts w:ascii="Arial" w:cs="Arial" w:eastAsia="Arial" w:hAnsi="Arial"/>
                  <w:sz w:val="15"/>
                  <w:szCs w:val="15"/>
                  <w:color w:val="0000FF"/>
                  <w:w w:val="98"/>
                </w:rPr>
                <w:t>Feeder LLC, Havelock Fund Investments Pte Ltd., Wilbur Investments LLC, VV Investment LLC, Virtu East MIP LLC, Virtu Employee Holdco</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160" w:type="dxa"/>
            <w:vAlign w:val="bottom"/>
            <w:tcBorders>
              <w:top w:val="single" w:sz="8" w:color="0000FF"/>
            </w:tcBorders>
            <w:gridSpan w:val="26"/>
          </w:tcPr>
          <w:p>
            <w:pPr>
              <w:spacing w:after="0" w:line="134" w:lineRule="exact"/>
              <w:rPr>
                <w:rFonts w:ascii="Arial" w:cs="Arial" w:eastAsia="Arial" w:hAnsi="Arial"/>
                <w:sz w:val="15"/>
                <w:szCs w:val="15"/>
                <w:color w:val="0000FF"/>
              </w:rPr>
            </w:pPr>
            <w:hyperlink r:id="rId169">
              <w:r>
                <w:rPr>
                  <w:rFonts w:ascii="Arial" w:cs="Arial" w:eastAsia="Arial" w:hAnsi="Arial"/>
                  <w:sz w:val="15"/>
                  <w:szCs w:val="15"/>
                  <w:color w:val="0000FF"/>
                </w:rPr>
                <w:t>LLC, TJMT Holdings LLC (f/k/a Virtu Holdings LLC), Virtu Financial Holdings LLC and the Other Class A Members named therein</w:t>
              </w:r>
            </w:hyperlink>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80" w:type="dxa"/>
            <w:vAlign w:val="bottom"/>
            <w:tcBorders>
              <w:top w:val="single" w:sz="8" w:color="0000FF"/>
            </w:tcBorders>
            <w:gridSpan w:val="11"/>
          </w:tcPr>
          <w:p>
            <w:pPr>
              <w:spacing w:after="0" w:line="134" w:lineRule="exact"/>
              <w:rPr>
                <w:rFonts w:ascii="Arial" w:cs="Arial" w:eastAsia="Arial" w:hAnsi="Arial"/>
                <w:sz w:val="15"/>
                <w:szCs w:val="15"/>
                <w:color w:val="0000FF"/>
                <w:w w:val="95"/>
              </w:rPr>
            </w:pPr>
            <w:hyperlink r:id="rId169">
              <w:r>
                <w:rPr>
                  <w:rFonts w:ascii="Arial" w:cs="Arial" w:eastAsia="Arial" w:hAnsi="Arial"/>
                  <w:sz w:val="15"/>
                  <w:szCs w:val="15"/>
                  <w:color w:val="0000FF"/>
                  <w:w w:val="95"/>
                </w:rPr>
                <w:t>(incorporated herein by reference to Exhibit 2.1 to the Company’s Quarterly Report on Form 10-Q, as amended (File No. 001-37352),</w:t>
              </w:r>
            </w:hyperlink>
          </w:p>
        </w:tc>
        <w:tc>
          <w:tcPr>
            <w:tcW w:w="780" w:type="dxa"/>
            <w:vAlign w:val="bottom"/>
            <w:gridSpan w:val="20"/>
          </w:tcPr>
          <w:p>
            <w:pPr>
              <w:ind w:left="20"/>
              <w:spacing w:after="0" w:line="134" w:lineRule="exact"/>
              <w:rPr>
                <w:rFonts w:ascii="Arial" w:cs="Arial" w:eastAsia="Arial" w:hAnsi="Arial"/>
                <w:sz w:val="15"/>
                <w:szCs w:val="15"/>
                <w:color w:val="0000FF"/>
              </w:rPr>
            </w:pPr>
            <w:hyperlink r:id="rId169">
              <w:r>
                <w:rPr>
                  <w:rFonts w:ascii="Arial" w:cs="Arial" w:eastAsia="Arial" w:hAnsi="Arial"/>
                  <w:sz w:val="15"/>
                  <w:szCs w:val="15"/>
                  <w:color w:val="0000FF"/>
                </w:rPr>
                <w:t>filed on</w:t>
              </w:r>
            </w:hyperlink>
          </w:p>
        </w:tc>
        <w:tc>
          <w:tcPr>
            <w:tcW w:w="0" w:type="dxa"/>
            <w:vAlign w:val="bottom"/>
          </w:tcPr>
          <w:p>
            <w:pPr>
              <w:spacing w:after="0"/>
              <w:rPr>
                <w:sz w:val="1"/>
                <w:szCs w:val="1"/>
                <w:color w:val="auto"/>
              </w:rPr>
            </w:pPr>
          </w:p>
        </w:tc>
      </w:tr>
      <w:tr>
        <w:trPr>
          <w:trHeight w:val="134"/>
        </w:trPr>
        <w:tc>
          <w:tcPr>
            <w:tcW w:w="1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0" w:type="dxa"/>
            <w:vAlign w:val="bottom"/>
            <w:tcBorders>
              <w:top w:val="single" w:sz="8" w:color="0000FF"/>
            </w:tcBorders>
            <w:gridSpan w:val="19"/>
          </w:tcPr>
          <w:p>
            <w:pPr>
              <w:spacing w:after="0" w:line="134" w:lineRule="exact"/>
              <w:rPr>
                <w:rFonts w:ascii="Arial" w:cs="Arial" w:eastAsia="Arial" w:hAnsi="Arial"/>
                <w:sz w:val="15"/>
                <w:szCs w:val="15"/>
                <w:color w:val="0000FF"/>
              </w:rPr>
            </w:pPr>
            <w:hyperlink r:id="rId169">
              <w:r>
                <w:rPr>
                  <w:rFonts w:ascii="Arial" w:cs="Arial" w:eastAsia="Arial" w:hAnsi="Arial"/>
                  <w:sz w:val="15"/>
                  <w:szCs w:val="15"/>
                  <w:color w:val="0000FF"/>
                </w:rPr>
                <w:t>May 29, 2015).</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440" w:type="dxa"/>
            <w:vAlign w:val="bottom"/>
          </w:tcPr>
          <w:p>
            <w:pPr>
              <w:ind w:left="20"/>
              <w:spacing w:after="0" w:line="181" w:lineRule="exact"/>
              <w:rPr>
                <w:sz w:val="20"/>
                <w:szCs w:val="20"/>
                <w:color w:val="auto"/>
              </w:rPr>
            </w:pPr>
            <w:r>
              <w:rPr>
                <w:rFonts w:ascii="Arial" w:cs="Arial" w:eastAsia="Arial" w:hAnsi="Arial"/>
                <w:sz w:val="16"/>
                <w:szCs w:val="16"/>
                <w:color w:val="auto"/>
              </w:rPr>
              <w:t>2.2</w:t>
            </w:r>
          </w:p>
        </w:tc>
        <w:tc>
          <w:tcPr>
            <w:tcW w:w="540" w:type="dxa"/>
            <w:vAlign w:val="bottom"/>
          </w:tcPr>
          <w:p>
            <w:pPr>
              <w:spacing w:after="0"/>
              <w:rPr>
                <w:sz w:val="15"/>
                <w:szCs w:val="15"/>
                <w:color w:val="auto"/>
              </w:rPr>
            </w:pPr>
          </w:p>
        </w:tc>
        <w:tc>
          <w:tcPr>
            <w:tcW w:w="8900" w:type="dxa"/>
            <w:vAlign w:val="bottom"/>
            <w:tcBorders>
              <w:bottom w:val="single" w:sz="8" w:color="0000FF"/>
            </w:tcBorders>
            <w:gridSpan w:val="17"/>
          </w:tcPr>
          <w:p>
            <w:pPr>
              <w:spacing w:after="0" w:line="181" w:lineRule="exact"/>
              <w:rPr>
                <w:rFonts w:ascii="Arial" w:cs="Arial" w:eastAsia="Arial" w:hAnsi="Arial"/>
                <w:sz w:val="16"/>
                <w:szCs w:val="16"/>
                <w:color w:val="0000FF"/>
                <w:w w:val="91"/>
              </w:rPr>
            </w:pPr>
            <w:hyperlink r:id="rId170">
              <w:r>
                <w:rPr>
                  <w:rFonts w:ascii="Arial" w:cs="Arial" w:eastAsia="Arial" w:hAnsi="Arial"/>
                  <w:sz w:val="16"/>
                  <w:szCs w:val="16"/>
                  <w:color w:val="0000FF"/>
                  <w:w w:val="91"/>
                </w:rPr>
                <w:t>Merger Agreement, dated April 15, 2015, by and among Virtu Financial, Inc., Virtu Financial Merger Sub LLC, Virtu Financial Intermediate</w:t>
              </w:r>
            </w:hyperlink>
          </w:p>
        </w:tc>
        <w:tc>
          <w:tcPr>
            <w:tcW w:w="360" w:type="dxa"/>
            <w:vAlign w:val="bottom"/>
            <w:gridSpan w:val="14"/>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1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60" w:type="dxa"/>
            <w:vAlign w:val="bottom"/>
            <w:gridSpan w:val="31"/>
          </w:tcPr>
          <w:p>
            <w:pPr>
              <w:spacing w:after="0" w:line="134" w:lineRule="exact"/>
              <w:rPr>
                <w:rFonts w:ascii="Arial" w:cs="Arial" w:eastAsia="Arial" w:hAnsi="Arial"/>
                <w:sz w:val="15"/>
                <w:szCs w:val="15"/>
                <w:color w:val="0000FF"/>
                <w:w w:val="96"/>
              </w:rPr>
            </w:pPr>
            <w:hyperlink r:id="rId170">
              <w:r>
                <w:rPr>
                  <w:rFonts w:ascii="Arial" w:cs="Arial" w:eastAsia="Arial" w:hAnsi="Arial"/>
                  <w:sz w:val="15"/>
                  <w:szCs w:val="15"/>
                  <w:color w:val="0000FF"/>
                  <w:w w:val="96"/>
                </w:rPr>
                <w:t>Holdings LLC, SLP III EW Feeder Corp., SLP III EW Feeder I, L.P. and Havelock Fund Investments Pte Ltd (incorporated herein by reference to</w:t>
              </w:r>
            </w:hyperlink>
          </w:p>
        </w:tc>
        <w:tc>
          <w:tcPr>
            <w:tcW w:w="0" w:type="dxa"/>
            <w:vAlign w:val="bottom"/>
          </w:tcPr>
          <w:p>
            <w:pPr>
              <w:spacing w:after="0"/>
              <w:rPr>
                <w:sz w:val="1"/>
                <w:szCs w:val="1"/>
                <w:color w:val="auto"/>
              </w:rPr>
            </w:pPr>
          </w:p>
        </w:tc>
      </w:tr>
      <w:tr>
        <w:trPr>
          <w:trHeight w:val="134"/>
        </w:trPr>
        <w:tc>
          <w:tcPr>
            <w:tcW w:w="1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20" w:type="dxa"/>
            <w:vAlign w:val="bottom"/>
            <w:tcBorders>
              <w:top w:val="single" w:sz="8" w:color="0000FF"/>
              <w:bottom w:val="single" w:sz="8" w:color="0000FF"/>
            </w:tcBorders>
            <w:gridSpan w:val="9"/>
          </w:tcPr>
          <w:p>
            <w:pPr>
              <w:spacing w:after="0" w:line="134" w:lineRule="exact"/>
              <w:rPr>
                <w:rFonts w:ascii="Arial" w:cs="Arial" w:eastAsia="Arial" w:hAnsi="Arial"/>
                <w:sz w:val="15"/>
                <w:szCs w:val="15"/>
                <w:color w:val="0000FF"/>
                <w:w w:val="96"/>
              </w:rPr>
            </w:pPr>
            <w:hyperlink r:id="rId170">
              <w:r>
                <w:rPr>
                  <w:rFonts w:ascii="Arial" w:cs="Arial" w:eastAsia="Arial" w:hAnsi="Arial"/>
                  <w:sz w:val="15"/>
                  <w:szCs w:val="15"/>
                  <w:color w:val="0000FF"/>
                  <w:w w:val="96"/>
                </w:rPr>
                <w:t>Exhibit 2.2 to the Company’s quarterly report on Form 10-Q, as amended (File No. 001-37352), filed on May 29, 2015).</w:t>
              </w:r>
            </w:hyperlink>
          </w:p>
        </w:tc>
        <w:tc>
          <w:tcPr>
            <w:tcW w:w="1600" w:type="dxa"/>
            <w:vAlign w:val="bottom"/>
            <w:tcBorders>
              <w:top w:val="single" w:sz="8" w:color="0000FF"/>
            </w:tcBorders>
            <w:gridSpan w:val="20"/>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1440" w:type="dxa"/>
            <w:vAlign w:val="bottom"/>
          </w:tcPr>
          <w:p>
            <w:pPr>
              <w:ind w:left="20"/>
              <w:spacing w:after="0" w:line="181" w:lineRule="exact"/>
              <w:rPr>
                <w:sz w:val="20"/>
                <w:szCs w:val="20"/>
                <w:color w:val="auto"/>
              </w:rPr>
            </w:pPr>
            <w:r>
              <w:rPr>
                <w:rFonts w:ascii="Arial" w:cs="Arial" w:eastAsia="Arial" w:hAnsi="Arial"/>
                <w:sz w:val="16"/>
                <w:szCs w:val="16"/>
                <w:color w:val="auto"/>
              </w:rPr>
              <w:t>2.3</w:t>
            </w:r>
          </w:p>
        </w:tc>
        <w:tc>
          <w:tcPr>
            <w:tcW w:w="540" w:type="dxa"/>
            <w:vAlign w:val="bottom"/>
          </w:tcPr>
          <w:p>
            <w:pPr>
              <w:spacing w:after="0"/>
              <w:rPr>
                <w:sz w:val="15"/>
                <w:szCs w:val="15"/>
                <w:color w:val="auto"/>
              </w:rPr>
            </w:pPr>
          </w:p>
        </w:tc>
        <w:tc>
          <w:tcPr>
            <w:tcW w:w="9260" w:type="dxa"/>
            <w:vAlign w:val="bottom"/>
            <w:gridSpan w:val="31"/>
          </w:tcPr>
          <w:p>
            <w:pPr>
              <w:spacing w:after="0" w:line="181" w:lineRule="exact"/>
              <w:rPr>
                <w:rFonts w:ascii="Arial" w:cs="Arial" w:eastAsia="Arial" w:hAnsi="Arial"/>
                <w:sz w:val="16"/>
                <w:szCs w:val="16"/>
                <w:color w:val="0000FF"/>
                <w:w w:val="93"/>
              </w:rPr>
            </w:pPr>
            <w:hyperlink r:id="rId171">
              <w:r>
                <w:rPr>
                  <w:rFonts w:ascii="Arial" w:cs="Arial" w:eastAsia="Arial" w:hAnsi="Arial"/>
                  <w:sz w:val="16"/>
                  <w:szCs w:val="16"/>
                  <w:color w:val="0000FF"/>
                  <w:w w:val="93"/>
                </w:rPr>
                <w:t>Merger Agreement, dated April 15, 2015, by and among Virtu Financial, Inc., Virtu Financial Merger Sub II LLC, Virtu Financial Intermediate</w:t>
              </w:r>
            </w:hyperlink>
          </w:p>
        </w:tc>
        <w:tc>
          <w:tcPr>
            <w:tcW w:w="0" w:type="dxa"/>
            <w:vAlign w:val="bottom"/>
          </w:tcPr>
          <w:p>
            <w:pPr>
              <w:spacing w:after="0"/>
              <w:rPr>
                <w:sz w:val="1"/>
                <w:szCs w:val="1"/>
                <w:color w:val="auto"/>
              </w:rPr>
            </w:pPr>
          </w:p>
        </w:tc>
      </w:tr>
      <w:tr>
        <w:trPr>
          <w:trHeight w:val="134"/>
        </w:trPr>
        <w:tc>
          <w:tcPr>
            <w:tcW w:w="1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60" w:type="dxa"/>
            <w:vAlign w:val="bottom"/>
            <w:tcBorders>
              <w:top w:val="single" w:sz="8" w:color="0000FF"/>
            </w:tcBorders>
            <w:gridSpan w:val="22"/>
          </w:tcPr>
          <w:p>
            <w:pPr>
              <w:spacing w:after="0" w:line="134" w:lineRule="exact"/>
              <w:rPr>
                <w:rFonts w:ascii="Arial" w:cs="Arial" w:eastAsia="Arial" w:hAnsi="Arial"/>
                <w:sz w:val="15"/>
                <w:szCs w:val="15"/>
                <w:color w:val="0000FF"/>
                <w:w w:val="97"/>
              </w:rPr>
            </w:pPr>
            <w:hyperlink r:id="rId171">
              <w:r>
                <w:rPr>
                  <w:rFonts w:ascii="Arial" w:cs="Arial" w:eastAsia="Arial" w:hAnsi="Arial"/>
                  <w:sz w:val="15"/>
                  <w:szCs w:val="15"/>
                  <w:color w:val="0000FF"/>
                  <w:w w:val="97"/>
                </w:rPr>
                <w:t>Holdings II LLC and Wilbur Investments LLC (incorporated herein by reference to Exhibit 2.3 to the Company’s Quarterly Report on Form 10</w:t>
              </w:r>
            </w:hyperlink>
          </w:p>
        </w:tc>
        <w:tc>
          <w:tcPr>
            <w:tcW w:w="80" w:type="dxa"/>
            <w:vAlign w:val="bottom"/>
            <w:gridSpan w:val="3"/>
          </w:tcPr>
          <w:p>
            <w:pPr>
              <w:jc w:val="right"/>
              <w:ind w:right="40"/>
              <w:spacing w:after="0"/>
              <w:rPr>
                <w:rFonts w:ascii="Arial" w:cs="Arial" w:eastAsia="Arial" w:hAnsi="Arial"/>
                <w:sz w:val="8"/>
                <w:szCs w:val="8"/>
                <w:color w:val="0000FF"/>
                <w:w w:val="73"/>
              </w:rPr>
            </w:pPr>
            <w:hyperlink r:id="rId171">
              <w:r>
                <w:rPr>
                  <w:rFonts w:ascii="Arial" w:cs="Arial" w:eastAsia="Arial" w:hAnsi="Arial"/>
                  <w:sz w:val="8"/>
                  <w:szCs w:val="8"/>
                  <w:color w:val="0000FF"/>
                  <w:w w:val="73"/>
                </w:rPr>
                <w:t>-</w:t>
              </w:r>
            </w:hyperlink>
          </w:p>
        </w:tc>
        <w:tc>
          <w:tcPr>
            <w:tcW w:w="60" w:type="dxa"/>
            <w:vAlign w:val="bottom"/>
            <w:gridSpan w:val="3"/>
          </w:tcPr>
          <w:p>
            <w:pPr>
              <w:spacing w:after="0"/>
              <w:rPr>
                <w:sz w:val="11"/>
                <w:szCs w:val="11"/>
                <w:color w:val="auto"/>
              </w:rPr>
            </w:pPr>
          </w:p>
        </w:tc>
        <w:tc>
          <w:tcPr>
            <w:tcW w:w="6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100" w:type="dxa"/>
            <w:vAlign w:val="bottom"/>
            <w:tcBorders>
              <w:top w:val="single" w:sz="8" w:color="0000FF"/>
            </w:tcBorders>
            <w:gridSpan w:val="24"/>
          </w:tcPr>
          <w:p>
            <w:pPr>
              <w:spacing w:after="0" w:line="134" w:lineRule="exact"/>
              <w:rPr>
                <w:rFonts w:ascii="Arial" w:cs="Arial" w:eastAsia="Arial" w:hAnsi="Arial"/>
                <w:sz w:val="15"/>
                <w:szCs w:val="15"/>
                <w:color w:val="0000FF"/>
              </w:rPr>
            </w:pPr>
            <w:hyperlink r:id="rId171">
              <w:r>
                <w:rPr>
                  <w:rFonts w:ascii="Arial" w:cs="Arial" w:eastAsia="Arial" w:hAnsi="Arial"/>
                  <w:sz w:val="15"/>
                  <w:szCs w:val="15"/>
                  <w:color w:val="0000FF"/>
                </w:rPr>
                <w:t>Q, as amended (File No. 001-37352), filed on May 29, 2015).</w:t>
              </w:r>
            </w:hyperlink>
          </w:p>
        </w:tc>
        <w:tc>
          <w:tcPr>
            <w:tcW w:w="4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6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440" w:type="dxa"/>
            <w:vAlign w:val="bottom"/>
          </w:tcPr>
          <w:p>
            <w:pPr>
              <w:ind w:left="20"/>
              <w:spacing w:after="0" w:line="181" w:lineRule="exact"/>
              <w:rPr>
                <w:sz w:val="20"/>
                <w:szCs w:val="20"/>
                <w:color w:val="auto"/>
              </w:rPr>
            </w:pPr>
            <w:r>
              <w:rPr>
                <w:rFonts w:ascii="Arial" w:cs="Arial" w:eastAsia="Arial" w:hAnsi="Arial"/>
                <w:sz w:val="16"/>
                <w:szCs w:val="16"/>
                <w:color w:val="auto"/>
              </w:rPr>
              <w:t>2.4</w:t>
            </w:r>
          </w:p>
        </w:tc>
        <w:tc>
          <w:tcPr>
            <w:tcW w:w="540" w:type="dxa"/>
            <w:vAlign w:val="bottom"/>
          </w:tcPr>
          <w:p>
            <w:pPr>
              <w:spacing w:after="0"/>
              <w:rPr>
                <w:sz w:val="15"/>
                <w:szCs w:val="15"/>
                <w:color w:val="auto"/>
              </w:rPr>
            </w:pPr>
          </w:p>
        </w:tc>
        <w:tc>
          <w:tcPr>
            <w:tcW w:w="9260" w:type="dxa"/>
            <w:vAlign w:val="bottom"/>
            <w:gridSpan w:val="31"/>
          </w:tcPr>
          <w:p>
            <w:pPr>
              <w:spacing w:after="0" w:line="181" w:lineRule="exact"/>
              <w:rPr>
                <w:rFonts w:ascii="Arial" w:cs="Arial" w:eastAsia="Arial" w:hAnsi="Arial"/>
                <w:sz w:val="16"/>
                <w:szCs w:val="16"/>
                <w:color w:val="0000FF"/>
                <w:w w:val="92"/>
              </w:rPr>
            </w:pPr>
            <w:hyperlink r:id="rId172">
              <w:r>
                <w:rPr>
                  <w:rFonts w:ascii="Arial" w:cs="Arial" w:eastAsia="Arial" w:hAnsi="Arial"/>
                  <w:sz w:val="16"/>
                  <w:szCs w:val="16"/>
                  <w:color w:val="0000FF"/>
                  <w:w w:val="92"/>
                </w:rPr>
                <w:t>Agreement and Plan of Merger, dated April 20, 2017, by and among Virtu Financial, Inc., Orchestra Merger Sub, Inc. and KCG Holdings, Inc.</w:t>
              </w:r>
            </w:hyperlink>
          </w:p>
        </w:tc>
        <w:tc>
          <w:tcPr>
            <w:tcW w:w="0" w:type="dxa"/>
            <w:vAlign w:val="bottom"/>
          </w:tcPr>
          <w:p>
            <w:pPr>
              <w:spacing w:after="0"/>
              <w:rPr>
                <w:sz w:val="1"/>
                <w:szCs w:val="1"/>
                <w:color w:val="auto"/>
              </w:rPr>
            </w:pPr>
          </w:p>
        </w:tc>
      </w:tr>
      <w:tr>
        <w:trPr>
          <w:trHeight w:val="134"/>
        </w:trPr>
        <w:tc>
          <w:tcPr>
            <w:tcW w:w="1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0" w:type="dxa"/>
            <w:vAlign w:val="bottom"/>
            <w:tcBorders>
              <w:top w:val="single" w:sz="8" w:color="0000FF"/>
              <w:bottom w:val="single" w:sz="8" w:color="0000FF"/>
            </w:tcBorders>
            <w:gridSpan w:val="19"/>
          </w:tcPr>
          <w:p>
            <w:pPr>
              <w:spacing w:after="0" w:line="134" w:lineRule="exact"/>
              <w:rPr>
                <w:rFonts w:ascii="Arial" w:cs="Arial" w:eastAsia="Arial" w:hAnsi="Arial"/>
                <w:sz w:val="15"/>
                <w:szCs w:val="15"/>
                <w:color w:val="0000FF"/>
                <w:w w:val="97"/>
              </w:rPr>
            </w:pPr>
            <w:hyperlink r:id="rId172">
              <w:r>
                <w:rPr>
                  <w:rFonts w:ascii="Arial" w:cs="Arial" w:eastAsia="Arial" w:hAnsi="Arial"/>
                  <w:sz w:val="15"/>
                  <w:szCs w:val="15"/>
                  <w:color w:val="0000FF"/>
                  <w:w w:val="97"/>
                </w:rPr>
                <w:t>(incorporated herein by reference to Exhibit 2.1 to the Company’s Current Report on Form 8-K (File No. 001-37352) filed on April 21, 2017).</w:t>
              </w:r>
            </w:hyperlink>
          </w:p>
        </w:tc>
        <w:tc>
          <w:tcPr>
            <w:tcW w:w="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6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1440" w:type="dxa"/>
            <w:vAlign w:val="bottom"/>
          </w:tcPr>
          <w:p>
            <w:pPr>
              <w:ind w:left="20"/>
              <w:spacing w:after="0" w:line="181" w:lineRule="exact"/>
              <w:rPr>
                <w:sz w:val="20"/>
                <w:szCs w:val="20"/>
                <w:color w:val="auto"/>
              </w:rPr>
            </w:pPr>
            <w:r>
              <w:rPr>
                <w:rFonts w:ascii="Arial" w:cs="Arial" w:eastAsia="Arial" w:hAnsi="Arial"/>
                <w:sz w:val="16"/>
                <w:szCs w:val="16"/>
                <w:color w:val="auto"/>
              </w:rPr>
              <w:t>2.5</w:t>
            </w:r>
          </w:p>
        </w:tc>
        <w:tc>
          <w:tcPr>
            <w:tcW w:w="540" w:type="dxa"/>
            <w:vAlign w:val="bottom"/>
          </w:tcPr>
          <w:p>
            <w:pPr>
              <w:spacing w:after="0"/>
              <w:rPr>
                <w:sz w:val="15"/>
                <w:szCs w:val="15"/>
                <w:color w:val="auto"/>
              </w:rPr>
            </w:pPr>
          </w:p>
        </w:tc>
        <w:tc>
          <w:tcPr>
            <w:tcW w:w="9260" w:type="dxa"/>
            <w:vAlign w:val="bottom"/>
            <w:gridSpan w:val="31"/>
          </w:tcPr>
          <w:p>
            <w:pPr>
              <w:spacing w:after="0" w:line="181" w:lineRule="exact"/>
              <w:rPr>
                <w:rFonts w:ascii="Arial" w:cs="Arial" w:eastAsia="Arial" w:hAnsi="Arial"/>
                <w:sz w:val="16"/>
                <w:szCs w:val="16"/>
                <w:color w:val="0000FF"/>
                <w:w w:val="93"/>
              </w:rPr>
            </w:pPr>
            <w:hyperlink r:id="rId173">
              <w:r>
                <w:rPr>
                  <w:rFonts w:ascii="Arial" w:cs="Arial" w:eastAsia="Arial" w:hAnsi="Arial"/>
                  <w:sz w:val="16"/>
                  <w:szCs w:val="16"/>
                  <w:color w:val="0000FF"/>
                  <w:w w:val="93"/>
                </w:rPr>
                <w:t>Temasek Investment Agreement, dated April 20, 2017, by and between Virtu Financial, Inc. and Aranda Investments Pte. Ltd. (incorporated</w:t>
              </w:r>
            </w:hyperlink>
          </w:p>
        </w:tc>
        <w:tc>
          <w:tcPr>
            <w:tcW w:w="0" w:type="dxa"/>
            <w:vAlign w:val="bottom"/>
          </w:tcPr>
          <w:p>
            <w:pPr>
              <w:spacing w:after="0"/>
              <w:rPr>
                <w:sz w:val="1"/>
                <w:szCs w:val="1"/>
                <w:color w:val="auto"/>
              </w:rPr>
            </w:pPr>
          </w:p>
        </w:tc>
      </w:tr>
      <w:tr>
        <w:trPr>
          <w:trHeight w:val="134"/>
        </w:trPr>
        <w:tc>
          <w:tcPr>
            <w:tcW w:w="1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60" w:type="dxa"/>
            <w:vAlign w:val="bottom"/>
            <w:tcBorders>
              <w:top w:val="single" w:sz="8" w:color="0000FF"/>
              <w:bottom w:val="single" w:sz="8" w:color="0000FF"/>
            </w:tcBorders>
            <w:gridSpan w:val="10"/>
          </w:tcPr>
          <w:p>
            <w:pPr>
              <w:spacing w:after="0" w:line="134" w:lineRule="exact"/>
              <w:rPr>
                <w:rFonts w:ascii="Arial" w:cs="Arial" w:eastAsia="Arial" w:hAnsi="Arial"/>
                <w:sz w:val="15"/>
                <w:szCs w:val="15"/>
                <w:color w:val="0000FF"/>
                <w:w w:val="96"/>
              </w:rPr>
            </w:pPr>
            <w:hyperlink r:id="rId173">
              <w:r>
                <w:rPr>
                  <w:rFonts w:ascii="Arial" w:cs="Arial" w:eastAsia="Arial" w:hAnsi="Arial"/>
                  <w:sz w:val="15"/>
                  <w:szCs w:val="15"/>
                  <w:color w:val="0000FF"/>
                  <w:w w:val="96"/>
                </w:rPr>
                <w:t>herein by reference to Exhibit 2.2 to the Company’s Quarterly Report on Form 10-Q (File No. 001-37352) filed on May 10, 2017).</w:t>
              </w:r>
            </w:hyperlink>
          </w:p>
        </w:tc>
        <w:tc>
          <w:tcPr>
            <w:tcW w:w="600" w:type="dxa"/>
            <w:vAlign w:val="bottom"/>
            <w:tcBorders>
              <w:top w:val="single" w:sz="8" w:color="0000FF"/>
            </w:tcBorders>
            <w:gridSpan w:val="6"/>
          </w:tcPr>
          <w:p>
            <w:pPr>
              <w:spacing w:after="0"/>
              <w:rPr>
                <w:sz w:val="11"/>
                <w:szCs w:val="11"/>
                <w:color w:val="auto"/>
              </w:rPr>
            </w:pPr>
          </w:p>
        </w:tc>
        <w:tc>
          <w:tcPr>
            <w:tcW w:w="80" w:type="dxa"/>
            <w:vAlign w:val="bottom"/>
            <w:gridSpan w:val="2"/>
          </w:tcPr>
          <w:p>
            <w:pPr>
              <w:spacing w:after="0"/>
              <w:rPr>
                <w:sz w:val="11"/>
                <w:szCs w:val="11"/>
                <w:color w:val="auto"/>
              </w:rPr>
            </w:pPr>
          </w:p>
        </w:tc>
        <w:tc>
          <w:tcPr>
            <w:tcW w:w="10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6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1440" w:type="dxa"/>
            <w:vAlign w:val="bottom"/>
          </w:tcPr>
          <w:p>
            <w:pPr>
              <w:ind w:left="20"/>
              <w:spacing w:after="0" w:line="181" w:lineRule="exact"/>
              <w:rPr>
                <w:sz w:val="20"/>
                <w:szCs w:val="20"/>
                <w:color w:val="auto"/>
              </w:rPr>
            </w:pPr>
            <w:r>
              <w:rPr>
                <w:rFonts w:ascii="Arial" w:cs="Arial" w:eastAsia="Arial" w:hAnsi="Arial"/>
                <w:sz w:val="16"/>
                <w:szCs w:val="16"/>
                <w:color w:val="auto"/>
              </w:rPr>
              <w:t>2.6</w:t>
            </w:r>
          </w:p>
        </w:tc>
        <w:tc>
          <w:tcPr>
            <w:tcW w:w="540" w:type="dxa"/>
            <w:vAlign w:val="bottom"/>
          </w:tcPr>
          <w:p>
            <w:pPr>
              <w:spacing w:after="0"/>
              <w:rPr>
                <w:sz w:val="15"/>
                <w:szCs w:val="15"/>
                <w:color w:val="auto"/>
              </w:rPr>
            </w:pPr>
          </w:p>
        </w:tc>
        <w:tc>
          <w:tcPr>
            <w:tcW w:w="9260" w:type="dxa"/>
            <w:vAlign w:val="bottom"/>
            <w:gridSpan w:val="31"/>
          </w:tcPr>
          <w:p>
            <w:pPr>
              <w:spacing w:after="0" w:line="181" w:lineRule="exact"/>
              <w:rPr>
                <w:rFonts w:ascii="Arial" w:cs="Arial" w:eastAsia="Arial" w:hAnsi="Arial"/>
                <w:sz w:val="16"/>
                <w:szCs w:val="16"/>
                <w:color w:val="0000FF"/>
                <w:w w:val="97"/>
              </w:rPr>
            </w:pPr>
            <w:hyperlink r:id="rId174">
              <w:r>
                <w:rPr>
                  <w:rFonts w:ascii="Arial" w:cs="Arial" w:eastAsia="Arial" w:hAnsi="Arial"/>
                  <w:sz w:val="16"/>
                  <w:szCs w:val="16"/>
                  <w:color w:val="0000FF"/>
                  <w:w w:val="97"/>
                </w:rPr>
                <w:t>Agreement and Plan of Merger, dated November 6, 2018, by and among Virtu Financial, Inc., Impala Merger Sub, Inc. and Investment</w:t>
              </w:r>
            </w:hyperlink>
          </w:p>
        </w:tc>
        <w:tc>
          <w:tcPr>
            <w:tcW w:w="0" w:type="dxa"/>
            <w:vAlign w:val="bottom"/>
          </w:tcPr>
          <w:p>
            <w:pPr>
              <w:spacing w:after="0"/>
              <w:rPr>
                <w:sz w:val="1"/>
                <w:szCs w:val="1"/>
                <w:color w:val="auto"/>
              </w:rPr>
            </w:pPr>
          </w:p>
        </w:tc>
      </w:tr>
      <w:tr>
        <w:trPr>
          <w:trHeight w:val="134"/>
        </w:trPr>
        <w:tc>
          <w:tcPr>
            <w:tcW w:w="1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520" w:type="dxa"/>
            <w:vAlign w:val="bottom"/>
            <w:tcBorders>
              <w:top w:val="single" w:sz="8" w:color="0000FF"/>
            </w:tcBorders>
            <w:gridSpan w:val="12"/>
          </w:tcPr>
          <w:p>
            <w:pPr>
              <w:spacing w:after="0" w:line="134" w:lineRule="exact"/>
              <w:rPr>
                <w:rFonts w:ascii="Arial" w:cs="Arial" w:eastAsia="Arial" w:hAnsi="Arial"/>
                <w:sz w:val="15"/>
                <w:szCs w:val="15"/>
                <w:color w:val="0000FF"/>
                <w:w w:val="96"/>
              </w:rPr>
            </w:pPr>
            <w:hyperlink r:id="rId174">
              <w:r>
                <w:rPr>
                  <w:rFonts w:ascii="Arial" w:cs="Arial" w:eastAsia="Arial" w:hAnsi="Arial"/>
                  <w:sz w:val="15"/>
                  <w:szCs w:val="15"/>
                  <w:color w:val="0000FF"/>
                  <w:w w:val="96"/>
                </w:rPr>
                <w:t>Technology Group, Inc. (incorporated herein by reference to Exhibit 2.1 to the Company's Current Report on Form 8-K (File No. 001-</w:t>
              </w:r>
            </w:hyperlink>
          </w:p>
        </w:tc>
        <w:tc>
          <w:tcPr>
            <w:tcW w:w="520" w:type="dxa"/>
            <w:vAlign w:val="bottom"/>
            <w:gridSpan w:val="9"/>
          </w:tcPr>
          <w:p>
            <w:pPr>
              <w:spacing w:after="0" w:line="134" w:lineRule="exact"/>
              <w:rPr>
                <w:rFonts w:ascii="Arial" w:cs="Arial" w:eastAsia="Arial" w:hAnsi="Arial"/>
                <w:sz w:val="15"/>
                <w:szCs w:val="15"/>
                <w:color w:val="0000FF"/>
              </w:rPr>
            </w:pPr>
            <w:hyperlink r:id="rId174">
              <w:r>
                <w:rPr>
                  <w:rFonts w:ascii="Arial" w:cs="Arial" w:eastAsia="Arial" w:hAnsi="Arial"/>
                  <w:sz w:val="15"/>
                  <w:szCs w:val="15"/>
                  <w:color w:val="0000FF"/>
                </w:rPr>
                <w:t>37352)</w:t>
              </w:r>
            </w:hyperlink>
          </w:p>
        </w:tc>
        <w:tc>
          <w:tcPr>
            <w:tcW w:w="40" w:type="dxa"/>
            <w:vAlign w:val="bottom"/>
            <w:gridSpan w:val="2"/>
          </w:tcPr>
          <w:p>
            <w:pPr>
              <w:spacing w:after="0"/>
              <w:rPr>
                <w:sz w:val="11"/>
                <w:szCs w:val="11"/>
                <w:color w:val="auto"/>
              </w:rPr>
            </w:pPr>
          </w:p>
        </w:tc>
        <w:tc>
          <w:tcPr>
            <w:tcW w:w="6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6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940" w:type="dxa"/>
            <w:vAlign w:val="bottom"/>
            <w:tcBorders>
              <w:top w:val="single" w:sz="8" w:color="0000FF"/>
            </w:tcBorders>
            <w:gridSpan w:val="18"/>
          </w:tcPr>
          <w:p>
            <w:pPr>
              <w:spacing w:after="0" w:line="134" w:lineRule="exact"/>
              <w:rPr>
                <w:rFonts w:ascii="Arial" w:cs="Arial" w:eastAsia="Arial" w:hAnsi="Arial"/>
                <w:sz w:val="15"/>
                <w:szCs w:val="15"/>
                <w:color w:val="0000FF"/>
              </w:rPr>
            </w:pPr>
            <w:hyperlink r:id="rId174">
              <w:r>
                <w:rPr>
                  <w:rFonts w:ascii="Arial" w:cs="Arial" w:eastAsia="Arial" w:hAnsi="Arial"/>
                  <w:sz w:val="15"/>
                  <w:szCs w:val="15"/>
                  <w:color w:val="0000FF"/>
                </w:rPr>
                <w:t>filed on November 8, 2018).</w:t>
              </w:r>
            </w:hyperlink>
          </w:p>
        </w:tc>
        <w:tc>
          <w:tcPr>
            <w:tcW w:w="10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6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6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440" w:type="dxa"/>
            <w:vAlign w:val="bottom"/>
          </w:tcPr>
          <w:p>
            <w:pPr>
              <w:ind w:left="20"/>
              <w:spacing w:after="0" w:line="181" w:lineRule="exact"/>
              <w:rPr>
                <w:sz w:val="20"/>
                <w:szCs w:val="20"/>
                <w:color w:val="auto"/>
              </w:rPr>
            </w:pPr>
            <w:r>
              <w:rPr>
                <w:rFonts w:ascii="Arial" w:cs="Arial" w:eastAsia="Arial" w:hAnsi="Arial"/>
                <w:sz w:val="16"/>
                <w:szCs w:val="16"/>
                <w:color w:val="auto"/>
              </w:rPr>
              <w:t>3.1</w:t>
            </w:r>
          </w:p>
        </w:tc>
        <w:tc>
          <w:tcPr>
            <w:tcW w:w="540" w:type="dxa"/>
            <w:vAlign w:val="bottom"/>
          </w:tcPr>
          <w:p>
            <w:pPr>
              <w:spacing w:after="0"/>
              <w:rPr>
                <w:sz w:val="15"/>
                <w:szCs w:val="15"/>
                <w:color w:val="auto"/>
              </w:rPr>
            </w:pPr>
          </w:p>
        </w:tc>
        <w:tc>
          <w:tcPr>
            <w:tcW w:w="9260" w:type="dxa"/>
            <w:vAlign w:val="bottom"/>
            <w:gridSpan w:val="31"/>
          </w:tcPr>
          <w:p>
            <w:pPr>
              <w:spacing w:after="0" w:line="181" w:lineRule="exact"/>
              <w:rPr>
                <w:rFonts w:ascii="Arial" w:cs="Arial" w:eastAsia="Arial" w:hAnsi="Arial"/>
                <w:sz w:val="16"/>
                <w:szCs w:val="16"/>
                <w:color w:val="0000FF"/>
                <w:w w:val="90"/>
              </w:rPr>
            </w:pPr>
            <w:hyperlink r:id="rId175">
              <w:r>
                <w:rPr>
                  <w:rFonts w:ascii="Arial" w:cs="Arial" w:eastAsia="Arial" w:hAnsi="Arial"/>
                  <w:sz w:val="16"/>
                  <w:szCs w:val="16"/>
                  <w:color w:val="0000FF"/>
                  <w:w w:val="90"/>
                </w:rPr>
                <w:t>Amended and Restated Certificate of Incorporation of the Registrant (incorporated herein by reference to Exhibit 3.1 to the Company’s Quarterly</w:t>
              </w:r>
            </w:hyperlink>
          </w:p>
        </w:tc>
        <w:tc>
          <w:tcPr>
            <w:tcW w:w="0" w:type="dxa"/>
            <w:vAlign w:val="bottom"/>
          </w:tcPr>
          <w:p>
            <w:pPr>
              <w:spacing w:after="0"/>
              <w:rPr>
                <w:sz w:val="1"/>
                <w:szCs w:val="1"/>
                <w:color w:val="auto"/>
              </w:rPr>
            </w:pPr>
          </w:p>
        </w:tc>
      </w:tr>
      <w:tr>
        <w:trPr>
          <w:trHeight w:val="134"/>
        </w:trPr>
        <w:tc>
          <w:tcPr>
            <w:tcW w:w="1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0" w:type="dxa"/>
            <w:vAlign w:val="bottom"/>
            <w:tcBorders>
              <w:top w:val="single" w:sz="8" w:color="0000FF"/>
            </w:tcBorders>
            <w:gridSpan w:val="28"/>
          </w:tcPr>
          <w:p>
            <w:pPr>
              <w:spacing w:after="0" w:line="134" w:lineRule="exact"/>
              <w:rPr>
                <w:rFonts w:ascii="Arial" w:cs="Arial" w:eastAsia="Arial" w:hAnsi="Arial"/>
                <w:sz w:val="15"/>
                <w:szCs w:val="15"/>
                <w:color w:val="0000FF"/>
              </w:rPr>
            </w:pPr>
            <w:hyperlink r:id="rId175">
              <w:r>
                <w:rPr>
                  <w:rFonts w:ascii="Arial" w:cs="Arial" w:eastAsia="Arial" w:hAnsi="Arial"/>
                  <w:sz w:val="15"/>
                  <w:szCs w:val="15"/>
                  <w:color w:val="0000FF"/>
                </w:rPr>
                <w:t>Report on Form 10-Q, as amended (File No. 001-37352), filed on May 29, 2015).</w:t>
              </w:r>
            </w:hyperlink>
          </w:p>
        </w:tc>
        <w:tc>
          <w:tcPr>
            <w:tcW w:w="6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6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440" w:type="dxa"/>
            <w:vAlign w:val="bottom"/>
          </w:tcPr>
          <w:p>
            <w:pPr>
              <w:ind w:left="20"/>
              <w:spacing w:after="0" w:line="181" w:lineRule="exact"/>
              <w:rPr>
                <w:sz w:val="20"/>
                <w:szCs w:val="20"/>
                <w:color w:val="auto"/>
              </w:rPr>
            </w:pPr>
            <w:r>
              <w:rPr>
                <w:rFonts w:ascii="Arial" w:cs="Arial" w:eastAsia="Arial" w:hAnsi="Arial"/>
                <w:sz w:val="16"/>
                <w:szCs w:val="16"/>
                <w:color w:val="auto"/>
              </w:rPr>
              <w:t>3.2</w:t>
            </w:r>
          </w:p>
        </w:tc>
        <w:tc>
          <w:tcPr>
            <w:tcW w:w="540" w:type="dxa"/>
            <w:vAlign w:val="bottom"/>
          </w:tcPr>
          <w:p>
            <w:pPr>
              <w:spacing w:after="0"/>
              <w:rPr>
                <w:sz w:val="15"/>
                <w:szCs w:val="15"/>
                <w:color w:val="auto"/>
              </w:rPr>
            </w:pPr>
          </w:p>
        </w:tc>
        <w:tc>
          <w:tcPr>
            <w:tcW w:w="9260" w:type="dxa"/>
            <w:vAlign w:val="bottom"/>
            <w:gridSpan w:val="31"/>
          </w:tcPr>
          <w:p>
            <w:pPr>
              <w:spacing w:after="0" w:line="181" w:lineRule="exact"/>
              <w:rPr>
                <w:rFonts w:ascii="Arial" w:cs="Arial" w:eastAsia="Arial" w:hAnsi="Arial"/>
                <w:sz w:val="16"/>
                <w:szCs w:val="16"/>
                <w:color w:val="0000FF"/>
                <w:w w:val="92"/>
              </w:rPr>
            </w:pPr>
            <w:hyperlink r:id="rId176">
              <w:r>
                <w:rPr>
                  <w:rFonts w:ascii="Arial" w:cs="Arial" w:eastAsia="Arial" w:hAnsi="Arial"/>
                  <w:sz w:val="16"/>
                  <w:szCs w:val="16"/>
                  <w:color w:val="0000FF"/>
                  <w:w w:val="92"/>
                </w:rPr>
                <w:t>Amended and Restated By-laws of the Registrant (incorporated herein by reference to Exhibit 3.2 to the Company’s Quarterly Report on Form</w:t>
              </w:r>
            </w:hyperlink>
          </w:p>
        </w:tc>
        <w:tc>
          <w:tcPr>
            <w:tcW w:w="0" w:type="dxa"/>
            <w:vAlign w:val="bottom"/>
          </w:tcPr>
          <w:p>
            <w:pPr>
              <w:spacing w:after="0"/>
              <w:rPr>
                <w:sz w:val="1"/>
                <w:szCs w:val="1"/>
                <w:color w:val="auto"/>
              </w:rPr>
            </w:pPr>
          </w:p>
        </w:tc>
      </w:tr>
      <w:tr>
        <w:trPr>
          <w:trHeight w:val="142"/>
        </w:trPr>
        <w:tc>
          <w:tcPr>
            <w:tcW w:w="1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120" w:type="dxa"/>
            <w:vAlign w:val="bottom"/>
            <w:tcBorders>
              <w:top w:val="single" w:sz="8" w:color="0000FF"/>
              <w:bottom w:val="single" w:sz="8" w:color="0000FF"/>
            </w:tcBorders>
            <w:gridSpan w:val="6"/>
          </w:tcPr>
          <w:p>
            <w:pPr>
              <w:spacing w:after="0" w:line="134" w:lineRule="exact"/>
              <w:rPr>
                <w:rFonts w:ascii="Arial" w:cs="Arial" w:eastAsia="Arial" w:hAnsi="Arial"/>
                <w:sz w:val="15"/>
                <w:szCs w:val="15"/>
                <w:color w:val="0000FF"/>
                <w:w w:val="96"/>
              </w:rPr>
            </w:pPr>
            <w:hyperlink r:id="rId176">
              <w:r>
                <w:rPr>
                  <w:rFonts w:ascii="Arial" w:cs="Arial" w:eastAsia="Arial" w:hAnsi="Arial"/>
                  <w:sz w:val="15"/>
                  <w:szCs w:val="15"/>
                  <w:color w:val="0000FF"/>
                  <w:w w:val="96"/>
                </w:rPr>
                <w:t>10-Q, as amended (File No. 001-37352), filed on May 29, 2015).</w:t>
              </w:r>
            </w:hyperlink>
          </w:p>
        </w:tc>
        <w:tc>
          <w:tcPr>
            <w:tcW w:w="4920" w:type="dxa"/>
            <w:vAlign w:val="bottom"/>
            <w:tcBorders>
              <w:top w:val="single" w:sz="8" w:color="0000FF"/>
            </w:tcBorders>
            <w:gridSpan w:val="15"/>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2"/>
          </w:tcPr>
          <w:p>
            <w:pPr>
              <w:spacing w:after="0"/>
              <w:rPr>
                <w:sz w:val="12"/>
                <w:szCs w:val="12"/>
                <w:color w:val="auto"/>
              </w:rPr>
            </w:pPr>
          </w:p>
        </w:tc>
        <w:tc>
          <w:tcPr>
            <w:tcW w:w="12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440" w:type="dxa"/>
            <w:vAlign w:val="bottom"/>
          </w:tcPr>
          <w:p>
            <w:pPr>
              <w:ind w:left="20"/>
              <w:spacing w:after="0" w:line="174" w:lineRule="exact"/>
              <w:rPr>
                <w:sz w:val="20"/>
                <w:szCs w:val="20"/>
                <w:color w:val="auto"/>
              </w:rPr>
            </w:pPr>
            <w:r>
              <w:rPr>
                <w:rFonts w:ascii="Arial" w:cs="Arial" w:eastAsia="Arial" w:hAnsi="Arial"/>
                <w:sz w:val="16"/>
                <w:szCs w:val="16"/>
                <w:color w:val="auto"/>
              </w:rPr>
              <w:t>4.1</w:t>
            </w:r>
          </w:p>
        </w:tc>
        <w:tc>
          <w:tcPr>
            <w:tcW w:w="540" w:type="dxa"/>
            <w:vAlign w:val="bottom"/>
            <w:shd w:val="clear" w:color="auto" w:fill="FEFEFE"/>
          </w:tcPr>
          <w:p>
            <w:pPr>
              <w:spacing w:after="0"/>
              <w:rPr>
                <w:sz w:val="15"/>
                <w:szCs w:val="15"/>
                <w:color w:val="auto"/>
              </w:rPr>
            </w:pPr>
          </w:p>
        </w:tc>
        <w:tc>
          <w:tcPr>
            <w:tcW w:w="9260" w:type="dxa"/>
            <w:vAlign w:val="bottom"/>
            <w:gridSpan w:val="31"/>
            <w:shd w:val="clear" w:color="auto" w:fill="FEFEFE"/>
          </w:tcPr>
          <w:p>
            <w:pPr>
              <w:spacing w:after="0" w:line="174" w:lineRule="exact"/>
              <w:rPr>
                <w:rFonts w:ascii="Arial" w:cs="Arial" w:eastAsia="Arial" w:hAnsi="Arial"/>
                <w:sz w:val="16"/>
                <w:szCs w:val="16"/>
                <w:color w:val="0000FF"/>
                <w:w w:val="92"/>
              </w:rPr>
            </w:pPr>
            <w:hyperlink r:id="rId177">
              <w:r>
                <w:rPr>
                  <w:rFonts w:ascii="Arial" w:cs="Arial" w:eastAsia="Arial" w:hAnsi="Arial"/>
                  <w:sz w:val="16"/>
                  <w:szCs w:val="16"/>
                  <w:color w:val="0000FF"/>
                  <w:w w:val="92"/>
                </w:rPr>
                <w:t>Description of the Capital Stock (incorporated herein by reference to Exhibit 4.1 to the Company's Annual Report on Form 10-K (File No. 001-</w:t>
              </w:r>
            </w:hyperlink>
          </w:p>
        </w:tc>
        <w:tc>
          <w:tcPr>
            <w:tcW w:w="0" w:type="dxa"/>
            <w:vAlign w:val="bottom"/>
          </w:tcPr>
          <w:p>
            <w:pPr>
              <w:spacing w:after="0"/>
              <w:rPr>
                <w:sz w:val="1"/>
                <w:szCs w:val="1"/>
                <w:color w:val="auto"/>
              </w:rPr>
            </w:pPr>
          </w:p>
        </w:tc>
      </w:tr>
      <w:tr>
        <w:trPr>
          <w:trHeight w:val="134"/>
        </w:trPr>
        <w:tc>
          <w:tcPr>
            <w:tcW w:w="1440" w:type="dxa"/>
            <w:vAlign w:val="bottom"/>
          </w:tcPr>
          <w:p>
            <w:pPr>
              <w:spacing w:after="0"/>
              <w:rPr>
                <w:sz w:val="11"/>
                <w:szCs w:val="11"/>
                <w:color w:val="auto"/>
              </w:rPr>
            </w:pPr>
          </w:p>
        </w:tc>
        <w:tc>
          <w:tcPr>
            <w:tcW w:w="540" w:type="dxa"/>
            <w:vAlign w:val="bottom"/>
            <w:tcBorders>
              <w:top w:val="single" w:sz="8" w:color="FEFEFE"/>
            </w:tcBorders>
            <w:shd w:val="clear" w:color="auto" w:fill="FEFEFE"/>
          </w:tcPr>
          <w:p>
            <w:pPr>
              <w:spacing w:after="0"/>
              <w:rPr>
                <w:sz w:val="11"/>
                <w:szCs w:val="11"/>
                <w:color w:val="auto"/>
              </w:rPr>
            </w:pPr>
          </w:p>
        </w:tc>
        <w:tc>
          <w:tcPr>
            <w:tcW w:w="9080" w:type="dxa"/>
            <w:vAlign w:val="bottom"/>
            <w:tcBorders>
              <w:top w:val="single" w:sz="8" w:color="0000FF"/>
            </w:tcBorders>
            <w:gridSpan w:val="23"/>
            <w:shd w:val="clear" w:color="auto" w:fill="FEFEFE"/>
          </w:tcPr>
          <w:p>
            <w:pPr>
              <w:spacing w:after="0" w:line="134" w:lineRule="exact"/>
              <w:rPr>
                <w:rFonts w:ascii="Arial" w:cs="Arial" w:eastAsia="Arial" w:hAnsi="Arial"/>
                <w:sz w:val="15"/>
                <w:szCs w:val="15"/>
                <w:color w:val="0000FF"/>
              </w:rPr>
            </w:pPr>
            <w:hyperlink r:id="rId177">
              <w:r>
                <w:rPr>
                  <w:rFonts w:ascii="Arial" w:cs="Arial" w:eastAsia="Arial" w:hAnsi="Arial"/>
                  <w:sz w:val="15"/>
                  <w:szCs w:val="15"/>
                  <w:color w:val="0000FF"/>
                </w:rPr>
                <w:t>37352) filed on February 28, 2020.</w:t>
              </w:r>
            </w:hyperlink>
          </w:p>
        </w:tc>
        <w:tc>
          <w:tcPr>
            <w:tcW w:w="60" w:type="dxa"/>
            <w:vAlign w:val="bottom"/>
            <w:tcBorders>
              <w:top w:val="single" w:sz="8" w:color="FEFEFE"/>
            </w:tcBorders>
            <w:gridSpan w:val="2"/>
            <w:shd w:val="clear" w:color="auto" w:fill="FEFEFE"/>
          </w:tcPr>
          <w:p>
            <w:pPr>
              <w:spacing w:after="0"/>
              <w:rPr>
                <w:sz w:val="11"/>
                <w:szCs w:val="11"/>
                <w:color w:val="auto"/>
              </w:rPr>
            </w:pPr>
          </w:p>
        </w:tc>
        <w:tc>
          <w:tcPr>
            <w:tcW w:w="120" w:type="dxa"/>
            <w:vAlign w:val="bottom"/>
            <w:tcBorders>
              <w:top w:val="single" w:sz="8" w:color="FEFEFE"/>
            </w:tcBorders>
            <w:gridSpan w:val="6"/>
            <w:shd w:val="clear" w:color="auto" w:fill="FEFEFE"/>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1440" w:type="dxa"/>
            <w:vAlign w:val="bottom"/>
            <w:vMerge w:val="restart"/>
          </w:tcPr>
          <w:p>
            <w:pPr>
              <w:ind w:left="20"/>
              <w:spacing w:after="0"/>
              <w:rPr>
                <w:sz w:val="20"/>
                <w:szCs w:val="20"/>
                <w:color w:val="auto"/>
              </w:rPr>
            </w:pPr>
            <w:r>
              <w:rPr>
                <w:rFonts w:ascii="Arial" w:cs="Arial" w:eastAsia="Arial" w:hAnsi="Arial"/>
                <w:sz w:val="16"/>
                <w:szCs w:val="16"/>
                <w:color w:val="auto"/>
              </w:rPr>
              <w:t>10.1†</w:t>
            </w:r>
          </w:p>
        </w:tc>
        <w:tc>
          <w:tcPr>
            <w:tcW w:w="540" w:type="dxa"/>
            <w:vAlign w:val="bottom"/>
            <w:shd w:val="clear" w:color="auto" w:fill="FEFEFE"/>
          </w:tcPr>
          <w:p>
            <w:pPr>
              <w:spacing w:after="0"/>
              <w:rPr>
                <w:sz w:val="3"/>
                <w:szCs w:val="3"/>
                <w:color w:val="auto"/>
              </w:rPr>
            </w:pPr>
          </w:p>
        </w:tc>
        <w:tc>
          <w:tcPr>
            <w:tcW w:w="9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1680" w:type="dxa"/>
            <w:vAlign w:val="bottom"/>
            <w:shd w:val="clear" w:color="auto" w:fill="FEFEFE"/>
          </w:tcPr>
          <w:p>
            <w:pPr>
              <w:spacing w:after="0"/>
              <w:rPr>
                <w:sz w:val="3"/>
                <w:szCs w:val="3"/>
                <w:color w:val="auto"/>
              </w:rPr>
            </w:pPr>
          </w:p>
        </w:tc>
        <w:tc>
          <w:tcPr>
            <w:tcW w:w="220" w:type="dxa"/>
            <w:vAlign w:val="bottom"/>
            <w:shd w:val="clear" w:color="auto" w:fill="FEFEFE"/>
          </w:tcPr>
          <w:p>
            <w:pPr>
              <w:spacing w:after="0"/>
              <w:rPr>
                <w:sz w:val="3"/>
                <w:szCs w:val="3"/>
                <w:color w:val="auto"/>
              </w:rPr>
            </w:pPr>
          </w:p>
        </w:tc>
        <w:tc>
          <w:tcPr>
            <w:tcW w:w="1040" w:type="dxa"/>
            <w:vAlign w:val="bottom"/>
            <w:shd w:val="clear" w:color="auto" w:fill="FEFEFE"/>
          </w:tcPr>
          <w:p>
            <w:pPr>
              <w:spacing w:after="0"/>
              <w:rPr>
                <w:sz w:val="3"/>
                <w:szCs w:val="3"/>
                <w:color w:val="auto"/>
              </w:rPr>
            </w:pPr>
          </w:p>
        </w:tc>
        <w:tc>
          <w:tcPr>
            <w:tcW w:w="120" w:type="dxa"/>
            <w:vAlign w:val="bottom"/>
            <w:shd w:val="clear" w:color="auto" w:fill="FEFEFE"/>
          </w:tcPr>
          <w:p>
            <w:pPr>
              <w:spacing w:after="0"/>
              <w:rPr>
                <w:sz w:val="3"/>
                <w:szCs w:val="3"/>
                <w:color w:val="auto"/>
              </w:rPr>
            </w:pPr>
          </w:p>
        </w:tc>
        <w:tc>
          <w:tcPr>
            <w:tcW w:w="2340" w:type="dxa"/>
            <w:vAlign w:val="bottom"/>
            <w:shd w:val="clear" w:color="auto" w:fill="FEFEFE"/>
          </w:tcPr>
          <w:p>
            <w:pPr>
              <w:spacing w:after="0"/>
              <w:rPr>
                <w:sz w:val="3"/>
                <w:szCs w:val="3"/>
                <w:color w:val="auto"/>
              </w:rPr>
            </w:pPr>
          </w:p>
        </w:tc>
        <w:tc>
          <w:tcPr>
            <w:tcW w:w="640" w:type="dxa"/>
            <w:vAlign w:val="bottom"/>
            <w:shd w:val="clear" w:color="auto" w:fill="FEFEFE"/>
          </w:tcPr>
          <w:p>
            <w:pPr>
              <w:spacing w:after="0"/>
              <w:rPr>
                <w:sz w:val="3"/>
                <w:szCs w:val="3"/>
                <w:color w:val="auto"/>
              </w:rPr>
            </w:pPr>
          </w:p>
        </w:tc>
        <w:tc>
          <w:tcPr>
            <w:tcW w:w="220" w:type="dxa"/>
            <w:vAlign w:val="bottom"/>
            <w:shd w:val="clear" w:color="auto" w:fill="FEFEFE"/>
          </w:tcPr>
          <w:p>
            <w:pPr>
              <w:spacing w:after="0"/>
              <w:rPr>
                <w:sz w:val="3"/>
                <w:szCs w:val="3"/>
                <w:color w:val="auto"/>
              </w:rPr>
            </w:pPr>
          </w:p>
        </w:tc>
        <w:tc>
          <w:tcPr>
            <w:tcW w:w="40" w:type="dxa"/>
            <w:vAlign w:val="bottom"/>
            <w:shd w:val="clear" w:color="auto" w:fill="FEFEFE"/>
          </w:tcPr>
          <w:p>
            <w:pPr>
              <w:spacing w:after="0"/>
              <w:rPr>
                <w:sz w:val="3"/>
                <w:szCs w:val="3"/>
                <w:color w:val="auto"/>
              </w:rPr>
            </w:pPr>
          </w:p>
        </w:tc>
        <w:tc>
          <w:tcPr>
            <w:tcW w:w="40" w:type="dxa"/>
            <w:vAlign w:val="bottom"/>
            <w:shd w:val="clear" w:color="auto" w:fill="FEFEFE"/>
          </w:tcPr>
          <w:p>
            <w:pPr>
              <w:spacing w:after="0"/>
              <w:rPr>
                <w:sz w:val="3"/>
                <w:szCs w:val="3"/>
                <w:color w:val="auto"/>
              </w:rPr>
            </w:pPr>
          </w:p>
        </w:tc>
        <w:tc>
          <w:tcPr>
            <w:tcW w:w="80" w:type="dxa"/>
            <w:vAlign w:val="bottom"/>
            <w:shd w:val="clear" w:color="auto" w:fill="FEFEFE"/>
          </w:tcPr>
          <w:p>
            <w:pPr>
              <w:spacing w:after="0"/>
              <w:rPr>
                <w:sz w:val="3"/>
                <w:szCs w:val="3"/>
                <w:color w:val="auto"/>
              </w:rPr>
            </w:pPr>
          </w:p>
        </w:tc>
        <w:tc>
          <w:tcPr>
            <w:tcW w:w="180" w:type="dxa"/>
            <w:vAlign w:val="bottom"/>
            <w:shd w:val="clear" w:color="auto" w:fill="FEFEFE"/>
          </w:tcPr>
          <w:p>
            <w:pPr>
              <w:spacing w:after="0"/>
              <w:rPr>
                <w:sz w:val="3"/>
                <w:szCs w:val="3"/>
                <w:color w:val="auto"/>
              </w:rPr>
            </w:pPr>
          </w:p>
        </w:tc>
        <w:tc>
          <w:tcPr>
            <w:tcW w:w="40" w:type="dxa"/>
            <w:vAlign w:val="bottom"/>
            <w:shd w:val="clear" w:color="auto" w:fill="FEFEFE"/>
          </w:tcPr>
          <w:p>
            <w:pPr>
              <w:spacing w:after="0"/>
              <w:rPr>
                <w:sz w:val="3"/>
                <w:szCs w:val="3"/>
                <w:color w:val="auto"/>
              </w:rPr>
            </w:pPr>
          </w:p>
        </w:tc>
        <w:tc>
          <w:tcPr>
            <w:tcW w:w="40" w:type="dxa"/>
            <w:vAlign w:val="bottom"/>
            <w:shd w:val="clear" w:color="auto" w:fill="FEFEFE"/>
          </w:tcPr>
          <w:p>
            <w:pPr>
              <w:spacing w:after="0"/>
              <w:rPr>
                <w:sz w:val="3"/>
                <w:szCs w:val="3"/>
                <w:color w:val="auto"/>
              </w:rPr>
            </w:pPr>
          </w:p>
        </w:tc>
        <w:tc>
          <w:tcPr>
            <w:tcW w:w="40" w:type="dxa"/>
            <w:vAlign w:val="bottom"/>
            <w:shd w:val="clear" w:color="auto" w:fill="FEFEFE"/>
          </w:tcPr>
          <w:p>
            <w:pPr>
              <w:spacing w:after="0"/>
              <w:rPr>
                <w:sz w:val="3"/>
                <w:szCs w:val="3"/>
                <w:color w:val="auto"/>
              </w:rPr>
            </w:pPr>
          </w:p>
        </w:tc>
        <w:tc>
          <w:tcPr>
            <w:tcW w:w="60" w:type="dxa"/>
            <w:vAlign w:val="bottom"/>
            <w:shd w:val="clear" w:color="auto" w:fill="FEFEFE"/>
          </w:tcPr>
          <w:p>
            <w:pPr>
              <w:spacing w:after="0"/>
              <w:rPr>
                <w:sz w:val="3"/>
                <w:szCs w:val="3"/>
                <w:color w:val="auto"/>
              </w:rPr>
            </w:pPr>
          </w:p>
        </w:tc>
        <w:tc>
          <w:tcPr>
            <w:tcW w:w="20" w:type="dxa"/>
            <w:vAlign w:val="bottom"/>
            <w:shd w:val="clear" w:color="auto" w:fill="FEFEFE"/>
          </w:tcPr>
          <w:p>
            <w:pPr>
              <w:spacing w:after="0"/>
              <w:rPr>
                <w:sz w:val="3"/>
                <w:szCs w:val="3"/>
                <w:color w:val="auto"/>
              </w:rPr>
            </w:pPr>
          </w:p>
        </w:tc>
        <w:tc>
          <w:tcPr>
            <w:tcW w:w="20" w:type="dxa"/>
            <w:vAlign w:val="bottom"/>
            <w:shd w:val="clear" w:color="auto" w:fill="FEFEFE"/>
          </w:tcPr>
          <w:p>
            <w:pPr>
              <w:spacing w:after="0"/>
              <w:rPr>
                <w:sz w:val="3"/>
                <w:szCs w:val="3"/>
                <w:color w:val="auto"/>
              </w:rPr>
            </w:pPr>
          </w:p>
        </w:tc>
        <w:tc>
          <w:tcPr>
            <w:tcW w:w="20" w:type="dxa"/>
            <w:vAlign w:val="bottom"/>
            <w:shd w:val="clear" w:color="auto" w:fill="FEFEFE"/>
          </w:tcPr>
          <w:p>
            <w:pPr>
              <w:spacing w:after="0"/>
              <w:rPr>
                <w:sz w:val="3"/>
                <w:szCs w:val="3"/>
                <w:color w:val="auto"/>
              </w:rPr>
            </w:pPr>
          </w:p>
        </w:tc>
        <w:tc>
          <w:tcPr>
            <w:tcW w:w="20" w:type="dxa"/>
            <w:vAlign w:val="bottom"/>
            <w:shd w:val="clear" w:color="auto" w:fill="FEFEFE"/>
          </w:tcPr>
          <w:p>
            <w:pPr>
              <w:spacing w:after="0"/>
              <w:rPr>
                <w:sz w:val="3"/>
                <w:szCs w:val="3"/>
                <w:color w:val="auto"/>
              </w:rPr>
            </w:pPr>
          </w:p>
        </w:tc>
        <w:tc>
          <w:tcPr>
            <w:tcW w:w="20" w:type="dxa"/>
            <w:vAlign w:val="bottom"/>
            <w:shd w:val="clear" w:color="auto" w:fill="FEFEFE"/>
          </w:tcPr>
          <w:p>
            <w:pPr>
              <w:spacing w:after="0"/>
              <w:rPr>
                <w:sz w:val="3"/>
                <w:szCs w:val="3"/>
                <w:color w:val="auto"/>
              </w:rPr>
            </w:pPr>
          </w:p>
        </w:tc>
        <w:tc>
          <w:tcPr>
            <w:tcW w:w="40" w:type="dxa"/>
            <w:vAlign w:val="bottom"/>
            <w:shd w:val="clear" w:color="auto" w:fill="FEFEFE"/>
          </w:tcPr>
          <w:p>
            <w:pPr>
              <w:spacing w:after="0"/>
              <w:rPr>
                <w:sz w:val="3"/>
                <w:szCs w:val="3"/>
                <w:color w:val="auto"/>
              </w:rPr>
            </w:pPr>
          </w:p>
        </w:tc>
        <w:tc>
          <w:tcPr>
            <w:tcW w:w="20" w:type="dxa"/>
            <w:vAlign w:val="bottom"/>
            <w:shd w:val="clear" w:color="auto" w:fill="FEFEFE"/>
          </w:tcPr>
          <w:p>
            <w:pPr>
              <w:spacing w:after="0"/>
              <w:rPr>
                <w:sz w:val="3"/>
                <w:szCs w:val="3"/>
                <w:color w:val="auto"/>
              </w:rPr>
            </w:pPr>
          </w:p>
        </w:tc>
        <w:tc>
          <w:tcPr>
            <w:tcW w:w="20" w:type="dxa"/>
            <w:vAlign w:val="bottom"/>
            <w:shd w:val="clear" w:color="auto" w:fill="FEFEFE"/>
          </w:tcPr>
          <w:p>
            <w:pPr>
              <w:spacing w:after="0"/>
              <w:rPr>
                <w:sz w:val="3"/>
                <w:szCs w:val="3"/>
                <w:color w:val="auto"/>
              </w:rPr>
            </w:pPr>
          </w:p>
        </w:tc>
        <w:tc>
          <w:tcPr>
            <w:tcW w:w="20" w:type="dxa"/>
            <w:vAlign w:val="bottom"/>
            <w:shd w:val="clear" w:color="auto" w:fill="FEFEFE"/>
          </w:tcPr>
          <w:p>
            <w:pPr>
              <w:spacing w:after="0"/>
              <w:rPr>
                <w:sz w:val="3"/>
                <w:szCs w:val="3"/>
                <w:color w:val="auto"/>
              </w:rPr>
            </w:pPr>
          </w:p>
        </w:tc>
        <w:tc>
          <w:tcPr>
            <w:tcW w:w="20" w:type="dxa"/>
            <w:vAlign w:val="bottom"/>
            <w:shd w:val="clear" w:color="auto" w:fill="FEFEFE"/>
          </w:tcPr>
          <w:p>
            <w:pPr>
              <w:spacing w:after="0"/>
              <w:rPr>
                <w:sz w:val="3"/>
                <w:szCs w:val="3"/>
                <w:color w:val="auto"/>
              </w:rPr>
            </w:pPr>
          </w:p>
        </w:tc>
        <w:tc>
          <w:tcPr>
            <w:tcW w:w="20" w:type="dxa"/>
            <w:vAlign w:val="bottom"/>
            <w:shd w:val="clear" w:color="auto" w:fill="FEFEFE"/>
          </w:tcPr>
          <w:p>
            <w:pPr>
              <w:spacing w:after="0"/>
              <w:rPr>
                <w:sz w:val="3"/>
                <w:szCs w:val="3"/>
                <w:color w:val="auto"/>
              </w:rPr>
            </w:pPr>
          </w:p>
        </w:tc>
        <w:tc>
          <w:tcPr>
            <w:tcW w:w="20" w:type="dxa"/>
            <w:vAlign w:val="bottom"/>
            <w:shd w:val="clear" w:color="auto" w:fill="FEFEF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144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9260" w:type="dxa"/>
            <w:vAlign w:val="bottom"/>
            <w:gridSpan w:val="31"/>
          </w:tcPr>
          <w:p>
            <w:pPr>
              <w:spacing w:after="0" w:line="166" w:lineRule="exact"/>
              <w:rPr>
                <w:rFonts w:ascii="Arial" w:cs="Arial" w:eastAsia="Arial" w:hAnsi="Arial"/>
                <w:sz w:val="16"/>
                <w:szCs w:val="16"/>
                <w:color w:val="0000FF"/>
                <w:w w:val="90"/>
              </w:rPr>
            </w:pPr>
            <w:hyperlink r:id="rId178">
              <w:r>
                <w:rPr>
                  <w:rFonts w:ascii="Arial" w:cs="Arial" w:eastAsia="Arial" w:hAnsi="Arial"/>
                  <w:sz w:val="16"/>
                  <w:szCs w:val="16"/>
                  <w:color w:val="0000FF"/>
                  <w:w w:val="90"/>
                </w:rPr>
                <w:t>Virtu Financial, Inc. Amended and Restated 2015 Management Incentive Plan (incorporated herein by reference to Exhibit 4.3 to the Company’s</w:t>
              </w:r>
            </w:hyperlink>
          </w:p>
        </w:tc>
        <w:tc>
          <w:tcPr>
            <w:tcW w:w="0" w:type="dxa"/>
            <w:vAlign w:val="bottom"/>
          </w:tcPr>
          <w:p>
            <w:pPr>
              <w:spacing w:after="0"/>
              <w:rPr>
                <w:sz w:val="1"/>
                <w:szCs w:val="1"/>
                <w:color w:val="auto"/>
              </w:rPr>
            </w:pPr>
          </w:p>
        </w:tc>
      </w:tr>
      <w:tr>
        <w:trPr>
          <w:trHeight w:val="134"/>
        </w:trPr>
        <w:tc>
          <w:tcPr>
            <w:tcW w:w="1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140" w:type="dxa"/>
            <w:vAlign w:val="bottom"/>
            <w:tcBorders>
              <w:top w:val="single" w:sz="8" w:color="0000FF"/>
            </w:tcBorders>
            <w:gridSpan w:val="25"/>
          </w:tcPr>
          <w:p>
            <w:pPr>
              <w:spacing w:after="0" w:line="134" w:lineRule="exact"/>
              <w:rPr>
                <w:rFonts w:ascii="Arial" w:cs="Arial" w:eastAsia="Arial" w:hAnsi="Arial"/>
                <w:sz w:val="15"/>
                <w:szCs w:val="15"/>
                <w:color w:val="0000FF"/>
              </w:rPr>
            </w:pPr>
            <w:hyperlink r:id="rId178">
              <w:r>
                <w:rPr>
                  <w:rFonts w:ascii="Arial" w:cs="Arial" w:eastAsia="Arial" w:hAnsi="Arial"/>
                  <w:sz w:val="15"/>
                  <w:szCs w:val="15"/>
                  <w:color w:val="0000FF"/>
                </w:rPr>
                <w:t>Registration Statement on Form S-8 (File No. 333-219110) filed on June 30, 2017).</w:t>
              </w:r>
            </w:hyperlink>
          </w:p>
        </w:tc>
        <w:tc>
          <w:tcPr>
            <w:tcW w:w="120" w:type="dxa"/>
            <w:vAlign w:val="bottom"/>
            <w:gridSpan w:val="6"/>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980" w:type="dxa"/>
            <w:vAlign w:val="bottom"/>
            <w:gridSpan w:val="2"/>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4020" w:type="dxa"/>
            <w:vAlign w:val="bottom"/>
            <w:gridSpan w:val="6"/>
            <w:shd w:val="clear" w:color="auto" w:fill="0000FF"/>
          </w:tcPr>
          <w:p>
            <w:pPr>
              <w:spacing w:after="0" w:line="20" w:lineRule="exact"/>
              <w:rPr>
                <w:sz w:val="1"/>
                <w:szCs w:val="1"/>
                <w:color w:val="auto"/>
              </w:rPr>
            </w:pPr>
          </w:p>
        </w:tc>
        <w:tc>
          <w:tcPr>
            <w:tcW w:w="336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980" w:type="dxa"/>
            <w:vAlign w:val="bottom"/>
            <w:gridSpan w:val="2"/>
          </w:tcPr>
          <w:p>
            <w:pPr>
              <w:ind w:left="20"/>
              <w:spacing w:after="0" w:line="181" w:lineRule="exact"/>
              <w:rPr>
                <w:sz w:val="20"/>
                <w:szCs w:val="20"/>
                <w:color w:val="auto"/>
              </w:rPr>
            </w:pPr>
            <w:r>
              <w:rPr>
                <w:rFonts w:ascii="Arial" w:cs="Arial" w:eastAsia="Arial" w:hAnsi="Arial"/>
                <w:sz w:val="16"/>
                <w:szCs w:val="16"/>
                <w:color w:val="auto"/>
              </w:rPr>
              <w:t>10.2†</w:t>
            </w:r>
          </w:p>
        </w:tc>
        <w:tc>
          <w:tcPr>
            <w:tcW w:w="9260" w:type="dxa"/>
            <w:vAlign w:val="bottom"/>
            <w:gridSpan w:val="31"/>
          </w:tcPr>
          <w:p>
            <w:pPr>
              <w:spacing w:after="0" w:line="181" w:lineRule="exact"/>
              <w:rPr>
                <w:rFonts w:ascii="Arial" w:cs="Arial" w:eastAsia="Arial" w:hAnsi="Arial"/>
                <w:sz w:val="16"/>
                <w:szCs w:val="16"/>
                <w:color w:val="0000FF"/>
                <w:w w:val="96"/>
              </w:rPr>
            </w:pPr>
            <w:hyperlink r:id="rId179">
              <w:r>
                <w:rPr>
                  <w:rFonts w:ascii="Arial" w:cs="Arial" w:eastAsia="Arial" w:hAnsi="Arial"/>
                  <w:sz w:val="16"/>
                  <w:szCs w:val="16"/>
                  <w:color w:val="0000FF"/>
                  <w:w w:val="96"/>
                </w:rPr>
                <w:t>Virtu Financial, Inc. Amended and Restated 2015 Management Incentive Plan Form of Restricted Stock Unit and Common Stock Award</w:t>
              </w:r>
            </w:hyperlink>
          </w:p>
        </w:tc>
        <w:tc>
          <w:tcPr>
            <w:tcW w:w="0" w:type="dxa"/>
            <w:vAlign w:val="bottom"/>
          </w:tcPr>
          <w:p>
            <w:pPr>
              <w:spacing w:after="0"/>
              <w:rPr>
                <w:sz w:val="1"/>
                <w:szCs w:val="1"/>
                <w:color w:val="auto"/>
              </w:rPr>
            </w:pPr>
          </w:p>
        </w:tc>
      </w:tr>
      <w:tr>
        <w:trPr>
          <w:trHeight w:val="134"/>
        </w:trPr>
        <w:tc>
          <w:tcPr>
            <w:tcW w:w="1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40" w:type="dxa"/>
            <w:vAlign w:val="bottom"/>
            <w:tcBorders>
              <w:top w:val="single" w:sz="8" w:color="0000FF"/>
            </w:tcBorders>
            <w:gridSpan w:val="14"/>
          </w:tcPr>
          <w:p>
            <w:pPr>
              <w:spacing w:after="0" w:line="134" w:lineRule="exact"/>
              <w:rPr>
                <w:rFonts w:ascii="Arial" w:cs="Arial" w:eastAsia="Arial" w:hAnsi="Arial"/>
                <w:sz w:val="15"/>
                <w:szCs w:val="15"/>
                <w:color w:val="0000FF"/>
                <w:w w:val="96"/>
              </w:rPr>
            </w:pPr>
            <w:hyperlink r:id="rId179">
              <w:r>
                <w:rPr>
                  <w:rFonts w:ascii="Arial" w:cs="Arial" w:eastAsia="Arial" w:hAnsi="Arial"/>
                  <w:sz w:val="15"/>
                  <w:szCs w:val="15"/>
                  <w:color w:val="0000FF"/>
                  <w:w w:val="96"/>
                </w:rPr>
                <w:t>Agreement (incorporated herein by reference to Exhibit 10.4 to the Company’s Annual Report on Form 10-K (File No. 001-37352) filed</w:t>
              </w:r>
            </w:hyperlink>
          </w:p>
        </w:tc>
        <w:tc>
          <w:tcPr>
            <w:tcW w:w="620" w:type="dxa"/>
            <w:vAlign w:val="bottom"/>
            <w:gridSpan w:val="17"/>
          </w:tcPr>
          <w:p>
            <w:pPr>
              <w:ind w:left="20"/>
              <w:spacing w:after="0" w:line="134" w:lineRule="exact"/>
              <w:rPr>
                <w:rFonts w:ascii="Arial" w:cs="Arial" w:eastAsia="Arial" w:hAnsi="Arial"/>
                <w:sz w:val="15"/>
                <w:szCs w:val="15"/>
                <w:color w:val="0000FF"/>
              </w:rPr>
            </w:pPr>
            <w:hyperlink r:id="rId179">
              <w:r>
                <w:rPr>
                  <w:rFonts w:ascii="Arial" w:cs="Arial" w:eastAsia="Arial" w:hAnsi="Arial"/>
                  <w:sz w:val="15"/>
                  <w:szCs w:val="15"/>
                  <w:color w:val="0000FF"/>
                </w:rPr>
                <w:t>on</w:t>
              </w:r>
            </w:hyperlink>
          </w:p>
        </w:tc>
        <w:tc>
          <w:tcPr>
            <w:tcW w:w="0" w:type="dxa"/>
            <w:vAlign w:val="bottom"/>
          </w:tcPr>
          <w:p>
            <w:pPr>
              <w:spacing w:after="0"/>
              <w:rPr>
                <w:sz w:val="1"/>
                <w:szCs w:val="1"/>
                <w:color w:val="auto"/>
              </w:rPr>
            </w:pPr>
          </w:p>
        </w:tc>
      </w:tr>
      <w:tr>
        <w:trPr>
          <w:trHeight w:val="134"/>
        </w:trPr>
        <w:tc>
          <w:tcPr>
            <w:tcW w:w="1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20" w:type="dxa"/>
            <w:vAlign w:val="bottom"/>
            <w:tcBorders>
              <w:top w:val="single" w:sz="8" w:color="0000FF"/>
            </w:tcBorders>
            <w:gridSpan w:val="15"/>
          </w:tcPr>
          <w:p>
            <w:pPr>
              <w:spacing w:after="0" w:line="134" w:lineRule="exact"/>
              <w:rPr>
                <w:rFonts w:ascii="Arial" w:cs="Arial" w:eastAsia="Arial" w:hAnsi="Arial"/>
                <w:sz w:val="15"/>
                <w:szCs w:val="15"/>
                <w:color w:val="0000FF"/>
              </w:rPr>
            </w:pPr>
            <w:hyperlink r:id="rId179">
              <w:r>
                <w:rPr>
                  <w:rFonts w:ascii="Arial" w:cs="Arial" w:eastAsia="Arial" w:hAnsi="Arial"/>
                  <w:sz w:val="15"/>
                  <w:szCs w:val="15"/>
                  <w:color w:val="0000FF"/>
                </w:rPr>
                <w:t>February 25, 2021).</w:t>
              </w:r>
            </w:hyperlink>
          </w:p>
        </w:tc>
        <w:tc>
          <w:tcPr>
            <w:tcW w:w="440" w:type="dxa"/>
            <w:vAlign w:val="bottom"/>
            <w:gridSpan w:val="16"/>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-758825</wp:posOffset>
            </wp:positionV>
            <wp:extent cx="6217285" cy="199199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0">
                      <a:extLst>
                        <a:ext uri="{28A0092B-C50C-407E-A947-70E740481C1C}"/>
                      </a:extLst>
                    </a:blip>
                    <a:srcRect/>
                    <a:stretch>
                      <a:fillRect/>
                    </a:stretch>
                  </pic:blipFill>
                  <pic:spPr bwMode="auto">
                    <a:xfrm>
                      <a:off x="0" y="0"/>
                      <a:ext cx="6217285" cy="199199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10.3†</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10.4†</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10.5*†</w:t>
      </w:r>
    </w:p>
    <w:p>
      <w:pPr>
        <w:spacing w:after="0" w:line="2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10.6*†</w:t>
      </w:r>
    </w:p>
    <w:p>
      <w:pPr>
        <w:spacing w:after="0" w:line="2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10.7*†</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ind w:right="640"/>
        <w:spacing w:after="0" w:line="231" w:lineRule="auto"/>
        <w:rPr>
          <w:rFonts w:ascii="Arial" w:cs="Arial" w:eastAsia="Arial" w:hAnsi="Arial"/>
          <w:sz w:val="16"/>
          <w:szCs w:val="16"/>
          <w:u w:val="single" w:color="auto"/>
          <w:color w:val="0000FF"/>
        </w:rPr>
      </w:pPr>
      <w:hyperlink r:id="rId181">
        <w:r>
          <w:rPr>
            <w:rFonts w:ascii="Arial" w:cs="Arial" w:eastAsia="Arial" w:hAnsi="Arial"/>
            <w:sz w:val="16"/>
            <w:szCs w:val="16"/>
            <w:u w:val="single" w:color="auto"/>
            <w:color w:val="0000FF"/>
          </w:rPr>
          <w:t>Form of Indemnification Agreement (incorporated herein by reference to Exhibit 10.2 to the Company’s Amendment No. 2 to Form S-1</w:t>
        </w:r>
      </w:hyperlink>
      <w:r>
        <w:rPr>
          <w:rFonts w:ascii="Arial" w:cs="Arial" w:eastAsia="Arial" w:hAnsi="Arial"/>
          <w:sz w:val="16"/>
          <w:szCs w:val="16"/>
          <w:u w:val="single" w:color="auto"/>
          <w:color w:val="0000FF"/>
        </w:rPr>
        <w:t xml:space="preserve"> </w:t>
      </w:r>
      <w:hyperlink r:id="rId181">
        <w:r>
          <w:rPr>
            <w:rFonts w:ascii="Arial" w:cs="Arial" w:eastAsia="Arial" w:hAnsi="Arial"/>
            <w:sz w:val="16"/>
            <w:szCs w:val="16"/>
            <w:u w:val="single" w:color="auto"/>
            <w:color w:val="0000FF"/>
          </w:rPr>
          <w:t>Registration Statement (File No. 333-194473) filed on February 20, 2015).</w:t>
        </w:r>
      </w:hyperlink>
    </w:p>
    <w:p>
      <w:pPr>
        <w:spacing w:after="0" w:line="1" w:lineRule="exact"/>
        <w:rPr>
          <w:sz w:val="20"/>
          <w:szCs w:val="20"/>
          <w:color w:val="auto"/>
        </w:rPr>
      </w:pPr>
    </w:p>
    <w:p>
      <w:pPr>
        <w:ind w:right="40"/>
        <w:spacing w:after="0" w:line="273" w:lineRule="auto"/>
        <w:rPr>
          <w:rFonts w:ascii="Arial" w:cs="Arial" w:eastAsia="Arial" w:hAnsi="Arial"/>
          <w:sz w:val="14"/>
          <w:szCs w:val="14"/>
          <w:u w:val="single" w:color="auto"/>
          <w:color w:val="0000FF"/>
        </w:rPr>
      </w:pPr>
      <w:hyperlink r:id="rId182">
        <w:r>
          <w:rPr>
            <w:rFonts w:ascii="Arial" w:cs="Arial" w:eastAsia="Arial" w:hAnsi="Arial"/>
            <w:sz w:val="14"/>
            <w:szCs w:val="14"/>
            <w:u w:val="single" w:color="auto"/>
            <w:color w:val="0000FF"/>
          </w:rPr>
          <w:t>Amended and Restated Employment Agreement, dated as of November 15, 2017, by and between Virtu Financial, Inc. and Mr. Douglas A. Cifu</w:t>
        </w:r>
      </w:hyperlink>
      <w:r>
        <w:rPr>
          <w:rFonts w:ascii="Arial" w:cs="Arial" w:eastAsia="Arial" w:hAnsi="Arial"/>
          <w:sz w:val="14"/>
          <w:szCs w:val="14"/>
          <w:u w:val="single" w:color="auto"/>
          <w:color w:val="0000FF"/>
        </w:rPr>
        <w:t xml:space="preserve"> </w:t>
      </w:r>
      <w:hyperlink r:id="rId182">
        <w:r>
          <w:rPr>
            <w:rFonts w:ascii="Arial" w:cs="Arial" w:eastAsia="Arial" w:hAnsi="Arial"/>
            <w:sz w:val="14"/>
            <w:szCs w:val="14"/>
            <w:u w:val="single" w:color="auto"/>
            <w:color w:val="0000FF"/>
          </w:rPr>
          <w:t>(incorporated herein by reference to Exhibit 10.4 to the Company's Annual Report on Form 10-K (File No. 001-37352) filed on March 13, 2018).</w:t>
        </w:r>
      </w:hyperlink>
    </w:p>
    <w:p>
      <w:pPr>
        <w:spacing w:after="0" w:line="1" w:lineRule="exact"/>
        <w:rPr>
          <w:sz w:val="20"/>
          <w:szCs w:val="20"/>
          <w:color w:val="auto"/>
        </w:rPr>
      </w:pPr>
    </w:p>
    <w:p>
      <w:pPr>
        <w:ind w:right="480"/>
        <w:spacing w:after="0" w:line="253" w:lineRule="auto"/>
        <w:rPr>
          <w:rFonts w:ascii="Arial" w:cs="Arial" w:eastAsia="Arial" w:hAnsi="Arial"/>
          <w:sz w:val="16"/>
          <w:szCs w:val="16"/>
          <w:u w:val="single" w:color="auto"/>
          <w:color w:val="0000FF"/>
        </w:rPr>
      </w:pPr>
      <w:hyperlink w:anchor="page149">
        <w:r>
          <w:rPr>
            <w:rFonts w:ascii="Arial" w:cs="Arial" w:eastAsia="Arial" w:hAnsi="Arial"/>
            <w:sz w:val="16"/>
            <w:szCs w:val="16"/>
            <w:u w:val="single" w:color="auto"/>
            <w:color w:val="0000FF"/>
          </w:rPr>
          <w:t>Virtu Financial, Inc. Amended and Restated 2015 Management Incentive Plan Employee Restricted Stock Unit and Common Stock Award</w:t>
        </w:r>
      </w:hyperlink>
      <w:r>
        <w:rPr>
          <w:rFonts w:ascii="Arial" w:cs="Arial" w:eastAsia="Arial" w:hAnsi="Arial"/>
          <w:sz w:val="16"/>
          <w:szCs w:val="16"/>
          <w:u w:val="single" w:color="auto"/>
          <w:color w:val="0000FF"/>
        </w:rPr>
        <w:t xml:space="preserve"> </w:t>
      </w:r>
      <w:hyperlink w:anchor="page149">
        <w:r>
          <w:rPr>
            <w:rFonts w:ascii="Arial" w:cs="Arial" w:eastAsia="Arial" w:hAnsi="Arial"/>
            <w:sz w:val="16"/>
            <w:szCs w:val="16"/>
            <w:u w:val="single" w:color="auto"/>
            <w:color w:val="0000FF"/>
          </w:rPr>
          <w:t>Agreement, dated as of January 24, 2020, by and between Virtu Financial, Inc. and Douglas A. Cifu.</w:t>
        </w:r>
      </w:hyperlink>
    </w:p>
    <w:p>
      <w:pPr>
        <w:spacing w:after="0" w:line="15" w:lineRule="exact"/>
        <w:rPr>
          <w:sz w:val="20"/>
          <w:szCs w:val="20"/>
          <w:color w:val="auto"/>
        </w:rPr>
      </w:pPr>
    </w:p>
    <w:p>
      <w:pPr>
        <w:ind w:right="480"/>
        <w:spacing w:after="0" w:line="253" w:lineRule="auto"/>
        <w:rPr>
          <w:rFonts w:ascii="Arial" w:cs="Arial" w:eastAsia="Arial" w:hAnsi="Arial"/>
          <w:sz w:val="16"/>
          <w:szCs w:val="16"/>
          <w:u w:val="single" w:color="auto"/>
          <w:color w:val="0000FF"/>
        </w:rPr>
      </w:pPr>
      <w:hyperlink w:anchor="page155">
        <w:r>
          <w:rPr>
            <w:rFonts w:ascii="Arial" w:cs="Arial" w:eastAsia="Arial" w:hAnsi="Arial"/>
            <w:sz w:val="16"/>
            <w:szCs w:val="16"/>
            <w:u w:val="single" w:color="auto"/>
            <w:color w:val="0000FF"/>
          </w:rPr>
          <w:t>Virtu Financial, Inc. Amended and Restated 2015 Management Incentive Plan Employee Restricted Stock Unit and Common Stock Award</w:t>
        </w:r>
      </w:hyperlink>
      <w:r>
        <w:rPr>
          <w:rFonts w:ascii="Arial" w:cs="Arial" w:eastAsia="Arial" w:hAnsi="Arial"/>
          <w:sz w:val="16"/>
          <w:szCs w:val="16"/>
          <w:u w:val="single" w:color="auto"/>
          <w:color w:val="0000FF"/>
        </w:rPr>
        <w:t xml:space="preserve"> </w:t>
      </w:r>
      <w:hyperlink w:anchor="page155">
        <w:r>
          <w:rPr>
            <w:rFonts w:ascii="Arial" w:cs="Arial" w:eastAsia="Arial" w:hAnsi="Arial"/>
            <w:sz w:val="16"/>
            <w:szCs w:val="16"/>
            <w:u w:val="single" w:color="auto"/>
            <w:color w:val="0000FF"/>
          </w:rPr>
          <w:t>Agreement, dated as of January 24, 2020, by and between Virtu Financial, Inc. and Brett Fairclough.</w:t>
        </w:r>
      </w:hyperlink>
    </w:p>
    <w:p>
      <w:pPr>
        <w:spacing w:after="0" w:line="15" w:lineRule="exact"/>
        <w:rPr>
          <w:sz w:val="20"/>
          <w:szCs w:val="20"/>
          <w:color w:val="auto"/>
        </w:rPr>
      </w:pPr>
    </w:p>
    <w:p>
      <w:pPr>
        <w:ind w:right="480"/>
        <w:spacing w:after="0" w:line="253" w:lineRule="auto"/>
        <w:rPr>
          <w:rFonts w:ascii="Arial" w:cs="Arial" w:eastAsia="Arial" w:hAnsi="Arial"/>
          <w:sz w:val="16"/>
          <w:szCs w:val="16"/>
          <w:u w:val="single" w:color="auto"/>
          <w:color w:val="0000FF"/>
        </w:rPr>
      </w:pPr>
      <w:hyperlink w:anchor="page162">
        <w:r>
          <w:rPr>
            <w:rFonts w:ascii="Arial" w:cs="Arial" w:eastAsia="Arial" w:hAnsi="Arial"/>
            <w:sz w:val="16"/>
            <w:szCs w:val="16"/>
            <w:u w:val="single" w:color="auto"/>
            <w:color w:val="0000FF"/>
          </w:rPr>
          <w:t>Virtu Financial, Inc. Amended and Restated 2015 Management Incentive Plan Employee Restricted Stock Unit and Common Stock Award</w:t>
        </w:r>
      </w:hyperlink>
      <w:r>
        <w:rPr>
          <w:rFonts w:ascii="Arial" w:cs="Arial" w:eastAsia="Arial" w:hAnsi="Arial"/>
          <w:sz w:val="16"/>
          <w:szCs w:val="16"/>
          <w:u w:val="single" w:color="auto"/>
          <w:color w:val="0000FF"/>
        </w:rPr>
        <w:t xml:space="preserve"> </w:t>
      </w:r>
      <w:hyperlink w:anchor="page162">
        <w:r>
          <w:rPr>
            <w:rFonts w:ascii="Arial" w:cs="Arial" w:eastAsia="Arial" w:hAnsi="Arial"/>
            <w:sz w:val="16"/>
            <w:szCs w:val="16"/>
            <w:u w:val="single" w:color="auto"/>
            <w:color w:val="0000FF"/>
          </w:rPr>
          <w:t>Agreement, dated as of January 24, 2020, by and between Virtu Financial, Inc. and Stephen Cavoli.</w:t>
        </w:r>
      </w:hyperlink>
    </w:p>
    <w:p>
      <w:pPr>
        <w:spacing w:after="0" w:line="200" w:lineRule="exact"/>
        <w:rPr>
          <w:sz w:val="20"/>
          <w:szCs w:val="20"/>
          <w:color w:val="auto"/>
        </w:rPr>
      </w:pPr>
    </w:p>
    <w:p>
      <w:pPr>
        <w:sectPr>
          <w:pgSz w:w="11900" w:h="16838" w:orient="portrait"/>
          <w:cols w:equalWidth="0" w:num="2">
            <w:col w:w="1260" w:space="720"/>
            <w:col w:w="9240"/>
          </w:cols>
          <w:pgMar w:left="320" w:top="127" w:right="359" w:bottom="1440" w:gutter="0" w:footer="0" w:header="0"/>
          <w:type w:val="continuous"/>
        </w:sect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73660</wp:posOffset>
            </wp:positionV>
            <wp:extent cx="7174865" cy="406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type w:val="continuous"/>
        </w:sectPr>
      </w:pPr>
    </w:p>
    <w:bookmarkStart w:id="143" w:name="page144"/>
    <w:bookmarkEnd w:id="143"/>
    <w:tbl>
      <w:tblPr>
        <w:tblLayout w:type="fixed"/>
        <w:tblInd w:w="0" w:type="dxa"/>
        <w:tblCellMar>
          <w:top w:w="0" w:type="dxa"/>
          <w:left w:w="0" w:type="dxa"/>
          <w:bottom w:w="0" w:type="dxa"/>
          <w:right w:w="0" w:type="dxa"/>
        </w:tblCellMar>
      </w:tblPr>
      <w:tr>
        <w:trPr>
          <w:trHeight w:val="184"/>
        </w:trPr>
        <w:tc>
          <w:tcPr>
            <w:tcW w:w="112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87"/>
              </w:rPr>
              <w:t>Table of Contents</w:t>
            </w: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5"/>
        </w:trPr>
        <w:tc>
          <w:tcPr>
            <w:tcW w:w="1120" w:type="dxa"/>
            <w:vAlign w:val="bottom"/>
            <w:vMerge w:val="restart"/>
          </w:tcPr>
          <w:p>
            <w:pPr>
              <w:ind w:left="20"/>
              <w:spacing w:after="0"/>
              <w:rPr>
                <w:sz w:val="20"/>
                <w:szCs w:val="20"/>
                <w:color w:val="auto"/>
              </w:rPr>
            </w:pPr>
            <w:r>
              <w:rPr>
                <w:rFonts w:ascii="Arial" w:cs="Arial" w:eastAsia="Arial" w:hAnsi="Arial"/>
                <w:sz w:val="16"/>
                <w:szCs w:val="16"/>
                <w:color w:val="auto"/>
              </w:rPr>
              <w:t>10.8†</w:t>
            </w: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11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shd w:val="clear" w:color="auto" w:fill="FEFEFE"/>
          </w:tcPr>
          <w:p>
            <w:pPr>
              <w:spacing w:after="0"/>
              <w:rPr>
                <w:sz w:val="14"/>
                <w:szCs w:val="14"/>
                <w:color w:val="auto"/>
              </w:rPr>
            </w:pPr>
          </w:p>
        </w:tc>
        <w:tc>
          <w:tcPr>
            <w:tcW w:w="9340" w:type="dxa"/>
            <w:vAlign w:val="bottom"/>
            <w:tcBorders>
              <w:right w:val="single" w:sz="8" w:color="FEFEFE"/>
            </w:tcBorders>
            <w:gridSpan w:val="34"/>
            <w:shd w:val="clear" w:color="auto" w:fill="FEFEFE"/>
          </w:tcPr>
          <w:p>
            <w:pPr>
              <w:spacing w:after="0" w:line="166" w:lineRule="exact"/>
              <w:rPr>
                <w:rFonts w:ascii="Arial" w:cs="Arial" w:eastAsia="Arial" w:hAnsi="Arial"/>
                <w:sz w:val="16"/>
                <w:szCs w:val="16"/>
                <w:color w:val="0000FF"/>
                <w:w w:val="93"/>
              </w:rPr>
            </w:pPr>
            <w:hyperlink r:id="rId184">
              <w:r>
                <w:rPr>
                  <w:rFonts w:ascii="Arial" w:cs="Arial" w:eastAsia="Arial" w:hAnsi="Arial"/>
                  <w:sz w:val="16"/>
                  <w:szCs w:val="16"/>
                  <w:color w:val="0000FF"/>
                  <w:w w:val="93"/>
                </w:rPr>
                <w:t>Employment Agreement, dated as of August 7, 2020, by and between Virtu Financial Operating LLC and Sean Galvin (incorporated herein by</w:t>
              </w:r>
            </w:hyperlink>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Borders>
              <w:top w:val="single" w:sz="8" w:color="FEFEFE"/>
              <w:bottom w:val="single" w:sz="8" w:color="FEFEFE"/>
            </w:tcBorders>
            <w:shd w:val="clear" w:color="auto" w:fill="FEFEFE"/>
          </w:tcPr>
          <w:p>
            <w:pPr>
              <w:spacing w:after="0"/>
              <w:rPr>
                <w:sz w:val="11"/>
                <w:szCs w:val="11"/>
                <w:color w:val="auto"/>
              </w:rPr>
            </w:pPr>
          </w:p>
        </w:tc>
        <w:tc>
          <w:tcPr>
            <w:tcW w:w="7940" w:type="dxa"/>
            <w:vAlign w:val="bottom"/>
            <w:tcBorders>
              <w:top w:val="single" w:sz="8" w:color="0000FF"/>
              <w:bottom w:val="single" w:sz="8" w:color="0000FF"/>
            </w:tcBorders>
            <w:gridSpan w:val="10"/>
            <w:shd w:val="clear" w:color="auto" w:fill="FEFEFE"/>
          </w:tcPr>
          <w:p>
            <w:pPr>
              <w:spacing w:after="0" w:line="134" w:lineRule="exact"/>
              <w:rPr>
                <w:rFonts w:ascii="Arial" w:cs="Arial" w:eastAsia="Arial" w:hAnsi="Arial"/>
                <w:sz w:val="15"/>
                <w:szCs w:val="15"/>
                <w:color w:val="0000FF"/>
                <w:w w:val="96"/>
              </w:rPr>
            </w:pPr>
            <w:hyperlink r:id="rId184">
              <w:r>
                <w:rPr>
                  <w:rFonts w:ascii="Arial" w:cs="Arial" w:eastAsia="Arial" w:hAnsi="Arial"/>
                  <w:sz w:val="15"/>
                  <w:szCs w:val="15"/>
                  <w:color w:val="0000FF"/>
                  <w:w w:val="96"/>
                </w:rPr>
                <w:t>reference to Exhibit 10.1 to the Company's Quarterly Report on Form 10-Q (File No. 001-37352) filed on November 6, 2020.</w:t>
              </w:r>
            </w:hyperlink>
          </w:p>
        </w:tc>
        <w:tc>
          <w:tcPr>
            <w:tcW w:w="1060" w:type="dxa"/>
            <w:vAlign w:val="bottom"/>
            <w:tcBorders>
              <w:top w:val="single" w:sz="8" w:color="0000FF"/>
              <w:bottom w:val="single" w:sz="8" w:color="FEFEFE"/>
            </w:tcBorders>
            <w:gridSpan w:val="8"/>
            <w:shd w:val="clear" w:color="auto" w:fill="FEFEFE"/>
          </w:tcPr>
          <w:p>
            <w:pPr>
              <w:spacing w:after="0"/>
              <w:rPr>
                <w:sz w:val="11"/>
                <w:szCs w:val="11"/>
                <w:color w:val="auto"/>
              </w:rPr>
            </w:pPr>
          </w:p>
        </w:tc>
        <w:tc>
          <w:tcPr>
            <w:tcW w:w="20" w:type="dxa"/>
            <w:vAlign w:val="bottom"/>
            <w:tcBorders>
              <w:top w:val="single" w:sz="8" w:color="FEFEFE"/>
              <w:bottom w:val="single" w:sz="8" w:color="FEFEFE"/>
            </w:tcBorders>
            <w:shd w:val="clear" w:color="auto" w:fill="FEFEFE"/>
          </w:tcPr>
          <w:p>
            <w:pPr>
              <w:spacing w:after="0"/>
              <w:rPr>
                <w:sz w:val="11"/>
                <w:szCs w:val="11"/>
                <w:color w:val="auto"/>
              </w:rPr>
            </w:pPr>
          </w:p>
        </w:tc>
        <w:tc>
          <w:tcPr>
            <w:tcW w:w="20" w:type="dxa"/>
            <w:vAlign w:val="bottom"/>
            <w:tcBorders>
              <w:top w:val="single" w:sz="8" w:color="FEFEFE"/>
              <w:bottom w:val="single" w:sz="8" w:color="FEFEFE"/>
            </w:tcBorders>
            <w:shd w:val="clear" w:color="auto" w:fill="FEFEFE"/>
          </w:tcPr>
          <w:p>
            <w:pPr>
              <w:spacing w:after="0"/>
              <w:rPr>
                <w:sz w:val="11"/>
                <w:szCs w:val="11"/>
                <w:color w:val="auto"/>
              </w:rPr>
            </w:pPr>
          </w:p>
        </w:tc>
        <w:tc>
          <w:tcPr>
            <w:tcW w:w="20" w:type="dxa"/>
            <w:vAlign w:val="bottom"/>
            <w:tcBorders>
              <w:top w:val="single" w:sz="8" w:color="FEFEFE"/>
              <w:bottom w:val="single" w:sz="8" w:color="FEFEFE"/>
            </w:tcBorders>
            <w:shd w:val="clear" w:color="auto" w:fill="FEFEFE"/>
          </w:tcPr>
          <w:p>
            <w:pPr>
              <w:spacing w:after="0"/>
              <w:rPr>
                <w:sz w:val="11"/>
                <w:szCs w:val="11"/>
                <w:color w:val="auto"/>
              </w:rPr>
            </w:pPr>
          </w:p>
        </w:tc>
        <w:tc>
          <w:tcPr>
            <w:tcW w:w="20" w:type="dxa"/>
            <w:vAlign w:val="bottom"/>
            <w:tcBorders>
              <w:top w:val="single" w:sz="8" w:color="FEFEFE"/>
              <w:bottom w:val="single" w:sz="8" w:color="FEFEFE"/>
            </w:tcBorders>
            <w:shd w:val="clear" w:color="auto" w:fill="FEFEFE"/>
          </w:tcPr>
          <w:p>
            <w:pPr>
              <w:spacing w:after="0"/>
              <w:rPr>
                <w:sz w:val="11"/>
                <w:szCs w:val="11"/>
                <w:color w:val="auto"/>
              </w:rPr>
            </w:pPr>
          </w:p>
        </w:tc>
        <w:tc>
          <w:tcPr>
            <w:tcW w:w="20" w:type="dxa"/>
            <w:vAlign w:val="bottom"/>
            <w:tcBorders>
              <w:top w:val="single" w:sz="8" w:color="FEFEFE"/>
              <w:bottom w:val="single" w:sz="8" w:color="FEFEFE"/>
            </w:tcBorders>
            <w:shd w:val="clear" w:color="auto" w:fill="FEFEFE"/>
          </w:tcPr>
          <w:p>
            <w:pPr>
              <w:spacing w:after="0"/>
              <w:rPr>
                <w:sz w:val="11"/>
                <w:szCs w:val="11"/>
                <w:color w:val="auto"/>
              </w:rPr>
            </w:pPr>
          </w:p>
        </w:tc>
        <w:tc>
          <w:tcPr>
            <w:tcW w:w="20" w:type="dxa"/>
            <w:vAlign w:val="bottom"/>
            <w:tcBorders>
              <w:top w:val="single" w:sz="8" w:color="FEFEFE"/>
              <w:bottom w:val="single" w:sz="8" w:color="FEFEFE"/>
            </w:tcBorders>
            <w:shd w:val="clear" w:color="auto" w:fill="FEFEFE"/>
          </w:tcPr>
          <w:p>
            <w:pPr>
              <w:spacing w:after="0"/>
              <w:rPr>
                <w:sz w:val="11"/>
                <w:szCs w:val="11"/>
                <w:color w:val="auto"/>
              </w:rPr>
            </w:pPr>
          </w:p>
        </w:tc>
        <w:tc>
          <w:tcPr>
            <w:tcW w:w="20" w:type="dxa"/>
            <w:vAlign w:val="bottom"/>
            <w:tcBorders>
              <w:top w:val="single" w:sz="8" w:color="FEFEFE"/>
              <w:bottom w:val="single" w:sz="8" w:color="FEFEFE"/>
            </w:tcBorders>
            <w:shd w:val="clear" w:color="auto" w:fill="FEFEFE"/>
          </w:tcPr>
          <w:p>
            <w:pPr>
              <w:spacing w:after="0"/>
              <w:rPr>
                <w:sz w:val="11"/>
                <w:szCs w:val="11"/>
                <w:color w:val="auto"/>
              </w:rPr>
            </w:pPr>
          </w:p>
        </w:tc>
        <w:tc>
          <w:tcPr>
            <w:tcW w:w="20" w:type="dxa"/>
            <w:vAlign w:val="bottom"/>
            <w:tcBorders>
              <w:top w:val="single" w:sz="8" w:color="FEFEFE"/>
              <w:bottom w:val="single" w:sz="8" w:color="FEFEFE"/>
            </w:tcBorders>
            <w:shd w:val="clear" w:color="auto" w:fill="FEFEFE"/>
          </w:tcPr>
          <w:p>
            <w:pPr>
              <w:spacing w:after="0"/>
              <w:rPr>
                <w:sz w:val="11"/>
                <w:szCs w:val="11"/>
                <w:color w:val="auto"/>
              </w:rPr>
            </w:pPr>
          </w:p>
        </w:tc>
        <w:tc>
          <w:tcPr>
            <w:tcW w:w="20" w:type="dxa"/>
            <w:vAlign w:val="bottom"/>
            <w:tcBorders>
              <w:top w:val="single" w:sz="8" w:color="FEFEFE"/>
              <w:bottom w:val="single" w:sz="8" w:color="FEFEFE"/>
            </w:tcBorders>
            <w:shd w:val="clear" w:color="auto" w:fill="FEFEFE"/>
          </w:tcPr>
          <w:p>
            <w:pPr>
              <w:spacing w:after="0"/>
              <w:rPr>
                <w:sz w:val="11"/>
                <w:szCs w:val="11"/>
                <w:color w:val="auto"/>
              </w:rPr>
            </w:pPr>
          </w:p>
        </w:tc>
        <w:tc>
          <w:tcPr>
            <w:tcW w:w="20" w:type="dxa"/>
            <w:vAlign w:val="bottom"/>
            <w:tcBorders>
              <w:top w:val="single" w:sz="8" w:color="FEFEFE"/>
              <w:bottom w:val="single" w:sz="8" w:color="FEFEFE"/>
            </w:tcBorders>
            <w:shd w:val="clear" w:color="auto" w:fill="FEFEFE"/>
          </w:tcPr>
          <w:p>
            <w:pPr>
              <w:spacing w:after="0"/>
              <w:rPr>
                <w:sz w:val="11"/>
                <w:szCs w:val="11"/>
                <w:color w:val="auto"/>
              </w:rPr>
            </w:pPr>
          </w:p>
        </w:tc>
        <w:tc>
          <w:tcPr>
            <w:tcW w:w="20" w:type="dxa"/>
            <w:vAlign w:val="bottom"/>
            <w:tcBorders>
              <w:top w:val="single" w:sz="8" w:color="FEFEFE"/>
              <w:bottom w:val="single" w:sz="8" w:color="FEFEFE"/>
            </w:tcBorders>
            <w:shd w:val="clear" w:color="auto" w:fill="FEFEFE"/>
          </w:tcPr>
          <w:p>
            <w:pPr>
              <w:spacing w:after="0"/>
              <w:rPr>
                <w:sz w:val="11"/>
                <w:szCs w:val="11"/>
                <w:color w:val="auto"/>
              </w:rPr>
            </w:pPr>
          </w:p>
        </w:tc>
        <w:tc>
          <w:tcPr>
            <w:tcW w:w="20" w:type="dxa"/>
            <w:vAlign w:val="bottom"/>
            <w:tcBorders>
              <w:top w:val="single" w:sz="8" w:color="FEFEFE"/>
              <w:bottom w:val="single" w:sz="8" w:color="FEFEFE"/>
            </w:tcBorders>
            <w:shd w:val="clear" w:color="auto" w:fill="FEFEFE"/>
          </w:tcPr>
          <w:p>
            <w:pPr>
              <w:spacing w:after="0"/>
              <w:rPr>
                <w:sz w:val="11"/>
                <w:szCs w:val="11"/>
                <w:color w:val="auto"/>
              </w:rPr>
            </w:pPr>
          </w:p>
        </w:tc>
        <w:tc>
          <w:tcPr>
            <w:tcW w:w="20" w:type="dxa"/>
            <w:vAlign w:val="bottom"/>
            <w:tcBorders>
              <w:top w:val="single" w:sz="8" w:color="FEFEFE"/>
              <w:bottom w:val="single" w:sz="8" w:color="FEFEFE"/>
            </w:tcBorders>
            <w:shd w:val="clear" w:color="auto" w:fill="FEFEFE"/>
          </w:tcPr>
          <w:p>
            <w:pPr>
              <w:spacing w:after="0"/>
              <w:rPr>
                <w:sz w:val="11"/>
                <w:szCs w:val="11"/>
                <w:color w:val="auto"/>
              </w:rPr>
            </w:pPr>
          </w:p>
        </w:tc>
        <w:tc>
          <w:tcPr>
            <w:tcW w:w="20" w:type="dxa"/>
            <w:vAlign w:val="bottom"/>
            <w:tcBorders>
              <w:top w:val="single" w:sz="8" w:color="FEFEFE"/>
              <w:bottom w:val="single" w:sz="8" w:color="FEFEFE"/>
            </w:tcBorders>
            <w:shd w:val="clear" w:color="auto" w:fill="FEFEFE"/>
          </w:tcPr>
          <w:p>
            <w:pPr>
              <w:spacing w:after="0"/>
              <w:rPr>
                <w:sz w:val="11"/>
                <w:szCs w:val="11"/>
                <w:color w:val="auto"/>
              </w:rPr>
            </w:pPr>
          </w:p>
        </w:tc>
        <w:tc>
          <w:tcPr>
            <w:tcW w:w="20" w:type="dxa"/>
            <w:vAlign w:val="bottom"/>
            <w:tcBorders>
              <w:top w:val="single" w:sz="8" w:color="FEFEFE"/>
              <w:bottom w:val="single" w:sz="8" w:color="FEFEFE"/>
            </w:tcBorders>
            <w:shd w:val="clear" w:color="auto" w:fill="FEFEFE"/>
          </w:tcPr>
          <w:p>
            <w:pPr>
              <w:spacing w:after="0"/>
              <w:rPr>
                <w:sz w:val="11"/>
                <w:szCs w:val="11"/>
                <w:color w:val="auto"/>
              </w:rPr>
            </w:pPr>
          </w:p>
        </w:tc>
        <w:tc>
          <w:tcPr>
            <w:tcW w:w="40" w:type="dxa"/>
            <w:vAlign w:val="bottom"/>
            <w:tcBorders>
              <w:top w:val="single" w:sz="8" w:color="FEFEFE"/>
              <w:bottom w:val="single" w:sz="8" w:color="FEFEFE"/>
              <w:right w:val="single" w:sz="8" w:color="FEFEFE"/>
            </w:tcBorders>
            <w:shd w:val="clear" w:color="auto" w:fill="FEFEF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1120" w:type="dxa"/>
            <w:vAlign w:val="bottom"/>
          </w:tcPr>
          <w:p>
            <w:pPr>
              <w:ind w:left="20"/>
              <w:spacing w:after="0" w:line="181" w:lineRule="exact"/>
              <w:rPr>
                <w:sz w:val="20"/>
                <w:szCs w:val="20"/>
                <w:color w:val="auto"/>
              </w:rPr>
            </w:pPr>
            <w:r>
              <w:rPr>
                <w:rFonts w:ascii="Arial" w:cs="Arial" w:eastAsia="Arial" w:hAnsi="Arial"/>
                <w:sz w:val="16"/>
                <w:szCs w:val="16"/>
                <w:color w:val="auto"/>
              </w:rPr>
              <w:t>10.9†</w:t>
            </w:r>
          </w:p>
        </w:tc>
        <w:tc>
          <w:tcPr>
            <w:tcW w:w="320" w:type="dxa"/>
            <w:vAlign w:val="bottom"/>
          </w:tcPr>
          <w:p>
            <w:pPr>
              <w:spacing w:after="0"/>
              <w:rPr>
                <w:sz w:val="15"/>
                <w:szCs w:val="15"/>
                <w:color w:val="auto"/>
              </w:rPr>
            </w:pPr>
          </w:p>
        </w:tc>
        <w:tc>
          <w:tcPr>
            <w:tcW w:w="540" w:type="dxa"/>
            <w:vAlign w:val="bottom"/>
            <w:shd w:val="clear" w:color="auto" w:fill="FEFEFE"/>
          </w:tcPr>
          <w:p>
            <w:pPr>
              <w:spacing w:after="0"/>
              <w:rPr>
                <w:sz w:val="15"/>
                <w:szCs w:val="15"/>
                <w:color w:val="auto"/>
              </w:rPr>
            </w:pPr>
          </w:p>
        </w:tc>
        <w:tc>
          <w:tcPr>
            <w:tcW w:w="9340" w:type="dxa"/>
            <w:vAlign w:val="bottom"/>
            <w:tcBorders>
              <w:right w:val="single" w:sz="8" w:color="FEFEFE"/>
            </w:tcBorders>
            <w:gridSpan w:val="34"/>
            <w:shd w:val="clear" w:color="auto" w:fill="FEFEFE"/>
          </w:tcPr>
          <w:p>
            <w:pPr>
              <w:spacing w:after="0" w:line="181" w:lineRule="exact"/>
              <w:rPr>
                <w:rFonts w:ascii="Arial" w:cs="Arial" w:eastAsia="Arial" w:hAnsi="Arial"/>
                <w:sz w:val="16"/>
                <w:szCs w:val="16"/>
                <w:color w:val="0000FF"/>
                <w:w w:val="95"/>
              </w:rPr>
            </w:pPr>
            <w:hyperlink r:id="rId185">
              <w:r>
                <w:rPr>
                  <w:rFonts w:ascii="Arial" w:cs="Arial" w:eastAsia="Arial" w:hAnsi="Arial"/>
                  <w:sz w:val="16"/>
                  <w:szCs w:val="16"/>
                  <w:color w:val="0000FF"/>
                  <w:w w:val="95"/>
                </w:rPr>
                <w:t>Virtu Financial, Inc. Amended and Restated 2015 Management Incentive Plan Employee Restricted Stock Unit and Common Stock Award</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Borders>
              <w:top w:val="single" w:sz="8" w:color="FEFEFE"/>
            </w:tcBorders>
            <w:shd w:val="clear" w:color="auto" w:fill="FEFEFE"/>
          </w:tcPr>
          <w:p>
            <w:pPr>
              <w:spacing w:after="0"/>
              <w:rPr>
                <w:sz w:val="11"/>
                <w:szCs w:val="11"/>
                <w:color w:val="auto"/>
              </w:rPr>
            </w:pPr>
          </w:p>
        </w:tc>
        <w:tc>
          <w:tcPr>
            <w:tcW w:w="8760" w:type="dxa"/>
            <w:vAlign w:val="bottom"/>
            <w:tcBorders>
              <w:top w:val="single" w:sz="8" w:color="0000FF"/>
              <w:right w:val="single" w:sz="8" w:color="FEFEFE"/>
            </w:tcBorders>
            <w:gridSpan w:val="14"/>
            <w:shd w:val="clear" w:color="auto" w:fill="FEFEFE"/>
          </w:tcPr>
          <w:p>
            <w:pPr>
              <w:spacing w:after="0" w:line="134" w:lineRule="exact"/>
              <w:rPr>
                <w:rFonts w:ascii="Arial" w:cs="Arial" w:eastAsia="Arial" w:hAnsi="Arial"/>
                <w:sz w:val="15"/>
                <w:szCs w:val="15"/>
                <w:color w:val="0000FF"/>
                <w:w w:val="94"/>
              </w:rPr>
            </w:pPr>
            <w:hyperlink r:id="rId185">
              <w:r>
                <w:rPr>
                  <w:rFonts w:ascii="Arial" w:cs="Arial" w:eastAsia="Arial" w:hAnsi="Arial"/>
                  <w:sz w:val="15"/>
                  <w:szCs w:val="15"/>
                  <w:color w:val="0000FF"/>
                  <w:w w:val="94"/>
                </w:rPr>
                <w:t>Agreement, dated as of August 12, 2020, by and between Virtu Financial, Inc. and Sean Galvin (incorporated herein by reference to Exhibit</w:t>
              </w:r>
            </w:hyperlink>
          </w:p>
        </w:tc>
        <w:tc>
          <w:tcPr>
            <w:tcW w:w="420" w:type="dxa"/>
            <w:vAlign w:val="bottom"/>
            <w:tcBorders>
              <w:top w:val="single" w:sz="8" w:color="FEFEFE"/>
            </w:tcBorders>
            <w:gridSpan w:val="13"/>
            <w:shd w:val="clear" w:color="auto" w:fill="FEFEFE"/>
          </w:tcPr>
          <w:p>
            <w:pPr>
              <w:jc w:val="right"/>
              <w:ind w:right="40"/>
              <w:spacing w:after="0" w:line="134" w:lineRule="exact"/>
              <w:rPr>
                <w:rFonts w:ascii="Arial" w:cs="Arial" w:eastAsia="Arial" w:hAnsi="Arial"/>
                <w:sz w:val="15"/>
                <w:szCs w:val="15"/>
                <w:color w:val="0000FF"/>
              </w:rPr>
            </w:pPr>
            <w:hyperlink r:id="rId185">
              <w:r>
                <w:rPr>
                  <w:rFonts w:ascii="Arial" w:cs="Arial" w:eastAsia="Arial" w:hAnsi="Arial"/>
                  <w:sz w:val="15"/>
                  <w:szCs w:val="15"/>
                  <w:color w:val="0000FF"/>
                </w:rPr>
                <w:t>10.2</w:t>
              </w:r>
            </w:hyperlink>
          </w:p>
        </w:tc>
        <w:tc>
          <w:tcPr>
            <w:tcW w:w="20" w:type="dxa"/>
            <w:vAlign w:val="bottom"/>
            <w:tcBorders>
              <w:top w:val="single" w:sz="8" w:color="FEFEFE"/>
            </w:tcBorders>
            <w:shd w:val="clear" w:color="auto" w:fill="FEFEFE"/>
          </w:tcPr>
          <w:p>
            <w:pPr>
              <w:spacing w:after="0"/>
              <w:rPr>
                <w:sz w:val="11"/>
                <w:szCs w:val="11"/>
                <w:color w:val="auto"/>
              </w:rPr>
            </w:pPr>
          </w:p>
        </w:tc>
        <w:tc>
          <w:tcPr>
            <w:tcW w:w="20" w:type="dxa"/>
            <w:vAlign w:val="bottom"/>
            <w:tcBorders>
              <w:top w:val="single" w:sz="8" w:color="FEFEFE"/>
            </w:tcBorders>
            <w:shd w:val="clear" w:color="auto" w:fill="FEFEFE"/>
          </w:tcPr>
          <w:p>
            <w:pPr>
              <w:spacing w:after="0"/>
              <w:rPr>
                <w:sz w:val="11"/>
                <w:szCs w:val="11"/>
                <w:color w:val="auto"/>
              </w:rPr>
            </w:pPr>
          </w:p>
        </w:tc>
        <w:tc>
          <w:tcPr>
            <w:tcW w:w="20" w:type="dxa"/>
            <w:vAlign w:val="bottom"/>
            <w:tcBorders>
              <w:top w:val="single" w:sz="8" w:color="FEFEFE"/>
            </w:tcBorders>
            <w:shd w:val="clear" w:color="auto" w:fill="FEFEFE"/>
          </w:tcPr>
          <w:p>
            <w:pPr>
              <w:spacing w:after="0"/>
              <w:rPr>
                <w:sz w:val="11"/>
                <w:szCs w:val="11"/>
                <w:color w:val="auto"/>
              </w:rPr>
            </w:pPr>
          </w:p>
        </w:tc>
        <w:tc>
          <w:tcPr>
            <w:tcW w:w="20" w:type="dxa"/>
            <w:vAlign w:val="bottom"/>
            <w:tcBorders>
              <w:top w:val="single" w:sz="8" w:color="FEFEFE"/>
            </w:tcBorders>
            <w:shd w:val="clear" w:color="auto" w:fill="FEFEFE"/>
          </w:tcPr>
          <w:p>
            <w:pPr>
              <w:spacing w:after="0"/>
              <w:rPr>
                <w:sz w:val="11"/>
                <w:szCs w:val="11"/>
                <w:color w:val="auto"/>
              </w:rPr>
            </w:pPr>
          </w:p>
        </w:tc>
        <w:tc>
          <w:tcPr>
            <w:tcW w:w="20" w:type="dxa"/>
            <w:vAlign w:val="bottom"/>
            <w:tcBorders>
              <w:top w:val="single" w:sz="8" w:color="FEFEFE"/>
            </w:tcBorders>
            <w:shd w:val="clear" w:color="auto" w:fill="FEFEFE"/>
          </w:tcPr>
          <w:p>
            <w:pPr>
              <w:spacing w:after="0"/>
              <w:rPr>
                <w:sz w:val="11"/>
                <w:szCs w:val="11"/>
                <w:color w:val="auto"/>
              </w:rPr>
            </w:pPr>
          </w:p>
        </w:tc>
        <w:tc>
          <w:tcPr>
            <w:tcW w:w="20" w:type="dxa"/>
            <w:vAlign w:val="bottom"/>
            <w:tcBorders>
              <w:top w:val="single" w:sz="8" w:color="FEFEFE"/>
            </w:tcBorders>
            <w:shd w:val="clear" w:color="auto" w:fill="FEFEFE"/>
          </w:tcPr>
          <w:p>
            <w:pPr>
              <w:spacing w:after="0"/>
              <w:rPr>
                <w:sz w:val="11"/>
                <w:szCs w:val="11"/>
                <w:color w:val="auto"/>
              </w:rPr>
            </w:pPr>
          </w:p>
        </w:tc>
        <w:tc>
          <w:tcPr>
            <w:tcW w:w="40" w:type="dxa"/>
            <w:vAlign w:val="bottom"/>
            <w:tcBorders>
              <w:top w:val="single" w:sz="8" w:color="FEFEFE"/>
              <w:right w:val="single" w:sz="8" w:color="FEFEFE"/>
            </w:tcBorders>
            <w:shd w:val="clear" w:color="auto" w:fill="FEFEF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Borders>
              <w:top w:val="single" w:sz="8" w:color="FEFEFE"/>
            </w:tcBorders>
            <w:shd w:val="clear" w:color="auto" w:fill="FEFEFE"/>
          </w:tcPr>
          <w:p>
            <w:pPr>
              <w:spacing w:after="0"/>
              <w:rPr>
                <w:sz w:val="11"/>
                <w:szCs w:val="11"/>
                <w:color w:val="auto"/>
              </w:rPr>
            </w:pPr>
          </w:p>
        </w:tc>
        <w:tc>
          <w:tcPr>
            <w:tcW w:w="9160" w:type="dxa"/>
            <w:vAlign w:val="bottom"/>
            <w:tcBorders>
              <w:top w:val="single" w:sz="8" w:color="0000FF"/>
            </w:tcBorders>
            <w:gridSpan w:val="26"/>
            <w:shd w:val="clear" w:color="auto" w:fill="FEFEFE"/>
          </w:tcPr>
          <w:p>
            <w:pPr>
              <w:spacing w:after="0" w:line="134" w:lineRule="exact"/>
              <w:rPr>
                <w:rFonts w:ascii="Arial" w:cs="Arial" w:eastAsia="Arial" w:hAnsi="Arial"/>
                <w:sz w:val="15"/>
                <w:szCs w:val="15"/>
                <w:color w:val="0000FF"/>
              </w:rPr>
            </w:pPr>
            <w:hyperlink r:id="rId185">
              <w:r>
                <w:rPr>
                  <w:rFonts w:ascii="Arial" w:cs="Arial" w:eastAsia="Arial" w:hAnsi="Arial"/>
                  <w:sz w:val="15"/>
                  <w:szCs w:val="15"/>
                  <w:color w:val="0000FF"/>
                </w:rPr>
                <w:t>to the Company's Quarterly Report on Form 10-Q (File No. 001-37352) filed on November 6, 2020.</w:t>
              </w:r>
            </w:hyperlink>
          </w:p>
        </w:tc>
        <w:tc>
          <w:tcPr>
            <w:tcW w:w="20" w:type="dxa"/>
            <w:vAlign w:val="bottom"/>
            <w:tcBorders>
              <w:top w:val="single" w:sz="8" w:color="FEFEFE"/>
            </w:tcBorders>
            <w:shd w:val="clear" w:color="auto" w:fill="FEFEFE"/>
          </w:tcPr>
          <w:p>
            <w:pPr>
              <w:spacing w:after="0"/>
              <w:rPr>
                <w:sz w:val="11"/>
                <w:szCs w:val="11"/>
                <w:color w:val="auto"/>
              </w:rPr>
            </w:pPr>
          </w:p>
        </w:tc>
        <w:tc>
          <w:tcPr>
            <w:tcW w:w="20" w:type="dxa"/>
            <w:vAlign w:val="bottom"/>
            <w:tcBorders>
              <w:top w:val="single" w:sz="8" w:color="FEFEFE"/>
            </w:tcBorders>
            <w:shd w:val="clear" w:color="auto" w:fill="FEFEFE"/>
          </w:tcPr>
          <w:p>
            <w:pPr>
              <w:spacing w:after="0"/>
              <w:rPr>
                <w:sz w:val="11"/>
                <w:szCs w:val="11"/>
                <w:color w:val="auto"/>
              </w:rPr>
            </w:pPr>
          </w:p>
        </w:tc>
        <w:tc>
          <w:tcPr>
            <w:tcW w:w="20" w:type="dxa"/>
            <w:vAlign w:val="bottom"/>
            <w:tcBorders>
              <w:top w:val="single" w:sz="8" w:color="FEFEFE"/>
            </w:tcBorders>
            <w:shd w:val="clear" w:color="auto" w:fill="FEFEFE"/>
          </w:tcPr>
          <w:p>
            <w:pPr>
              <w:spacing w:after="0"/>
              <w:rPr>
                <w:sz w:val="11"/>
                <w:szCs w:val="11"/>
                <w:color w:val="auto"/>
              </w:rPr>
            </w:pPr>
          </w:p>
        </w:tc>
        <w:tc>
          <w:tcPr>
            <w:tcW w:w="20" w:type="dxa"/>
            <w:vAlign w:val="bottom"/>
            <w:tcBorders>
              <w:top w:val="single" w:sz="8" w:color="FEFEFE"/>
            </w:tcBorders>
            <w:shd w:val="clear" w:color="auto" w:fill="FEFEFE"/>
          </w:tcPr>
          <w:p>
            <w:pPr>
              <w:spacing w:after="0"/>
              <w:rPr>
                <w:sz w:val="11"/>
                <w:szCs w:val="11"/>
                <w:color w:val="auto"/>
              </w:rPr>
            </w:pPr>
          </w:p>
        </w:tc>
        <w:tc>
          <w:tcPr>
            <w:tcW w:w="20" w:type="dxa"/>
            <w:vAlign w:val="bottom"/>
            <w:tcBorders>
              <w:top w:val="single" w:sz="8" w:color="FEFEFE"/>
            </w:tcBorders>
            <w:shd w:val="clear" w:color="auto" w:fill="FEFEFE"/>
          </w:tcPr>
          <w:p>
            <w:pPr>
              <w:spacing w:after="0"/>
              <w:rPr>
                <w:sz w:val="11"/>
                <w:szCs w:val="11"/>
                <w:color w:val="auto"/>
              </w:rPr>
            </w:pPr>
          </w:p>
        </w:tc>
        <w:tc>
          <w:tcPr>
            <w:tcW w:w="20" w:type="dxa"/>
            <w:vAlign w:val="bottom"/>
            <w:tcBorders>
              <w:top w:val="single" w:sz="8" w:color="FEFEFE"/>
            </w:tcBorders>
            <w:shd w:val="clear" w:color="auto" w:fill="FEFEFE"/>
          </w:tcPr>
          <w:p>
            <w:pPr>
              <w:spacing w:after="0"/>
              <w:rPr>
                <w:sz w:val="11"/>
                <w:szCs w:val="11"/>
                <w:color w:val="auto"/>
              </w:rPr>
            </w:pPr>
          </w:p>
        </w:tc>
        <w:tc>
          <w:tcPr>
            <w:tcW w:w="20" w:type="dxa"/>
            <w:vAlign w:val="bottom"/>
            <w:tcBorders>
              <w:top w:val="single" w:sz="8" w:color="FEFEFE"/>
            </w:tcBorders>
            <w:shd w:val="clear" w:color="auto" w:fill="FEFEFE"/>
          </w:tcPr>
          <w:p>
            <w:pPr>
              <w:spacing w:after="0"/>
              <w:rPr>
                <w:sz w:val="11"/>
                <w:szCs w:val="11"/>
                <w:color w:val="auto"/>
              </w:rPr>
            </w:pPr>
          </w:p>
        </w:tc>
        <w:tc>
          <w:tcPr>
            <w:tcW w:w="40" w:type="dxa"/>
            <w:vAlign w:val="bottom"/>
            <w:tcBorders>
              <w:top w:val="single" w:sz="8" w:color="FEFEFE"/>
              <w:right w:val="single" w:sz="8" w:color="FEFEFE"/>
            </w:tcBorders>
            <w:shd w:val="clear" w:color="auto" w:fill="FEFEF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FEFEFE"/>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FEFEFE"/>
          </w:tcPr>
          <w:p>
            <w:pPr>
              <w:spacing w:after="0" w:line="20" w:lineRule="exact"/>
              <w:rPr>
                <w:sz w:val="1"/>
                <w:szCs w:val="1"/>
                <w:color w:val="auto"/>
              </w:rPr>
            </w:pPr>
          </w:p>
        </w:tc>
        <w:tc>
          <w:tcPr>
            <w:tcW w:w="1120" w:type="dxa"/>
            <w:vAlign w:val="bottom"/>
            <w:shd w:val="clear" w:color="auto" w:fill="FEFEFE"/>
          </w:tcPr>
          <w:p>
            <w:pPr>
              <w:spacing w:after="0" w:line="20" w:lineRule="exact"/>
              <w:rPr>
                <w:sz w:val="1"/>
                <w:szCs w:val="1"/>
                <w:color w:val="auto"/>
              </w:rPr>
            </w:pPr>
          </w:p>
        </w:tc>
        <w:tc>
          <w:tcPr>
            <w:tcW w:w="720" w:type="dxa"/>
            <w:vAlign w:val="bottom"/>
            <w:tcBorders>
              <w:right w:val="single" w:sz="8" w:color="FEFEFE"/>
            </w:tcBorders>
            <w:gridSpan w:val="2"/>
            <w:shd w:val="clear" w:color="auto" w:fill="FEFEFE"/>
          </w:tcPr>
          <w:p>
            <w:pPr>
              <w:spacing w:after="0" w:line="20" w:lineRule="exact"/>
              <w:rPr>
                <w:sz w:val="1"/>
                <w:szCs w:val="1"/>
                <w:color w:val="auto"/>
              </w:rPr>
            </w:pPr>
          </w:p>
        </w:tc>
        <w:tc>
          <w:tcPr>
            <w:tcW w:w="160" w:type="dxa"/>
            <w:vAlign w:val="bottom"/>
            <w:shd w:val="clear" w:color="auto" w:fill="FEFEFE"/>
          </w:tcPr>
          <w:p>
            <w:pPr>
              <w:spacing w:after="0" w:line="20" w:lineRule="exact"/>
              <w:rPr>
                <w:sz w:val="1"/>
                <w:szCs w:val="1"/>
                <w:color w:val="auto"/>
              </w:rPr>
            </w:pPr>
          </w:p>
        </w:tc>
        <w:tc>
          <w:tcPr>
            <w:tcW w:w="120" w:type="dxa"/>
            <w:vAlign w:val="bottom"/>
            <w:shd w:val="clear" w:color="auto" w:fill="FEFEFE"/>
          </w:tcPr>
          <w:p>
            <w:pPr>
              <w:spacing w:after="0" w:line="20" w:lineRule="exact"/>
              <w:rPr>
                <w:sz w:val="1"/>
                <w:szCs w:val="1"/>
                <w:color w:val="auto"/>
              </w:rPr>
            </w:pPr>
          </w:p>
        </w:tc>
        <w:tc>
          <w:tcPr>
            <w:tcW w:w="120" w:type="dxa"/>
            <w:vAlign w:val="bottom"/>
            <w:tcBorders>
              <w:right w:val="single" w:sz="8" w:color="FEFEFE"/>
            </w:tcBorders>
            <w:shd w:val="clear" w:color="auto" w:fill="FEFEFE"/>
          </w:tcPr>
          <w:p>
            <w:pPr>
              <w:spacing w:after="0" w:line="20" w:lineRule="exact"/>
              <w:rPr>
                <w:sz w:val="1"/>
                <w:szCs w:val="1"/>
                <w:color w:val="auto"/>
              </w:rPr>
            </w:pPr>
          </w:p>
        </w:tc>
        <w:tc>
          <w:tcPr>
            <w:tcW w:w="16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40" w:type="dxa"/>
            <w:vAlign w:val="bottom"/>
            <w:gridSpan w:val="2"/>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40" w:type="dxa"/>
            <w:vAlign w:val="bottom"/>
            <w:gridSpan w:val="2"/>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40" w:type="dxa"/>
            <w:vAlign w:val="bottom"/>
            <w:tcBorders>
              <w:right w:val="single" w:sz="8" w:color="FEFEFE"/>
            </w:tcBorders>
            <w:shd w:val="clear" w:color="auto" w:fill="FEFEF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120" w:type="dxa"/>
            <w:vAlign w:val="bottom"/>
          </w:tcPr>
          <w:p>
            <w:pPr>
              <w:ind w:left="20"/>
              <w:spacing w:after="0" w:line="181" w:lineRule="exact"/>
              <w:rPr>
                <w:sz w:val="20"/>
                <w:szCs w:val="20"/>
                <w:color w:val="auto"/>
              </w:rPr>
            </w:pPr>
            <w:r>
              <w:rPr>
                <w:rFonts w:ascii="Arial" w:cs="Arial" w:eastAsia="Arial" w:hAnsi="Arial"/>
                <w:sz w:val="16"/>
                <w:szCs w:val="16"/>
                <w:color w:val="auto"/>
              </w:rPr>
              <w:t>10.10†</w:t>
            </w:r>
          </w:p>
        </w:tc>
        <w:tc>
          <w:tcPr>
            <w:tcW w:w="320" w:type="dxa"/>
            <w:vAlign w:val="bottom"/>
          </w:tcPr>
          <w:p>
            <w:pPr>
              <w:spacing w:after="0"/>
              <w:rPr>
                <w:sz w:val="15"/>
                <w:szCs w:val="15"/>
                <w:color w:val="auto"/>
              </w:rPr>
            </w:pPr>
          </w:p>
        </w:tc>
        <w:tc>
          <w:tcPr>
            <w:tcW w:w="540" w:type="dxa"/>
            <w:vAlign w:val="bottom"/>
            <w:shd w:val="clear" w:color="auto" w:fill="FEFEFE"/>
          </w:tcPr>
          <w:p>
            <w:pPr>
              <w:spacing w:after="0"/>
              <w:rPr>
                <w:sz w:val="15"/>
                <w:szCs w:val="15"/>
                <w:color w:val="auto"/>
              </w:rPr>
            </w:pPr>
          </w:p>
        </w:tc>
        <w:tc>
          <w:tcPr>
            <w:tcW w:w="9340" w:type="dxa"/>
            <w:vAlign w:val="bottom"/>
            <w:tcBorders>
              <w:right w:val="single" w:sz="8" w:color="FEFEFE"/>
            </w:tcBorders>
            <w:gridSpan w:val="34"/>
            <w:shd w:val="clear" w:color="auto" w:fill="FEFEFE"/>
          </w:tcPr>
          <w:p>
            <w:pPr>
              <w:spacing w:after="0" w:line="181" w:lineRule="exact"/>
              <w:rPr>
                <w:rFonts w:ascii="Arial" w:cs="Arial" w:eastAsia="Arial" w:hAnsi="Arial"/>
                <w:sz w:val="16"/>
                <w:szCs w:val="16"/>
                <w:color w:val="0000FF"/>
                <w:w w:val="91"/>
              </w:rPr>
            </w:pPr>
            <w:hyperlink r:id="rId186">
              <w:r>
                <w:rPr>
                  <w:rFonts w:ascii="Arial" w:cs="Arial" w:eastAsia="Arial" w:hAnsi="Arial"/>
                  <w:sz w:val="16"/>
                  <w:szCs w:val="16"/>
                  <w:color w:val="0000FF"/>
                  <w:w w:val="91"/>
                </w:rPr>
                <w:t>Employment Agreement, dated as of April 30, 2020, by and between Virtu Financial Operating LLC and Joseph Molluso (incorporated herein by</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Borders>
              <w:top w:val="single" w:sz="8" w:color="FEFEFE"/>
              <w:bottom w:val="single" w:sz="8" w:color="FEFEFE"/>
            </w:tcBorders>
            <w:shd w:val="clear" w:color="auto" w:fill="FEFEFE"/>
          </w:tcPr>
          <w:p>
            <w:pPr>
              <w:spacing w:after="0"/>
              <w:rPr>
                <w:sz w:val="11"/>
                <w:szCs w:val="11"/>
                <w:color w:val="auto"/>
              </w:rPr>
            </w:pPr>
          </w:p>
        </w:tc>
        <w:tc>
          <w:tcPr>
            <w:tcW w:w="7640" w:type="dxa"/>
            <w:vAlign w:val="bottom"/>
            <w:tcBorders>
              <w:top w:val="single" w:sz="8" w:color="0000FF"/>
              <w:bottom w:val="single" w:sz="8" w:color="0000FF"/>
            </w:tcBorders>
            <w:gridSpan w:val="9"/>
            <w:shd w:val="clear" w:color="auto" w:fill="FEFEFE"/>
          </w:tcPr>
          <w:p>
            <w:pPr>
              <w:spacing w:after="0" w:line="134" w:lineRule="exact"/>
              <w:rPr>
                <w:rFonts w:ascii="Arial" w:cs="Arial" w:eastAsia="Arial" w:hAnsi="Arial"/>
                <w:sz w:val="15"/>
                <w:szCs w:val="15"/>
                <w:color w:val="0000FF"/>
                <w:w w:val="96"/>
              </w:rPr>
            </w:pPr>
            <w:hyperlink r:id="rId186">
              <w:r>
                <w:rPr>
                  <w:rFonts w:ascii="Arial" w:cs="Arial" w:eastAsia="Arial" w:hAnsi="Arial"/>
                  <w:sz w:val="15"/>
                  <w:szCs w:val="15"/>
                  <w:color w:val="0000FF"/>
                  <w:w w:val="96"/>
                </w:rPr>
                <w:t>reference to Exhibit 10.4 to the Company's Quarterly Report on Form 10-Q (File No. 001-37352) filed on May 11, 2020.</w:t>
              </w:r>
            </w:hyperlink>
          </w:p>
        </w:tc>
        <w:tc>
          <w:tcPr>
            <w:tcW w:w="1600" w:type="dxa"/>
            <w:vAlign w:val="bottom"/>
            <w:tcBorders>
              <w:top w:val="single" w:sz="8" w:color="0000FF"/>
              <w:bottom w:val="single" w:sz="8" w:color="FEFEFE"/>
            </w:tcBorders>
            <w:gridSpan w:val="21"/>
            <w:shd w:val="clear" w:color="auto" w:fill="FEFEFE"/>
          </w:tcPr>
          <w:p>
            <w:pPr>
              <w:spacing w:after="0"/>
              <w:rPr>
                <w:sz w:val="11"/>
                <w:szCs w:val="11"/>
                <w:color w:val="auto"/>
              </w:rPr>
            </w:pPr>
          </w:p>
        </w:tc>
        <w:tc>
          <w:tcPr>
            <w:tcW w:w="20" w:type="dxa"/>
            <w:vAlign w:val="bottom"/>
            <w:tcBorders>
              <w:top w:val="single" w:sz="8" w:color="FEFEFE"/>
              <w:bottom w:val="single" w:sz="8" w:color="FEFEFE"/>
            </w:tcBorders>
            <w:shd w:val="clear" w:color="auto" w:fill="FEFEFE"/>
          </w:tcPr>
          <w:p>
            <w:pPr>
              <w:spacing w:after="0"/>
              <w:rPr>
                <w:sz w:val="11"/>
                <w:szCs w:val="11"/>
                <w:color w:val="auto"/>
              </w:rPr>
            </w:pPr>
          </w:p>
        </w:tc>
        <w:tc>
          <w:tcPr>
            <w:tcW w:w="20" w:type="dxa"/>
            <w:vAlign w:val="bottom"/>
            <w:tcBorders>
              <w:top w:val="single" w:sz="8" w:color="FEFEFE"/>
              <w:bottom w:val="single" w:sz="8" w:color="FEFEFE"/>
            </w:tcBorders>
            <w:shd w:val="clear" w:color="auto" w:fill="FEFEFE"/>
          </w:tcPr>
          <w:p>
            <w:pPr>
              <w:spacing w:after="0"/>
              <w:rPr>
                <w:sz w:val="11"/>
                <w:szCs w:val="11"/>
                <w:color w:val="auto"/>
              </w:rPr>
            </w:pPr>
          </w:p>
        </w:tc>
        <w:tc>
          <w:tcPr>
            <w:tcW w:w="20" w:type="dxa"/>
            <w:vAlign w:val="bottom"/>
            <w:tcBorders>
              <w:top w:val="single" w:sz="8" w:color="FEFEFE"/>
              <w:bottom w:val="single" w:sz="8" w:color="FEFEFE"/>
            </w:tcBorders>
            <w:shd w:val="clear" w:color="auto" w:fill="FEFEFE"/>
          </w:tcPr>
          <w:p>
            <w:pPr>
              <w:spacing w:after="0"/>
              <w:rPr>
                <w:sz w:val="11"/>
                <w:szCs w:val="11"/>
                <w:color w:val="auto"/>
              </w:rPr>
            </w:pPr>
          </w:p>
        </w:tc>
        <w:tc>
          <w:tcPr>
            <w:tcW w:w="40" w:type="dxa"/>
            <w:vAlign w:val="bottom"/>
            <w:tcBorders>
              <w:top w:val="single" w:sz="8" w:color="FEFEFE"/>
              <w:bottom w:val="single" w:sz="8" w:color="FEFEFE"/>
              <w:right w:val="single" w:sz="8" w:color="FEFEFE"/>
            </w:tcBorders>
            <w:shd w:val="clear" w:color="auto" w:fill="FEFEF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120" w:type="dxa"/>
            <w:vAlign w:val="bottom"/>
          </w:tcPr>
          <w:p>
            <w:pPr>
              <w:ind w:left="20"/>
              <w:spacing w:after="0"/>
              <w:rPr>
                <w:sz w:val="20"/>
                <w:szCs w:val="20"/>
                <w:color w:val="auto"/>
              </w:rPr>
            </w:pPr>
            <w:r>
              <w:rPr>
                <w:rFonts w:ascii="Arial" w:cs="Arial" w:eastAsia="Arial" w:hAnsi="Arial"/>
                <w:sz w:val="16"/>
                <w:szCs w:val="16"/>
                <w:color w:val="auto"/>
              </w:rPr>
              <w:t>10.11*</w:t>
            </w:r>
          </w:p>
        </w:tc>
        <w:tc>
          <w:tcPr>
            <w:tcW w:w="320" w:type="dxa"/>
            <w:vAlign w:val="bottom"/>
          </w:tcPr>
          <w:p>
            <w:pPr>
              <w:spacing w:after="0"/>
              <w:rPr>
                <w:sz w:val="16"/>
                <w:szCs w:val="16"/>
                <w:color w:val="auto"/>
              </w:rPr>
            </w:pPr>
          </w:p>
        </w:tc>
        <w:tc>
          <w:tcPr>
            <w:tcW w:w="540" w:type="dxa"/>
            <w:vAlign w:val="bottom"/>
            <w:shd w:val="clear" w:color="auto" w:fill="FEFEFE"/>
          </w:tcPr>
          <w:p>
            <w:pPr>
              <w:spacing w:after="0"/>
              <w:rPr>
                <w:sz w:val="16"/>
                <w:szCs w:val="16"/>
                <w:color w:val="auto"/>
              </w:rPr>
            </w:pPr>
          </w:p>
        </w:tc>
        <w:tc>
          <w:tcPr>
            <w:tcW w:w="9340" w:type="dxa"/>
            <w:vAlign w:val="bottom"/>
            <w:tcBorders>
              <w:right w:val="single" w:sz="8" w:color="FEFEFE"/>
            </w:tcBorders>
            <w:gridSpan w:val="34"/>
            <w:shd w:val="clear" w:color="auto" w:fill="FEFEFE"/>
          </w:tcPr>
          <w:p>
            <w:pPr>
              <w:spacing w:after="0"/>
              <w:rPr>
                <w:rFonts w:ascii="Arial" w:cs="Arial" w:eastAsia="Arial" w:hAnsi="Arial"/>
                <w:sz w:val="16"/>
                <w:szCs w:val="16"/>
                <w:color w:val="0000FF"/>
                <w:w w:val="91"/>
              </w:rPr>
            </w:pPr>
            <w:hyperlink w:anchor="page169">
              <w:r>
                <w:rPr>
                  <w:rFonts w:ascii="Arial" w:cs="Arial" w:eastAsia="Arial" w:hAnsi="Arial"/>
                  <w:sz w:val="16"/>
                  <w:szCs w:val="16"/>
                  <w:color w:val="0000FF"/>
                  <w:w w:val="91"/>
                </w:rPr>
                <w:t>Credit Agreement, dated January 13, 2022, among Virtu Financial LLC, as Holdings, VFH Parent LLC, as Borrower, the Lenders, Issuing Banks</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Borders>
              <w:top w:val="single" w:sz="8" w:color="FEFEFE"/>
            </w:tcBorders>
            <w:shd w:val="clear" w:color="auto" w:fill="FEFEFE"/>
          </w:tcPr>
          <w:p>
            <w:pPr>
              <w:spacing w:after="0"/>
              <w:rPr>
                <w:sz w:val="13"/>
                <w:szCs w:val="13"/>
                <w:color w:val="auto"/>
              </w:rPr>
            </w:pPr>
          </w:p>
        </w:tc>
        <w:tc>
          <w:tcPr>
            <w:tcW w:w="9200" w:type="dxa"/>
            <w:vAlign w:val="bottom"/>
            <w:tcBorders>
              <w:top w:val="single" w:sz="8" w:color="0000FF"/>
            </w:tcBorders>
            <w:gridSpan w:val="28"/>
            <w:shd w:val="clear" w:color="auto" w:fill="FEFEFE"/>
          </w:tcPr>
          <w:p>
            <w:pPr>
              <w:spacing w:after="0" w:line="158" w:lineRule="exact"/>
              <w:rPr>
                <w:rFonts w:ascii="Arial" w:cs="Arial" w:eastAsia="Arial" w:hAnsi="Arial"/>
                <w:sz w:val="16"/>
                <w:szCs w:val="16"/>
                <w:color w:val="0000FF"/>
                <w:w w:val="92"/>
              </w:rPr>
            </w:pPr>
            <w:hyperlink w:anchor="page169">
              <w:r>
                <w:rPr>
                  <w:rFonts w:ascii="Arial" w:cs="Arial" w:eastAsia="Arial" w:hAnsi="Arial"/>
                  <w:sz w:val="16"/>
                  <w:szCs w:val="16"/>
                  <w:color w:val="0000FF"/>
                  <w:w w:val="92"/>
                </w:rPr>
                <w:t>and Swingline Lender Party Hereto, and JPMorgan Chase Bank, N.A., as Administrative Agent, and Jefferies Finance LLC and RBC Capital</w:t>
              </w:r>
            </w:hyperlink>
          </w:p>
        </w:tc>
        <w:tc>
          <w:tcPr>
            <w:tcW w:w="20" w:type="dxa"/>
            <w:vAlign w:val="bottom"/>
            <w:tcBorders>
              <w:top w:val="single" w:sz="8" w:color="FEFEFE"/>
            </w:tcBorders>
            <w:shd w:val="clear" w:color="auto" w:fill="FEFEFE"/>
          </w:tcPr>
          <w:p>
            <w:pPr>
              <w:spacing w:after="0"/>
              <w:rPr>
                <w:sz w:val="13"/>
                <w:szCs w:val="13"/>
                <w:color w:val="auto"/>
              </w:rPr>
            </w:pPr>
          </w:p>
        </w:tc>
        <w:tc>
          <w:tcPr>
            <w:tcW w:w="40" w:type="dxa"/>
            <w:vAlign w:val="bottom"/>
            <w:tcBorders>
              <w:top w:val="single" w:sz="8" w:color="FEFEFE"/>
            </w:tcBorders>
            <w:gridSpan w:val="2"/>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40" w:type="dxa"/>
            <w:vAlign w:val="bottom"/>
            <w:tcBorders>
              <w:top w:val="single" w:sz="8" w:color="FEFEFE"/>
              <w:right w:val="single" w:sz="8" w:color="FEFEFE"/>
            </w:tcBorders>
            <w:shd w:val="clear" w:color="auto" w:fill="FEFEF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Borders>
              <w:top w:val="single" w:sz="8" w:color="FEFEFE"/>
              <w:bottom w:val="single" w:sz="8" w:color="FEFEFE"/>
            </w:tcBorders>
            <w:shd w:val="clear" w:color="auto" w:fill="FEFEFE"/>
          </w:tcPr>
          <w:p>
            <w:pPr>
              <w:spacing w:after="0"/>
              <w:rPr>
                <w:sz w:val="13"/>
                <w:szCs w:val="13"/>
                <w:color w:val="auto"/>
              </w:rPr>
            </w:pPr>
          </w:p>
        </w:tc>
        <w:tc>
          <w:tcPr>
            <w:tcW w:w="3620" w:type="dxa"/>
            <w:vAlign w:val="bottom"/>
            <w:tcBorders>
              <w:top w:val="single" w:sz="8" w:color="0000FF"/>
              <w:bottom w:val="single" w:sz="8" w:color="0000FF"/>
            </w:tcBorders>
            <w:gridSpan w:val="3"/>
            <w:shd w:val="clear" w:color="auto" w:fill="FEFEFE"/>
          </w:tcPr>
          <w:p>
            <w:pPr>
              <w:spacing w:after="0" w:line="158" w:lineRule="exact"/>
              <w:rPr>
                <w:rFonts w:ascii="Arial" w:cs="Arial" w:eastAsia="Arial" w:hAnsi="Arial"/>
                <w:sz w:val="16"/>
                <w:szCs w:val="16"/>
                <w:color w:val="0000FF"/>
                <w:w w:val="88"/>
              </w:rPr>
            </w:pPr>
            <w:hyperlink w:anchor="page169">
              <w:r>
                <w:rPr>
                  <w:rFonts w:ascii="Arial" w:cs="Arial" w:eastAsia="Arial" w:hAnsi="Arial"/>
                  <w:sz w:val="16"/>
                  <w:szCs w:val="16"/>
                  <w:color w:val="0000FF"/>
                  <w:w w:val="88"/>
                </w:rPr>
                <w:t>Markets, as Joint Lead Arrangers and Joint Bookrunners.</w:t>
              </w:r>
            </w:hyperlink>
          </w:p>
        </w:tc>
        <w:tc>
          <w:tcPr>
            <w:tcW w:w="5300" w:type="dxa"/>
            <w:vAlign w:val="bottom"/>
            <w:tcBorders>
              <w:top w:val="single" w:sz="8" w:color="0000FF"/>
              <w:bottom w:val="single" w:sz="8" w:color="FEFEFE"/>
            </w:tcBorders>
            <w:gridSpan w:val="12"/>
            <w:shd w:val="clear" w:color="auto" w:fill="FEFEFE"/>
          </w:tcPr>
          <w:p>
            <w:pPr>
              <w:spacing w:after="0"/>
              <w:rPr>
                <w:sz w:val="13"/>
                <w:szCs w:val="13"/>
                <w:color w:val="auto"/>
              </w:rPr>
            </w:pPr>
          </w:p>
        </w:tc>
        <w:tc>
          <w:tcPr>
            <w:tcW w:w="40" w:type="dxa"/>
            <w:vAlign w:val="bottom"/>
            <w:tcBorders>
              <w:top w:val="single" w:sz="8" w:color="FEFEFE"/>
              <w:bottom w:val="single" w:sz="8" w:color="FEFEFE"/>
            </w:tcBorders>
            <w:shd w:val="clear" w:color="auto" w:fill="FEFEFE"/>
          </w:tcPr>
          <w:p>
            <w:pPr>
              <w:spacing w:after="0"/>
              <w:rPr>
                <w:sz w:val="13"/>
                <w:szCs w:val="13"/>
                <w:color w:val="auto"/>
              </w:rPr>
            </w:pPr>
          </w:p>
        </w:tc>
        <w:tc>
          <w:tcPr>
            <w:tcW w:w="20" w:type="dxa"/>
            <w:vAlign w:val="bottom"/>
            <w:tcBorders>
              <w:top w:val="single" w:sz="8" w:color="FEFEFE"/>
              <w:bottom w:val="single" w:sz="8" w:color="FEFEFE"/>
            </w:tcBorders>
            <w:shd w:val="clear" w:color="auto" w:fill="FEFEFE"/>
          </w:tcPr>
          <w:p>
            <w:pPr>
              <w:spacing w:after="0"/>
              <w:rPr>
                <w:sz w:val="13"/>
                <w:szCs w:val="13"/>
                <w:color w:val="auto"/>
              </w:rPr>
            </w:pPr>
          </w:p>
        </w:tc>
        <w:tc>
          <w:tcPr>
            <w:tcW w:w="40" w:type="dxa"/>
            <w:vAlign w:val="bottom"/>
            <w:tcBorders>
              <w:top w:val="single" w:sz="8" w:color="FEFEFE"/>
              <w:bottom w:val="single" w:sz="8" w:color="FEFEFE"/>
            </w:tcBorders>
            <w:gridSpan w:val="2"/>
            <w:shd w:val="clear" w:color="auto" w:fill="FEFEFE"/>
          </w:tcPr>
          <w:p>
            <w:pPr>
              <w:spacing w:after="0"/>
              <w:rPr>
                <w:sz w:val="13"/>
                <w:szCs w:val="13"/>
                <w:color w:val="auto"/>
              </w:rPr>
            </w:pPr>
          </w:p>
        </w:tc>
        <w:tc>
          <w:tcPr>
            <w:tcW w:w="20" w:type="dxa"/>
            <w:vAlign w:val="bottom"/>
            <w:tcBorders>
              <w:top w:val="single" w:sz="8" w:color="FEFEFE"/>
              <w:bottom w:val="single" w:sz="8" w:color="FEFEFE"/>
            </w:tcBorders>
            <w:shd w:val="clear" w:color="auto" w:fill="FEFEFE"/>
          </w:tcPr>
          <w:p>
            <w:pPr>
              <w:spacing w:after="0"/>
              <w:rPr>
                <w:sz w:val="13"/>
                <w:szCs w:val="13"/>
                <w:color w:val="auto"/>
              </w:rPr>
            </w:pPr>
          </w:p>
        </w:tc>
        <w:tc>
          <w:tcPr>
            <w:tcW w:w="20" w:type="dxa"/>
            <w:vAlign w:val="bottom"/>
            <w:tcBorders>
              <w:top w:val="single" w:sz="8" w:color="FEFEFE"/>
              <w:bottom w:val="single" w:sz="8" w:color="FEFEFE"/>
            </w:tcBorders>
            <w:shd w:val="clear" w:color="auto" w:fill="FEFEFE"/>
          </w:tcPr>
          <w:p>
            <w:pPr>
              <w:spacing w:after="0"/>
              <w:rPr>
                <w:sz w:val="13"/>
                <w:szCs w:val="13"/>
                <w:color w:val="auto"/>
              </w:rPr>
            </w:pPr>
          </w:p>
        </w:tc>
        <w:tc>
          <w:tcPr>
            <w:tcW w:w="20" w:type="dxa"/>
            <w:vAlign w:val="bottom"/>
            <w:tcBorders>
              <w:top w:val="single" w:sz="8" w:color="FEFEFE"/>
              <w:bottom w:val="single" w:sz="8" w:color="FEFEFE"/>
            </w:tcBorders>
            <w:shd w:val="clear" w:color="auto" w:fill="FEFEFE"/>
          </w:tcPr>
          <w:p>
            <w:pPr>
              <w:spacing w:after="0"/>
              <w:rPr>
                <w:sz w:val="13"/>
                <w:szCs w:val="13"/>
                <w:color w:val="auto"/>
              </w:rPr>
            </w:pPr>
          </w:p>
        </w:tc>
        <w:tc>
          <w:tcPr>
            <w:tcW w:w="20" w:type="dxa"/>
            <w:vAlign w:val="bottom"/>
            <w:tcBorders>
              <w:top w:val="single" w:sz="8" w:color="FEFEFE"/>
              <w:bottom w:val="single" w:sz="8" w:color="FEFEFE"/>
            </w:tcBorders>
            <w:shd w:val="clear" w:color="auto" w:fill="FEFEFE"/>
          </w:tcPr>
          <w:p>
            <w:pPr>
              <w:spacing w:after="0"/>
              <w:rPr>
                <w:sz w:val="13"/>
                <w:szCs w:val="13"/>
                <w:color w:val="auto"/>
              </w:rPr>
            </w:pPr>
          </w:p>
        </w:tc>
        <w:tc>
          <w:tcPr>
            <w:tcW w:w="20" w:type="dxa"/>
            <w:vAlign w:val="bottom"/>
            <w:tcBorders>
              <w:top w:val="single" w:sz="8" w:color="FEFEFE"/>
              <w:bottom w:val="single" w:sz="8" w:color="FEFEFE"/>
            </w:tcBorders>
            <w:shd w:val="clear" w:color="auto" w:fill="FEFEFE"/>
          </w:tcPr>
          <w:p>
            <w:pPr>
              <w:spacing w:after="0"/>
              <w:rPr>
                <w:sz w:val="13"/>
                <w:szCs w:val="13"/>
                <w:color w:val="auto"/>
              </w:rPr>
            </w:pPr>
          </w:p>
        </w:tc>
        <w:tc>
          <w:tcPr>
            <w:tcW w:w="20" w:type="dxa"/>
            <w:vAlign w:val="bottom"/>
            <w:tcBorders>
              <w:top w:val="single" w:sz="8" w:color="FEFEFE"/>
              <w:bottom w:val="single" w:sz="8" w:color="FEFEFE"/>
            </w:tcBorders>
            <w:shd w:val="clear" w:color="auto" w:fill="FEFEFE"/>
          </w:tcPr>
          <w:p>
            <w:pPr>
              <w:spacing w:after="0"/>
              <w:rPr>
                <w:sz w:val="13"/>
                <w:szCs w:val="13"/>
                <w:color w:val="auto"/>
              </w:rPr>
            </w:pPr>
          </w:p>
        </w:tc>
        <w:tc>
          <w:tcPr>
            <w:tcW w:w="40" w:type="dxa"/>
            <w:vAlign w:val="bottom"/>
            <w:tcBorders>
              <w:top w:val="single" w:sz="8" w:color="FEFEFE"/>
              <w:bottom w:val="single" w:sz="8" w:color="FEFEFE"/>
            </w:tcBorders>
            <w:gridSpan w:val="2"/>
            <w:shd w:val="clear" w:color="auto" w:fill="FEFEFE"/>
          </w:tcPr>
          <w:p>
            <w:pPr>
              <w:spacing w:after="0"/>
              <w:rPr>
                <w:sz w:val="13"/>
                <w:szCs w:val="13"/>
                <w:color w:val="auto"/>
              </w:rPr>
            </w:pPr>
          </w:p>
        </w:tc>
        <w:tc>
          <w:tcPr>
            <w:tcW w:w="40" w:type="dxa"/>
            <w:vAlign w:val="bottom"/>
            <w:tcBorders>
              <w:top w:val="single" w:sz="8" w:color="FEFEFE"/>
              <w:bottom w:val="single" w:sz="8" w:color="FEFEFE"/>
            </w:tcBorders>
            <w:gridSpan w:val="2"/>
            <w:shd w:val="clear" w:color="auto" w:fill="FEFEFE"/>
          </w:tcPr>
          <w:p>
            <w:pPr>
              <w:spacing w:after="0"/>
              <w:rPr>
                <w:sz w:val="13"/>
                <w:szCs w:val="13"/>
                <w:color w:val="auto"/>
              </w:rPr>
            </w:pPr>
          </w:p>
        </w:tc>
        <w:tc>
          <w:tcPr>
            <w:tcW w:w="40" w:type="dxa"/>
            <w:vAlign w:val="bottom"/>
            <w:tcBorders>
              <w:top w:val="single" w:sz="8" w:color="FEFEFE"/>
              <w:bottom w:val="single" w:sz="8" w:color="FEFEFE"/>
            </w:tcBorders>
            <w:gridSpan w:val="2"/>
            <w:shd w:val="clear" w:color="auto" w:fill="FEFEFE"/>
          </w:tcPr>
          <w:p>
            <w:pPr>
              <w:spacing w:after="0"/>
              <w:rPr>
                <w:sz w:val="13"/>
                <w:szCs w:val="13"/>
                <w:color w:val="auto"/>
              </w:rPr>
            </w:pPr>
          </w:p>
        </w:tc>
        <w:tc>
          <w:tcPr>
            <w:tcW w:w="20" w:type="dxa"/>
            <w:vAlign w:val="bottom"/>
            <w:tcBorders>
              <w:top w:val="single" w:sz="8" w:color="FEFEFE"/>
              <w:bottom w:val="single" w:sz="8" w:color="FEFEFE"/>
            </w:tcBorders>
            <w:shd w:val="clear" w:color="auto" w:fill="FEFEFE"/>
          </w:tcPr>
          <w:p>
            <w:pPr>
              <w:spacing w:after="0"/>
              <w:rPr>
                <w:sz w:val="13"/>
                <w:szCs w:val="13"/>
                <w:color w:val="auto"/>
              </w:rPr>
            </w:pPr>
          </w:p>
        </w:tc>
        <w:tc>
          <w:tcPr>
            <w:tcW w:w="20" w:type="dxa"/>
            <w:vAlign w:val="bottom"/>
            <w:tcBorders>
              <w:top w:val="single" w:sz="8" w:color="FEFEFE"/>
              <w:bottom w:val="single" w:sz="8" w:color="FEFEFE"/>
            </w:tcBorders>
            <w:shd w:val="clear" w:color="auto" w:fill="FEFEFE"/>
          </w:tcPr>
          <w:p>
            <w:pPr>
              <w:spacing w:after="0"/>
              <w:rPr>
                <w:sz w:val="13"/>
                <w:szCs w:val="13"/>
                <w:color w:val="auto"/>
              </w:rPr>
            </w:pPr>
          </w:p>
        </w:tc>
        <w:tc>
          <w:tcPr>
            <w:tcW w:w="40" w:type="dxa"/>
            <w:vAlign w:val="bottom"/>
            <w:tcBorders>
              <w:top w:val="single" w:sz="8" w:color="FEFEFE"/>
              <w:bottom w:val="single" w:sz="8" w:color="FEFEFE"/>
              <w:right w:val="single" w:sz="8" w:color="FEFEFE"/>
            </w:tcBorders>
            <w:shd w:val="clear" w:color="auto" w:fill="FEFEF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1120" w:type="dxa"/>
            <w:vAlign w:val="bottom"/>
          </w:tcPr>
          <w:p>
            <w:pPr>
              <w:ind w:left="20"/>
              <w:spacing w:after="0"/>
              <w:rPr>
                <w:sz w:val="20"/>
                <w:szCs w:val="20"/>
                <w:color w:val="auto"/>
              </w:rPr>
            </w:pPr>
            <w:r>
              <w:rPr>
                <w:rFonts w:ascii="Arial" w:cs="Arial" w:eastAsia="Arial" w:hAnsi="Arial"/>
                <w:sz w:val="16"/>
                <w:szCs w:val="16"/>
                <w:color w:val="auto"/>
              </w:rPr>
              <w:t>10.12</w:t>
            </w:r>
          </w:p>
        </w:tc>
        <w:tc>
          <w:tcPr>
            <w:tcW w:w="320" w:type="dxa"/>
            <w:vAlign w:val="bottom"/>
          </w:tcPr>
          <w:p>
            <w:pPr>
              <w:spacing w:after="0"/>
              <w:rPr>
                <w:sz w:val="16"/>
                <w:szCs w:val="16"/>
                <w:color w:val="auto"/>
              </w:rPr>
            </w:pPr>
          </w:p>
        </w:tc>
        <w:tc>
          <w:tcPr>
            <w:tcW w:w="540" w:type="dxa"/>
            <w:vAlign w:val="bottom"/>
            <w:shd w:val="clear" w:color="auto" w:fill="FEFEFE"/>
          </w:tcPr>
          <w:p>
            <w:pPr>
              <w:spacing w:after="0"/>
              <w:rPr>
                <w:sz w:val="16"/>
                <w:szCs w:val="16"/>
                <w:color w:val="auto"/>
              </w:rPr>
            </w:pPr>
          </w:p>
        </w:tc>
        <w:tc>
          <w:tcPr>
            <w:tcW w:w="9340" w:type="dxa"/>
            <w:vAlign w:val="bottom"/>
            <w:tcBorders>
              <w:right w:val="single" w:sz="8" w:color="FEFEFE"/>
            </w:tcBorders>
            <w:gridSpan w:val="34"/>
            <w:shd w:val="clear" w:color="auto" w:fill="FEFEFE"/>
          </w:tcPr>
          <w:p>
            <w:pPr>
              <w:spacing w:after="0"/>
              <w:rPr>
                <w:rFonts w:ascii="Arial" w:cs="Arial" w:eastAsia="Arial" w:hAnsi="Arial"/>
                <w:sz w:val="16"/>
                <w:szCs w:val="16"/>
                <w:color w:val="0000FF"/>
                <w:w w:val="92"/>
              </w:rPr>
            </w:pPr>
            <w:hyperlink r:id="rId187">
              <w:r>
                <w:rPr>
                  <w:rFonts w:ascii="Arial" w:cs="Arial" w:eastAsia="Arial" w:hAnsi="Arial"/>
                  <w:sz w:val="16"/>
                  <w:szCs w:val="16"/>
                  <w:color w:val="0000FF"/>
                  <w:w w:val="92"/>
                </w:rPr>
                <w:t>Loan Agreement Dated as of March 20, 2020 among Virtu Americas LLC, the Lenders from time to time party hereto and TJMT Holdings LLC,</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Borders>
              <w:top w:val="single" w:sz="8" w:color="FEFEFE"/>
            </w:tcBorders>
            <w:shd w:val="clear" w:color="auto" w:fill="FEFEFE"/>
          </w:tcPr>
          <w:p>
            <w:pPr>
              <w:spacing w:after="0"/>
              <w:rPr>
                <w:sz w:val="11"/>
                <w:szCs w:val="11"/>
                <w:color w:val="auto"/>
              </w:rPr>
            </w:pPr>
          </w:p>
        </w:tc>
        <w:tc>
          <w:tcPr>
            <w:tcW w:w="9180" w:type="dxa"/>
            <w:vAlign w:val="bottom"/>
            <w:tcBorders>
              <w:top w:val="single" w:sz="8" w:color="0000FF"/>
            </w:tcBorders>
            <w:gridSpan w:val="27"/>
            <w:shd w:val="clear" w:color="auto" w:fill="FEFEFE"/>
          </w:tcPr>
          <w:p>
            <w:pPr>
              <w:spacing w:after="0" w:line="134" w:lineRule="exact"/>
              <w:rPr>
                <w:rFonts w:ascii="Arial" w:cs="Arial" w:eastAsia="Arial" w:hAnsi="Arial"/>
                <w:sz w:val="15"/>
                <w:szCs w:val="15"/>
                <w:color w:val="0000FF"/>
                <w:w w:val="99"/>
              </w:rPr>
            </w:pPr>
            <w:hyperlink r:id="rId187">
              <w:r>
                <w:rPr>
                  <w:rFonts w:ascii="Arial" w:cs="Arial" w:eastAsia="Arial" w:hAnsi="Arial"/>
                  <w:sz w:val="15"/>
                  <w:szCs w:val="15"/>
                  <w:color w:val="0000FF"/>
                  <w:w w:val="99"/>
                </w:rPr>
                <w:t>as Administrative Agent (incorporated herein by reference to Exhibit 99.19 to the Form 13D/A (File No. 005-89306) filed by TJMT Holdings</w:t>
              </w:r>
            </w:hyperlink>
          </w:p>
        </w:tc>
        <w:tc>
          <w:tcPr>
            <w:tcW w:w="40" w:type="dxa"/>
            <w:vAlign w:val="bottom"/>
            <w:tcBorders>
              <w:top w:val="single" w:sz="8" w:color="FEFEFE"/>
            </w:tcBorders>
            <w:gridSpan w:val="2"/>
            <w:shd w:val="clear" w:color="auto" w:fill="FEFEFE"/>
          </w:tcPr>
          <w:p>
            <w:pPr>
              <w:spacing w:after="0"/>
              <w:rPr>
                <w:sz w:val="11"/>
                <w:szCs w:val="11"/>
                <w:color w:val="auto"/>
              </w:rPr>
            </w:pPr>
          </w:p>
        </w:tc>
        <w:tc>
          <w:tcPr>
            <w:tcW w:w="40" w:type="dxa"/>
            <w:vAlign w:val="bottom"/>
            <w:tcBorders>
              <w:top w:val="single" w:sz="8" w:color="FEFEFE"/>
            </w:tcBorders>
            <w:gridSpan w:val="2"/>
            <w:shd w:val="clear" w:color="auto" w:fill="FEFEFE"/>
          </w:tcPr>
          <w:p>
            <w:pPr>
              <w:spacing w:after="0"/>
              <w:rPr>
                <w:sz w:val="11"/>
                <w:szCs w:val="11"/>
                <w:color w:val="auto"/>
              </w:rPr>
            </w:pPr>
          </w:p>
        </w:tc>
        <w:tc>
          <w:tcPr>
            <w:tcW w:w="20" w:type="dxa"/>
            <w:vAlign w:val="bottom"/>
            <w:tcBorders>
              <w:top w:val="single" w:sz="8" w:color="FEFEFE"/>
            </w:tcBorders>
            <w:shd w:val="clear" w:color="auto" w:fill="FEFEFE"/>
          </w:tcPr>
          <w:p>
            <w:pPr>
              <w:spacing w:after="0"/>
              <w:rPr>
                <w:sz w:val="11"/>
                <w:szCs w:val="11"/>
                <w:color w:val="auto"/>
              </w:rPr>
            </w:pPr>
          </w:p>
        </w:tc>
        <w:tc>
          <w:tcPr>
            <w:tcW w:w="20" w:type="dxa"/>
            <w:vAlign w:val="bottom"/>
            <w:tcBorders>
              <w:top w:val="single" w:sz="8" w:color="FEFEFE"/>
            </w:tcBorders>
            <w:shd w:val="clear" w:color="auto" w:fill="FEFEFE"/>
          </w:tcPr>
          <w:p>
            <w:pPr>
              <w:spacing w:after="0"/>
              <w:rPr>
                <w:sz w:val="11"/>
                <w:szCs w:val="11"/>
                <w:color w:val="auto"/>
              </w:rPr>
            </w:pPr>
          </w:p>
        </w:tc>
        <w:tc>
          <w:tcPr>
            <w:tcW w:w="40" w:type="dxa"/>
            <w:vAlign w:val="bottom"/>
            <w:tcBorders>
              <w:top w:val="single" w:sz="8" w:color="FEFEFE"/>
              <w:right w:val="single" w:sz="8" w:color="FEFEFE"/>
            </w:tcBorders>
            <w:shd w:val="clear" w:color="auto" w:fill="FEFEF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Borders>
              <w:top w:val="single" w:sz="8" w:color="FEFEFE"/>
              <w:bottom w:val="single" w:sz="8" w:color="FEFEFE"/>
            </w:tcBorders>
            <w:shd w:val="clear" w:color="auto" w:fill="FEFEFE"/>
          </w:tcPr>
          <w:p>
            <w:pPr>
              <w:spacing w:after="0"/>
              <w:rPr>
                <w:sz w:val="11"/>
                <w:szCs w:val="11"/>
                <w:color w:val="auto"/>
              </w:rPr>
            </w:pPr>
          </w:p>
        </w:tc>
        <w:tc>
          <w:tcPr>
            <w:tcW w:w="1640" w:type="dxa"/>
            <w:vAlign w:val="bottom"/>
            <w:tcBorders>
              <w:top w:val="single" w:sz="8" w:color="0000FF"/>
              <w:bottom w:val="single" w:sz="8" w:color="0000FF"/>
            </w:tcBorders>
            <w:gridSpan w:val="2"/>
            <w:shd w:val="clear" w:color="auto" w:fill="FEFEFE"/>
          </w:tcPr>
          <w:p>
            <w:pPr>
              <w:spacing w:after="0" w:line="134" w:lineRule="exact"/>
              <w:rPr>
                <w:rFonts w:ascii="Arial" w:cs="Arial" w:eastAsia="Arial" w:hAnsi="Arial"/>
                <w:sz w:val="15"/>
                <w:szCs w:val="15"/>
                <w:color w:val="0000FF"/>
                <w:w w:val="97"/>
              </w:rPr>
            </w:pPr>
            <w:hyperlink r:id="rId187">
              <w:r>
                <w:rPr>
                  <w:rFonts w:ascii="Arial" w:cs="Arial" w:eastAsia="Arial" w:hAnsi="Arial"/>
                  <w:sz w:val="15"/>
                  <w:szCs w:val="15"/>
                  <w:color w:val="0000FF"/>
                  <w:w w:val="97"/>
                </w:rPr>
                <w:t>LLC on March 23, 2020).</w:t>
              </w:r>
            </w:hyperlink>
          </w:p>
        </w:tc>
        <w:tc>
          <w:tcPr>
            <w:tcW w:w="7320" w:type="dxa"/>
            <w:vAlign w:val="bottom"/>
            <w:tcBorders>
              <w:top w:val="single" w:sz="8" w:color="0000FF"/>
              <w:bottom w:val="single" w:sz="8" w:color="FEFEFE"/>
            </w:tcBorders>
            <w:gridSpan w:val="14"/>
            <w:shd w:val="clear" w:color="auto" w:fill="FEFEFE"/>
          </w:tcPr>
          <w:p>
            <w:pPr>
              <w:spacing w:after="0"/>
              <w:rPr>
                <w:sz w:val="11"/>
                <w:szCs w:val="11"/>
                <w:color w:val="auto"/>
              </w:rPr>
            </w:pPr>
          </w:p>
        </w:tc>
        <w:tc>
          <w:tcPr>
            <w:tcW w:w="20" w:type="dxa"/>
            <w:vAlign w:val="bottom"/>
            <w:tcBorders>
              <w:top w:val="single" w:sz="8" w:color="FEFEFE"/>
              <w:bottom w:val="single" w:sz="8" w:color="FEFEFE"/>
            </w:tcBorders>
            <w:shd w:val="clear" w:color="auto" w:fill="FEFEFE"/>
          </w:tcPr>
          <w:p>
            <w:pPr>
              <w:spacing w:after="0"/>
              <w:rPr>
                <w:sz w:val="11"/>
                <w:szCs w:val="11"/>
                <w:color w:val="auto"/>
              </w:rPr>
            </w:pPr>
          </w:p>
        </w:tc>
        <w:tc>
          <w:tcPr>
            <w:tcW w:w="40" w:type="dxa"/>
            <w:vAlign w:val="bottom"/>
            <w:tcBorders>
              <w:top w:val="single" w:sz="8" w:color="FEFEFE"/>
              <w:bottom w:val="single" w:sz="8" w:color="FEFEFE"/>
            </w:tcBorders>
            <w:gridSpan w:val="2"/>
            <w:shd w:val="clear" w:color="auto" w:fill="FEFEFE"/>
          </w:tcPr>
          <w:p>
            <w:pPr>
              <w:spacing w:after="0"/>
              <w:rPr>
                <w:sz w:val="11"/>
                <w:szCs w:val="11"/>
                <w:color w:val="auto"/>
              </w:rPr>
            </w:pPr>
          </w:p>
        </w:tc>
        <w:tc>
          <w:tcPr>
            <w:tcW w:w="20" w:type="dxa"/>
            <w:vAlign w:val="bottom"/>
            <w:tcBorders>
              <w:top w:val="single" w:sz="8" w:color="FEFEFE"/>
              <w:bottom w:val="single" w:sz="8" w:color="FEFEFE"/>
            </w:tcBorders>
            <w:shd w:val="clear" w:color="auto" w:fill="FEFEFE"/>
          </w:tcPr>
          <w:p>
            <w:pPr>
              <w:spacing w:after="0"/>
              <w:rPr>
                <w:sz w:val="11"/>
                <w:szCs w:val="11"/>
                <w:color w:val="auto"/>
              </w:rPr>
            </w:pPr>
          </w:p>
        </w:tc>
        <w:tc>
          <w:tcPr>
            <w:tcW w:w="20" w:type="dxa"/>
            <w:vAlign w:val="bottom"/>
            <w:tcBorders>
              <w:top w:val="single" w:sz="8" w:color="FEFEFE"/>
              <w:bottom w:val="single" w:sz="8" w:color="FEFEFE"/>
            </w:tcBorders>
            <w:shd w:val="clear" w:color="auto" w:fill="FEFEFE"/>
          </w:tcPr>
          <w:p>
            <w:pPr>
              <w:spacing w:after="0"/>
              <w:rPr>
                <w:sz w:val="11"/>
                <w:szCs w:val="11"/>
                <w:color w:val="auto"/>
              </w:rPr>
            </w:pPr>
          </w:p>
        </w:tc>
        <w:tc>
          <w:tcPr>
            <w:tcW w:w="20" w:type="dxa"/>
            <w:vAlign w:val="bottom"/>
            <w:tcBorders>
              <w:top w:val="single" w:sz="8" w:color="FEFEFE"/>
              <w:bottom w:val="single" w:sz="8" w:color="FEFEFE"/>
            </w:tcBorders>
            <w:shd w:val="clear" w:color="auto" w:fill="FEFEFE"/>
          </w:tcPr>
          <w:p>
            <w:pPr>
              <w:spacing w:after="0"/>
              <w:rPr>
                <w:sz w:val="11"/>
                <w:szCs w:val="11"/>
                <w:color w:val="auto"/>
              </w:rPr>
            </w:pPr>
          </w:p>
        </w:tc>
        <w:tc>
          <w:tcPr>
            <w:tcW w:w="20" w:type="dxa"/>
            <w:vAlign w:val="bottom"/>
            <w:tcBorders>
              <w:top w:val="single" w:sz="8" w:color="FEFEFE"/>
              <w:bottom w:val="single" w:sz="8" w:color="FEFEFE"/>
            </w:tcBorders>
            <w:shd w:val="clear" w:color="auto" w:fill="FEFEFE"/>
          </w:tcPr>
          <w:p>
            <w:pPr>
              <w:spacing w:after="0"/>
              <w:rPr>
                <w:sz w:val="11"/>
                <w:szCs w:val="11"/>
                <w:color w:val="auto"/>
              </w:rPr>
            </w:pPr>
          </w:p>
        </w:tc>
        <w:tc>
          <w:tcPr>
            <w:tcW w:w="20" w:type="dxa"/>
            <w:vAlign w:val="bottom"/>
            <w:tcBorders>
              <w:top w:val="single" w:sz="8" w:color="FEFEFE"/>
              <w:bottom w:val="single" w:sz="8" w:color="FEFEFE"/>
            </w:tcBorders>
            <w:shd w:val="clear" w:color="auto" w:fill="FEFEFE"/>
          </w:tcPr>
          <w:p>
            <w:pPr>
              <w:spacing w:after="0"/>
              <w:rPr>
                <w:sz w:val="11"/>
                <w:szCs w:val="11"/>
                <w:color w:val="auto"/>
              </w:rPr>
            </w:pPr>
          </w:p>
        </w:tc>
        <w:tc>
          <w:tcPr>
            <w:tcW w:w="20" w:type="dxa"/>
            <w:vAlign w:val="bottom"/>
            <w:tcBorders>
              <w:top w:val="single" w:sz="8" w:color="FEFEFE"/>
              <w:bottom w:val="single" w:sz="8" w:color="FEFEFE"/>
            </w:tcBorders>
            <w:shd w:val="clear" w:color="auto" w:fill="FEFEFE"/>
          </w:tcPr>
          <w:p>
            <w:pPr>
              <w:spacing w:after="0"/>
              <w:rPr>
                <w:sz w:val="11"/>
                <w:szCs w:val="11"/>
                <w:color w:val="auto"/>
              </w:rPr>
            </w:pPr>
          </w:p>
        </w:tc>
        <w:tc>
          <w:tcPr>
            <w:tcW w:w="40" w:type="dxa"/>
            <w:vAlign w:val="bottom"/>
            <w:tcBorders>
              <w:top w:val="single" w:sz="8" w:color="FEFEFE"/>
              <w:bottom w:val="single" w:sz="8" w:color="FEFEFE"/>
            </w:tcBorders>
            <w:gridSpan w:val="2"/>
            <w:shd w:val="clear" w:color="auto" w:fill="FEFEFE"/>
          </w:tcPr>
          <w:p>
            <w:pPr>
              <w:spacing w:after="0"/>
              <w:rPr>
                <w:sz w:val="11"/>
                <w:szCs w:val="11"/>
                <w:color w:val="auto"/>
              </w:rPr>
            </w:pPr>
          </w:p>
        </w:tc>
        <w:tc>
          <w:tcPr>
            <w:tcW w:w="40" w:type="dxa"/>
            <w:vAlign w:val="bottom"/>
            <w:tcBorders>
              <w:top w:val="single" w:sz="8" w:color="FEFEFE"/>
              <w:bottom w:val="single" w:sz="8" w:color="FEFEFE"/>
            </w:tcBorders>
            <w:gridSpan w:val="2"/>
            <w:shd w:val="clear" w:color="auto" w:fill="FEFEFE"/>
          </w:tcPr>
          <w:p>
            <w:pPr>
              <w:spacing w:after="0"/>
              <w:rPr>
                <w:sz w:val="11"/>
                <w:szCs w:val="11"/>
                <w:color w:val="auto"/>
              </w:rPr>
            </w:pPr>
          </w:p>
        </w:tc>
        <w:tc>
          <w:tcPr>
            <w:tcW w:w="40" w:type="dxa"/>
            <w:vAlign w:val="bottom"/>
            <w:tcBorders>
              <w:top w:val="single" w:sz="8" w:color="FEFEFE"/>
              <w:bottom w:val="single" w:sz="8" w:color="FEFEFE"/>
            </w:tcBorders>
            <w:gridSpan w:val="2"/>
            <w:shd w:val="clear" w:color="auto" w:fill="FEFEFE"/>
          </w:tcPr>
          <w:p>
            <w:pPr>
              <w:spacing w:after="0"/>
              <w:rPr>
                <w:sz w:val="11"/>
                <w:szCs w:val="11"/>
                <w:color w:val="auto"/>
              </w:rPr>
            </w:pPr>
          </w:p>
        </w:tc>
        <w:tc>
          <w:tcPr>
            <w:tcW w:w="20" w:type="dxa"/>
            <w:vAlign w:val="bottom"/>
            <w:tcBorders>
              <w:top w:val="single" w:sz="8" w:color="FEFEFE"/>
              <w:bottom w:val="single" w:sz="8" w:color="FEFEFE"/>
            </w:tcBorders>
            <w:shd w:val="clear" w:color="auto" w:fill="FEFEFE"/>
          </w:tcPr>
          <w:p>
            <w:pPr>
              <w:spacing w:after="0"/>
              <w:rPr>
                <w:sz w:val="11"/>
                <w:szCs w:val="11"/>
                <w:color w:val="auto"/>
              </w:rPr>
            </w:pPr>
          </w:p>
        </w:tc>
        <w:tc>
          <w:tcPr>
            <w:tcW w:w="20" w:type="dxa"/>
            <w:vAlign w:val="bottom"/>
            <w:tcBorders>
              <w:top w:val="single" w:sz="8" w:color="FEFEFE"/>
              <w:bottom w:val="single" w:sz="8" w:color="FEFEFE"/>
            </w:tcBorders>
            <w:shd w:val="clear" w:color="auto" w:fill="FEFEFE"/>
          </w:tcPr>
          <w:p>
            <w:pPr>
              <w:spacing w:after="0"/>
              <w:rPr>
                <w:sz w:val="11"/>
                <w:szCs w:val="11"/>
                <w:color w:val="auto"/>
              </w:rPr>
            </w:pPr>
          </w:p>
        </w:tc>
        <w:tc>
          <w:tcPr>
            <w:tcW w:w="40" w:type="dxa"/>
            <w:vAlign w:val="bottom"/>
            <w:tcBorders>
              <w:top w:val="single" w:sz="8" w:color="FEFEFE"/>
              <w:bottom w:val="single" w:sz="8" w:color="FEFEFE"/>
              <w:right w:val="single" w:sz="8" w:color="FEFEFE"/>
            </w:tcBorders>
            <w:shd w:val="clear" w:color="auto" w:fill="FEFEF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1120" w:type="dxa"/>
            <w:vAlign w:val="bottom"/>
          </w:tcPr>
          <w:p>
            <w:pPr>
              <w:ind w:left="20"/>
              <w:spacing w:after="0" w:line="181" w:lineRule="exact"/>
              <w:rPr>
                <w:sz w:val="20"/>
                <w:szCs w:val="20"/>
                <w:color w:val="auto"/>
              </w:rPr>
            </w:pPr>
            <w:r>
              <w:rPr>
                <w:rFonts w:ascii="Arial" w:cs="Arial" w:eastAsia="Arial" w:hAnsi="Arial"/>
                <w:sz w:val="16"/>
                <w:szCs w:val="16"/>
                <w:color w:val="auto"/>
              </w:rPr>
              <w:t>10.13</w:t>
            </w:r>
          </w:p>
        </w:tc>
        <w:tc>
          <w:tcPr>
            <w:tcW w:w="320" w:type="dxa"/>
            <w:vAlign w:val="bottom"/>
          </w:tcPr>
          <w:p>
            <w:pPr>
              <w:spacing w:after="0"/>
              <w:rPr>
                <w:sz w:val="15"/>
                <w:szCs w:val="15"/>
                <w:color w:val="auto"/>
              </w:rPr>
            </w:pPr>
          </w:p>
        </w:tc>
        <w:tc>
          <w:tcPr>
            <w:tcW w:w="540" w:type="dxa"/>
            <w:vAlign w:val="bottom"/>
            <w:tcBorders>
              <w:bottom w:val="single" w:sz="8" w:color="FEFEFE"/>
            </w:tcBorders>
            <w:shd w:val="clear" w:color="auto" w:fill="FEFEFE"/>
          </w:tcPr>
          <w:p>
            <w:pPr>
              <w:spacing w:after="0"/>
              <w:rPr>
                <w:sz w:val="15"/>
                <w:szCs w:val="15"/>
                <w:color w:val="auto"/>
              </w:rPr>
            </w:pPr>
          </w:p>
        </w:tc>
        <w:tc>
          <w:tcPr>
            <w:tcW w:w="8520" w:type="dxa"/>
            <w:vAlign w:val="bottom"/>
            <w:tcBorders>
              <w:bottom w:val="single" w:sz="8" w:color="0000FF"/>
            </w:tcBorders>
            <w:gridSpan w:val="12"/>
            <w:shd w:val="clear" w:color="auto" w:fill="FEFEFE"/>
          </w:tcPr>
          <w:p>
            <w:pPr>
              <w:spacing w:after="0" w:line="181" w:lineRule="exact"/>
              <w:rPr>
                <w:rFonts w:ascii="Arial" w:cs="Arial" w:eastAsia="Arial" w:hAnsi="Arial"/>
                <w:sz w:val="16"/>
                <w:szCs w:val="16"/>
                <w:color w:val="0000FF"/>
                <w:w w:val="90"/>
              </w:rPr>
            </w:pPr>
            <w:hyperlink r:id="rId188">
              <w:r>
                <w:rPr>
                  <w:rFonts w:ascii="Arial" w:cs="Arial" w:eastAsia="Arial" w:hAnsi="Arial"/>
                  <w:sz w:val="16"/>
                  <w:szCs w:val="16"/>
                  <w:color w:val="0000FF"/>
                  <w:w w:val="90"/>
                </w:rPr>
                <w:t>Class A Common Stock Purchase Warrant Dated as of March 20, 2020 issued by Virtu Financial, Inc. in favor of TJMT Holdings LLC</w:t>
              </w:r>
            </w:hyperlink>
          </w:p>
        </w:tc>
        <w:tc>
          <w:tcPr>
            <w:tcW w:w="820" w:type="dxa"/>
            <w:vAlign w:val="bottom"/>
            <w:tcBorders>
              <w:bottom w:val="single" w:sz="8" w:color="FEFEFE"/>
              <w:right w:val="single" w:sz="8" w:color="FEFEFE"/>
            </w:tcBorders>
            <w:gridSpan w:val="22"/>
            <w:shd w:val="clear" w:color="auto" w:fill="FEFEF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Borders>
              <w:bottom w:val="single" w:sz="8" w:color="FEFEFE"/>
            </w:tcBorders>
            <w:shd w:val="clear" w:color="auto" w:fill="FEFEFE"/>
          </w:tcPr>
          <w:p>
            <w:pPr>
              <w:spacing w:after="0"/>
              <w:rPr>
                <w:sz w:val="11"/>
                <w:szCs w:val="11"/>
                <w:color w:val="auto"/>
              </w:rPr>
            </w:pPr>
          </w:p>
        </w:tc>
        <w:tc>
          <w:tcPr>
            <w:tcW w:w="9060" w:type="dxa"/>
            <w:vAlign w:val="bottom"/>
            <w:tcBorders>
              <w:bottom w:val="single" w:sz="8" w:color="0000FF"/>
            </w:tcBorders>
            <w:gridSpan w:val="21"/>
            <w:shd w:val="clear" w:color="auto" w:fill="FEFEFE"/>
          </w:tcPr>
          <w:p>
            <w:pPr>
              <w:spacing w:after="0" w:line="134" w:lineRule="exact"/>
              <w:rPr>
                <w:rFonts w:ascii="Arial" w:cs="Arial" w:eastAsia="Arial" w:hAnsi="Arial"/>
                <w:sz w:val="15"/>
                <w:szCs w:val="15"/>
                <w:color w:val="0000FF"/>
                <w:w w:val="97"/>
              </w:rPr>
            </w:pPr>
            <w:hyperlink r:id="rId188">
              <w:r>
                <w:rPr>
                  <w:rFonts w:ascii="Arial" w:cs="Arial" w:eastAsia="Arial" w:hAnsi="Arial"/>
                  <w:sz w:val="15"/>
                  <w:szCs w:val="15"/>
                  <w:color w:val="0000FF"/>
                  <w:w w:val="97"/>
                </w:rPr>
                <w:t>(incorporated herein by reference to Exhibit 99.20 to the Form 13D/A (File No. 005-89306) filed by TJMT Holdings LLC on March 23, 2020).</w:t>
              </w:r>
            </w:hyperlink>
          </w:p>
        </w:tc>
        <w:tc>
          <w:tcPr>
            <w:tcW w:w="280" w:type="dxa"/>
            <w:vAlign w:val="bottom"/>
            <w:tcBorders>
              <w:bottom w:val="single" w:sz="8" w:color="FEFEFE"/>
              <w:right w:val="single" w:sz="8" w:color="FEFEFE"/>
            </w:tcBorders>
            <w:gridSpan w:val="13"/>
            <w:shd w:val="clear" w:color="auto" w:fill="FEFEF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1120" w:type="dxa"/>
            <w:vAlign w:val="bottom"/>
          </w:tcPr>
          <w:p>
            <w:pPr>
              <w:ind w:left="20"/>
              <w:spacing w:after="0" w:line="181" w:lineRule="exact"/>
              <w:rPr>
                <w:sz w:val="20"/>
                <w:szCs w:val="20"/>
                <w:color w:val="auto"/>
              </w:rPr>
            </w:pPr>
            <w:r>
              <w:rPr>
                <w:rFonts w:ascii="Arial" w:cs="Arial" w:eastAsia="Arial" w:hAnsi="Arial"/>
                <w:sz w:val="16"/>
                <w:szCs w:val="16"/>
                <w:color w:val="auto"/>
              </w:rPr>
              <w:t>10.14</w:t>
            </w:r>
          </w:p>
        </w:tc>
        <w:tc>
          <w:tcPr>
            <w:tcW w:w="320" w:type="dxa"/>
            <w:vAlign w:val="bottom"/>
          </w:tcPr>
          <w:p>
            <w:pPr>
              <w:spacing w:after="0"/>
              <w:rPr>
                <w:sz w:val="15"/>
                <w:szCs w:val="15"/>
                <w:color w:val="auto"/>
              </w:rPr>
            </w:pPr>
          </w:p>
        </w:tc>
        <w:tc>
          <w:tcPr>
            <w:tcW w:w="540" w:type="dxa"/>
            <w:vAlign w:val="bottom"/>
            <w:shd w:val="clear" w:color="auto" w:fill="FEFEFE"/>
          </w:tcPr>
          <w:p>
            <w:pPr>
              <w:spacing w:after="0"/>
              <w:rPr>
                <w:sz w:val="15"/>
                <w:szCs w:val="15"/>
                <w:color w:val="auto"/>
              </w:rPr>
            </w:pPr>
          </w:p>
        </w:tc>
        <w:tc>
          <w:tcPr>
            <w:tcW w:w="9340" w:type="dxa"/>
            <w:vAlign w:val="bottom"/>
            <w:tcBorders>
              <w:right w:val="single" w:sz="8" w:color="FEFEFE"/>
            </w:tcBorders>
            <w:gridSpan w:val="34"/>
            <w:shd w:val="clear" w:color="auto" w:fill="FEFEFE"/>
          </w:tcPr>
          <w:p>
            <w:pPr>
              <w:spacing w:after="0" w:line="181" w:lineRule="exact"/>
              <w:rPr>
                <w:rFonts w:ascii="Arial" w:cs="Arial" w:eastAsia="Arial" w:hAnsi="Arial"/>
                <w:sz w:val="16"/>
                <w:szCs w:val="16"/>
                <w:color w:val="0000FF"/>
                <w:w w:val="90"/>
              </w:rPr>
            </w:pPr>
            <w:hyperlink r:id="rId189">
              <w:r>
                <w:rPr>
                  <w:rFonts w:ascii="Arial" w:cs="Arial" w:eastAsia="Arial" w:hAnsi="Arial"/>
                  <w:sz w:val="16"/>
                  <w:szCs w:val="16"/>
                  <w:color w:val="0000FF"/>
                  <w:w w:val="90"/>
                </w:rPr>
                <w:t>Stockholders Agreement, dated as of April 15, 2015, by and among Virtu Financial, Inc. and the stockholders named therein (incorporated herein</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Borders>
              <w:top w:val="single" w:sz="8" w:color="FEFEFE"/>
            </w:tcBorders>
            <w:shd w:val="clear" w:color="auto" w:fill="FEFEFE"/>
          </w:tcPr>
          <w:p>
            <w:pPr>
              <w:spacing w:after="0"/>
              <w:rPr>
                <w:sz w:val="11"/>
                <w:szCs w:val="11"/>
                <w:color w:val="auto"/>
              </w:rPr>
            </w:pPr>
          </w:p>
        </w:tc>
        <w:tc>
          <w:tcPr>
            <w:tcW w:w="9220" w:type="dxa"/>
            <w:vAlign w:val="bottom"/>
            <w:tcBorders>
              <w:top w:val="single" w:sz="8" w:color="0000FF"/>
            </w:tcBorders>
            <w:gridSpan w:val="29"/>
            <w:shd w:val="clear" w:color="auto" w:fill="FEFEFE"/>
          </w:tcPr>
          <w:p>
            <w:pPr>
              <w:spacing w:after="0" w:line="134" w:lineRule="exact"/>
              <w:rPr>
                <w:rFonts w:ascii="Arial" w:cs="Arial" w:eastAsia="Arial" w:hAnsi="Arial"/>
                <w:sz w:val="15"/>
                <w:szCs w:val="15"/>
                <w:color w:val="0000FF"/>
              </w:rPr>
            </w:pPr>
            <w:hyperlink r:id="rId189">
              <w:r>
                <w:rPr>
                  <w:rFonts w:ascii="Arial" w:cs="Arial" w:eastAsia="Arial" w:hAnsi="Arial"/>
                  <w:sz w:val="15"/>
                  <w:szCs w:val="15"/>
                  <w:color w:val="0000FF"/>
                </w:rPr>
                <w:t>by reference to Exhibit 10.2 to the Company’s Quarterly Report on Form 10-Q, as amended (File No. 001-37352) filed on May 29, 2015).</w:t>
              </w:r>
            </w:hyperlink>
          </w:p>
        </w:tc>
        <w:tc>
          <w:tcPr>
            <w:tcW w:w="40" w:type="dxa"/>
            <w:vAlign w:val="bottom"/>
            <w:tcBorders>
              <w:top w:val="single" w:sz="8" w:color="FEFEFE"/>
            </w:tcBorders>
            <w:gridSpan w:val="2"/>
            <w:shd w:val="clear" w:color="auto" w:fill="FEFEFE"/>
          </w:tcPr>
          <w:p>
            <w:pPr>
              <w:spacing w:after="0"/>
              <w:rPr>
                <w:sz w:val="11"/>
                <w:szCs w:val="11"/>
                <w:color w:val="auto"/>
              </w:rPr>
            </w:pPr>
          </w:p>
        </w:tc>
        <w:tc>
          <w:tcPr>
            <w:tcW w:w="20" w:type="dxa"/>
            <w:vAlign w:val="bottom"/>
            <w:tcBorders>
              <w:top w:val="single" w:sz="8" w:color="FEFEFE"/>
            </w:tcBorders>
            <w:shd w:val="clear" w:color="auto" w:fill="FEFEFE"/>
          </w:tcPr>
          <w:p>
            <w:pPr>
              <w:spacing w:after="0"/>
              <w:rPr>
                <w:sz w:val="11"/>
                <w:szCs w:val="11"/>
                <w:color w:val="auto"/>
              </w:rPr>
            </w:pPr>
          </w:p>
        </w:tc>
        <w:tc>
          <w:tcPr>
            <w:tcW w:w="20" w:type="dxa"/>
            <w:vAlign w:val="bottom"/>
            <w:tcBorders>
              <w:top w:val="single" w:sz="8" w:color="FEFEFE"/>
            </w:tcBorders>
            <w:shd w:val="clear" w:color="auto" w:fill="FEFEFE"/>
          </w:tcPr>
          <w:p>
            <w:pPr>
              <w:spacing w:after="0"/>
              <w:rPr>
                <w:sz w:val="11"/>
                <w:szCs w:val="11"/>
                <w:color w:val="auto"/>
              </w:rPr>
            </w:pPr>
          </w:p>
        </w:tc>
        <w:tc>
          <w:tcPr>
            <w:tcW w:w="40" w:type="dxa"/>
            <w:vAlign w:val="bottom"/>
            <w:tcBorders>
              <w:top w:val="single" w:sz="8" w:color="FEFEFE"/>
              <w:right w:val="single" w:sz="8" w:color="FEFEFE"/>
            </w:tcBorders>
            <w:shd w:val="clear" w:color="auto" w:fill="FEFEF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1120" w:type="dxa"/>
            <w:vAlign w:val="bottom"/>
            <w:vMerge w:val="restart"/>
          </w:tcPr>
          <w:p>
            <w:pPr>
              <w:ind w:left="20"/>
              <w:spacing w:after="0"/>
              <w:rPr>
                <w:sz w:val="20"/>
                <w:szCs w:val="20"/>
                <w:color w:val="auto"/>
              </w:rPr>
            </w:pPr>
            <w:r>
              <w:rPr>
                <w:rFonts w:ascii="Arial" w:cs="Arial" w:eastAsia="Arial" w:hAnsi="Arial"/>
                <w:sz w:val="16"/>
                <w:szCs w:val="16"/>
                <w:color w:val="auto"/>
              </w:rPr>
              <w:t>10.15</w:t>
            </w:r>
          </w:p>
        </w:tc>
        <w:tc>
          <w:tcPr>
            <w:tcW w:w="320" w:type="dxa"/>
            <w:vAlign w:val="bottom"/>
          </w:tcPr>
          <w:p>
            <w:pPr>
              <w:spacing w:after="0"/>
              <w:rPr>
                <w:sz w:val="3"/>
                <w:szCs w:val="3"/>
                <w:color w:val="auto"/>
              </w:rPr>
            </w:pPr>
          </w:p>
        </w:tc>
        <w:tc>
          <w:tcPr>
            <w:tcW w:w="540" w:type="dxa"/>
            <w:vAlign w:val="bottom"/>
            <w:shd w:val="clear" w:color="auto" w:fill="FEFEFE"/>
          </w:tcPr>
          <w:p>
            <w:pPr>
              <w:spacing w:after="0"/>
              <w:rPr>
                <w:sz w:val="3"/>
                <w:szCs w:val="3"/>
                <w:color w:val="auto"/>
              </w:rPr>
            </w:pPr>
          </w:p>
        </w:tc>
        <w:tc>
          <w:tcPr>
            <w:tcW w:w="980" w:type="dxa"/>
            <w:vAlign w:val="bottom"/>
            <w:shd w:val="clear" w:color="auto" w:fill="0000FF"/>
          </w:tcPr>
          <w:p>
            <w:pPr>
              <w:spacing w:after="0"/>
              <w:rPr>
                <w:sz w:val="3"/>
                <w:szCs w:val="3"/>
                <w:color w:val="auto"/>
              </w:rPr>
            </w:pPr>
          </w:p>
        </w:tc>
        <w:tc>
          <w:tcPr>
            <w:tcW w:w="660" w:type="dxa"/>
            <w:vAlign w:val="bottom"/>
            <w:shd w:val="clear" w:color="auto" w:fill="0000FF"/>
          </w:tcPr>
          <w:p>
            <w:pPr>
              <w:spacing w:after="0"/>
              <w:rPr>
                <w:sz w:val="3"/>
                <w:szCs w:val="3"/>
                <w:color w:val="auto"/>
              </w:rPr>
            </w:pPr>
          </w:p>
        </w:tc>
        <w:tc>
          <w:tcPr>
            <w:tcW w:w="1980" w:type="dxa"/>
            <w:vAlign w:val="bottom"/>
            <w:shd w:val="clear" w:color="auto" w:fill="0000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860" w:type="dxa"/>
            <w:vAlign w:val="bottom"/>
            <w:shd w:val="clear" w:color="auto" w:fill="0000FF"/>
          </w:tcPr>
          <w:p>
            <w:pPr>
              <w:spacing w:after="0"/>
              <w:rPr>
                <w:sz w:val="3"/>
                <w:szCs w:val="3"/>
                <w:color w:val="auto"/>
              </w:rPr>
            </w:pPr>
          </w:p>
        </w:tc>
        <w:tc>
          <w:tcPr>
            <w:tcW w:w="820" w:type="dxa"/>
            <w:vAlign w:val="bottom"/>
            <w:shd w:val="clear" w:color="auto" w:fill="0000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12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20" w:type="dxa"/>
            <w:vAlign w:val="bottom"/>
            <w:tcBorders>
              <w:right w:val="single" w:sz="8" w:color="0000FF"/>
            </w:tcBorders>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20" w:type="dxa"/>
            <w:vAlign w:val="bottom"/>
            <w:tcBorders>
              <w:right w:val="single" w:sz="8" w:color="0000FF"/>
            </w:tcBorders>
            <w:shd w:val="clear" w:color="auto" w:fill="0000FF"/>
          </w:tcPr>
          <w:p>
            <w:pPr>
              <w:spacing w:after="0"/>
              <w:rPr>
                <w:sz w:val="3"/>
                <w:szCs w:val="3"/>
                <w:color w:val="auto"/>
              </w:rPr>
            </w:pPr>
          </w:p>
        </w:tc>
        <w:tc>
          <w:tcPr>
            <w:tcW w:w="160" w:type="dxa"/>
            <w:vAlign w:val="bottom"/>
            <w:shd w:val="clear" w:color="auto" w:fill="FEFEFE"/>
          </w:tcPr>
          <w:p>
            <w:pPr>
              <w:spacing w:after="0"/>
              <w:rPr>
                <w:sz w:val="3"/>
                <w:szCs w:val="3"/>
                <w:color w:val="auto"/>
              </w:rPr>
            </w:pPr>
          </w:p>
        </w:tc>
        <w:tc>
          <w:tcPr>
            <w:tcW w:w="40" w:type="dxa"/>
            <w:vAlign w:val="bottom"/>
            <w:shd w:val="clear" w:color="auto" w:fill="FEFEFE"/>
          </w:tcPr>
          <w:p>
            <w:pPr>
              <w:spacing w:after="0"/>
              <w:rPr>
                <w:sz w:val="3"/>
                <w:szCs w:val="3"/>
                <w:color w:val="auto"/>
              </w:rPr>
            </w:pPr>
          </w:p>
        </w:tc>
        <w:tc>
          <w:tcPr>
            <w:tcW w:w="20" w:type="dxa"/>
            <w:vAlign w:val="bottom"/>
            <w:shd w:val="clear" w:color="auto" w:fill="FEFEFE"/>
          </w:tcPr>
          <w:p>
            <w:pPr>
              <w:spacing w:after="0"/>
              <w:rPr>
                <w:sz w:val="3"/>
                <w:szCs w:val="3"/>
                <w:color w:val="auto"/>
              </w:rPr>
            </w:pPr>
          </w:p>
        </w:tc>
        <w:tc>
          <w:tcPr>
            <w:tcW w:w="20" w:type="dxa"/>
            <w:vAlign w:val="bottom"/>
            <w:shd w:val="clear" w:color="auto" w:fill="FEFEFE"/>
          </w:tcPr>
          <w:p>
            <w:pPr>
              <w:spacing w:after="0"/>
              <w:rPr>
                <w:sz w:val="3"/>
                <w:szCs w:val="3"/>
                <w:color w:val="auto"/>
              </w:rPr>
            </w:pPr>
          </w:p>
        </w:tc>
        <w:tc>
          <w:tcPr>
            <w:tcW w:w="20" w:type="dxa"/>
            <w:vAlign w:val="bottom"/>
            <w:shd w:val="clear" w:color="auto" w:fill="FEFEFE"/>
          </w:tcPr>
          <w:p>
            <w:pPr>
              <w:spacing w:after="0"/>
              <w:rPr>
                <w:sz w:val="3"/>
                <w:szCs w:val="3"/>
                <w:color w:val="auto"/>
              </w:rPr>
            </w:pPr>
          </w:p>
        </w:tc>
        <w:tc>
          <w:tcPr>
            <w:tcW w:w="20" w:type="dxa"/>
            <w:vAlign w:val="bottom"/>
            <w:shd w:val="clear" w:color="auto" w:fill="FEFEFE"/>
          </w:tcPr>
          <w:p>
            <w:pPr>
              <w:spacing w:after="0"/>
              <w:rPr>
                <w:sz w:val="3"/>
                <w:szCs w:val="3"/>
                <w:color w:val="auto"/>
              </w:rPr>
            </w:pPr>
          </w:p>
        </w:tc>
        <w:tc>
          <w:tcPr>
            <w:tcW w:w="20" w:type="dxa"/>
            <w:vAlign w:val="bottom"/>
            <w:shd w:val="clear" w:color="auto" w:fill="FEFEFE"/>
          </w:tcPr>
          <w:p>
            <w:pPr>
              <w:spacing w:after="0"/>
              <w:rPr>
                <w:sz w:val="3"/>
                <w:szCs w:val="3"/>
                <w:color w:val="auto"/>
              </w:rPr>
            </w:pPr>
          </w:p>
        </w:tc>
        <w:tc>
          <w:tcPr>
            <w:tcW w:w="20" w:type="dxa"/>
            <w:vAlign w:val="bottom"/>
            <w:shd w:val="clear" w:color="auto" w:fill="FEFEFE"/>
          </w:tcPr>
          <w:p>
            <w:pPr>
              <w:spacing w:after="0"/>
              <w:rPr>
                <w:sz w:val="3"/>
                <w:szCs w:val="3"/>
                <w:color w:val="auto"/>
              </w:rPr>
            </w:pPr>
          </w:p>
        </w:tc>
        <w:tc>
          <w:tcPr>
            <w:tcW w:w="20" w:type="dxa"/>
            <w:vAlign w:val="bottom"/>
            <w:shd w:val="clear" w:color="auto" w:fill="FEFEFE"/>
          </w:tcPr>
          <w:p>
            <w:pPr>
              <w:spacing w:after="0"/>
              <w:rPr>
                <w:sz w:val="3"/>
                <w:szCs w:val="3"/>
                <w:color w:val="auto"/>
              </w:rPr>
            </w:pPr>
          </w:p>
        </w:tc>
        <w:tc>
          <w:tcPr>
            <w:tcW w:w="20" w:type="dxa"/>
            <w:vAlign w:val="bottom"/>
            <w:shd w:val="clear" w:color="auto" w:fill="FEFEFE"/>
          </w:tcPr>
          <w:p>
            <w:pPr>
              <w:spacing w:after="0"/>
              <w:rPr>
                <w:sz w:val="3"/>
                <w:szCs w:val="3"/>
                <w:color w:val="auto"/>
              </w:rPr>
            </w:pPr>
          </w:p>
        </w:tc>
        <w:tc>
          <w:tcPr>
            <w:tcW w:w="20" w:type="dxa"/>
            <w:vAlign w:val="bottom"/>
            <w:shd w:val="clear" w:color="auto" w:fill="FEFEFE"/>
          </w:tcPr>
          <w:p>
            <w:pPr>
              <w:spacing w:after="0"/>
              <w:rPr>
                <w:sz w:val="3"/>
                <w:szCs w:val="3"/>
                <w:color w:val="auto"/>
              </w:rPr>
            </w:pPr>
          </w:p>
        </w:tc>
        <w:tc>
          <w:tcPr>
            <w:tcW w:w="20" w:type="dxa"/>
            <w:vAlign w:val="bottom"/>
            <w:shd w:val="clear" w:color="auto" w:fill="FEFEFE"/>
          </w:tcPr>
          <w:p>
            <w:pPr>
              <w:spacing w:after="0"/>
              <w:rPr>
                <w:sz w:val="3"/>
                <w:szCs w:val="3"/>
                <w:color w:val="auto"/>
              </w:rPr>
            </w:pPr>
          </w:p>
        </w:tc>
        <w:tc>
          <w:tcPr>
            <w:tcW w:w="20" w:type="dxa"/>
            <w:vAlign w:val="bottom"/>
            <w:shd w:val="clear" w:color="auto" w:fill="FEFEFE"/>
          </w:tcPr>
          <w:p>
            <w:pPr>
              <w:spacing w:after="0"/>
              <w:rPr>
                <w:sz w:val="3"/>
                <w:szCs w:val="3"/>
                <w:color w:val="auto"/>
              </w:rPr>
            </w:pPr>
          </w:p>
        </w:tc>
        <w:tc>
          <w:tcPr>
            <w:tcW w:w="20" w:type="dxa"/>
            <w:vAlign w:val="bottom"/>
            <w:shd w:val="clear" w:color="auto" w:fill="FEFEFE"/>
          </w:tcPr>
          <w:p>
            <w:pPr>
              <w:spacing w:after="0"/>
              <w:rPr>
                <w:sz w:val="3"/>
                <w:szCs w:val="3"/>
                <w:color w:val="auto"/>
              </w:rPr>
            </w:pPr>
          </w:p>
        </w:tc>
        <w:tc>
          <w:tcPr>
            <w:tcW w:w="20" w:type="dxa"/>
            <w:vAlign w:val="bottom"/>
            <w:shd w:val="clear" w:color="auto" w:fill="FEFEFE"/>
          </w:tcPr>
          <w:p>
            <w:pPr>
              <w:spacing w:after="0"/>
              <w:rPr>
                <w:sz w:val="3"/>
                <w:szCs w:val="3"/>
                <w:color w:val="auto"/>
              </w:rPr>
            </w:pPr>
          </w:p>
        </w:tc>
        <w:tc>
          <w:tcPr>
            <w:tcW w:w="20" w:type="dxa"/>
            <w:vAlign w:val="bottom"/>
            <w:shd w:val="clear" w:color="auto" w:fill="FEFEFE"/>
          </w:tcPr>
          <w:p>
            <w:pPr>
              <w:spacing w:after="0"/>
              <w:rPr>
                <w:sz w:val="3"/>
                <w:szCs w:val="3"/>
                <w:color w:val="auto"/>
              </w:rPr>
            </w:pPr>
          </w:p>
        </w:tc>
        <w:tc>
          <w:tcPr>
            <w:tcW w:w="20" w:type="dxa"/>
            <w:vAlign w:val="bottom"/>
            <w:shd w:val="clear" w:color="auto" w:fill="FEFEFE"/>
          </w:tcPr>
          <w:p>
            <w:pPr>
              <w:spacing w:after="0"/>
              <w:rPr>
                <w:sz w:val="3"/>
                <w:szCs w:val="3"/>
                <w:color w:val="auto"/>
              </w:rPr>
            </w:pPr>
          </w:p>
        </w:tc>
        <w:tc>
          <w:tcPr>
            <w:tcW w:w="20" w:type="dxa"/>
            <w:vAlign w:val="bottom"/>
            <w:shd w:val="clear" w:color="auto" w:fill="FEFEFE"/>
          </w:tcPr>
          <w:p>
            <w:pPr>
              <w:spacing w:after="0"/>
              <w:rPr>
                <w:sz w:val="3"/>
                <w:szCs w:val="3"/>
                <w:color w:val="auto"/>
              </w:rPr>
            </w:pPr>
          </w:p>
        </w:tc>
        <w:tc>
          <w:tcPr>
            <w:tcW w:w="20" w:type="dxa"/>
            <w:vAlign w:val="bottom"/>
            <w:shd w:val="clear" w:color="auto" w:fill="FEFEFE"/>
          </w:tcPr>
          <w:p>
            <w:pPr>
              <w:spacing w:after="0"/>
              <w:rPr>
                <w:sz w:val="3"/>
                <w:szCs w:val="3"/>
                <w:color w:val="auto"/>
              </w:rPr>
            </w:pPr>
          </w:p>
        </w:tc>
        <w:tc>
          <w:tcPr>
            <w:tcW w:w="40" w:type="dxa"/>
            <w:vAlign w:val="bottom"/>
            <w:tcBorders>
              <w:right w:val="single" w:sz="8" w:color="FEFEFE"/>
            </w:tcBorders>
            <w:shd w:val="clear" w:color="auto" w:fill="FEFEF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11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shd w:val="clear" w:color="auto" w:fill="FEFEFE"/>
          </w:tcPr>
          <w:p>
            <w:pPr>
              <w:spacing w:after="0"/>
              <w:rPr>
                <w:sz w:val="14"/>
                <w:szCs w:val="14"/>
                <w:color w:val="auto"/>
              </w:rPr>
            </w:pPr>
          </w:p>
        </w:tc>
        <w:tc>
          <w:tcPr>
            <w:tcW w:w="9340" w:type="dxa"/>
            <w:vAlign w:val="bottom"/>
            <w:gridSpan w:val="34"/>
          </w:tcPr>
          <w:p>
            <w:pPr>
              <w:spacing w:after="0" w:line="166" w:lineRule="exact"/>
              <w:rPr>
                <w:rFonts w:ascii="Arial" w:cs="Arial" w:eastAsia="Arial" w:hAnsi="Arial"/>
                <w:sz w:val="16"/>
                <w:szCs w:val="16"/>
                <w:color w:val="0000FF"/>
                <w:w w:val="91"/>
              </w:rPr>
            </w:pPr>
            <w:hyperlink r:id="rId190">
              <w:r>
                <w:rPr>
                  <w:rFonts w:ascii="Arial" w:cs="Arial" w:eastAsia="Arial" w:hAnsi="Arial"/>
                  <w:sz w:val="16"/>
                  <w:szCs w:val="16"/>
                  <w:color w:val="0000FF"/>
                  <w:w w:val="91"/>
                </w:rPr>
                <w:t>Exchange Agreement, dated as of April 15, 2015, by and among Virtu Financial LLC, Virtu Financial, Inc. and the holders of Common Units and</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Borders>
              <w:top w:val="single" w:sz="8" w:color="FEFEFE"/>
            </w:tcBorders>
            <w:shd w:val="clear" w:color="auto" w:fill="FEFEFE"/>
          </w:tcPr>
          <w:p>
            <w:pPr>
              <w:spacing w:after="0"/>
              <w:rPr>
                <w:sz w:val="11"/>
                <w:szCs w:val="11"/>
                <w:color w:val="auto"/>
              </w:rPr>
            </w:pPr>
          </w:p>
        </w:tc>
        <w:tc>
          <w:tcPr>
            <w:tcW w:w="9300" w:type="dxa"/>
            <w:vAlign w:val="bottom"/>
            <w:tcBorders>
              <w:top w:val="single" w:sz="8" w:color="0000FF"/>
            </w:tcBorders>
            <w:gridSpan w:val="33"/>
          </w:tcPr>
          <w:p>
            <w:pPr>
              <w:spacing w:after="0" w:line="134" w:lineRule="exact"/>
              <w:rPr>
                <w:rFonts w:ascii="Arial" w:cs="Arial" w:eastAsia="Arial" w:hAnsi="Arial"/>
                <w:sz w:val="15"/>
                <w:szCs w:val="15"/>
                <w:color w:val="0000FF"/>
                <w:w w:val="98"/>
              </w:rPr>
            </w:pPr>
            <w:hyperlink r:id="rId190">
              <w:r>
                <w:rPr>
                  <w:rFonts w:ascii="Arial" w:cs="Arial" w:eastAsia="Arial" w:hAnsi="Arial"/>
                  <w:sz w:val="15"/>
                  <w:szCs w:val="15"/>
                  <w:color w:val="0000FF"/>
                  <w:w w:val="98"/>
                </w:rPr>
                <w:t>shares of Class C Common Stock or Class D Common Stock (as each defined therein) (incorporated herein by reference to Exhibit 10.3 to the</w:t>
              </w:r>
            </w:hyperlink>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Borders>
              <w:top w:val="single" w:sz="8" w:color="FEFEFE"/>
            </w:tcBorders>
            <w:shd w:val="clear" w:color="auto" w:fill="FEFEFE"/>
          </w:tcPr>
          <w:p>
            <w:pPr>
              <w:spacing w:after="0"/>
              <w:rPr>
                <w:sz w:val="11"/>
                <w:szCs w:val="11"/>
                <w:color w:val="auto"/>
              </w:rPr>
            </w:pPr>
          </w:p>
        </w:tc>
        <w:tc>
          <w:tcPr>
            <w:tcW w:w="8980" w:type="dxa"/>
            <w:vAlign w:val="bottom"/>
            <w:tcBorders>
              <w:top w:val="single" w:sz="8" w:color="0000FF"/>
            </w:tcBorders>
            <w:gridSpan w:val="17"/>
          </w:tcPr>
          <w:p>
            <w:pPr>
              <w:spacing w:after="0" w:line="134" w:lineRule="exact"/>
              <w:rPr>
                <w:rFonts w:ascii="Arial" w:cs="Arial" w:eastAsia="Arial" w:hAnsi="Arial"/>
                <w:sz w:val="15"/>
                <w:szCs w:val="15"/>
                <w:color w:val="0000FF"/>
              </w:rPr>
            </w:pPr>
            <w:hyperlink r:id="rId190">
              <w:r>
                <w:rPr>
                  <w:rFonts w:ascii="Arial" w:cs="Arial" w:eastAsia="Arial" w:hAnsi="Arial"/>
                  <w:sz w:val="15"/>
                  <w:szCs w:val="15"/>
                  <w:color w:val="0000FF"/>
                </w:rPr>
                <w:t>Company’s Quarterly Report on Form 10-Q, as amended (File No. 001-37352) filed on May 29, 2015).</w:t>
              </w:r>
            </w:hyperlink>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8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FEFEFE"/>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100" w:type="dxa"/>
            <w:vAlign w:val="bottom"/>
            <w:gridSpan w:val="3"/>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120" w:type="dxa"/>
            <w:vAlign w:val="bottom"/>
          </w:tcPr>
          <w:p>
            <w:pPr>
              <w:ind w:left="20"/>
              <w:spacing w:after="0" w:line="181" w:lineRule="exact"/>
              <w:rPr>
                <w:sz w:val="20"/>
                <w:szCs w:val="20"/>
                <w:color w:val="auto"/>
              </w:rPr>
            </w:pPr>
            <w:r>
              <w:rPr>
                <w:rFonts w:ascii="Arial" w:cs="Arial" w:eastAsia="Arial" w:hAnsi="Arial"/>
                <w:sz w:val="16"/>
                <w:szCs w:val="16"/>
                <w:color w:val="auto"/>
              </w:rPr>
              <w:t>10.16</w:t>
            </w:r>
          </w:p>
        </w:tc>
        <w:tc>
          <w:tcPr>
            <w:tcW w:w="320" w:type="dxa"/>
            <w:vAlign w:val="bottom"/>
          </w:tcPr>
          <w:p>
            <w:pPr>
              <w:spacing w:after="0"/>
              <w:rPr>
                <w:sz w:val="15"/>
                <w:szCs w:val="15"/>
                <w:color w:val="auto"/>
              </w:rPr>
            </w:pPr>
          </w:p>
        </w:tc>
        <w:tc>
          <w:tcPr>
            <w:tcW w:w="540" w:type="dxa"/>
            <w:vAlign w:val="bottom"/>
            <w:tcBorders>
              <w:bottom w:val="single" w:sz="8" w:color="FEFEFE"/>
            </w:tcBorders>
            <w:shd w:val="clear" w:color="auto" w:fill="FEFEFE"/>
          </w:tcPr>
          <w:p>
            <w:pPr>
              <w:spacing w:after="0"/>
              <w:rPr>
                <w:sz w:val="15"/>
                <w:szCs w:val="15"/>
                <w:color w:val="auto"/>
              </w:rPr>
            </w:pPr>
          </w:p>
        </w:tc>
        <w:tc>
          <w:tcPr>
            <w:tcW w:w="9020" w:type="dxa"/>
            <w:vAlign w:val="bottom"/>
            <w:tcBorders>
              <w:bottom w:val="single" w:sz="8" w:color="0000FF"/>
            </w:tcBorders>
            <w:gridSpan w:val="19"/>
          </w:tcPr>
          <w:p>
            <w:pPr>
              <w:spacing w:after="0" w:line="181" w:lineRule="exact"/>
              <w:rPr>
                <w:rFonts w:ascii="Arial" w:cs="Arial" w:eastAsia="Arial" w:hAnsi="Arial"/>
                <w:sz w:val="16"/>
                <w:szCs w:val="16"/>
                <w:color w:val="0000FF"/>
                <w:w w:val="91"/>
              </w:rPr>
            </w:pPr>
            <w:hyperlink r:id="rId191">
              <w:r>
                <w:rPr>
                  <w:rFonts w:ascii="Arial" w:cs="Arial" w:eastAsia="Arial" w:hAnsi="Arial"/>
                  <w:sz w:val="16"/>
                  <w:szCs w:val="16"/>
                  <w:color w:val="0000FF"/>
                  <w:w w:val="91"/>
                </w:rPr>
                <w:t>Tax Receivable Agreement, dated as of April 15, 2015, by and among Virtu Financial, Inc., TJMT Holdings LLC, Virtu Employee Holdco, the</w:t>
              </w:r>
            </w:hyperlink>
          </w:p>
        </w:tc>
        <w:tc>
          <w:tcPr>
            <w:tcW w:w="340" w:type="dxa"/>
            <w:vAlign w:val="bottom"/>
            <w:gridSpan w:val="16"/>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shd w:val="clear" w:color="auto" w:fill="FEFEFE"/>
          </w:tcPr>
          <w:p>
            <w:pPr>
              <w:spacing w:after="0"/>
              <w:rPr>
                <w:sz w:val="11"/>
                <w:szCs w:val="11"/>
                <w:color w:val="auto"/>
              </w:rPr>
            </w:pPr>
          </w:p>
        </w:tc>
        <w:tc>
          <w:tcPr>
            <w:tcW w:w="9360" w:type="dxa"/>
            <w:vAlign w:val="bottom"/>
            <w:gridSpan w:val="35"/>
          </w:tcPr>
          <w:p>
            <w:pPr>
              <w:spacing w:after="0" w:line="134" w:lineRule="exact"/>
              <w:rPr>
                <w:rFonts w:ascii="Arial" w:cs="Arial" w:eastAsia="Arial" w:hAnsi="Arial"/>
                <w:sz w:val="15"/>
                <w:szCs w:val="15"/>
                <w:color w:val="0000FF"/>
                <w:w w:val="96"/>
              </w:rPr>
            </w:pPr>
            <w:hyperlink r:id="rId191">
              <w:r>
                <w:rPr>
                  <w:rFonts w:ascii="Arial" w:cs="Arial" w:eastAsia="Arial" w:hAnsi="Arial"/>
                  <w:sz w:val="15"/>
                  <w:szCs w:val="15"/>
                  <w:color w:val="0000FF"/>
                  <w:w w:val="96"/>
                </w:rPr>
                <w:t>Management Members and other pre-IPO investors (incorporated herein by reference to Exhibit 10.5 to the Company’s Quarterly Report on Form</w:t>
              </w:r>
            </w:hyperlink>
          </w:p>
        </w:tc>
        <w:tc>
          <w:tcPr>
            <w:tcW w:w="0" w:type="dxa"/>
            <w:vAlign w:val="bottom"/>
          </w:tcPr>
          <w:p>
            <w:pPr>
              <w:spacing w:after="0"/>
              <w:rPr>
                <w:sz w:val="1"/>
                <w:szCs w:val="1"/>
                <w:color w:val="auto"/>
              </w:rPr>
            </w:pPr>
          </w:p>
        </w:tc>
      </w:tr>
      <w:tr>
        <w:trPr>
          <w:trHeight w:val="134"/>
        </w:trPr>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Borders>
              <w:top w:val="single" w:sz="8" w:color="FEFEFE"/>
              <w:bottom w:val="single" w:sz="8" w:color="FEFEFE"/>
            </w:tcBorders>
            <w:shd w:val="clear" w:color="auto" w:fill="FEFEFE"/>
          </w:tcPr>
          <w:p>
            <w:pPr>
              <w:spacing w:after="0"/>
              <w:rPr>
                <w:sz w:val="11"/>
                <w:szCs w:val="11"/>
                <w:color w:val="auto"/>
              </w:rPr>
            </w:pPr>
          </w:p>
        </w:tc>
        <w:tc>
          <w:tcPr>
            <w:tcW w:w="4080" w:type="dxa"/>
            <w:vAlign w:val="bottom"/>
            <w:tcBorders>
              <w:top w:val="single" w:sz="8" w:color="0000FF"/>
              <w:bottom w:val="single" w:sz="8" w:color="0000FF"/>
            </w:tcBorders>
            <w:gridSpan w:val="4"/>
          </w:tcPr>
          <w:p>
            <w:pPr>
              <w:spacing w:after="0" w:line="134" w:lineRule="exact"/>
              <w:rPr>
                <w:rFonts w:ascii="Arial" w:cs="Arial" w:eastAsia="Arial" w:hAnsi="Arial"/>
                <w:sz w:val="15"/>
                <w:szCs w:val="15"/>
                <w:color w:val="0000FF"/>
                <w:w w:val="96"/>
              </w:rPr>
            </w:pPr>
            <w:hyperlink r:id="rId191">
              <w:r>
                <w:rPr>
                  <w:rFonts w:ascii="Arial" w:cs="Arial" w:eastAsia="Arial" w:hAnsi="Arial"/>
                  <w:sz w:val="15"/>
                  <w:szCs w:val="15"/>
                  <w:color w:val="0000FF"/>
                  <w:w w:val="96"/>
                </w:rPr>
                <w:t>10-Q, as amended (File No. 001-37352) filed on May 29, 2015).</w:t>
              </w:r>
            </w:hyperlink>
          </w:p>
        </w:tc>
        <w:tc>
          <w:tcPr>
            <w:tcW w:w="5260" w:type="dxa"/>
            <w:vAlign w:val="bottom"/>
            <w:tcBorders>
              <w:top w:val="single" w:sz="8" w:color="0000FF"/>
            </w:tcBorders>
            <w:gridSpan w:val="30"/>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1120" w:type="dxa"/>
            <w:vAlign w:val="bottom"/>
          </w:tcPr>
          <w:p>
            <w:pPr>
              <w:ind w:left="20"/>
              <w:spacing w:after="0" w:line="181" w:lineRule="exact"/>
              <w:rPr>
                <w:sz w:val="20"/>
                <w:szCs w:val="20"/>
                <w:color w:val="auto"/>
              </w:rPr>
            </w:pPr>
            <w:r>
              <w:rPr>
                <w:rFonts w:ascii="Arial" w:cs="Arial" w:eastAsia="Arial" w:hAnsi="Arial"/>
                <w:sz w:val="16"/>
                <w:szCs w:val="16"/>
                <w:color w:val="auto"/>
              </w:rPr>
              <w:t>10.17</w:t>
            </w:r>
          </w:p>
        </w:tc>
        <w:tc>
          <w:tcPr>
            <w:tcW w:w="320" w:type="dxa"/>
            <w:vAlign w:val="bottom"/>
          </w:tcPr>
          <w:p>
            <w:pPr>
              <w:spacing w:after="0"/>
              <w:rPr>
                <w:sz w:val="15"/>
                <w:szCs w:val="15"/>
                <w:color w:val="auto"/>
              </w:rPr>
            </w:pPr>
          </w:p>
        </w:tc>
        <w:tc>
          <w:tcPr>
            <w:tcW w:w="540" w:type="dxa"/>
            <w:vAlign w:val="bottom"/>
            <w:shd w:val="clear" w:color="auto" w:fill="FEFEFE"/>
          </w:tcPr>
          <w:p>
            <w:pPr>
              <w:spacing w:after="0"/>
              <w:rPr>
                <w:sz w:val="15"/>
                <w:szCs w:val="15"/>
                <w:color w:val="auto"/>
              </w:rPr>
            </w:pPr>
          </w:p>
        </w:tc>
        <w:tc>
          <w:tcPr>
            <w:tcW w:w="9360" w:type="dxa"/>
            <w:vAlign w:val="bottom"/>
            <w:gridSpan w:val="35"/>
          </w:tcPr>
          <w:p>
            <w:pPr>
              <w:spacing w:after="0" w:line="181" w:lineRule="exact"/>
              <w:rPr>
                <w:rFonts w:ascii="Arial" w:cs="Arial" w:eastAsia="Arial" w:hAnsi="Arial"/>
                <w:sz w:val="16"/>
                <w:szCs w:val="16"/>
                <w:color w:val="0000FF"/>
              </w:rPr>
            </w:pPr>
            <w:hyperlink r:id="rId192">
              <w:r>
                <w:rPr>
                  <w:rFonts w:ascii="Arial" w:cs="Arial" w:eastAsia="Arial" w:hAnsi="Arial"/>
                  <w:sz w:val="16"/>
                  <w:szCs w:val="16"/>
                  <w:color w:val="0000FF"/>
                </w:rPr>
                <w:t>Tax Receivable Agreement, dated as of April 15, 2015, by and between Virtu Financial, Inc. and the Investor Post-IPO Stockholders</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FEFEFE"/>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960" w:type="dxa"/>
            <w:vAlign w:val="bottom"/>
            <w:gridSpan w:val="4"/>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600" w:type="dxa"/>
            <w:vAlign w:val="bottom"/>
            <w:tcBorders>
              <w:right w:val="single" w:sz="8" w:color="0000FF"/>
            </w:tcBorders>
            <w:gridSpan w:val="5"/>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shd w:val="clear" w:color="auto" w:fill="FEFEFE"/>
          </w:tcPr>
          <w:p>
            <w:pPr>
              <w:spacing w:after="0"/>
              <w:rPr>
                <w:sz w:val="11"/>
                <w:szCs w:val="11"/>
                <w:color w:val="auto"/>
              </w:rPr>
            </w:pPr>
          </w:p>
        </w:tc>
        <w:tc>
          <w:tcPr>
            <w:tcW w:w="9360" w:type="dxa"/>
            <w:vAlign w:val="bottom"/>
            <w:gridSpan w:val="35"/>
          </w:tcPr>
          <w:p>
            <w:pPr>
              <w:spacing w:after="0" w:line="134" w:lineRule="exact"/>
              <w:rPr>
                <w:rFonts w:ascii="Arial" w:cs="Arial" w:eastAsia="Arial" w:hAnsi="Arial"/>
                <w:sz w:val="15"/>
                <w:szCs w:val="15"/>
                <w:color w:val="0000FF"/>
                <w:w w:val="99"/>
              </w:rPr>
            </w:pPr>
            <w:hyperlink r:id="rId192">
              <w:r>
                <w:rPr>
                  <w:rFonts w:ascii="Arial" w:cs="Arial" w:eastAsia="Arial" w:hAnsi="Arial"/>
                  <w:sz w:val="15"/>
                  <w:szCs w:val="15"/>
                  <w:color w:val="0000FF"/>
                  <w:w w:val="99"/>
                </w:rPr>
                <w:t>(incorporated herein by reference to Exhibit 10.6 to the Company’s Quarterly Report on Form 10-Q, as amended (File No. 001-37352) filed on</w:t>
              </w:r>
            </w:hyperlink>
          </w:p>
        </w:tc>
        <w:tc>
          <w:tcPr>
            <w:tcW w:w="0" w:type="dxa"/>
            <w:vAlign w:val="bottom"/>
          </w:tcPr>
          <w:p>
            <w:pPr>
              <w:spacing w:after="0"/>
              <w:rPr>
                <w:sz w:val="1"/>
                <w:szCs w:val="1"/>
                <w:color w:val="auto"/>
              </w:rPr>
            </w:pPr>
          </w:p>
        </w:tc>
      </w:tr>
      <w:tr>
        <w:trPr>
          <w:trHeight w:val="134"/>
        </w:trPr>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Borders>
              <w:top w:val="single" w:sz="8" w:color="FEFEFE"/>
            </w:tcBorders>
            <w:shd w:val="clear" w:color="auto" w:fill="FEFEFE"/>
          </w:tcPr>
          <w:p>
            <w:pPr>
              <w:spacing w:after="0"/>
              <w:rPr>
                <w:sz w:val="11"/>
                <w:szCs w:val="11"/>
                <w:color w:val="auto"/>
              </w:rPr>
            </w:pPr>
          </w:p>
        </w:tc>
        <w:tc>
          <w:tcPr>
            <w:tcW w:w="9040" w:type="dxa"/>
            <w:vAlign w:val="bottom"/>
            <w:tcBorders>
              <w:top w:val="single" w:sz="8" w:color="0000FF"/>
            </w:tcBorders>
            <w:gridSpan w:val="20"/>
          </w:tcPr>
          <w:p>
            <w:pPr>
              <w:spacing w:after="0" w:line="134" w:lineRule="exact"/>
              <w:rPr>
                <w:rFonts w:ascii="Arial" w:cs="Arial" w:eastAsia="Arial" w:hAnsi="Arial"/>
                <w:sz w:val="15"/>
                <w:szCs w:val="15"/>
                <w:color w:val="0000FF"/>
              </w:rPr>
            </w:pPr>
            <w:hyperlink r:id="rId192">
              <w:r>
                <w:rPr>
                  <w:rFonts w:ascii="Arial" w:cs="Arial" w:eastAsia="Arial" w:hAnsi="Arial"/>
                  <w:sz w:val="15"/>
                  <w:szCs w:val="15"/>
                  <w:color w:val="0000FF"/>
                </w:rPr>
                <w:t>May 29, 2015).</w:t>
              </w:r>
            </w:hyperlink>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8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FEFEFE"/>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96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120" w:type="dxa"/>
            <w:vAlign w:val="bottom"/>
          </w:tcPr>
          <w:p>
            <w:pPr>
              <w:ind w:left="20"/>
              <w:spacing w:after="0" w:line="181" w:lineRule="exact"/>
              <w:rPr>
                <w:sz w:val="20"/>
                <w:szCs w:val="20"/>
                <w:color w:val="auto"/>
              </w:rPr>
            </w:pPr>
            <w:r>
              <w:rPr>
                <w:rFonts w:ascii="Arial" w:cs="Arial" w:eastAsia="Arial" w:hAnsi="Arial"/>
                <w:sz w:val="16"/>
                <w:szCs w:val="16"/>
                <w:color w:val="auto"/>
              </w:rPr>
              <w:t>10.18</w:t>
            </w:r>
          </w:p>
        </w:tc>
        <w:tc>
          <w:tcPr>
            <w:tcW w:w="320" w:type="dxa"/>
            <w:vAlign w:val="bottom"/>
          </w:tcPr>
          <w:p>
            <w:pPr>
              <w:spacing w:after="0"/>
              <w:rPr>
                <w:sz w:val="15"/>
                <w:szCs w:val="15"/>
                <w:color w:val="auto"/>
              </w:rPr>
            </w:pPr>
          </w:p>
        </w:tc>
        <w:tc>
          <w:tcPr>
            <w:tcW w:w="540" w:type="dxa"/>
            <w:vAlign w:val="bottom"/>
            <w:tcBorders>
              <w:bottom w:val="single" w:sz="8" w:color="FEFEFE"/>
            </w:tcBorders>
            <w:shd w:val="clear" w:color="auto" w:fill="FEFEFE"/>
          </w:tcPr>
          <w:p>
            <w:pPr>
              <w:spacing w:after="0"/>
              <w:rPr>
                <w:sz w:val="15"/>
                <w:szCs w:val="15"/>
                <w:color w:val="auto"/>
              </w:rPr>
            </w:pPr>
          </w:p>
        </w:tc>
        <w:tc>
          <w:tcPr>
            <w:tcW w:w="9260" w:type="dxa"/>
            <w:vAlign w:val="bottom"/>
            <w:tcBorders>
              <w:bottom w:val="single" w:sz="8" w:color="0000FF"/>
            </w:tcBorders>
            <w:gridSpan w:val="31"/>
          </w:tcPr>
          <w:p>
            <w:pPr>
              <w:spacing w:after="0" w:line="181" w:lineRule="exact"/>
              <w:rPr>
                <w:rFonts w:ascii="Arial" w:cs="Arial" w:eastAsia="Arial" w:hAnsi="Arial"/>
                <w:sz w:val="16"/>
                <w:szCs w:val="16"/>
                <w:color w:val="0000FF"/>
                <w:w w:val="90"/>
              </w:rPr>
            </w:pPr>
            <w:hyperlink r:id="rId193">
              <w:r>
                <w:rPr>
                  <w:rFonts w:ascii="Arial" w:cs="Arial" w:eastAsia="Arial" w:hAnsi="Arial"/>
                  <w:sz w:val="16"/>
                  <w:szCs w:val="16"/>
                  <w:color w:val="0000FF"/>
                  <w:w w:val="90"/>
                </w:rPr>
                <w:t>Tax Receivable Agreement, dated as of April 15, 2015, by and among Virtu Financial, Inc. and the Silver Lake Post-IPO Members (incorporated</w:t>
              </w:r>
            </w:hyperlink>
          </w:p>
        </w:tc>
        <w:tc>
          <w:tcPr>
            <w:tcW w:w="10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Borders>
              <w:bottom w:val="single" w:sz="8" w:color="FEFEFE"/>
            </w:tcBorders>
            <w:shd w:val="clear" w:color="auto" w:fill="FEFEFE"/>
          </w:tcPr>
          <w:p>
            <w:pPr>
              <w:spacing w:after="0"/>
              <w:rPr>
                <w:sz w:val="11"/>
                <w:szCs w:val="11"/>
                <w:color w:val="auto"/>
              </w:rPr>
            </w:pPr>
          </w:p>
        </w:tc>
        <w:tc>
          <w:tcPr>
            <w:tcW w:w="9200" w:type="dxa"/>
            <w:vAlign w:val="bottom"/>
            <w:tcBorders>
              <w:bottom w:val="single" w:sz="8" w:color="0000FF"/>
            </w:tcBorders>
            <w:gridSpan w:val="28"/>
          </w:tcPr>
          <w:p>
            <w:pPr>
              <w:spacing w:after="0" w:line="134" w:lineRule="exact"/>
              <w:rPr>
                <w:rFonts w:ascii="Arial" w:cs="Arial" w:eastAsia="Arial" w:hAnsi="Arial"/>
                <w:sz w:val="15"/>
                <w:szCs w:val="15"/>
                <w:color w:val="0000FF"/>
                <w:w w:val="96"/>
              </w:rPr>
            </w:pPr>
            <w:hyperlink r:id="rId193">
              <w:r>
                <w:rPr>
                  <w:rFonts w:ascii="Arial" w:cs="Arial" w:eastAsia="Arial" w:hAnsi="Arial"/>
                  <w:sz w:val="15"/>
                  <w:szCs w:val="15"/>
                  <w:color w:val="0000FF"/>
                  <w:w w:val="96"/>
                </w:rPr>
                <w:t>herein by reference to Exhibit 10.7 to the Company’s Quarterly Report on Form 10-Q, as amended (File No. 001-37352) filed on May 29, 2015).</w:t>
              </w:r>
            </w:hyperlink>
          </w:p>
        </w:tc>
        <w:tc>
          <w:tcPr>
            <w:tcW w:w="160" w:type="dxa"/>
            <w:vAlign w:val="bottom"/>
            <w:gridSpan w:val="7"/>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1120" w:type="dxa"/>
            <w:vAlign w:val="bottom"/>
          </w:tcPr>
          <w:p>
            <w:pPr>
              <w:ind w:left="20"/>
              <w:spacing w:after="0" w:line="181" w:lineRule="exact"/>
              <w:rPr>
                <w:sz w:val="20"/>
                <w:szCs w:val="20"/>
                <w:color w:val="auto"/>
              </w:rPr>
            </w:pPr>
            <w:r>
              <w:rPr>
                <w:rFonts w:ascii="Arial" w:cs="Arial" w:eastAsia="Arial" w:hAnsi="Arial"/>
                <w:sz w:val="16"/>
                <w:szCs w:val="16"/>
                <w:color w:val="auto"/>
              </w:rPr>
              <w:t>10.19</w:t>
            </w:r>
          </w:p>
        </w:tc>
        <w:tc>
          <w:tcPr>
            <w:tcW w:w="320" w:type="dxa"/>
            <w:vAlign w:val="bottom"/>
          </w:tcPr>
          <w:p>
            <w:pPr>
              <w:spacing w:after="0"/>
              <w:rPr>
                <w:sz w:val="15"/>
                <w:szCs w:val="15"/>
                <w:color w:val="auto"/>
              </w:rPr>
            </w:pPr>
          </w:p>
        </w:tc>
        <w:tc>
          <w:tcPr>
            <w:tcW w:w="540" w:type="dxa"/>
            <w:vAlign w:val="bottom"/>
            <w:shd w:val="clear" w:color="auto" w:fill="FEFEFE"/>
          </w:tcPr>
          <w:p>
            <w:pPr>
              <w:spacing w:after="0"/>
              <w:rPr>
                <w:sz w:val="15"/>
                <w:szCs w:val="15"/>
                <w:color w:val="auto"/>
              </w:rPr>
            </w:pPr>
          </w:p>
        </w:tc>
        <w:tc>
          <w:tcPr>
            <w:tcW w:w="9340" w:type="dxa"/>
            <w:vAlign w:val="bottom"/>
            <w:tcBorders>
              <w:right w:val="single" w:sz="8" w:color="FEFEFE"/>
            </w:tcBorders>
            <w:gridSpan w:val="34"/>
            <w:shd w:val="clear" w:color="auto" w:fill="FEFEFE"/>
          </w:tcPr>
          <w:p>
            <w:pPr>
              <w:spacing w:after="0" w:line="181" w:lineRule="exact"/>
              <w:rPr>
                <w:rFonts w:ascii="Arial" w:cs="Arial" w:eastAsia="Arial" w:hAnsi="Arial"/>
                <w:sz w:val="16"/>
                <w:szCs w:val="16"/>
                <w:color w:val="0000FF"/>
                <w:w w:val="93"/>
              </w:rPr>
            </w:pPr>
            <w:hyperlink r:id="rId194">
              <w:r>
                <w:rPr>
                  <w:rFonts w:ascii="Arial" w:cs="Arial" w:eastAsia="Arial" w:hAnsi="Arial"/>
                  <w:sz w:val="16"/>
                  <w:szCs w:val="16"/>
                  <w:color w:val="0000FF"/>
                  <w:w w:val="93"/>
                </w:rPr>
                <w:t>Third Amended and Restated Limited Liability Company Agreement of Virtu Financial LLC, dated as of April 15, 2015 (incorporated herein by</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Borders>
              <w:top w:val="single" w:sz="8" w:color="FEFEFE"/>
            </w:tcBorders>
            <w:shd w:val="clear" w:color="auto" w:fill="FEFEFE"/>
          </w:tcPr>
          <w:p>
            <w:pPr>
              <w:spacing w:after="0"/>
              <w:rPr>
                <w:sz w:val="11"/>
                <w:szCs w:val="11"/>
                <w:color w:val="auto"/>
              </w:rPr>
            </w:pPr>
          </w:p>
        </w:tc>
        <w:tc>
          <w:tcPr>
            <w:tcW w:w="9140" w:type="dxa"/>
            <w:vAlign w:val="bottom"/>
            <w:tcBorders>
              <w:top w:val="single" w:sz="8" w:color="0000FF"/>
            </w:tcBorders>
            <w:gridSpan w:val="25"/>
            <w:shd w:val="clear" w:color="auto" w:fill="FEFEFE"/>
          </w:tcPr>
          <w:p>
            <w:pPr>
              <w:spacing w:after="0" w:line="134" w:lineRule="exact"/>
              <w:rPr>
                <w:rFonts w:ascii="Arial" w:cs="Arial" w:eastAsia="Arial" w:hAnsi="Arial"/>
                <w:sz w:val="15"/>
                <w:szCs w:val="15"/>
                <w:color w:val="0000FF"/>
              </w:rPr>
            </w:pPr>
            <w:hyperlink r:id="rId194">
              <w:r>
                <w:rPr>
                  <w:rFonts w:ascii="Arial" w:cs="Arial" w:eastAsia="Arial" w:hAnsi="Arial"/>
                  <w:sz w:val="15"/>
                  <w:szCs w:val="15"/>
                  <w:color w:val="0000FF"/>
                </w:rPr>
                <w:t>reference to Exhibit 10.8 to the Company’s Quarterly Report on Form 10-Q, as amended (File No. 001-37352) filed on May 29, 2015).</w:t>
              </w:r>
            </w:hyperlink>
          </w:p>
        </w:tc>
        <w:tc>
          <w:tcPr>
            <w:tcW w:w="120" w:type="dxa"/>
            <w:vAlign w:val="bottom"/>
            <w:tcBorders>
              <w:top w:val="single" w:sz="8" w:color="FEFEFE"/>
            </w:tcBorders>
            <w:gridSpan w:val="6"/>
            <w:shd w:val="clear" w:color="auto" w:fill="FEFEFE"/>
          </w:tcPr>
          <w:p>
            <w:pPr>
              <w:spacing w:after="0"/>
              <w:rPr>
                <w:sz w:val="11"/>
                <w:szCs w:val="11"/>
                <w:color w:val="auto"/>
              </w:rPr>
            </w:pPr>
          </w:p>
        </w:tc>
        <w:tc>
          <w:tcPr>
            <w:tcW w:w="20" w:type="dxa"/>
            <w:vAlign w:val="bottom"/>
            <w:tcBorders>
              <w:top w:val="single" w:sz="8" w:color="FEFEFE"/>
            </w:tcBorders>
            <w:shd w:val="clear" w:color="auto" w:fill="FEFEFE"/>
          </w:tcPr>
          <w:p>
            <w:pPr>
              <w:spacing w:after="0"/>
              <w:rPr>
                <w:sz w:val="11"/>
                <w:szCs w:val="11"/>
                <w:color w:val="auto"/>
              </w:rPr>
            </w:pPr>
          </w:p>
        </w:tc>
        <w:tc>
          <w:tcPr>
            <w:tcW w:w="60" w:type="dxa"/>
            <w:vAlign w:val="bottom"/>
            <w:tcBorders>
              <w:top w:val="single" w:sz="8" w:color="FEFEFE"/>
              <w:right w:val="single" w:sz="8" w:color="FEFEFE"/>
            </w:tcBorders>
            <w:gridSpan w:val="2"/>
            <w:shd w:val="clear" w:color="auto" w:fill="FEFEF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FEFEFE"/>
          </w:tcPr>
          <w:p>
            <w:pPr>
              <w:spacing w:after="0" w:line="20" w:lineRule="exact"/>
              <w:rPr>
                <w:sz w:val="1"/>
                <w:szCs w:val="1"/>
                <w:color w:val="auto"/>
              </w:rPr>
            </w:pPr>
          </w:p>
        </w:tc>
        <w:tc>
          <w:tcPr>
            <w:tcW w:w="4940" w:type="dxa"/>
            <w:vAlign w:val="bottom"/>
            <w:gridSpan w:val="5"/>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600" w:type="dxa"/>
            <w:vAlign w:val="bottom"/>
            <w:tcBorders>
              <w:right w:val="single" w:sz="8" w:color="0000FF"/>
            </w:tcBorders>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FEFEFE"/>
          </w:tcPr>
          <w:p>
            <w:pPr>
              <w:spacing w:after="0" w:line="20" w:lineRule="exact"/>
              <w:rPr>
                <w:sz w:val="1"/>
                <w:szCs w:val="1"/>
                <w:color w:val="auto"/>
              </w:rPr>
            </w:pPr>
          </w:p>
        </w:tc>
        <w:tc>
          <w:tcPr>
            <w:tcW w:w="120" w:type="dxa"/>
            <w:vAlign w:val="bottom"/>
            <w:tcBorders>
              <w:right w:val="single" w:sz="8" w:color="FEFEFE"/>
            </w:tcBorders>
            <w:shd w:val="clear" w:color="auto" w:fill="FEFEFE"/>
          </w:tcPr>
          <w:p>
            <w:pPr>
              <w:spacing w:after="0" w:line="20" w:lineRule="exact"/>
              <w:rPr>
                <w:sz w:val="1"/>
                <w:szCs w:val="1"/>
                <w:color w:val="auto"/>
              </w:rPr>
            </w:pPr>
          </w:p>
        </w:tc>
        <w:tc>
          <w:tcPr>
            <w:tcW w:w="320" w:type="dxa"/>
            <w:vAlign w:val="bottom"/>
            <w:gridSpan w:val="8"/>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140" w:type="dxa"/>
            <w:vAlign w:val="bottom"/>
            <w:gridSpan w:val="7"/>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60" w:type="dxa"/>
            <w:vAlign w:val="bottom"/>
            <w:tcBorders>
              <w:right w:val="single" w:sz="8" w:color="FEFEFE"/>
            </w:tcBorders>
            <w:gridSpan w:val="2"/>
            <w:shd w:val="clear" w:color="auto" w:fill="FEFEF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120" w:type="dxa"/>
            <w:vAlign w:val="bottom"/>
          </w:tcPr>
          <w:p>
            <w:pPr>
              <w:ind w:left="20"/>
              <w:spacing w:after="0" w:line="181" w:lineRule="exact"/>
              <w:rPr>
                <w:sz w:val="20"/>
                <w:szCs w:val="20"/>
                <w:color w:val="auto"/>
              </w:rPr>
            </w:pPr>
            <w:r>
              <w:rPr>
                <w:rFonts w:ascii="Arial" w:cs="Arial" w:eastAsia="Arial" w:hAnsi="Arial"/>
                <w:sz w:val="16"/>
                <w:szCs w:val="16"/>
                <w:color w:val="auto"/>
              </w:rPr>
              <w:t>10.20</w:t>
            </w:r>
          </w:p>
        </w:tc>
        <w:tc>
          <w:tcPr>
            <w:tcW w:w="320" w:type="dxa"/>
            <w:vAlign w:val="bottom"/>
          </w:tcPr>
          <w:p>
            <w:pPr>
              <w:spacing w:after="0"/>
              <w:rPr>
                <w:sz w:val="15"/>
                <w:szCs w:val="15"/>
                <w:color w:val="auto"/>
              </w:rPr>
            </w:pPr>
          </w:p>
        </w:tc>
        <w:tc>
          <w:tcPr>
            <w:tcW w:w="540" w:type="dxa"/>
            <w:vAlign w:val="bottom"/>
            <w:shd w:val="clear" w:color="auto" w:fill="FEFEFE"/>
          </w:tcPr>
          <w:p>
            <w:pPr>
              <w:spacing w:after="0"/>
              <w:rPr>
                <w:sz w:val="15"/>
                <w:szCs w:val="15"/>
                <w:color w:val="auto"/>
              </w:rPr>
            </w:pPr>
          </w:p>
        </w:tc>
        <w:tc>
          <w:tcPr>
            <w:tcW w:w="9340" w:type="dxa"/>
            <w:vAlign w:val="bottom"/>
            <w:tcBorders>
              <w:right w:val="single" w:sz="8" w:color="FEFEFE"/>
            </w:tcBorders>
            <w:gridSpan w:val="34"/>
            <w:shd w:val="clear" w:color="auto" w:fill="FEFEFE"/>
          </w:tcPr>
          <w:p>
            <w:pPr>
              <w:spacing w:after="0" w:line="181" w:lineRule="exact"/>
              <w:rPr>
                <w:rFonts w:ascii="Arial" w:cs="Arial" w:eastAsia="Arial" w:hAnsi="Arial"/>
                <w:sz w:val="16"/>
                <w:szCs w:val="16"/>
                <w:color w:val="0000FF"/>
                <w:w w:val="93"/>
              </w:rPr>
            </w:pPr>
            <w:hyperlink r:id="rId195">
              <w:r>
                <w:rPr>
                  <w:rFonts w:ascii="Arial" w:cs="Arial" w:eastAsia="Arial" w:hAnsi="Arial"/>
                  <w:sz w:val="16"/>
                  <w:szCs w:val="16"/>
                  <w:color w:val="0000FF"/>
                  <w:w w:val="93"/>
                </w:rPr>
                <w:t>Amended and Restated Limited Liability Company Agreement of Virtu Employee Holdco LLC, dated as of April 15, 2015 (incorporated herein</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Borders>
              <w:top w:val="single" w:sz="8" w:color="FEFEFE"/>
            </w:tcBorders>
            <w:shd w:val="clear" w:color="auto" w:fill="FEFEFE"/>
          </w:tcPr>
          <w:p>
            <w:pPr>
              <w:spacing w:after="0"/>
              <w:rPr>
                <w:sz w:val="11"/>
                <w:szCs w:val="11"/>
                <w:color w:val="auto"/>
              </w:rPr>
            </w:pPr>
          </w:p>
        </w:tc>
        <w:tc>
          <w:tcPr>
            <w:tcW w:w="9100" w:type="dxa"/>
            <w:vAlign w:val="bottom"/>
            <w:tcBorders>
              <w:top w:val="single" w:sz="8" w:color="0000FF"/>
            </w:tcBorders>
            <w:gridSpan w:val="23"/>
            <w:shd w:val="clear" w:color="auto" w:fill="FEFEFE"/>
          </w:tcPr>
          <w:p>
            <w:pPr>
              <w:spacing w:after="0" w:line="134" w:lineRule="exact"/>
              <w:rPr>
                <w:rFonts w:ascii="Arial" w:cs="Arial" w:eastAsia="Arial" w:hAnsi="Arial"/>
                <w:sz w:val="15"/>
                <w:szCs w:val="15"/>
                <w:color w:val="0000FF"/>
              </w:rPr>
            </w:pPr>
            <w:hyperlink r:id="rId195">
              <w:r>
                <w:rPr>
                  <w:rFonts w:ascii="Arial" w:cs="Arial" w:eastAsia="Arial" w:hAnsi="Arial"/>
                  <w:sz w:val="15"/>
                  <w:szCs w:val="15"/>
                  <w:color w:val="0000FF"/>
                </w:rPr>
                <w:t>by reference to Exhibit 10.9 to the Company’s Quarterly Report on Form 10-Q, as amended (File No. 001-37352), filed on May 29, 2015)</w:t>
              </w:r>
            </w:hyperlink>
          </w:p>
        </w:tc>
        <w:tc>
          <w:tcPr>
            <w:tcW w:w="20" w:type="dxa"/>
            <w:vAlign w:val="bottom"/>
            <w:tcBorders>
              <w:top w:val="single" w:sz="8" w:color="FEFEFE"/>
            </w:tcBorders>
            <w:shd w:val="clear" w:color="auto" w:fill="FEFEFE"/>
          </w:tcPr>
          <w:p>
            <w:pPr>
              <w:spacing w:after="0"/>
              <w:rPr>
                <w:sz w:val="11"/>
                <w:szCs w:val="11"/>
                <w:color w:val="auto"/>
              </w:rPr>
            </w:pPr>
          </w:p>
        </w:tc>
        <w:tc>
          <w:tcPr>
            <w:tcW w:w="140" w:type="dxa"/>
            <w:vAlign w:val="bottom"/>
            <w:tcBorders>
              <w:top w:val="single" w:sz="8" w:color="FEFEFE"/>
            </w:tcBorders>
            <w:gridSpan w:val="7"/>
            <w:shd w:val="clear" w:color="auto" w:fill="FEFEFE"/>
          </w:tcPr>
          <w:p>
            <w:pPr>
              <w:spacing w:after="0"/>
              <w:rPr>
                <w:sz w:val="11"/>
                <w:szCs w:val="11"/>
                <w:color w:val="auto"/>
              </w:rPr>
            </w:pPr>
          </w:p>
        </w:tc>
        <w:tc>
          <w:tcPr>
            <w:tcW w:w="20" w:type="dxa"/>
            <w:vAlign w:val="bottom"/>
            <w:tcBorders>
              <w:top w:val="single" w:sz="8" w:color="FEFEFE"/>
            </w:tcBorders>
            <w:shd w:val="clear" w:color="auto" w:fill="FEFEFE"/>
          </w:tcPr>
          <w:p>
            <w:pPr>
              <w:spacing w:after="0"/>
              <w:rPr>
                <w:sz w:val="11"/>
                <w:szCs w:val="11"/>
                <w:color w:val="auto"/>
              </w:rPr>
            </w:pPr>
          </w:p>
        </w:tc>
        <w:tc>
          <w:tcPr>
            <w:tcW w:w="60" w:type="dxa"/>
            <w:vAlign w:val="bottom"/>
            <w:tcBorders>
              <w:top w:val="single" w:sz="8" w:color="FEFEFE"/>
              <w:right w:val="single" w:sz="8" w:color="FEFEFE"/>
            </w:tcBorders>
            <w:gridSpan w:val="2"/>
            <w:shd w:val="clear" w:color="auto" w:fill="FEFEF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FEFEFE"/>
          </w:tcPr>
          <w:p>
            <w:pPr>
              <w:spacing w:after="0" w:line="20" w:lineRule="exact"/>
              <w:rPr>
                <w:sz w:val="1"/>
                <w:szCs w:val="1"/>
                <w:color w:val="auto"/>
              </w:rPr>
            </w:pPr>
          </w:p>
        </w:tc>
        <w:tc>
          <w:tcPr>
            <w:tcW w:w="4940" w:type="dxa"/>
            <w:vAlign w:val="bottom"/>
            <w:gridSpan w:val="5"/>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600" w:type="dxa"/>
            <w:vAlign w:val="bottom"/>
            <w:tcBorders>
              <w:right w:val="single" w:sz="8" w:color="0000FF"/>
            </w:tcBorders>
            <w:gridSpan w:val="5"/>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8"/>
            <w:shd w:val="clear" w:color="auto" w:fill="FEFEFE"/>
          </w:tcPr>
          <w:p>
            <w:pPr>
              <w:spacing w:after="0" w:line="20" w:lineRule="exact"/>
              <w:rPr>
                <w:sz w:val="1"/>
                <w:szCs w:val="1"/>
                <w:color w:val="auto"/>
              </w:rPr>
            </w:pPr>
          </w:p>
        </w:tc>
        <w:tc>
          <w:tcPr>
            <w:tcW w:w="40" w:type="dxa"/>
            <w:vAlign w:val="bottom"/>
            <w:gridSpan w:val="2"/>
            <w:shd w:val="clear" w:color="auto" w:fill="FEFEFE"/>
          </w:tcPr>
          <w:p>
            <w:pPr>
              <w:spacing w:after="0" w:line="20" w:lineRule="exact"/>
              <w:rPr>
                <w:sz w:val="1"/>
                <w:szCs w:val="1"/>
                <w:color w:val="auto"/>
              </w:rPr>
            </w:pPr>
          </w:p>
        </w:tc>
        <w:tc>
          <w:tcPr>
            <w:tcW w:w="140" w:type="dxa"/>
            <w:vAlign w:val="bottom"/>
            <w:gridSpan w:val="7"/>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60" w:type="dxa"/>
            <w:vAlign w:val="bottom"/>
            <w:tcBorders>
              <w:right w:val="single" w:sz="8" w:color="FEFEFE"/>
            </w:tcBorders>
            <w:gridSpan w:val="2"/>
            <w:shd w:val="clear" w:color="auto" w:fill="FEFEF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120" w:type="dxa"/>
            <w:vAlign w:val="bottom"/>
          </w:tcPr>
          <w:p>
            <w:pPr>
              <w:ind w:left="20"/>
              <w:spacing w:after="0" w:line="181" w:lineRule="exact"/>
              <w:rPr>
                <w:sz w:val="20"/>
                <w:szCs w:val="20"/>
                <w:color w:val="auto"/>
              </w:rPr>
            </w:pPr>
            <w:r>
              <w:rPr>
                <w:rFonts w:ascii="Arial" w:cs="Arial" w:eastAsia="Arial" w:hAnsi="Arial"/>
                <w:sz w:val="16"/>
                <w:szCs w:val="16"/>
                <w:color w:val="auto"/>
              </w:rPr>
              <w:t>10.21</w:t>
            </w:r>
          </w:p>
        </w:tc>
        <w:tc>
          <w:tcPr>
            <w:tcW w:w="320" w:type="dxa"/>
            <w:vAlign w:val="bottom"/>
          </w:tcPr>
          <w:p>
            <w:pPr>
              <w:spacing w:after="0"/>
              <w:rPr>
                <w:sz w:val="15"/>
                <w:szCs w:val="15"/>
                <w:color w:val="auto"/>
              </w:rPr>
            </w:pPr>
          </w:p>
        </w:tc>
        <w:tc>
          <w:tcPr>
            <w:tcW w:w="540" w:type="dxa"/>
            <w:vAlign w:val="bottom"/>
            <w:shd w:val="clear" w:color="auto" w:fill="FEFEFE"/>
          </w:tcPr>
          <w:p>
            <w:pPr>
              <w:spacing w:after="0"/>
              <w:rPr>
                <w:sz w:val="15"/>
                <w:szCs w:val="15"/>
                <w:color w:val="auto"/>
              </w:rPr>
            </w:pPr>
          </w:p>
        </w:tc>
        <w:tc>
          <w:tcPr>
            <w:tcW w:w="9340" w:type="dxa"/>
            <w:vAlign w:val="bottom"/>
            <w:tcBorders>
              <w:right w:val="single" w:sz="8" w:color="FEFEFE"/>
            </w:tcBorders>
            <w:gridSpan w:val="34"/>
            <w:shd w:val="clear" w:color="auto" w:fill="FEFEFE"/>
          </w:tcPr>
          <w:p>
            <w:pPr>
              <w:spacing w:after="0" w:line="181" w:lineRule="exact"/>
              <w:rPr>
                <w:rFonts w:ascii="Arial" w:cs="Arial" w:eastAsia="Arial" w:hAnsi="Arial"/>
                <w:sz w:val="16"/>
                <w:szCs w:val="16"/>
                <w:color w:val="0000FF"/>
                <w:w w:val="91"/>
              </w:rPr>
            </w:pPr>
            <w:hyperlink r:id="rId196">
              <w:r>
                <w:rPr>
                  <w:rFonts w:ascii="Arial" w:cs="Arial" w:eastAsia="Arial" w:hAnsi="Arial"/>
                  <w:sz w:val="16"/>
                  <w:szCs w:val="16"/>
                  <w:color w:val="0000FF"/>
                  <w:w w:val="91"/>
                </w:rPr>
                <w:t>Class C Common Stock Subscription Agreement, dated as of April 15, 2015 (incorporated herein by reference to Exhibit 10.10 to the Company’s</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Borders>
              <w:top w:val="single" w:sz="8" w:color="FEFEFE"/>
            </w:tcBorders>
            <w:shd w:val="clear" w:color="auto" w:fill="FEFEFE"/>
          </w:tcPr>
          <w:p>
            <w:pPr>
              <w:spacing w:after="0"/>
              <w:rPr>
                <w:sz w:val="11"/>
                <w:szCs w:val="11"/>
                <w:color w:val="auto"/>
              </w:rPr>
            </w:pPr>
          </w:p>
        </w:tc>
        <w:tc>
          <w:tcPr>
            <w:tcW w:w="9260" w:type="dxa"/>
            <w:vAlign w:val="bottom"/>
            <w:tcBorders>
              <w:top w:val="single" w:sz="8" w:color="0000FF"/>
            </w:tcBorders>
            <w:gridSpan w:val="31"/>
            <w:shd w:val="clear" w:color="auto" w:fill="FEFEFE"/>
          </w:tcPr>
          <w:p>
            <w:pPr>
              <w:spacing w:after="0" w:line="134" w:lineRule="exact"/>
              <w:rPr>
                <w:rFonts w:ascii="Arial" w:cs="Arial" w:eastAsia="Arial" w:hAnsi="Arial"/>
                <w:sz w:val="15"/>
                <w:szCs w:val="15"/>
                <w:color w:val="0000FF"/>
              </w:rPr>
            </w:pPr>
            <w:hyperlink r:id="rId196">
              <w:r>
                <w:rPr>
                  <w:rFonts w:ascii="Arial" w:cs="Arial" w:eastAsia="Arial" w:hAnsi="Arial"/>
                  <w:sz w:val="15"/>
                  <w:szCs w:val="15"/>
                  <w:color w:val="0000FF"/>
                </w:rPr>
                <w:t>Quarterly Report on Form 10-Q, as amended (File No. 001-37352) filed on May 29, 2015).</w:t>
              </w:r>
            </w:hyperlink>
          </w:p>
        </w:tc>
        <w:tc>
          <w:tcPr>
            <w:tcW w:w="20" w:type="dxa"/>
            <w:vAlign w:val="bottom"/>
            <w:tcBorders>
              <w:top w:val="single" w:sz="8" w:color="FEFEFE"/>
            </w:tcBorders>
            <w:shd w:val="clear" w:color="auto" w:fill="FEFEFE"/>
          </w:tcPr>
          <w:p>
            <w:pPr>
              <w:spacing w:after="0"/>
              <w:rPr>
                <w:sz w:val="11"/>
                <w:szCs w:val="11"/>
                <w:color w:val="auto"/>
              </w:rPr>
            </w:pPr>
          </w:p>
        </w:tc>
        <w:tc>
          <w:tcPr>
            <w:tcW w:w="60" w:type="dxa"/>
            <w:vAlign w:val="bottom"/>
            <w:tcBorders>
              <w:top w:val="single" w:sz="8" w:color="FEFEFE"/>
              <w:right w:val="single" w:sz="8" w:color="FEFEFE"/>
            </w:tcBorders>
            <w:gridSpan w:val="2"/>
            <w:shd w:val="clear" w:color="auto" w:fill="FEFEF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FEFEFE"/>
          </w:tcPr>
          <w:p>
            <w:pPr>
              <w:spacing w:after="0" w:line="20" w:lineRule="exact"/>
              <w:rPr>
                <w:sz w:val="1"/>
                <w:szCs w:val="1"/>
                <w:color w:val="auto"/>
              </w:rPr>
            </w:pPr>
          </w:p>
        </w:tc>
        <w:tc>
          <w:tcPr>
            <w:tcW w:w="4940" w:type="dxa"/>
            <w:vAlign w:val="bottom"/>
            <w:gridSpan w:val="5"/>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600" w:type="dxa"/>
            <w:vAlign w:val="bottom"/>
            <w:tcBorders>
              <w:right w:val="single" w:sz="8" w:color="FEFEFE"/>
            </w:tcBorders>
            <w:gridSpan w:val="5"/>
            <w:shd w:val="clear" w:color="auto" w:fill="FEFEFE"/>
          </w:tcPr>
          <w:p>
            <w:pPr>
              <w:spacing w:after="0" w:line="20" w:lineRule="exact"/>
              <w:rPr>
                <w:sz w:val="1"/>
                <w:szCs w:val="1"/>
                <w:color w:val="auto"/>
              </w:rPr>
            </w:pPr>
          </w:p>
        </w:tc>
        <w:tc>
          <w:tcPr>
            <w:tcW w:w="280" w:type="dxa"/>
            <w:vAlign w:val="bottom"/>
            <w:gridSpan w:val="2"/>
            <w:shd w:val="clear" w:color="auto" w:fill="FEFEFE"/>
          </w:tcPr>
          <w:p>
            <w:pPr>
              <w:spacing w:after="0" w:line="20" w:lineRule="exact"/>
              <w:rPr>
                <w:sz w:val="1"/>
                <w:szCs w:val="1"/>
                <w:color w:val="auto"/>
              </w:rPr>
            </w:pPr>
          </w:p>
        </w:tc>
        <w:tc>
          <w:tcPr>
            <w:tcW w:w="120" w:type="dxa"/>
            <w:vAlign w:val="bottom"/>
            <w:tcBorders>
              <w:right w:val="single" w:sz="8" w:color="FEFEFE"/>
            </w:tcBorders>
            <w:shd w:val="clear" w:color="auto" w:fill="FEFEFE"/>
          </w:tcPr>
          <w:p>
            <w:pPr>
              <w:spacing w:after="0" w:line="20" w:lineRule="exact"/>
              <w:rPr>
                <w:sz w:val="1"/>
                <w:szCs w:val="1"/>
                <w:color w:val="auto"/>
              </w:rPr>
            </w:pPr>
          </w:p>
        </w:tc>
        <w:tc>
          <w:tcPr>
            <w:tcW w:w="320" w:type="dxa"/>
            <w:vAlign w:val="bottom"/>
            <w:gridSpan w:val="8"/>
            <w:shd w:val="clear" w:color="auto" w:fill="FEFEFE"/>
          </w:tcPr>
          <w:p>
            <w:pPr>
              <w:spacing w:after="0" w:line="20" w:lineRule="exact"/>
              <w:rPr>
                <w:sz w:val="1"/>
                <w:szCs w:val="1"/>
                <w:color w:val="auto"/>
              </w:rPr>
            </w:pPr>
          </w:p>
        </w:tc>
        <w:tc>
          <w:tcPr>
            <w:tcW w:w="40" w:type="dxa"/>
            <w:vAlign w:val="bottom"/>
            <w:gridSpan w:val="2"/>
            <w:shd w:val="clear" w:color="auto" w:fill="FEFEFE"/>
          </w:tcPr>
          <w:p>
            <w:pPr>
              <w:spacing w:after="0" w:line="20" w:lineRule="exact"/>
              <w:rPr>
                <w:sz w:val="1"/>
                <w:szCs w:val="1"/>
                <w:color w:val="auto"/>
              </w:rPr>
            </w:pPr>
          </w:p>
        </w:tc>
        <w:tc>
          <w:tcPr>
            <w:tcW w:w="160" w:type="dxa"/>
            <w:vAlign w:val="bottom"/>
            <w:gridSpan w:val="8"/>
            <w:shd w:val="clear" w:color="auto" w:fill="FEFEFE"/>
          </w:tcPr>
          <w:p>
            <w:pPr>
              <w:spacing w:after="0" w:line="20" w:lineRule="exact"/>
              <w:rPr>
                <w:sz w:val="1"/>
                <w:szCs w:val="1"/>
                <w:color w:val="auto"/>
              </w:rPr>
            </w:pPr>
          </w:p>
        </w:tc>
        <w:tc>
          <w:tcPr>
            <w:tcW w:w="60" w:type="dxa"/>
            <w:vAlign w:val="bottom"/>
            <w:tcBorders>
              <w:right w:val="single" w:sz="8" w:color="FEFEFE"/>
            </w:tcBorders>
            <w:gridSpan w:val="2"/>
            <w:shd w:val="clear" w:color="auto" w:fill="FEFEF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120" w:type="dxa"/>
            <w:vAlign w:val="bottom"/>
          </w:tcPr>
          <w:p>
            <w:pPr>
              <w:ind w:left="20"/>
              <w:spacing w:after="0" w:line="181" w:lineRule="exact"/>
              <w:rPr>
                <w:sz w:val="20"/>
                <w:szCs w:val="20"/>
                <w:color w:val="auto"/>
              </w:rPr>
            </w:pPr>
            <w:r>
              <w:rPr>
                <w:rFonts w:ascii="Arial" w:cs="Arial" w:eastAsia="Arial" w:hAnsi="Arial"/>
                <w:sz w:val="16"/>
                <w:szCs w:val="16"/>
                <w:color w:val="auto"/>
              </w:rPr>
              <w:t>10.22</w:t>
            </w:r>
          </w:p>
        </w:tc>
        <w:tc>
          <w:tcPr>
            <w:tcW w:w="320" w:type="dxa"/>
            <w:vAlign w:val="bottom"/>
          </w:tcPr>
          <w:p>
            <w:pPr>
              <w:spacing w:after="0"/>
              <w:rPr>
                <w:sz w:val="15"/>
                <w:szCs w:val="15"/>
                <w:color w:val="auto"/>
              </w:rPr>
            </w:pPr>
          </w:p>
        </w:tc>
        <w:tc>
          <w:tcPr>
            <w:tcW w:w="540" w:type="dxa"/>
            <w:vAlign w:val="bottom"/>
            <w:shd w:val="clear" w:color="auto" w:fill="FEFEFE"/>
          </w:tcPr>
          <w:p>
            <w:pPr>
              <w:spacing w:after="0"/>
              <w:rPr>
                <w:sz w:val="15"/>
                <w:szCs w:val="15"/>
                <w:color w:val="auto"/>
              </w:rPr>
            </w:pPr>
          </w:p>
        </w:tc>
        <w:tc>
          <w:tcPr>
            <w:tcW w:w="9340" w:type="dxa"/>
            <w:vAlign w:val="bottom"/>
            <w:tcBorders>
              <w:right w:val="single" w:sz="8" w:color="FEFEFE"/>
            </w:tcBorders>
            <w:gridSpan w:val="34"/>
            <w:shd w:val="clear" w:color="auto" w:fill="FEFEFE"/>
          </w:tcPr>
          <w:p>
            <w:pPr>
              <w:spacing w:after="0" w:line="181" w:lineRule="exact"/>
              <w:rPr>
                <w:rFonts w:ascii="Arial" w:cs="Arial" w:eastAsia="Arial" w:hAnsi="Arial"/>
                <w:sz w:val="16"/>
                <w:szCs w:val="16"/>
                <w:color w:val="0000FF"/>
                <w:w w:val="91"/>
              </w:rPr>
            </w:pPr>
            <w:hyperlink r:id="rId197">
              <w:r>
                <w:rPr>
                  <w:rFonts w:ascii="Arial" w:cs="Arial" w:eastAsia="Arial" w:hAnsi="Arial"/>
                  <w:sz w:val="16"/>
                  <w:szCs w:val="16"/>
                  <w:color w:val="0000FF"/>
                  <w:w w:val="91"/>
                </w:rPr>
                <w:t>Class D Common Stock Subscription Agreement, dated as of April 15, 2015 (incorporated herein by reference to Exhibit 10.11 to the Company’s</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Borders>
              <w:top w:val="single" w:sz="8" w:color="FEFEFE"/>
            </w:tcBorders>
            <w:shd w:val="clear" w:color="auto" w:fill="FEFEFE"/>
          </w:tcPr>
          <w:p>
            <w:pPr>
              <w:spacing w:after="0"/>
              <w:rPr>
                <w:sz w:val="11"/>
                <w:szCs w:val="11"/>
                <w:color w:val="auto"/>
              </w:rPr>
            </w:pPr>
          </w:p>
        </w:tc>
        <w:tc>
          <w:tcPr>
            <w:tcW w:w="9280" w:type="dxa"/>
            <w:vAlign w:val="bottom"/>
            <w:tcBorders>
              <w:top w:val="single" w:sz="8" w:color="0000FF"/>
            </w:tcBorders>
            <w:gridSpan w:val="32"/>
            <w:shd w:val="clear" w:color="auto" w:fill="FEFEFE"/>
          </w:tcPr>
          <w:p>
            <w:pPr>
              <w:spacing w:after="0" w:line="134" w:lineRule="exact"/>
              <w:rPr>
                <w:rFonts w:ascii="Arial" w:cs="Arial" w:eastAsia="Arial" w:hAnsi="Arial"/>
                <w:sz w:val="15"/>
                <w:szCs w:val="15"/>
                <w:color w:val="0000FF"/>
              </w:rPr>
            </w:pPr>
            <w:hyperlink r:id="rId197">
              <w:r>
                <w:rPr>
                  <w:rFonts w:ascii="Arial" w:cs="Arial" w:eastAsia="Arial" w:hAnsi="Arial"/>
                  <w:sz w:val="15"/>
                  <w:szCs w:val="15"/>
                  <w:color w:val="0000FF"/>
                </w:rPr>
                <w:t>Quarterly Report on Form 10-Q, as amended (File No. 001-37352) filed on May 29, 2015).</w:t>
              </w:r>
            </w:hyperlink>
          </w:p>
        </w:tc>
        <w:tc>
          <w:tcPr>
            <w:tcW w:w="60" w:type="dxa"/>
            <w:vAlign w:val="bottom"/>
            <w:tcBorders>
              <w:top w:val="single" w:sz="8" w:color="FEFEFE"/>
              <w:right w:val="single" w:sz="8" w:color="FEFEFE"/>
            </w:tcBorders>
            <w:gridSpan w:val="2"/>
            <w:shd w:val="clear" w:color="auto" w:fill="FEFEF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FEFEFE"/>
          </w:tcPr>
          <w:p>
            <w:pPr>
              <w:spacing w:after="0" w:line="20" w:lineRule="exact"/>
              <w:rPr>
                <w:sz w:val="1"/>
                <w:szCs w:val="1"/>
                <w:color w:val="auto"/>
              </w:rPr>
            </w:pPr>
          </w:p>
        </w:tc>
        <w:tc>
          <w:tcPr>
            <w:tcW w:w="4940" w:type="dxa"/>
            <w:vAlign w:val="bottom"/>
            <w:gridSpan w:val="5"/>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600" w:type="dxa"/>
            <w:vAlign w:val="bottom"/>
            <w:tcBorders>
              <w:right w:val="single" w:sz="8" w:color="FEFEFE"/>
            </w:tcBorders>
            <w:gridSpan w:val="5"/>
            <w:shd w:val="clear" w:color="auto" w:fill="FEFEFE"/>
          </w:tcPr>
          <w:p>
            <w:pPr>
              <w:spacing w:after="0" w:line="20" w:lineRule="exact"/>
              <w:rPr>
                <w:sz w:val="1"/>
                <w:szCs w:val="1"/>
                <w:color w:val="auto"/>
              </w:rPr>
            </w:pPr>
          </w:p>
        </w:tc>
        <w:tc>
          <w:tcPr>
            <w:tcW w:w="280" w:type="dxa"/>
            <w:vAlign w:val="bottom"/>
            <w:gridSpan w:val="2"/>
            <w:shd w:val="clear" w:color="auto" w:fill="FEFEFE"/>
          </w:tcPr>
          <w:p>
            <w:pPr>
              <w:spacing w:after="0" w:line="20" w:lineRule="exact"/>
              <w:rPr>
                <w:sz w:val="1"/>
                <w:szCs w:val="1"/>
                <w:color w:val="auto"/>
              </w:rPr>
            </w:pPr>
          </w:p>
        </w:tc>
        <w:tc>
          <w:tcPr>
            <w:tcW w:w="120" w:type="dxa"/>
            <w:vAlign w:val="bottom"/>
            <w:tcBorders>
              <w:right w:val="single" w:sz="8" w:color="FEFEFE"/>
            </w:tcBorders>
            <w:shd w:val="clear" w:color="auto" w:fill="FEFEFE"/>
          </w:tcPr>
          <w:p>
            <w:pPr>
              <w:spacing w:after="0" w:line="20" w:lineRule="exact"/>
              <w:rPr>
                <w:sz w:val="1"/>
                <w:szCs w:val="1"/>
                <w:color w:val="auto"/>
              </w:rPr>
            </w:pPr>
          </w:p>
        </w:tc>
        <w:tc>
          <w:tcPr>
            <w:tcW w:w="320" w:type="dxa"/>
            <w:vAlign w:val="bottom"/>
            <w:gridSpan w:val="8"/>
            <w:shd w:val="clear" w:color="auto" w:fill="FEFEFE"/>
          </w:tcPr>
          <w:p>
            <w:pPr>
              <w:spacing w:after="0" w:line="20" w:lineRule="exact"/>
              <w:rPr>
                <w:sz w:val="1"/>
                <w:szCs w:val="1"/>
                <w:color w:val="auto"/>
              </w:rPr>
            </w:pPr>
          </w:p>
        </w:tc>
        <w:tc>
          <w:tcPr>
            <w:tcW w:w="40" w:type="dxa"/>
            <w:vAlign w:val="bottom"/>
            <w:gridSpan w:val="2"/>
            <w:shd w:val="clear" w:color="auto" w:fill="FEFEFE"/>
          </w:tcPr>
          <w:p>
            <w:pPr>
              <w:spacing w:after="0" w:line="20" w:lineRule="exact"/>
              <w:rPr>
                <w:sz w:val="1"/>
                <w:szCs w:val="1"/>
                <w:color w:val="auto"/>
              </w:rPr>
            </w:pPr>
          </w:p>
        </w:tc>
        <w:tc>
          <w:tcPr>
            <w:tcW w:w="220" w:type="dxa"/>
            <w:vAlign w:val="bottom"/>
            <w:tcBorders>
              <w:right w:val="single" w:sz="8" w:color="FEFEFE"/>
            </w:tcBorders>
            <w:gridSpan w:val="10"/>
            <w:shd w:val="clear" w:color="auto" w:fill="FEFEF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120" w:type="dxa"/>
            <w:vAlign w:val="bottom"/>
          </w:tcPr>
          <w:p>
            <w:pPr>
              <w:ind w:left="20"/>
              <w:spacing w:after="0" w:line="181" w:lineRule="exact"/>
              <w:rPr>
                <w:sz w:val="20"/>
                <w:szCs w:val="20"/>
                <w:color w:val="auto"/>
              </w:rPr>
            </w:pPr>
            <w:r>
              <w:rPr>
                <w:rFonts w:ascii="Arial" w:cs="Arial" w:eastAsia="Arial" w:hAnsi="Arial"/>
                <w:sz w:val="16"/>
                <w:szCs w:val="16"/>
                <w:color w:val="auto"/>
              </w:rPr>
              <w:t>10.23</w:t>
            </w:r>
          </w:p>
        </w:tc>
        <w:tc>
          <w:tcPr>
            <w:tcW w:w="320" w:type="dxa"/>
            <w:vAlign w:val="bottom"/>
          </w:tcPr>
          <w:p>
            <w:pPr>
              <w:spacing w:after="0"/>
              <w:rPr>
                <w:sz w:val="15"/>
                <w:szCs w:val="15"/>
                <w:color w:val="auto"/>
              </w:rPr>
            </w:pPr>
          </w:p>
        </w:tc>
        <w:tc>
          <w:tcPr>
            <w:tcW w:w="540" w:type="dxa"/>
            <w:vAlign w:val="bottom"/>
            <w:shd w:val="clear" w:color="auto" w:fill="FEFEFE"/>
          </w:tcPr>
          <w:p>
            <w:pPr>
              <w:spacing w:after="0"/>
              <w:rPr>
                <w:sz w:val="15"/>
                <w:szCs w:val="15"/>
                <w:color w:val="auto"/>
              </w:rPr>
            </w:pPr>
          </w:p>
        </w:tc>
        <w:tc>
          <w:tcPr>
            <w:tcW w:w="9340" w:type="dxa"/>
            <w:vAlign w:val="bottom"/>
            <w:tcBorders>
              <w:right w:val="single" w:sz="8" w:color="FEFEFE"/>
            </w:tcBorders>
            <w:gridSpan w:val="34"/>
            <w:shd w:val="clear" w:color="auto" w:fill="FEFEFE"/>
          </w:tcPr>
          <w:p>
            <w:pPr>
              <w:spacing w:after="0" w:line="181" w:lineRule="exact"/>
              <w:rPr>
                <w:rFonts w:ascii="Arial" w:cs="Arial" w:eastAsia="Arial" w:hAnsi="Arial"/>
                <w:sz w:val="16"/>
                <w:szCs w:val="16"/>
                <w:color w:val="0000FF"/>
                <w:w w:val="98"/>
              </w:rPr>
            </w:pPr>
            <w:hyperlink r:id="rId198">
              <w:r>
                <w:rPr>
                  <w:rFonts w:ascii="Arial" w:cs="Arial" w:eastAsia="Arial" w:hAnsi="Arial"/>
                  <w:sz w:val="16"/>
                  <w:szCs w:val="16"/>
                  <w:color w:val="0000FF"/>
                  <w:w w:val="98"/>
                </w:rPr>
                <w:t>Stockholders Agreement, dated April 20, 2017, by and among Virtu Financial, Inc., TJMT Holdings LLC, Aranda Investments Pte. Ltd.,</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Borders>
              <w:top w:val="single" w:sz="8" w:color="FEFEFE"/>
              <w:bottom w:val="single" w:sz="8" w:color="FEFEFE"/>
            </w:tcBorders>
            <w:shd w:val="clear" w:color="auto" w:fill="FEFEFE"/>
          </w:tcPr>
          <w:p>
            <w:pPr>
              <w:spacing w:after="0"/>
              <w:rPr>
                <w:sz w:val="11"/>
                <w:szCs w:val="11"/>
                <w:color w:val="auto"/>
              </w:rPr>
            </w:pPr>
          </w:p>
        </w:tc>
        <w:tc>
          <w:tcPr>
            <w:tcW w:w="8640" w:type="dxa"/>
            <w:vAlign w:val="bottom"/>
            <w:tcBorders>
              <w:top w:val="single" w:sz="8" w:color="0000FF"/>
              <w:bottom w:val="single" w:sz="8" w:color="0000FF"/>
            </w:tcBorders>
            <w:gridSpan w:val="13"/>
            <w:shd w:val="clear" w:color="auto" w:fill="FEFEFE"/>
          </w:tcPr>
          <w:p>
            <w:pPr>
              <w:spacing w:after="0" w:line="134" w:lineRule="exact"/>
              <w:rPr>
                <w:rFonts w:ascii="Arial" w:cs="Arial" w:eastAsia="Arial" w:hAnsi="Arial"/>
                <w:sz w:val="15"/>
                <w:szCs w:val="15"/>
                <w:color w:val="0000FF"/>
                <w:w w:val="95"/>
              </w:rPr>
            </w:pPr>
            <w:hyperlink r:id="rId198">
              <w:r>
                <w:rPr>
                  <w:rFonts w:ascii="Arial" w:cs="Arial" w:eastAsia="Arial" w:hAnsi="Arial"/>
                  <w:sz w:val="15"/>
                  <w:szCs w:val="15"/>
                  <w:color w:val="0000FF"/>
                  <w:w w:val="95"/>
                </w:rPr>
                <w:t>Havelock Fund Investments Pte Ltd. and North Island Holdings I, LP (incorporated herein by reference to Exhibit 10.2 to the Company’s</w:t>
              </w:r>
            </w:hyperlink>
          </w:p>
        </w:tc>
        <w:tc>
          <w:tcPr>
            <w:tcW w:w="120" w:type="dxa"/>
            <w:vAlign w:val="bottom"/>
            <w:tcBorders>
              <w:top w:val="single" w:sz="8" w:color="FEFEFE"/>
              <w:bottom w:val="single" w:sz="8" w:color="0000FF"/>
              <w:right w:val="single" w:sz="8" w:color="FEFEFE"/>
            </w:tcBorders>
            <w:shd w:val="clear" w:color="auto" w:fill="FEFEFE"/>
          </w:tcPr>
          <w:p>
            <w:pPr>
              <w:spacing w:after="0"/>
              <w:rPr>
                <w:sz w:val="11"/>
                <w:szCs w:val="11"/>
                <w:color w:val="auto"/>
              </w:rPr>
            </w:pPr>
          </w:p>
        </w:tc>
        <w:tc>
          <w:tcPr>
            <w:tcW w:w="320" w:type="dxa"/>
            <w:vAlign w:val="bottom"/>
            <w:tcBorders>
              <w:top w:val="single" w:sz="8" w:color="FEFEFE"/>
              <w:bottom w:val="single" w:sz="8" w:color="FEFEFE"/>
            </w:tcBorders>
            <w:gridSpan w:val="8"/>
            <w:shd w:val="clear" w:color="auto" w:fill="FEFEFE"/>
          </w:tcPr>
          <w:p>
            <w:pPr>
              <w:spacing w:after="0"/>
              <w:rPr>
                <w:sz w:val="11"/>
                <w:szCs w:val="11"/>
                <w:color w:val="auto"/>
              </w:rPr>
            </w:pPr>
          </w:p>
        </w:tc>
        <w:tc>
          <w:tcPr>
            <w:tcW w:w="40" w:type="dxa"/>
            <w:vAlign w:val="bottom"/>
            <w:tcBorders>
              <w:top w:val="single" w:sz="8" w:color="FEFEFE"/>
              <w:bottom w:val="single" w:sz="8" w:color="FEFEFE"/>
            </w:tcBorders>
            <w:gridSpan w:val="2"/>
            <w:shd w:val="clear" w:color="auto" w:fill="FEFEFE"/>
          </w:tcPr>
          <w:p>
            <w:pPr>
              <w:spacing w:after="0"/>
              <w:rPr>
                <w:sz w:val="11"/>
                <w:szCs w:val="11"/>
                <w:color w:val="auto"/>
              </w:rPr>
            </w:pPr>
          </w:p>
        </w:tc>
        <w:tc>
          <w:tcPr>
            <w:tcW w:w="220" w:type="dxa"/>
            <w:vAlign w:val="bottom"/>
            <w:tcBorders>
              <w:top w:val="single" w:sz="8" w:color="FEFEFE"/>
              <w:bottom w:val="single" w:sz="8" w:color="FEFEFE"/>
              <w:right w:val="single" w:sz="8" w:color="FEFEFE"/>
            </w:tcBorders>
            <w:gridSpan w:val="10"/>
            <w:shd w:val="clear" w:color="auto" w:fill="FEFEF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shd w:val="clear" w:color="auto" w:fill="FEFEFE"/>
          </w:tcPr>
          <w:p>
            <w:pPr>
              <w:spacing w:after="0"/>
              <w:rPr>
                <w:sz w:val="11"/>
                <w:szCs w:val="11"/>
                <w:color w:val="auto"/>
              </w:rPr>
            </w:pPr>
          </w:p>
        </w:tc>
        <w:tc>
          <w:tcPr>
            <w:tcW w:w="8760" w:type="dxa"/>
            <w:vAlign w:val="bottom"/>
            <w:tcBorders>
              <w:right w:val="single" w:sz="8" w:color="FEFEFE"/>
            </w:tcBorders>
            <w:gridSpan w:val="14"/>
            <w:shd w:val="clear" w:color="auto" w:fill="FEFEFE"/>
          </w:tcPr>
          <w:p>
            <w:pPr>
              <w:spacing w:after="0" w:line="134" w:lineRule="exact"/>
              <w:rPr>
                <w:rFonts w:ascii="Arial" w:cs="Arial" w:eastAsia="Arial" w:hAnsi="Arial"/>
                <w:sz w:val="15"/>
                <w:szCs w:val="15"/>
                <w:color w:val="0000FF"/>
              </w:rPr>
            </w:pPr>
            <w:hyperlink r:id="rId198">
              <w:r>
                <w:rPr>
                  <w:rFonts w:ascii="Arial" w:cs="Arial" w:eastAsia="Arial" w:hAnsi="Arial"/>
                  <w:sz w:val="15"/>
                  <w:szCs w:val="15"/>
                  <w:color w:val="0000FF"/>
                </w:rPr>
                <w:t>Quarterly Report on Form 10-Q (File No. 001-37352) filed on May 10, 2017).</w:t>
              </w:r>
            </w:hyperlink>
          </w:p>
        </w:tc>
        <w:tc>
          <w:tcPr>
            <w:tcW w:w="320" w:type="dxa"/>
            <w:vAlign w:val="bottom"/>
            <w:gridSpan w:val="8"/>
            <w:shd w:val="clear" w:color="auto" w:fill="FEFEFE"/>
          </w:tcPr>
          <w:p>
            <w:pPr>
              <w:spacing w:after="0"/>
              <w:rPr>
                <w:sz w:val="11"/>
                <w:szCs w:val="11"/>
                <w:color w:val="auto"/>
              </w:rPr>
            </w:pPr>
          </w:p>
        </w:tc>
        <w:tc>
          <w:tcPr>
            <w:tcW w:w="40" w:type="dxa"/>
            <w:vAlign w:val="bottom"/>
            <w:gridSpan w:val="2"/>
            <w:shd w:val="clear" w:color="auto" w:fill="FEFEFE"/>
          </w:tcPr>
          <w:p>
            <w:pPr>
              <w:spacing w:after="0"/>
              <w:rPr>
                <w:sz w:val="11"/>
                <w:szCs w:val="11"/>
                <w:color w:val="auto"/>
              </w:rPr>
            </w:pPr>
          </w:p>
        </w:tc>
        <w:tc>
          <w:tcPr>
            <w:tcW w:w="220" w:type="dxa"/>
            <w:vAlign w:val="bottom"/>
            <w:tcBorders>
              <w:right w:val="single" w:sz="8" w:color="FEFEFE"/>
            </w:tcBorders>
            <w:gridSpan w:val="10"/>
            <w:shd w:val="clear" w:color="auto" w:fill="FEFEF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FEFEFE"/>
          </w:tcPr>
          <w:p>
            <w:pPr>
              <w:spacing w:after="0" w:line="20" w:lineRule="exact"/>
              <w:rPr>
                <w:sz w:val="1"/>
                <w:szCs w:val="1"/>
                <w:color w:val="auto"/>
              </w:rPr>
            </w:pPr>
          </w:p>
        </w:tc>
        <w:tc>
          <w:tcPr>
            <w:tcW w:w="4940" w:type="dxa"/>
            <w:vAlign w:val="bottom"/>
            <w:gridSpan w:val="5"/>
            <w:shd w:val="clear" w:color="auto" w:fill="0000FF"/>
          </w:tcPr>
          <w:p>
            <w:pPr>
              <w:spacing w:after="0" w:line="20" w:lineRule="exact"/>
              <w:rPr>
                <w:sz w:val="1"/>
                <w:szCs w:val="1"/>
                <w:color w:val="auto"/>
              </w:rPr>
            </w:pPr>
          </w:p>
        </w:tc>
        <w:tc>
          <w:tcPr>
            <w:tcW w:w="3420" w:type="dxa"/>
            <w:vAlign w:val="bottom"/>
            <w:tcBorders>
              <w:right w:val="single" w:sz="8" w:color="FEFEFE"/>
            </w:tcBorders>
            <w:gridSpan w:val="6"/>
            <w:shd w:val="clear" w:color="auto" w:fill="FEFEFE"/>
          </w:tcPr>
          <w:p>
            <w:pPr>
              <w:spacing w:after="0" w:line="20" w:lineRule="exact"/>
              <w:rPr>
                <w:sz w:val="1"/>
                <w:szCs w:val="1"/>
                <w:color w:val="auto"/>
              </w:rPr>
            </w:pPr>
          </w:p>
        </w:tc>
        <w:tc>
          <w:tcPr>
            <w:tcW w:w="720" w:type="dxa"/>
            <w:vAlign w:val="bottom"/>
            <w:gridSpan w:val="11"/>
            <w:shd w:val="clear" w:color="auto" w:fill="FEFEFE"/>
          </w:tcPr>
          <w:p>
            <w:pPr>
              <w:spacing w:after="0" w:line="20" w:lineRule="exact"/>
              <w:rPr>
                <w:sz w:val="1"/>
                <w:szCs w:val="1"/>
                <w:color w:val="auto"/>
              </w:rPr>
            </w:pPr>
          </w:p>
        </w:tc>
        <w:tc>
          <w:tcPr>
            <w:tcW w:w="40" w:type="dxa"/>
            <w:vAlign w:val="bottom"/>
            <w:gridSpan w:val="2"/>
            <w:shd w:val="clear" w:color="auto" w:fill="FEFEFE"/>
          </w:tcPr>
          <w:p>
            <w:pPr>
              <w:spacing w:after="0" w:line="20" w:lineRule="exact"/>
              <w:rPr>
                <w:sz w:val="1"/>
                <w:szCs w:val="1"/>
                <w:color w:val="auto"/>
              </w:rPr>
            </w:pPr>
          </w:p>
        </w:tc>
        <w:tc>
          <w:tcPr>
            <w:tcW w:w="220" w:type="dxa"/>
            <w:vAlign w:val="bottom"/>
            <w:tcBorders>
              <w:right w:val="single" w:sz="8" w:color="FEFEFE"/>
            </w:tcBorders>
            <w:gridSpan w:val="10"/>
            <w:shd w:val="clear" w:color="auto" w:fill="FEFEF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120" w:type="dxa"/>
            <w:vAlign w:val="bottom"/>
          </w:tcPr>
          <w:p>
            <w:pPr>
              <w:ind w:left="20"/>
              <w:spacing w:after="0" w:line="181" w:lineRule="exact"/>
              <w:rPr>
                <w:sz w:val="20"/>
                <w:szCs w:val="20"/>
                <w:color w:val="auto"/>
              </w:rPr>
            </w:pPr>
            <w:r>
              <w:rPr>
                <w:rFonts w:ascii="Arial" w:cs="Arial" w:eastAsia="Arial" w:hAnsi="Arial"/>
                <w:sz w:val="16"/>
                <w:szCs w:val="16"/>
                <w:color w:val="auto"/>
              </w:rPr>
              <w:t>10.24</w:t>
            </w:r>
          </w:p>
        </w:tc>
        <w:tc>
          <w:tcPr>
            <w:tcW w:w="320" w:type="dxa"/>
            <w:vAlign w:val="bottom"/>
          </w:tcPr>
          <w:p>
            <w:pPr>
              <w:spacing w:after="0"/>
              <w:rPr>
                <w:sz w:val="15"/>
                <w:szCs w:val="15"/>
                <w:color w:val="auto"/>
              </w:rPr>
            </w:pPr>
          </w:p>
        </w:tc>
        <w:tc>
          <w:tcPr>
            <w:tcW w:w="540" w:type="dxa"/>
            <w:vAlign w:val="bottom"/>
            <w:shd w:val="clear" w:color="auto" w:fill="FEFEFE"/>
          </w:tcPr>
          <w:p>
            <w:pPr>
              <w:spacing w:after="0"/>
              <w:rPr>
                <w:sz w:val="15"/>
                <w:szCs w:val="15"/>
                <w:color w:val="auto"/>
              </w:rPr>
            </w:pPr>
          </w:p>
        </w:tc>
        <w:tc>
          <w:tcPr>
            <w:tcW w:w="9340" w:type="dxa"/>
            <w:vAlign w:val="bottom"/>
            <w:tcBorders>
              <w:right w:val="single" w:sz="8" w:color="FEFEFE"/>
            </w:tcBorders>
            <w:gridSpan w:val="34"/>
            <w:shd w:val="clear" w:color="auto" w:fill="FEFEFE"/>
          </w:tcPr>
          <w:p>
            <w:pPr>
              <w:spacing w:after="0" w:line="181" w:lineRule="exact"/>
              <w:rPr>
                <w:rFonts w:ascii="Arial" w:cs="Arial" w:eastAsia="Arial" w:hAnsi="Arial"/>
                <w:sz w:val="16"/>
                <w:szCs w:val="16"/>
                <w:color w:val="0000FF"/>
                <w:w w:val="92"/>
              </w:rPr>
            </w:pPr>
            <w:hyperlink r:id="rId199">
              <w:r>
                <w:rPr>
                  <w:rFonts w:ascii="Arial" w:cs="Arial" w:eastAsia="Arial" w:hAnsi="Arial"/>
                  <w:sz w:val="16"/>
                  <w:szCs w:val="16"/>
                  <w:color w:val="0000FF"/>
                  <w:w w:val="92"/>
                </w:rPr>
                <w:t>Amended and Restated Registration Rights Agreement, dated April 20, 2017, by and among Virtu Financial, Inc., TJMT Holdings LLC, Aranda</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Borders>
              <w:top w:val="single" w:sz="8" w:color="FEFEFE"/>
            </w:tcBorders>
            <w:shd w:val="clear" w:color="auto" w:fill="FEFEFE"/>
          </w:tcPr>
          <w:p>
            <w:pPr>
              <w:spacing w:after="0"/>
              <w:rPr>
                <w:sz w:val="11"/>
                <w:szCs w:val="11"/>
                <w:color w:val="auto"/>
              </w:rPr>
            </w:pPr>
          </w:p>
        </w:tc>
        <w:tc>
          <w:tcPr>
            <w:tcW w:w="9120" w:type="dxa"/>
            <w:vAlign w:val="bottom"/>
            <w:tcBorders>
              <w:top w:val="single" w:sz="8" w:color="0000FF"/>
            </w:tcBorders>
            <w:gridSpan w:val="24"/>
            <w:shd w:val="clear" w:color="auto" w:fill="FEFEFE"/>
          </w:tcPr>
          <w:p>
            <w:pPr>
              <w:spacing w:after="0" w:line="134" w:lineRule="exact"/>
              <w:rPr>
                <w:rFonts w:ascii="Arial" w:cs="Arial" w:eastAsia="Arial" w:hAnsi="Arial"/>
                <w:sz w:val="15"/>
                <w:szCs w:val="15"/>
                <w:color w:val="0000FF"/>
                <w:w w:val="96"/>
              </w:rPr>
            </w:pPr>
            <w:hyperlink r:id="rId199">
              <w:r>
                <w:rPr>
                  <w:rFonts w:ascii="Arial" w:cs="Arial" w:eastAsia="Arial" w:hAnsi="Arial"/>
                  <w:sz w:val="15"/>
                  <w:szCs w:val="15"/>
                  <w:color w:val="0000FF"/>
                  <w:w w:val="96"/>
                </w:rPr>
                <w:t>Investments Pte. Ltd., Havelock Fund Investments Pte Ltd., North Island Holdings I, LP and the additional holders named therein (incorporated</w:t>
              </w:r>
            </w:hyperlink>
          </w:p>
        </w:tc>
        <w:tc>
          <w:tcPr>
            <w:tcW w:w="220" w:type="dxa"/>
            <w:vAlign w:val="bottom"/>
            <w:tcBorders>
              <w:top w:val="single" w:sz="8" w:color="FEFEFE"/>
              <w:right w:val="single" w:sz="8" w:color="FEFEFE"/>
            </w:tcBorders>
            <w:gridSpan w:val="10"/>
            <w:shd w:val="clear" w:color="auto" w:fill="FEFEF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Borders>
              <w:top w:val="single" w:sz="8" w:color="FEFEFE"/>
              <w:bottom w:val="single" w:sz="8" w:color="FEFEFE"/>
            </w:tcBorders>
            <w:shd w:val="clear" w:color="auto" w:fill="FEFEFE"/>
          </w:tcPr>
          <w:p>
            <w:pPr>
              <w:spacing w:after="0"/>
              <w:rPr>
                <w:sz w:val="12"/>
                <w:szCs w:val="12"/>
                <w:color w:val="auto"/>
              </w:rPr>
            </w:pPr>
          </w:p>
        </w:tc>
        <w:tc>
          <w:tcPr>
            <w:tcW w:w="8360" w:type="dxa"/>
            <w:vAlign w:val="bottom"/>
            <w:tcBorders>
              <w:top w:val="single" w:sz="8" w:color="0000FF"/>
              <w:bottom w:val="single" w:sz="8" w:color="0000FF"/>
              <w:right w:val="single" w:sz="8" w:color="FEFEFE"/>
            </w:tcBorders>
            <w:gridSpan w:val="11"/>
            <w:shd w:val="clear" w:color="auto" w:fill="FEFEFE"/>
          </w:tcPr>
          <w:p>
            <w:pPr>
              <w:spacing w:after="0" w:line="134" w:lineRule="exact"/>
              <w:rPr>
                <w:rFonts w:ascii="Arial" w:cs="Arial" w:eastAsia="Arial" w:hAnsi="Arial"/>
                <w:sz w:val="15"/>
                <w:szCs w:val="15"/>
                <w:color w:val="0000FF"/>
                <w:w w:val="96"/>
              </w:rPr>
            </w:pPr>
            <w:hyperlink r:id="rId199">
              <w:r>
                <w:rPr>
                  <w:rFonts w:ascii="Arial" w:cs="Arial" w:eastAsia="Arial" w:hAnsi="Arial"/>
                  <w:sz w:val="15"/>
                  <w:szCs w:val="15"/>
                  <w:color w:val="0000FF"/>
                  <w:w w:val="96"/>
                </w:rPr>
                <w:t>herein by reference to Exhibit 10.3 to the Company’s Quarterly Report on Form 10-Q (File No. 001-37352) filed on May 10, 2017).</w:t>
              </w:r>
            </w:hyperlink>
          </w:p>
        </w:tc>
        <w:tc>
          <w:tcPr>
            <w:tcW w:w="720" w:type="dxa"/>
            <w:vAlign w:val="bottom"/>
            <w:tcBorders>
              <w:top w:val="single" w:sz="8" w:color="0000FF"/>
              <w:bottom w:val="single" w:sz="8" w:color="FEFEFE"/>
            </w:tcBorders>
            <w:gridSpan w:val="11"/>
            <w:shd w:val="clear" w:color="auto" w:fill="FEFEFE"/>
          </w:tcPr>
          <w:p>
            <w:pPr>
              <w:spacing w:after="0"/>
              <w:rPr>
                <w:sz w:val="12"/>
                <w:szCs w:val="12"/>
                <w:color w:val="auto"/>
              </w:rPr>
            </w:pPr>
          </w:p>
        </w:tc>
        <w:tc>
          <w:tcPr>
            <w:tcW w:w="260" w:type="dxa"/>
            <w:vAlign w:val="bottom"/>
            <w:tcBorders>
              <w:top w:val="single" w:sz="8" w:color="FEFEFE"/>
              <w:bottom w:val="single" w:sz="8" w:color="FEFEFE"/>
              <w:right w:val="single" w:sz="8" w:color="FEFEFE"/>
            </w:tcBorders>
            <w:gridSpan w:val="12"/>
            <w:shd w:val="clear" w:color="auto" w:fill="FEFEF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56"/>
        </w:trPr>
        <w:tc>
          <w:tcPr>
            <w:tcW w:w="1120" w:type="dxa"/>
            <w:vAlign w:val="bottom"/>
          </w:tcPr>
          <w:p>
            <w:pPr>
              <w:spacing w:after="0"/>
              <w:rPr>
                <w:sz w:val="24"/>
                <w:szCs w:val="24"/>
                <w:color w:val="auto"/>
              </w:rPr>
            </w:pPr>
          </w:p>
        </w:tc>
        <w:tc>
          <w:tcPr>
            <w:tcW w:w="4940" w:type="dxa"/>
            <w:vAlign w:val="bottom"/>
            <w:gridSpan w:val="6"/>
          </w:tcPr>
          <w:p>
            <w:pPr>
              <w:jc w:val="right"/>
              <w:ind w:right="320"/>
              <w:spacing w:after="0"/>
              <w:rPr>
                <w:sz w:val="20"/>
                <w:szCs w:val="20"/>
                <w:color w:val="auto"/>
              </w:rPr>
            </w:pPr>
            <w:r>
              <w:rPr>
                <w:rFonts w:ascii="Arial" w:cs="Arial" w:eastAsia="Arial" w:hAnsi="Arial"/>
                <w:sz w:val="16"/>
                <w:szCs w:val="16"/>
                <w:color w:val="auto"/>
              </w:rPr>
              <w:t>144</w:t>
            </w: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11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198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7125335</wp:posOffset>
            </wp:positionH>
            <wp:positionV relativeFrom="paragraph">
              <wp:posOffset>-27305</wp:posOffset>
            </wp:positionV>
            <wp:extent cx="33020" cy="406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1">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09" w:right="319" w:bottom="1440" w:gutter="0" w:footer="0" w:header="0"/>
        </w:sectPr>
      </w:pPr>
    </w:p>
    <w:bookmarkStart w:id="144" w:name="page145"/>
    <w:bookmarkEnd w:id="144"/>
    <w:tbl>
      <w:tblPr>
        <w:tblLayout w:type="fixed"/>
        <w:tblInd w:w="0" w:type="dxa"/>
        <w:tblCellMar>
          <w:top w:w="0" w:type="dxa"/>
          <w:left w:w="0" w:type="dxa"/>
          <w:bottom w:w="0" w:type="dxa"/>
          <w:right w:w="0" w:type="dxa"/>
        </w:tblCellMar>
      </w:tblPr>
      <w:tr>
        <w:trPr>
          <w:trHeight w:val="184"/>
        </w:trPr>
        <w:tc>
          <w:tcPr>
            <w:tcW w:w="112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87"/>
              </w:rPr>
              <w:t>Table of Contents</w:t>
            </w: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5"/>
        </w:trPr>
        <w:tc>
          <w:tcPr>
            <w:tcW w:w="1120" w:type="dxa"/>
            <w:vAlign w:val="bottom"/>
            <w:vMerge w:val="restart"/>
          </w:tcPr>
          <w:p>
            <w:pPr>
              <w:ind w:left="20"/>
              <w:spacing w:after="0"/>
              <w:rPr>
                <w:sz w:val="20"/>
                <w:szCs w:val="20"/>
                <w:color w:val="auto"/>
              </w:rPr>
            </w:pPr>
            <w:r>
              <w:rPr>
                <w:rFonts w:ascii="Arial" w:cs="Arial" w:eastAsia="Arial" w:hAnsi="Arial"/>
                <w:sz w:val="16"/>
                <w:szCs w:val="16"/>
                <w:color w:val="auto"/>
              </w:rPr>
              <w:t>10.25</w:t>
            </w: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11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Borders>
              <w:right w:val="single" w:sz="8" w:color="FEFEFE"/>
            </w:tcBorders>
            <w:shd w:val="clear" w:color="auto" w:fill="FEFEFE"/>
          </w:tcPr>
          <w:p>
            <w:pPr>
              <w:spacing w:after="0"/>
              <w:rPr>
                <w:sz w:val="14"/>
                <w:szCs w:val="14"/>
                <w:color w:val="auto"/>
              </w:rPr>
            </w:pPr>
          </w:p>
        </w:tc>
        <w:tc>
          <w:tcPr>
            <w:tcW w:w="9240" w:type="dxa"/>
            <w:vAlign w:val="bottom"/>
            <w:tcBorders>
              <w:right w:val="single" w:sz="8" w:color="FEFEFE"/>
            </w:tcBorders>
            <w:gridSpan w:val="32"/>
            <w:shd w:val="clear" w:color="auto" w:fill="FEFEFE"/>
          </w:tcPr>
          <w:p>
            <w:pPr>
              <w:spacing w:after="0" w:line="166" w:lineRule="exact"/>
              <w:rPr>
                <w:rFonts w:ascii="Arial" w:cs="Arial" w:eastAsia="Arial" w:hAnsi="Arial"/>
                <w:sz w:val="16"/>
                <w:szCs w:val="16"/>
                <w:color w:val="0000FF"/>
                <w:w w:val="93"/>
              </w:rPr>
            </w:pPr>
            <w:hyperlink r:id="rId202">
              <w:r>
                <w:rPr>
                  <w:rFonts w:ascii="Arial" w:cs="Arial" w:eastAsia="Arial" w:hAnsi="Arial"/>
                  <w:sz w:val="16"/>
                  <w:szCs w:val="16"/>
                  <w:color w:val="0000FF"/>
                  <w:w w:val="93"/>
                </w:rPr>
                <w:t>Second Amendment, dated as of June 2, 2017, to the Third Amended and Restated Limited Liability Company Agreement of Virtu Financial</w:t>
              </w:r>
            </w:hyperlink>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Borders>
              <w:top w:val="single" w:sz="8" w:color="FEFEFE"/>
              <w:right w:val="single" w:sz="8" w:color="FEFEFE"/>
            </w:tcBorders>
            <w:shd w:val="clear" w:color="auto" w:fill="FEFEFE"/>
          </w:tcPr>
          <w:p>
            <w:pPr>
              <w:spacing w:after="0"/>
              <w:rPr>
                <w:sz w:val="11"/>
                <w:szCs w:val="11"/>
                <w:color w:val="auto"/>
              </w:rPr>
            </w:pPr>
          </w:p>
        </w:tc>
        <w:tc>
          <w:tcPr>
            <w:tcW w:w="8880" w:type="dxa"/>
            <w:vAlign w:val="bottom"/>
            <w:tcBorders>
              <w:top w:val="single" w:sz="8" w:color="0000FF"/>
            </w:tcBorders>
            <w:gridSpan w:val="19"/>
            <w:shd w:val="clear" w:color="auto" w:fill="FEFEFE"/>
          </w:tcPr>
          <w:p>
            <w:pPr>
              <w:spacing w:after="0" w:line="134" w:lineRule="exact"/>
              <w:rPr>
                <w:rFonts w:ascii="Arial" w:cs="Arial" w:eastAsia="Arial" w:hAnsi="Arial"/>
                <w:sz w:val="15"/>
                <w:szCs w:val="15"/>
                <w:color w:val="0000FF"/>
                <w:w w:val="97"/>
              </w:rPr>
            </w:pPr>
            <w:hyperlink r:id="rId202">
              <w:r>
                <w:rPr>
                  <w:rFonts w:ascii="Arial" w:cs="Arial" w:eastAsia="Arial" w:hAnsi="Arial"/>
                  <w:sz w:val="15"/>
                  <w:szCs w:val="15"/>
                  <w:color w:val="0000FF"/>
                  <w:w w:val="97"/>
                </w:rPr>
                <w:t>LLC, by and among Virtu Financial LLC, Virtu Financial, Inc. and TJMT Holdings LLC (incorporated herein by reference to Exhibit 10.1 to</w:t>
              </w:r>
            </w:hyperlink>
          </w:p>
        </w:tc>
        <w:tc>
          <w:tcPr>
            <w:tcW w:w="360" w:type="dxa"/>
            <w:vAlign w:val="bottom"/>
            <w:tcBorders>
              <w:top w:val="single" w:sz="8" w:color="FEFEFE"/>
              <w:right w:val="single" w:sz="8" w:color="FEFEFE"/>
            </w:tcBorders>
            <w:gridSpan w:val="13"/>
            <w:shd w:val="clear" w:color="auto" w:fill="FEFEFE"/>
          </w:tcPr>
          <w:p>
            <w:pPr>
              <w:ind w:left="20"/>
              <w:spacing w:after="0" w:line="134" w:lineRule="exact"/>
              <w:rPr>
                <w:rFonts w:ascii="Arial" w:cs="Arial" w:eastAsia="Arial" w:hAnsi="Arial"/>
                <w:sz w:val="15"/>
                <w:szCs w:val="15"/>
                <w:color w:val="0000FF"/>
              </w:rPr>
            </w:pPr>
            <w:hyperlink r:id="rId202">
              <w:r>
                <w:rPr>
                  <w:rFonts w:ascii="Arial" w:cs="Arial" w:eastAsia="Arial" w:hAnsi="Arial"/>
                  <w:sz w:val="15"/>
                  <w:szCs w:val="15"/>
                  <w:color w:val="0000FF"/>
                </w:rPr>
                <w:t>the</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Borders>
              <w:top w:val="single" w:sz="8" w:color="FEFEFE"/>
              <w:right w:val="single" w:sz="8" w:color="FEFEFE"/>
            </w:tcBorders>
            <w:shd w:val="clear" w:color="auto" w:fill="FEFEFE"/>
          </w:tcPr>
          <w:p>
            <w:pPr>
              <w:spacing w:after="0"/>
              <w:rPr>
                <w:sz w:val="11"/>
                <w:szCs w:val="11"/>
                <w:color w:val="auto"/>
              </w:rPr>
            </w:pPr>
          </w:p>
        </w:tc>
        <w:tc>
          <w:tcPr>
            <w:tcW w:w="9100" w:type="dxa"/>
            <w:vAlign w:val="bottom"/>
            <w:tcBorders>
              <w:top w:val="single" w:sz="8" w:color="0000FF"/>
            </w:tcBorders>
            <w:gridSpan w:val="26"/>
            <w:shd w:val="clear" w:color="auto" w:fill="FEFEFE"/>
          </w:tcPr>
          <w:p>
            <w:pPr>
              <w:spacing w:after="0" w:line="134" w:lineRule="exact"/>
              <w:rPr>
                <w:rFonts w:ascii="Arial" w:cs="Arial" w:eastAsia="Arial" w:hAnsi="Arial"/>
                <w:sz w:val="15"/>
                <w:szCs w:val="15"/>
                <w:color w:val="0000FF"/>
              </w:rPr>
            </w:pPr>
            <w:hyperlink r:id="rId202">
              <w:r>
                <w:rPr>
                  <w:rFonts w:ascii="Arial" w:cs="Arial" w:eastAsia="Arial" w:hAnsi="Arial"/>
                  <w:sz w:val="15"/>
                  <w:szCs w:val="15"/>
                  <w:color w:val="0000FF"/>
                </w:rPr>
                <w:t>Company’s Current Report on Form 8-K (File No. 001-37352) filed on June 2, 2017).</w:t>
              </w:r>
            </w:hyperlink>
          </w:p>
        </w:tc>
        <w:tc>
          <w:tcPr>
            <w:tcW w:w="20" w:type="dxa"/>
            <w:vAlign w:val="bottom"/>
            <w:tcBorders>
              <w:top w:val="single" w:sz="8" w:color="FEFEFE"/>
            </w:tcBorders>
            <w:shd w:val="clear" w:color="auto" w:fill="FEFEFE"/>
          </w:tcPr>
          <w:p>
            <w:pPr>
              <w:spacing w:after="0"/>
              <w:rPr>
                <w:sz w:val="11"/>
                <w:szCs w:val="11"/>
                <w:color w:val="auto"/>
              </w:rPr>
            </w:pPr>
          </w:p>
        </w:tc>
        <w:tc>
          <w:tcPr>
            <w:tcW w:w="20" w:type="dxa"/>
            <w:vAlign w:val="bottom"/>
            <w:tcBorders>
              <w:top w:val="single" w:sz="8" w:color="FEFEFE"/>
            </w:tcBorders>
            <w:shd w:val="clear" w:color="auto" w:fill="FEFEFE"/>
          </w:tcPr>
          <w:p>
            <w:pPr>
              <w:spacing w:after="0"/>
              <w:rPr>
                <w:sz w:val="11"/>
                <w:szCs w:val="11"/>
                <w:color w:val="auto"/>
              </w:rPr>
            </w:pPr>
          </w:p>
        </w:tc>
        <w:tc>
          <w:tcPr>
            <w:tcW w:w="20" w:type="dxa"/>
            <w:vAlign w:val="bottom"/>
            <w:tcBorders>
              <w:top w:val="single" w:sz="8" w:color="FEFEFE"/>
            </w:tcBorders>
            <w:shd w:val="clear" w:color="auto" w:fill="FEFEFE"/>
          </w:tcPr>
          <w:p>
            <w:pPr>
              <w:spacing w:after="0"/>
              <w:rPr>
                <w:sz w:val="11"/>
                <w:szCs w:val="11"/>
                <w:color w:val="auto"/>
              </w:rPr>
            </w:pPr>
          </w:p>
        </w:tc>
        <w:tc>
          <w:tcPr>
            <w:tcW w:w="20" w:type="dxa"/>
            <w:vAlign w:val="bottom"/>
            <w:tcBorders>
              <w:top w:val="single" w:sz="8" w:color="FEFEFE"/>
            </w:tcBorders>
            <w:shd w:val="clear" w:color="auto" w:fill="FEFEFE"/>
          </w:tcPr>
          <w:p>
            <w:pPr>
              <w:spacing w:after="0"/>
              <w:rPr>
                <w:sz w:val="11"/>
                <w:szCs w:val="11"/>
                <w:color w:val="auto"/>
              </w:rPr>
            </w:pPr>
          </w:p>
        </w:tc>
        <w:tc>
          <w:tcPr>
            <w:tcW w:w="20" w:type="dxa"/>
            <w:vAlign w:val="bottom"/>
            <w:tcBorders>
              <w:top w:val="single" w:sz="8" w:color="FEFEFE"/>
            </w:tcBorders>
            <w:shd w:val="clear" w:color="auto" w:fill="FEFEFE"/>
          </w:tcPr>
          <w:p>
            <w:pPr>
              <w:spacing w:after="0"/>
              <w:rPr>
                <w:sz w:val="11"/>
                <w:szCs w:val="11"/>
                <w:color w:val="auto"/>
              </w:rPr>
            </w:pPr>
          </w:p>
        </w:tc>
        <w:tc>
          <w:tcPr>
            <w:tcW w:w="40" w:type="dxa"/>
            <w:vAlign w:val="bottom"/>
            <w:tcBorders>
              <w:top w:val="single" w:sz="8" w:color="FEFEFE"/>
              <w:right w:val="single" w:sz="8" w:color="FEFEFE"/>
            </w:tcBorders>
            <w:shd w:val="clear" w:color="auto" w:fill="FEFEF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right w:val="single" w:sz="8" w:color="FEFEFE"/>
            </w:tcBorders>
            <w:shd w:val="clear" w:color="auto" w:fill="FEFEFE"/>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FEFEFE"/>
          </w:tcPr>
          <w:p>
            <w:pPr>
              <w:spacing w:after="0" w:line="20" w:lineRule="exact"/>
              <w:rPr>
                <w:sz w:val="1"/>
                <w:szCs w:val="1"/>
                <w:color w:val="auto"/>
              </w:rPr>
            </w:pPr>
          </w:p>
        </w:tc>
        <w:tc>
          <w:tcPr>
            <w:tcW w:w="1700" w:type="dxa"/>
            <w:vAlign w:val="bottom"/>
            <w:shd w:val="clear" w:color="auto" w:fill="FEFEFE"/>
          </w:tcPr>
          <w:p>
            <w:pPr>
              <w:spacing w:after="0" w:line="20" w:lineRule="exact"/>
              <w:rPr>
                <w:sz w:val="1"/>
                <w:szCs w:val="1"/>
                <w:color w:val="auto"/>
              </w:rPr>
            </w:pPr>
          </w:p>
        </w:tc>
        <w:tc>
          <w:tcPr>
            <w:tcW w:w="96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1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60" w:type="dxa"/>
            <w:vAlign w:val="bottom"/>
            <w:shd w:val="clear" w:color="auto" w:fill="FEFEFE"/>
          </w:tcPr>
          <w:p>
            <w:pPr>
              <w:spacing w:after="0" w:line="20" w:lineRule="exact"/>
              <w:rPr>
                <w:sz w:val="1"/>
                <w:szCs w:val="1"/>
                <w:color w:val="auto"/>
              </w:rPr>
            </w:pPr>
          </w:p>
        </w:tc>
        <w:tc>
          <w:tcPr>
            <w:tcW w:w="10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6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40" w:type="dxa"/>
            <w:vAlign w:val="bottom"/>
            <w:tcBorders>
              <w:right w:val="single" w:sz="8" w:color="FEFEFE"/>
            </w:tcBorders>
            <w:shd w:val="clear" w:color="auto" w:fill="FEFEF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120" w:type="dxa"/>
            <w:vAlign w:val="bottom"/>
          </w:tcPr>
          <w:p>
            <w:pPr>
              <w:ind w:left="20"/>
              <w:spacing w:after="0" w:line="181" w:lineRule="exact"/>
              <w:rPr>
                <w:sz w:val="20"/>
                <w:szCs w:val="20"/>
                <w:color w:val="auto"/>
              </w:rPr>
            </w:pPr>
            <w:r>
              <w:rPr>
                <w:rFonts w:ascii="Arial" w:cs="Arial" w:eastAsia="Arial" w:hAnsi="Arial"/>
                <w:sz w:val="16"/>
                <w:szCs w:val="16"/>
                <w:color w:val="auto"/>
              </w:rPr>
              <w:t>10.26</w:t>
            </w:r>
          </w:p>
        </w:tc>
        <w:tc>
          <w:tcPr>
            <w:tcW w:w="320" w:type="dxa"/>
            <w:vAlign w:val="bottom"/>
          </w:tcPr>
          <w:p>
            <w:pPr>
              <w:spacing w:after="0"/>
              <w:rPr>
                <w:sz w:val="15"/>
                <w:szCs w:val="15"/>
                <w:color w:val="auto"/>
              </w:rPr>
            </w:pPr>
          </w:p>
        </w:tc>
        <w:tc>
          <w:tcPr>
            <w:tcW w:w="580" w:type="dxa"/>
            <w:vAlign w:val="bottom"/>
            <w:tcBorders>
              <w:right w:val="single" w:sz="8" w:color="FEFEFE"/>
            </w:tcBorders>
            <w:shd w:val="clear" w:color="auto" w:fill="FEFEFE"/>
          </w:tcPr>
          <w:p>
            <w:pPr>
              <w:spacing w:after="0"/>
              <w:rPr>
                <w:sz w:val="15"/>
                <w:szCs w:val="15"/>
                <w:color w:val="auto"/>
              </w:rPr>
            </w:pPr>
          </w:p>
        </w:tc>
        <w:tc>
          <w:tcPr>
            <w:tcW w:w="9240" w:type="dxa"/>
            <w:vAlign w:val="bottom"/>
            <w:tcBorders>
              <w:right w:val="single" w:sz="8" w:color="FEFEFE"/>
            </w:tcBorders>
            <w:gridSpan w:val="32"/>
            <w:shd w:val="clear" w:color="auto" w:fill="FEFEFE"/>
          </w:tcPr>
          <w:p>
            <w:pPr>
              <w:spacing w:after="0" w:line="181" w:lineRule="exact"/>
              <w:rPr>
                <w:rFonts w:ascii="Arial" w:cs="Arial" w:eastAsia="Arial" w:hAnsi="Arial"/>
                <w:sz w:val="16"/>
                <w:szCs w:val="16"/>
                <w:color w:val="0000FF"/>
                <w:w w:val="90"/>
              </w:rPr>
            </w:pPr>
            <w:hyperlink r:id="rId203">
              <w:r>
                <w:rPr>
                  <w:rFonts w:ascii="Arial" w:cs="Arial" w:eastAsia="Arial" w:hAnsi="Arial"/>
                  <w:sz w:val="16"/>
                  <w:szCs w:val="16"/>
                  <w:color w:val="0000FF"/>
                  <w:w w:val="90"/>
                </w:rPr>
                <w:t>Amended and Restated Investment Agreement, dated as of June 23, 2017, by and between Virtu Financial, Inc. and North Island Holdings I, LP</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Borders>
              <w:top w:val="single" w:sz="8" w:color="FEFEFE"/>
              <w:right w:val="single" w:sz="8" w:color="FEFEFE"/>
            </w:tcBorders>
            <w:shd w:val="clear" w:color="auto" w:fill="FEFEFE"/>
          </w:tcPr>
          <w:p>
            <w:pPr>
              <w:spacing w:after="0"/>
              <w:rPr>
                <w:sz w:val="11"/>
                <w:szCs w:val="11"/>
                <w:color w:val="auto"/>
              </w:rPr>
            </w:pPr>
          </w:p>
        </w:tc>
        <w:tc>
          <w:tcPr>
            <w:tcW w:w="9040" w:type="dxa"/>
            <w:vAlign w:val="bottom"/>
            <w:tcBorders>
              <w:top w:val="single" w:sz="8" w:color="0000FF"/>
            </w:tcBorders>
            <w:gridSpan w:val="24"/>
            <w:shd w:val="clear" w:color="auto" w:fill="FEFEFE"/>
          </w:tcPr>
          <w:p>
            <w:pPr>
              <w:spacing w:after="0" w:line="134" w:lineRule="exact"/>
              <w:rPr>
                <w:rFonts w:ascii="Arial" w:cs="Arial" w:eastAsia="Arial" w:hAnsi="Arial"/>
                <w:sz w:val="15"/>
                <w:szCs w:val="15"/>
                <w:color w:val="0000FF"/>
                <w:w w:val="98"/>
              </w:rPr>
            </w:pPr>
            <w:hyperlink r:id="rId203">
              <w:r>
                <w:rPr>
                  <w:rFonts w:ascii="Arial" w:cs="Arial" w:eastAsia="Arial" w:hAnsi="Arial"/>
                  <w:sz w:val="15"/>
                  <w:szCs w:val="15"/>
                  <w:color w:val="0000FF"/>
                  <w:w w:val="98"/>
                </w:rPr>
                <w:t>(incorporated herein by reference to Exhibit 10.8 to the Company’s Quarterly Report on Form 10-Q (File No. 001-37352) filed on August 9,</w:t>
              </w:r>
            </w:hyperlink>
          </w:p>
        </w:tc>
        <w:tc>
          <w:tcPr>
            <w:tcW w:w="20" w:type="dxa"/>
            <w:vAlign w:val="bottom"/>
            <w:tcBorders>
              <w:top w:val="single" w:sz="8" w:color="FEFEFE"/>
            </w:tcBorders>
            <w:shd w:val="clear" w:color="auto" w:fill="FEFEFE"/>
          </w:tcPr>
          <w:p>
            <w:pPr>
              <w:spacing w:after="0"/>
              <w:rPr>
                <w:sz w:val="11"/>
                <w:szCs w:val="11"/>
                <w:color w:val="auto"/>
              </w:rPr>
            </w:pPr>
          </w:p>
        </w:tc>
        <w:tc>
          <w:tcPr>
            <w:tcW w:w="60" w:type="dxa"/>
            <w:vAlign w:val="bottom"/>
            <w:tcBorders>
              <w:top w:val="single" w:sz="8" w:color="FEFEFE"/>
            </w:tcBorders>
            <w:gridSpan w:val="2"/>
            <w:shd w:val="clear" w:color="auto" w:fill="FEFEFE"/>
          </w:tcPr>
          <w:p>
            <w:pPr>
              <w:spacing w:after="0"/>
              <w:rPr>
                <w:sz w:val="11"/>
                <w:szCs w:val="11"/>
                <w:color w:val="auto"/>
              </w:rPr>
            </w:pPr>
          </w:p>
        </w:tc>
        <w:tc>
          <w:tcPr>
            <w:tcW w:w="20" w:type="dxa"/>
            <w:vAlign w:val="bottom"/>
            <w:tcBorders>
              <w:top w:val="single" w:sz="8" w:color="FEFEFE"/>
            </w:tcBorders>
            <w:shd w:val="clear" w:color="auto" w:fill="FEFEFE"/>
          </w:tcPr>
          <w:p>
            <w:pPr>
              <w:spacing w:after="0"/>
              <w:rPr>
                <w:sz w:val="11"/>
                <w:szCs w:val="11"/>
                <w:color w:val="auto"/>
              </w:rPr>
            </w:pPr>
          </w:p>
        </w:tc>
        <w:tc>
          <w:tcPr>
            <w:tcW w:w="20" w:type="dxa"/>
            <w:vAlign w:val="bottom"/>
            <w:tcBorders>
              <w:top w:val="single" w:sz="8" w:color="FEFEFE"/>
            </w:tcBorders>
            <w:shd w:val="clear" w:color="auto" w:fill="FEFEFE"/>
          </w:tcPr>
          <w:p>
            <w:pPr>
              <w:spacing w:after="0"/>
              <w:rPr>
                <w:sz w:val="11"/>
                <w:szCs w:val="11"/>
                <w:color w:val="auto"/>
              </w:rPr>
            </w:pPr>
          </w:p>
        </w:tc>
        <w:tc>
          <w:tcPr>
            <w:tcW w:w="20" w:type="dxa"/>
            <w:vAlign w:val="bottom"/>
            <w:tcBorders>
              <w:top w:val="single" w:sz="8" w:color="FEFEFE"/>
            </w:tcBorders>
            <w:shd w:val="clear" w:color="auto" w:fill="FEFEFE"/>
          </w:tcPr>
          <w:p>
            <w:pPr>
              <w:spacing w:after="0"/>
              <w:rPr>
                <w:sz w:val="11"/>
                <w:szCs w:val="11"/>
                <w:color w:val="auto"/>
              </w:rPr>
            </w:pPr>
          </w:p>
        </w:tc>
        <w:tc>
          <w:tcPr>
            <w:tcW w:w="20" w:type="dxa"/>
            <w:vAlign w:val="bottom"/>
            <w:tcBorders>
              <w:top w:val="single" w:sz="8" w:color="FEFEFE"/>
            </w:tcBorders>
            <w:shd w:val="clear" w:color="auto" w:fill="FEFEFE"/>
          </w:tcPr>
          <w:p>
            <w:pPr>
              <w:spacing w:after="0"/>
              <w:rPr>
                <w:sz w:val="11"/>
                <w:szCs w:val="11"/>
                <w:color w:val="auto"/>
              </w:rPr>
            </w:pPr>
          </w:p>
        </w:tc>
        <w:tc>
          <w:tcPr>
            <w:tcW w:w="40" w:type="dxa"/>
            <w:vAlign w:val="bottom"/>
            <w:tcBorders>
              <w:top w:val="single" w:sz="8" w:color="FEFEFE"/>
              <w:right w:val="single" w:sz="8" w:color="FEFEFE"/>
            </w:tcBorders>
            <w:shd w:val="clear" w:color="auto" w:fill="FEFEF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Borders>
              <w:top w:val="single" w:sz="8" w:color="FEFEFE"/>
              <w:bottom w:val="single" w:sz="8" w:color="FEFEFE"/>
              <w:right w:val="single" w:sz="8" w:color="FEFEFE"/>
            </w:tcBorders>
            <w:shd w:val="clear" w:color="auto" w:fill="FEFEFE"/>
          </w:tcPr>
          <w:p>
            <w:pPr>
              <w:spacing w:after="0"/>
              <w:rPr>
                <w:sz w:val="11"/>
                <w:szCs w:val="11"/>
                <w:color w:val="auto"/>
              </w:rPr>
            </w:pPr>
          </w:p>
        </w:tc>
        <w:tc>
          <w:tcPr>
            <w:tcW w:w="380" w:type="dxa"/>
            <w:vAlign w:val="bottom"/>
            <w:tcBorders>
              <w:top w:val="single" w:sz="8" w:color="0000FF"/>
              <w:bottom w:val="single" w:sz="8" w:color="0000FF"/>
            </w:tcBorders>
            <w:shd w:val="clear" w:color="auto" w:fill="FEFEFE"/>
          </w:tcPr>
          <w:p>
            <w:pPr>
              <w:spacing w:after="0" w:line="134" w:lineRule="exact"/>
              <w:rPr>
                <w:rFonts w:ascii="Arial" w:cs="Arial" w:eastAsia="Arial" w:hAnsi="Arial"/>
                <w:sz w:val="15"/>
                <w:szCs w:val="15"/>
                <w:color w:val="0000FF"/>
                <w:w w:val="84"/>
              </w:rPr>
            </w:pPr>
            <w:hyperlink r:id="rId203">
              <w:r>
                <w:rPr>
                  <w:rFonts w:ascii="Arial" w:cs="Arial" w:eastAsia="Arial" w:hAnsi="Arial"/>
                  <w:sz w:val="15"/>
                  <w:szCs w:val="15"/>
                  <w:color w:val="0000FF"/>
                  <w:w w:val="84"/>
                </w:rPr>
                <w:t>2017).</w:t>
              </w:r>
            </w:hyperlink>
          </w:p>
        </w:tc>
        <w:tc>
          <w:tcPr>
            <w:tcW w:w="1740" w:type="dxa"/>
            <w:vAlign w:val="bottom"/>
            <w:tcBorders>
              <w:top w:val="single" w:sz="8" w:color="0000FF"/>
              <w:bottom w:val="single" w:sz="8" w:color="FEFEFE"/>
            </w:tcBorders>
            <w:shd w:val="clear" w:color="auto" w:fill="FEFEFE"/>
          </w:tcPr>
          <w:p>
            <w:pPr>
              <w:spacing w:after="0"/>
              <w:rPr>
                <w:sz w:val="11"/>
                <w:szCs w:val="11"/>
                <w:color w:val="auto"/>
              </w:rPr>
            </w:pPr>
          </w:p>
        </w:tc>
        <w:tc>
          <w:tcPr>
            <w:tcW w:w="1760" w:type="dxa"/>
            <w:vAlign w:val="bottom"/>
            <w:tcBorders>
              <w:top w:val="single" w:sz="8" w:color="0000FF"/>
              <w:bottom w:val="single" w:sz="8" w:color="FEFEFE"/>
            </w:tcBorders>
            <w:shd w:val="clear" w:color="auto" w:fill="FEFEFE"/>
          </w:tcPr>
          <w:p>
            <w:pPr>
              <w:spacing w:after="0"/>
              <w:rPr>
                <w:sz w:val="11"/>
                <w:szCs w:val="11"/>
                <w:color w:val="auto"/>
              </w:rPr>
            </w:pPr>
          </w:p>
        </w:tc>
        <w:tc>
          <w:tcPr>
            <w:tcW w:w="660" w:type="dxa"/>
            <w:vAlign w:val="bottom"/>
            <w:tcBorders>
              <w:top w:val="single" w:sz="8" w:color="0000FF"/>
              <w:bottom w:val="single" w:sz="8" w:color="FEFEFE"/>
            </w:tcBorders>
            <w:shd w:val="clear" w:color="auto" w:fill="FEFEFE"/>
          </w:tcPr>
          <w:p>
            <w:pPr>
              <w:spacing w:after="0"/>
              <w:rPr>
                <w:sz w:val="11"/>
                <w:szCs w:val="11"/>
                <w:color w:val="auto"/>
              </w:rPr>
            </w:pPr>
          </w:p>
        </w:tc>
        <w:tc>
          <w:tcPr>
            <w:tcW w:w="500" w:type="dxa"/>
            <w:vAlign w:val="bottom"/>
            <w:tcBorders>
              <w:top w:val="single" w:sz="8" w:color="0000FF"/>
              <w:bottom w:val="single" w:sz="8" w:color="FEFEFE"/>
            </w:tcBorders>
            <w:shd w:val="clear" w:color="auto" w:fill="FEFEFE"/>
          </w:tcPr>
          <w:p>
            <w:pPr>
              <w:spacing w:after="0"/>
              <w:rPr>
                <w:sz w:val="11"/>
                <w:szCs w:val="11"/>
                <w:color w:val="auto"/>
              </w:rPr>
            </w:pPr>
          </w:p>
        </w:tc>
        <w:tc>
          <w:tcPr>
            <w:tcW w:w="340" w:type="dxa"/>
            <w:vAlign w:val="bottom"/>
            <w:tcBorders>
              <w:top w:val="single" w:sz="8" w:color="0000FF"/>
              <w:bottom w:val="single" w:sz="8" w:color="FEFEFE"/>
            </w:tcBorders>
            <w:shd w:val="clear" w:color="auto" w:fill="FEFEFE"/>
          </w:tcPr>
          <w:p>
            <w:pPr>
              <w:spacing w:after="0"/>
              <w:rPr>
                <w:sz w:val="11"/>
                <w:szCs w:val="11"/>
                <w:color w:val="auto"/>
              </w:rPr>
            </w:pPr>
          </w:p>
        </w:tc>
        <w:tc>
          <w:tcPr>
            <w:tcW w:w="420" w:type="dxa"/>
            <w:vAlign w:val="bottom"/>
            <w:tcBorders>
              <w:top w:val="single" w:sz="8" w:color="0000FF"/>
              <w:bottom w:val="single" w:sz="8" w:color="FEFEFE"/>
            </w:tcBorders>
            <w:shd w:val="clear" w:color="auto" w:fill="FEFEFE"/>
          </w:tcPr>
          <w:p>
            <w:pPr>
              <w:spacing w:after="0"/>
              <w:rPr>
                <w:sz w:val="11"/>
                <w:szCs w:val="11"/>
                <w:color w:val="auto"/>
              </w:rPr>
            </w:pPr>
          </w:p>
        </w:tc>
        <w:tc>
          <w:tcPr>
            <w:tcW w:w="1700" w:type="dxa"/>
            <w:vAlign w:val="bottom"/>
            <w:tcBorders>
              <w:top w:val="single" w:sz="8" w:color="0000FF"/>
              <w:bottom w:val="single" w:sz="8" w:color="FEFEFE"/>
            </w:tcBorders>
            <w:shd w:val="clear" w:color="auto" w:fill="FEFEFE"/>
          </w:tcPr>
          <w:p>
            <w:pPr>
              <w:spacing w:after="0"/>
              <w:rPr>
                <w:sz w:val="11"/>
                <w:szCs w:val="11"/>
                <w:color w:val="auto"/>
              </w:rPr>
            </w:pPr>
          </w:p>
        </w:tc>
        <w:tc>
          <w:tcPr>
            <w:tcW w:w="960" w:type="dxa"/>
            <w:vAlign w:val="bottom"/>
            <w:tcBorders>
              <w:top w:val="single" w:sz="8" w:color="0000FF"/>
              <w:bottom w:val="single" w:sz="8" w:color="FEFEFE"/>
            </w:tcBorders>
            <w:shd w:val="clear" w:color="auto" w:fill="FEFEFE"/>
          </w:tcPr>
          <w:p>
            <w:pPr>
              <w:spacing w:after="0"/>
              <w:rPr>
                <w:sz w:val="11"/>
                <w:szCs w:val="11"/>
                <w:color w:val="auto"/>
              </w:rPr>
            </w:pPr>
          </w:p>
        </w:tc>
        <w:tc>
          <w:tcPr>
            <w:tcW w:w="20" w:type="dxa"/>
            <w:vAlign w:val="bottom"/>
            <w:tcBorders>
              <w:top w:val="single" w:sz="8" w:color="0000FF"/>
              <w:bottom w:val="single" w:sz="8" w:color="FEFEFE"/>
            </w:tcBorders>
            <w:shd w:val="clear" w:color="auto" w:fill="FEFEFE"/>
          </w:tcPr>
          <w:p>
            <w:pPr>
              <w:spacing w:after="0"/>
              <w:rPr>
                <w:sz w:val="11"/>
                <w:szCs w:val="11"/>
                <w:color w:val="auto"/>
              </w:rPr>
            </w:pPr>
          </w:p>
        </w:tc>
        <w:tc>
          <w:tcPr>
            <w:tcW w:w="120" w:type="dxa"/>
            <w:vAlign w:val="bottom"/>
            <w:tcBorders>
              <w:top w:val="single" w:sz="8" w:color="0000FF"/>
              <w:bottom w:val="single" w:sz="8" w:color="FEFEFE"/>
            </w:tcBorders>
            <w:shd w:val="clear" w:color="auto" w:fill="FEFEFE"/>
          </w:tcPr>
          <w:p>
            <w:pPr>
              <w:spacing w:after="0"/>
              <w:rPr>
                <w:sz w:val="11"/>
                <w:szCs w:val="11"/>
                <w:color w:val="auto"/>
              </w:rPr>
            </w:pPr>
          </w:p>
        </w:tc>
        <w:tc>
          <w:tcPr>
            <w:tcW w:w="20" w:type="dxa"/>
            <w:vAlign w:val="bottom"/>
            <w:tcBorders>
              <w:top w:val="single" w:sz="8" w:color="0000FF"/>
              <w:bottom w:val="single" w:sz="8" w:color="FEFEFE"/>
            </w:tcBorders>
            <w:shd w:val="clear" w:color="auto" w:fill="FEFEFE"/>
          </w:tcPr>
          <w:p>
            <w:pPr>
              <w:spacing w:after="0"/>
              <w:rPr>
                <w:sz w:val="11"/>
                <w:szCs w:val="11"/>
                <w:color w:val="auto"/>
              </w:rPr>
            </w:pPr>
          </w:p>
        </w:tc>
        <w:tc>
          <w:tcPr>
            <w:tcW w:w="20" w:type="dxa"/>
            <w:vAlign w:val="bottom"/>
            <w:tcBorders>
              <w:top w:val="single" w:sz="8" w:color="0000FF"/>
              <w:bottom w:val="single" w:sz="8" w:color="FEFEFE"/>
            </w:tcBorders>
            <w:shd w:val="clear" w:color="auto" w:fill="FEFEFE"/>
          </w:tcPr>
          <w:p>
            <w:pPr>
              <w:spacing w:after="0"/>
              <w:rPr>
                <w:sz w:val="11"/>
                <w:szCs w:val="11"/>
                <w:color w:val="auto"/>
              </w:rPr>
            </w:pPr>
          </w:p>
        </w:tc>
        <w:tc>
          <w:tcPr>
            <w:tcW w:w="60" w:type="dxa"/>
            <w:vAlign w:val="bottom"/>
            <w:tcBorders>
              <w:top w:val="single" w:sz="8" w:color="0000FF"/>
              <w:bottom w:val="single" w:sz="8" w:color="FEFEFE"/>
            </w:tcBorders>
            <w:shd w:val="clear" w:color="auto" w:fill="FEFEFE"/>
          </w:tcPr>
          <w:p>
            <w:pPr>
              <w:spacing w:after="0"/>
              <w:rPr>
                <w:sz w:val="11"/>
                <w:szCs w:val="11"/>
                <w:color w:val="auto"/>
              </w:rPr>
            </w:pPr>
          </w:p>
        </w:tc>
        <w:tc>
          <w:tcPr>
            <w:tcW w:w="100" w:type="dxa"/>
            <w:vAlign w:val="bottom"/>
            <w:tcBorders>
              <w:top w:val="single" w:sz="8" w:color="0000FF"/>
              <w:bottom w:val="single" w:sz="8" w:color="FEFEFE"/>
            </w:tcBorders>
            <w:shd w:val="clear" w:color="auto" w:fill="FEFEFE"/>
          </w:tcPr>
          <w:p>
            <w:pPr>
              <w:spacing w:after="0"/>
              <w:rPr>
                <w:sz w:val="11"/>
                <w:szCs w:val="11"/>
                <w:color w:val="auto"/>
              </w:rPr>
            </w:pPr>
          </w:p>
        </w:tc>
        <w:tc>
          <w:tcPr>
            <w:tcW w:w="20" w:type="dxa"/>
            <w:vAlign w:val="bottom"/>
            <w:tcBorders>
              <w:top w:val="single" w:sz="8" w:color="0000FF"/>
              <w:bottom w:val="single" w:sz="8" w:color="FEFEFE"/>
            </w:tcBorders>
            <w:shd w:val="clear" w:color="auto" w:fill="FEFEFE"/>
          </w:tcPr>
          <w:p>
            <w:pPr>
              <w:spacing w:after="0"/>
              <w:rPr>
                <w:sz w:val="11"/>
                <w:szCs w:val="11"/>
                <w:color w:val="auto"/>
              </w:rPr>
            </w:pPr>
          </w:p>
        </w:tc>
        <w:tc>
          <w:tcPr>
            <w:tcW w:w="20" w:type="dxa"/>
            <w:vAlign w:val="bottom"/>
            <w:tcBorders>
              <w:top w:val="single" w:sz="8" w:color="0000FF"/>
              <w:bottom w:val="single" w:sz="8" w:color="FEFEFE"/>
            </w:tcBorders>
            <w:shd w:val="clear" w:color="auto" w:fill="FEFEFE"/>
          </w:tcPr>
          <w:p>
            <w:pPr>
              <w:spacing w:after="0"/>
              <w:rPr>
                <w:sz w:val="11"/>
                <w:szCs w:val="11"/>
                <w:color w:val="auto"/>
              </w:rPr>
            </w:pPr>
          </w:p>
        </w:tc>
        <w:tc>
          <w:tcPr>
            <w:tcW w:w="20" w:type="dxa"/>
            <w:vAlign w:val="bottom"/>
            <w:tcBorders>
              <w:top w:val="single" w:sz="8" w:color="0000FF"/>
              <w:bottom w:val="single" w:sz="8" w:color="FEFEFE"/>
            </w:tcBorders>
            <w:shd w:val="clear" w:color="auto" w:fill="FEFEFE"/>
          </w:tcPr>
          <w:p>
            <w:pPr>
              <w:spacing w:after="0"/>
              <w:rPr>
                <w:sz w:val="11"/>
                <w:szCs w:val="11"/>
                <w:color w:val="auto"/>
              </w:rPr>
            </w:pPr>
          </w:p>
        </w:tc>
        <w:tc>
          <w:tcPr>
            <w:tcW w:w="20" w:type="dxa"/>
            <w:vAlign w:val="bottom"/>
            <w:tcBorders>
              <w:top w:val="single" w:sz="8" w:color="FEFEFE"/>
              <w:bottom w:val="single" w:sz="8" w:color="FEFEFE"/>
            </w:tcBorders>
            <w:shd w:val="clear" w:color="auto" w:fill="FEFEFE"/>
          </w:tcPr>
          <w:p>
            <w:pPr>
              <w:spacing w:after="0"/>
              <w:rPr>
                <w:sz w:val="11"/>
                <w:szCs w:val="11"/>
                <w:color w:val="auto"/>
              </w:rPr>
            </w:pPr>
          </w:p>
        </w:tc>
        <w:tc>
          <w:tcPr>
            <w:tcW w:w="20" w:type="dxa"/>
            <w:vAlign w:val="bottom"/>
            <w:tcBorders>
              <w:top w:val="single" w:sz="8" w:color="FEFEFE"/>
              <w:bottom w:val="single" w:sz="8" w:color="FEFEFE"/>
            </w:tcBorders>
            <w:shd w:val="clear" w:color="auto" w:fill="FEFEFE"/>
          </w:tcPr>
          <w:p>
            <w:pPr>
              <w:spacing w:after="0"/>
              <w:rPr>
                <w:sz w:val="11"/>
                <w:szCs w:val="11"/>
                <w:color w:val="auto"/>
              </w:rPr>
            </w:pPr>
          </w:p>
        </w:tc>
        <w:tc>
          <w:tcPr>
            <w:tcW w:w="40" w:type="dxa"/>
            <w:vAlign w:val="bottom"/>
            <w:tcBorders>
              <w:top w:val="single" w:sz="8" w:color="FEFEFE"/>
              <w:bottom w:val="single" w:sz="8" w:color="FEFEFE"/>
            </w:tcBorders>
            <w:shd w:val="clear" w:color="auto" w:fill="FEFEFE"/>
          </w:tcPr>
          <w:p>
            <w:pPr>
              <w:spacing w:after="0"/>
              <w:rPr>
                <w:sz w:val="11"/>
                <w:szCs w:val="11"/>
                <w:color w:val="auto"/>
              </w:rPr>
            </w:pPr>
          </w:p>
        </w:tc>
        <w:tc>
          <w:tcPr>
            <w:tcW w:w="20" w:type="dxa"/>
            <w:vAlign w:val="bottom"/>
            <w:tcBorders>
              <w:top w:val="single" w:sz="8" w:color="FEFEFE"/>
              <w:bottom w:val="single" w:sz="8" w:color="FEFEFE"/>
            </w:tcBorders>
            <w:shd w:val="clear" w:color="auto" w:fill="FEFEFE"/>
          </w:tcPr>
          <w:p>
            <w:pPr>
              <w:spacing w:after="0"/>
              <w:rPr>
                <w:sz w:val="11"/>
                <w:szCs w:val="11"/>
                <w:color w:val="auto"/>
              </w:rPr>
            </w:pPr>
          </w:p>
        </w:tc>
        <w:tc>
          <w:tcPr>
            <w:tcW w:w="20" w:type="dxa"/>
            <w:vAlign w:val="bottom"/>
            <w:tcBorders>
              <w:top w:val="single" w:sz="8" w:color="FEFEFE"/>
              <w:bottom w:val="single" w:sz="8" w:color="FEFEFE"/>
            </w:tcBorders>
            <w:shd w:val="clear" w:color="auto" w:fill="FEFEFE"/>
          </w:tcPr>
          <w:p>
            <w:pPr>
              <w:spacing w:after="0"/>
              <w:rPr>
                <w:sz w:val="11"/>
                <w:szCs w:val="11"/>
                <w:color w:val="auto"/>
              </w:rPr>
            </w:pPr>
          </w:p>
        </w:tc>
        <w:tc>
          <w:tcPr>
            <w:tcW w:w="60" w:type="dxa"/>
            <w:vAlign w:val="bottom"/>
            <w:tcBorders>
              <w:top w:val="single" w:sz="8" w:color="FEFEFE"/>
              <w:bottom w:val="single" w:sz="8" w:color="FEFEFE"/>
            </w:tcBorders>
            <w:shd w:val="clear" w:color="auto" w:fill="FEFEFE"/>
          </w:tcPr>
          <w:p>
            <w:pPr>
              <w:spacing w:after="0"/>
              <w:rPr>
                <w:sz w:val="11"/>
                <w:szCs w:val="11"/>
                <w:color w:val="auto"/>
              </w:rPr>
            </w:pPr>
          </w:p>
        </w:tc>
        <w:tc>
          <w:tcPr>
            <w:tcW w:w="20" w:type="dxa"/>
            <w:vAlign w:val="bottom"/>
            <w:tcBorders>
              <w:top w:val="single" w:sz="8" w:color="FEFEFE"/>
              <w:bottom w:val="single" w:sz="8" w:color="FEFEFE"/>
            </w:tcBorders>
            <w:shd w:val="clear" w:color="auto" w:fill="FEFEFE"/>
          </w:tcPr>
          <w:p>
            <w:pPr>
              <w:spacing w:after="0"/>
              <w:rPr>
                <w:sz w:val="11"/>
                <w:szCs w:val="11"/>
                <w:color w:val="auto"/>
              </w:rPr>
            </w:pPr>
          </w:p>
        </w:tc>
        <w:tc>
          <w:tcPr>
            <w:tcW w:w="40" w:type="dxa"/>
            <w:vAlign w:val="bottom"/>
            <w:tcBorders>
              <w:top w:val="single" w:sz="8" w:color="FEFEFE"/>
              <w:bottom w:val="single" w:sz="8" w:color="FEFEFE"/>
            </w:tcBorders>
            <w:shd w:val="clear" w:color="auto" w:fill="FEFEFE"/>
          </w:tcPr>
          <w:p>
            <w:pPr>
              <w:spacing w:after="0"/>
              <w:rPr>
                <w:sz w:val="11"/>
                <w:szCs w:val="11"/>
                <w:color w:val="auto"/>
              </w:rPr>
            </w:pPr>
          </w:p>
        </w:tc>
        <w:tc>
          <w:tcPr>
            <w:tcW w:w="20" w:type="dxa"/>
            <w:vAlign w:val="bottom"/>
            <w:tcBorders>
              <w:top w:val="single" w:sz="8" w:color="FEFEFE"/>
              <w:bottom w:val="single" w:sz="8" w:color="FEFEFE"/>
            </w:tcBorders>
            <w:shd w:val="clear" w:color="auto" w:fill="FEFEFE"/>
          </w:tcPr>
          <w:p>
            <w:pPr>
              <w:spacing w:after="0"/>
              <w:rPr>
                <w:sz w:val="11"/>
                <w:szCs w:val="11"/>
                <w:color w:val="auto"/>
              </w:rPr>
            </w:pPr>
          </w:p>
        </w:tc>
        <w:tc>
          <w:tcPr>
            <w:tcW w:w="20" w:type="dxa"/>
            <w:vAlign w:val="bottom"/>
            <w:tcBorders>
              <w:top w:val="single" w:sz="8" w:color="FEFEFE"/>
              <w:bottom w:val="single" w:sz="8" w:color="FEFEFE"/>
            </w:tcBorders>
            <w:shd w:val="clear" w:color="auto" w:fill="FEFEFE"/>
          </w:tcPr>
          <w:p>
            <w:pPr>
              <w:spacing w:after="0"/>
              <w:rPr>
                <w:sz w:val="11"/>
                <w:szCs w:val="11"/>
                <w:color w:val="auto"/>
              </w:rPr>
            </w:pPr>
          </w:p>
        </w:tc>
        <w:tc>
          <w:tcPr>
            <w:tcW w:w="20" w:type="dxa"/>
            <w:vAlign w:val="bottom"/>
            <w:tcBorders>
              <w:top w:val="single" w:sz="8" w:color="FEFEFE"/>
              <w:bottom w:val="single" w:sz="8" w:color="FEFEFE"/>
            </w:tcBorders>
            <w:shd w:val="clear" w:color="auto" w:fill="FEFEFE"/>
          </w:tcPr>
          <w:p>
            <w:pPr>
              <w:spacing w:after="0"/>
              <w:rPr>
                <w:sz w:val="11"/>
                <w:szCs w:val="11"/>
                <w:color w:val="auto"/>
              </w:rPr>
            </w:pPr>
          </w:p>
        </w:tc>
        <w:tc>
          <w:tcPr>
            <w:tcW w:w="20" w:type="dxa"/>
            <w:vAlign w:val="bottom"/>
            <w:tcBorders>
              <w:top w:val="single" w:sz="8" w:color="FEFEFE"/>
              <w:bottom w:val="single" w:sz="8" w:color="FEFEFE"/>
            </w:tcBorders>
            <w:shd w:val="clear" w:color="auto" w:fill="FEFEFE"/>
          </w:tcPr>
          <w:p>
            <w:pPr>
              <w:spacing w:after="0"/>
              <w:rPr>
                <w:sz w:val="11"/>
                <w:szCs w:val="11"/>
                <w:color w:val="auto"/>
              </w:rPr>
            </w:pPr>
          </w:p>
        </w:tc>
        <w:tc>
          <w:tcPr>
            <w:tcW w:w="20" w:type="dxa"/>
            <w:vAlign w:val="bottom"/>
            <w:tcBorders>
              <w:top w:val="single" w:sz="8" w:color="FEFEFE"/>
              <w:bottom w:val="single" w:sz="8" w:color="FEFEFE"/>
            </w:tcBorders>
            <w:shd w:val="clear" w:color="auto" w:fill="FEFEFE"/>
          </w:tcPr>
          <w:p>
            <w:pPr>
              <w:spacing w:after="0"/>
              <w:rPr>
                <w:sz w:val="11"/>
                <w:szCs w:val="11"/>
                <w:color w:val="auto"/>
              </w:rPr>
            </w:pPr>
          </w:p>
        </w:tc>
        <w:tc>
          <w:tcPr>
            <w:tcW w:w="40" w:type="dxa"/>
            <w:vAlign w:val="bottom"/>
            <w:tcBorders>
              <w:top w:val="single" w:sz="8" w:color="FEFEFE"/>
              <w:bottom w:val="single" w:sz="8" w:color="FEFEFE"/>
              <w:right w:val="single" w:sz="8" w:color="FEFEFE"/>
            </w:tcBorders>
            <w:shd w:val="clear" w:color="auto" w:fill="FEFEF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1120" w:type="dxa"/>
            <w:vAlign w:val="bottom"/>
          </w:tcPr>
          <w:p>
            <w:pPr>
              <w:ind w:left="20"/>
              <w:spacing w:after="0" w:line="181" w:lineRule="exact"/>
              <w:rPr>
                <w:sz w:val="20"/>
                <w:szCs w:val="20"/>
                <w:color w:val="auto"/>
              </w:rPr>
            </w:pPr>
            <w:r>
              <w:rPr>
                <w:rFonts w:ascii="Arial" w:cs="Arial" w:eastAsia="Arial" w:hAnsi="Arial"/>
                <w:sz w:val="16"/>
                <w:szCs w:val="16"/>
                <w:color w:val="auto"/>
              </w:rPr>
              <w:t>10.27</w:t>
            </w:r>
          </w:p>
        </w:tc>
        <w:tc>
          <w:tcPr>
            <w:tcW w:w="320" w:type="dxa"/>
            <w:vAlign w:val="bottom"/>
          </w:tcPr>
          <w:p>
            <w:pPr>
              <w:spacing w:after="0"/>
              <w:rPr>
                <w:sz w:val="15"/>
                <w:szCs w:val="15"/>
                <w:color w:val="auto"/>
              </w:rPr>
            </w:pPr>
          </w:p>
        </w:tc>
        <w:tc>
          <w:tcPr>
            <w:tcW w:w="580" w:type="dxa"/>
            <w:vAlign w:val="bottom"/>
            <w:tcBorders>
              <w:right w:val="single" w:sz="8" w:color="FEFEFE"/>
            </w:tcBorders>
            <w:shd w:val="clear" w:color="auto" w:fill="FEFEFE"/>
          </w:tcPr>
          <w:p>
            <w:pPr>
              <w:spacing w:after="0"/>
              <w:rPr>
                <w:sz w:val="15"/>
                <w:szCs w:val="15"/>
                <w:color w:val="auto"/>
              </w:rPr>
            </w:pPr>
          </w:p>
        </w:tc>
        <w:tc>
          <w:tcPr>
            <w:tcW w:w="9240" w:type="dxa"/>
            <w:vAlign w:val="bottom"/>
            <w:tcBorders>
              <w:right w:val="single" w:sz="8" w:color="FEFEFE"/>
            </w:tcBorders>
            <w:gridSpan w:val="32"/>
            <w:shd w:val="clear" w:color="auto" w:fill="FEFEFE"/>
          </w:tcPr>
          <w:p>
            <w:pPr>
              <w:spacing w:after="0" w:line="181" w:lineRule="exact"/>
              <w:rPr>
                <w:rFonts w:ascii="Arial" w:cs="Arial" w:eastAsia="Arial" w:hAnsi="Arial"/>
                <w:sz w:val="16"/>
                <w:szCs w:val="16"/>
                <w:color w:val="0000FF"/>
                <w:w w:val="92"/>
              </w:rPr>
            </w:pPr>
            <w:hyperlink r:id="rId204">
              <w:r>
                <w:rPr>
                  <w:rFonts w:ascii="Arial" w:cs="Arial" w:eastAsia="Arial" w:hAnsi="Arial"/>
                  <w:sz w:val="16"/>
                  <w:szCs w:val="16"/>
                  <w:color w:val="0000FF"/>
                  <w:w w:val="92"/>
                </w:rPr>
                <w:t>Third Amendment, dated as of January 5, 2018, to the Third Amended and Restated Limited Liability Company Agreement of Virtu Financial</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Borders>
              <w:top w:val="single" w:sz="8" w:color="FEFEFE"/>
              <w:right w:val="single" w:sz="8" w:color="FEFEFE"/>
            </w:tcBorders>
            <w:shd w:val="clear" w:color="auto" w:fill="FEFEFE"/>
          </w:tcPr>
          <w:p>
            <w:pPr>
              <w:spacing w:after="0"/>
              <w:rPr>
                <w:sz w:val="11"/>
                <w:szCs w:val="11"/>
                <w:color w:val="auto"/>
              </w:rPr>
            </w:pPr>
          </w:p>
        </w:tc>
        <w:tc>
          <w:tcPr>
            <w:tcW w:w="8940" w:type="dxa"/>
            <w:vAlign w:val="bottom"/>
            <w:tcBorders>
              <w:top w:val="single" w:sz="8" w:color="0000FF"/>
            </w:tcBorders>
            <w:gridSpan w:val="21"/>
            <w:shd w:val="clear" w:color="auto" w:fill="FEFEFE"/>
          </w:tcPr>
          <w:p>
            <w:pPr>
              <w:spacing w:after="0" w:line="134" w:lineRule="exact"/>
              <w:rPr>
                <w:rFonts w:ascii="Arial" w:cs="Arial" w:eastAsia="Arial" w:hAnsi="Arial"/>
                <w:sz w:val="15"/>
                <w:szCs w:val="15"/>
                <w:color w:val="0000FF"/>
                <w:w w:val="97"/>
              </w:rPr>
            </w:pPr>
            <w:hyperlink r:id="rId204">
              <w:r>
                <w:rPr>
                  <w:rFonts w:ascii="Arial" w:cs="Arial" w:eastAsia="Arial" w:hAnsi="Arial"/>
                  <w:sz w:val="15"/>
                  <w:szCs w:val="15"/>
                  <w:color w:val="0000FF"/>
                  <w:w w:val="97"/>
                </w:rPr>
                <w:t>LLC, dated as of April 15, 2015 (incorporated herein by reference to Exhibit 10.30 to the Company's Annual Report on Form 10-K (File No.</w:t>
              </w:r>
            </w:hyperlink>
          </w:p>
        </w:tc>
        <w:tc>
          <w:tcPr>
            <w:tcW w:w="300" w:type="dxa"/>
            <w:vAlign w:val="bottom"/>
            <w:tcBorders>
              <w:top w:val="single" w:sz="8" w:color="FEFEFE"/>
              <w:right w:val="single" w:sz="8" w:color="FEFEFE"/>
            </w:tcBorders>
            <w:gridSpan w:val="11"/>
            <w:shd w:val="clear" w:color="auto" w:fill="FEFEFE"/>
          </w:tcPr>
          <w:p>
            <w:pPr>
              <w:jc w:val="right"/>
              <w:ind w:right="60"/>
              <w:spacing w:after="0" w:line="134" w:lineRule="exact"/>
              <w:rPr>
                <w:rFonts w:ascii="Arial" w:cs="Arial" w:eastAsia="Arial" w:hAnsi="Arial"/>
                <w:sz w:val="15"/>
                <w:szCs w:val="15"/>
                <w:color w:val="0000FF"/>
                <w:w w:val="73"/>
              </w:rPr>
            </w:pPr>
            <w:hyperlink r:id="rId204">
              <w:r>
                <w:rPr>
                  <w:rFonts w:ascii="Arial" w:cs="Arial" w:eastAsia="Arial" w:hAnsi="Arial"/>
                  <w:sz w:val="15"/>
                  <w:szCs w:val="15"/>
                  <w:color w:val="0000FF"/>
                  <w:w w:val="73"/>
                </w:rPr>
                <w:t>001-</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Borders>
              <w:top w:val="single" w:sz="8" w:color="FEFEFE"/>
              <w:bottom w:val="single" w:sz="8" w:color="FEFEFE"/>
              <w:right w:val="single" w:sz="8" w:color="FEFEFE"/>
            </w:tcBorders>
            <w:shd w:val="clear" w:color="auto" w:fill="FEFEFE"/>
          </w:tcPr>
          <w:p>
            <w:pPr>
              <w:spacing w:after="0"/>
              <w:rPr>
                <w:sz w:val="11"/>
                <w:szCs w:val="11"/>
                <w:color w:val="auto"/>
              </w:rPr>
            </w:pPr>
          </w:p>
        </w:tc>
        <w:tc>
          <w:tcPr>
            <w:tcW w:w="2120" w:type="dxa"/>
            <w:vAlign w:val="bottom"/>
            <w:tcBorders>
              <w:top w:val="single" w:sz="8" w:color="0000FF"/>
              <w:bottom w:val="single" w:sz="8" w:color="0000FF"/>
            </w:tcBorders>
            <w:gridSpan w:val="2"/>
            <w:shd w:val="clear" w:color="auto" w:fill="FEFEFE"/>
          </w:tcPr>
          <w:p>
            <w:pPr>
              <w:spacing w:after="0" w:line="134" w:lineRule="exact"/>
              <w:rPr>
                <w:rFonts w:ascii="Arial" w:cs="Arial" w:eastAsia="Arial" w:hAnsi="Arial"/>
                <w:sz w:val="15"/>
                <w:szCs w:val="15"/>
                <w:color w:val="0000FF"/>
                <w:w w:val="95"/>
              </w:rPr>
            </w:pPr>
            <w:hyperlink r:id="rId204">
              <w:r>
                <w:rPr>
                  <w:rFonts w:ascii="Arial" w:cs="Arial" w:eastAsia="Arial" w:hAnsi="Arial"/>
                  <w:sz w:val="15"/>
                  <w:szCs w:val="15"/>
                  <w:color w:val="0000FF"/>
                  <w:w w:val="95"/>
                </w:rPr>
                <w:t>37352)</w:t>
              </w:r>
              <w:r>
                <w:rPr>
                  <w:rFonts w:ascii="Arial" w:cs="Arial" w:eastAsia="Arial" w:hAnsi="Arial"/>
                  <w:sz w:val="15"/>
                  <w:szCs w:val="15"/>
                  <w:u w:val="single" w:color="auto"/>
                  <w:color w:val="0000FF"/>
                  <w:w w:val="95"/>
                </w:rPr>
                <w:t>,</w:t>
              </w:r>
              <w:r>
                <w:rPr>
                  <w:rFonts w:ascii="Arial" w:cs="Arial" w:eastAsia="Arial" w:hAnsi="Arial"/>
                  <w:sz w:val="15"/>
                  <w:szCs w:val="15"/>
                  <w:color w:val="0000FF"/>
                  <w:w w:val="95"/>
                </w:rPr>
                <w:t xml:space="preserve"> filed on March 13, 2018).</w:t>
              </w:r>
            </w:hyperlink>
          </w:p>
        </w:tc>
        <w:tc>
          <w:tcPr>
            <w:tcW w:w="7120" w:type="dxa"/>
            <w:vAlign w:val="bottom"/>
            <w:tcBorders>
              <w:top w:val="single" w:sz="8" w:color="0000FF"/>
              <w:bottom w:val="single" w:sz="8" w:color="FEFEFE"/>
              <w:right w:val="single" w:sz="8" w:color="FEFEFE"/>
            </w:tcBorders>
            <w:gridSpan w:val="30"/>
            <w:shd w:val="clear" w:color="auto" w:fill="FEFEF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1120" w:type="dxa"/>
            <w:vAlign w:val="bottom"/>
          </w:tcPr>
          <w:p>
            <w:pPr>
              <w:ind w:left="20"/>
              <w:spacing w:after="0" w:line="181" w:lineRule="exact"/>
              <w:rPr>
                <w:sz w:val="20"/>
                <w:szCs w:val="20"/>
                <w:color w:val="auto"/>
              </w:rPr>
            </w:pPr>
            <w:r>
              <w:rPr>
                <w:rFonts w:ascii="Arial" w:cs="Arial" w:eastAsia="Arial" w:hAnsi="Arial"/>
                <w:sz w:val="16"/>
                <w:szCs w:val="16"/>
                <w:color w:val="auto"/>
              </w:rPr>
              <w:t>10.28</w:t>
            </w:r>
          </w:p>
        </w:tc>
        <w:tc>
          <w:tcPr>
            <w:tcW w:w="320" w:type="dxa"/>
            <w:vAlign w:val="bottom"/>
          </w:tcPr>
          <w:p>
            <w:pPr>
              <w:spacing w:after="0"/>
              <w:rPr>
                <w:sz w:val="15"/>
                <w:szCs w:val="15"/>
                <w:color w:val="auto"/>
              </w:rPr>
            </w:pPr>
          </w:p>
        </w:tc>
        <w:tc>
          <w:tcPr>
            <w:tcW w:w="580" w:type="dxa"/>
            <w:vAlign w:val="bottom"/>
            <w:tcBorders>
              <w:right w:val="single" w:sz="8" w:color="FEFEFE"/>
            </w:tcBorders>
            <w:shd w:val="clear" w:color="auto" w:fill="FEFEFE"/>
          </w:tcPr>
          <w:p>
            <w:pPr>
              <w:spacing w:after="0"/>
              <w:rPr>
                <w:sz w:val="15"/>
                <w:szCs w:val="15"/>
                <w:color w:val="auto"/>
              </w:rPr>
            </w:pPr>
          </w:p>
        </w:tc>
        <w:tc>
          <w:tcPr>
            <w:tcW w:w="9240" w:type="dxa"/>
            <w:vAlign w:val="bottom"/>
            <w:tcBorders>
              <w:right w:val="single" w:sz="8" w:color="FEFEFE"/>
            </w:tcBorders>
            <w:gridSpan w:val="32"/>
            <w:shd w:val="clear" w:color="auto" w:fill="FEFEFE"/>
          </w:tcPr>
          <w:p>
            <w:pPr>
              <w:spacing w:after="0" w:line="181" w:lineRule="exact"/>
              <w:rPr>
                <w:rFonts w:ascii="Arial" w:cs="Arial" w:eastAsia="Arial" w:hAnsi="Arial"/>
                <w:sz w:val="16"/>
                <w:szCs w:val="16"/>
                <w:color w:val="0000FF"/>
                <w:w w:val="90"/>
              </w:rPr>
            </w:pPr>
            <w:hyperlink r:id="rId205">
              <w:r>
                <w:rPr>
                  <w:rFonts w:ascii="Arial" w:cs="Arial" w:eastAsia="Arial" w:hAnsi="Arial"/>
                  <w:sz w:val="16"/>
                  <w:szCs w:val="16"/>
                  <w:color w:val="0000FF"/>
                  <w:w w:val="90"/>
                </w:rPr>
                <w:t>Amendment No. 1 to the Amended and Restated Registration Rights Agreement, dated May 10, 2018, by and among Virtu Financial, Inc., TJMT</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Borders>
              <w:top w:val="single" w:sz="8" w:color="FEFEFE"/>
              <w:right w:val="single" w:sz="8" w:color="FEFEFE"/>
            </w:tcBorders>
            <w:shd w:val="clear" w:color="auto" w:fill="FEFEFE"/>
          </w:tcPr>
          <w:p>
            <w:pPr>
              <w:spacing w:after="0"/>
              <w:rPr>
                <w:sz w:val="11"/>
                <w:szCs w:val="11"/>
                <w:color w:val="auto"/>
              </w:rPr>
            </w:pPr>
          </w:p>
        </w:tc>
        <w:tc>
          <w:tcPr>
            <w:tcW w:w="9160" w:type="dxa"/>
            <w:vAlign w:val="bottom"/>
            <w:tcBorders>
              <w:top w:val="single" w:sz="8" w:color="0000FF"/>
            </w:tcBorders>
            <w:gridSpan w:val="29"/>
            <w:shd w:val="clear" w:color="auto" w:fill="FEFEFE"/>
          </w:tcPr>
          <w:p>
            <w:pPr>
              <w:spacing w:after="0" w:line="134" w:lineRule="exact"/>
              <w:rPr>
                <w:rFonts w:ascii="Arial" w:cs="Arial" w:eastAsia="Arial" w:hAnsi="Arial"/>
                <w:sz w:val="15"/>
                <w:szCs w:val="15"/>
                <w:color w:val="0000FF"/>
              </w:rPr>
            </w:pPr>
            <w:hyperlink r:id="rId205">
              <w:r>
                <w:rPr>
                  <w:rFonts w:ascii="Arial" w:cs="Arial" w:eastAsia="Arial" w:hAnsi="Arial"/>
                  <w:sz w:val="15"/>
                  <w:szCs w:val="15"/>
                  <w:color w:val="0000FF"/>
                </w:rPr>
                <w:t>Holdings LLC, North Island Holdings I, LP, Havelock Fund Investments Pte Ltd and Aranda Investments Pte. Ltd (incorporated herein by</w:t>
              </w:r>
            </w:hyperlink>
          </w:p>
        </w:tc>
        <w:tc>
          <w:tcPr>
            <w:tcW w:w="20" w:type="dxa"/>
            <w:vAlign w:val="bottom"/>
            <w:tcBorders>
              <w:top w:val="single" w:sz="8" w:color="FEFEFE"/>
            </w:tcBorders>
            <w:shd w:val="clear" w:color="auto" w:fill="FEFEFE"/>
          </w:tcPr>
          <w:p>
            <w:pPr>
              <w:spacing w:after="0"/>
              <w:rPr>
                <w:sz w:val="11"/>
                <w:szCs w:val="11"/>
                <w:color w:val="auto"/>
              </w:rPr>
            </w:pPr>
          </w:p>
        </w:tc>
        <w:tc>
          <w:tcPr>
            <w:tcW w:w="20" w:type="dxa"/>
            <w:vAlign w:val="bottom"/>
            <w:tcBorders>
              <w:top w:val="single" w:sz="8" w:color="FEFEFE"/>
            </w:tcBorders>
            <w:shd w:val="clear" w:color="auto" w:fill="FEFEFE"/>
          </w:tcPr>
          <w:p>
            <w:pPr>
              <w:spacing w:after="0"/>
              <w:rPr>
                <w:sz w:val="11"/>
                <w:szCs w:val="11"/>
                <w:color w:val="auto"/>
              </w:rPr>
            </w:pPr>
          </w:p>
        </w:tc>
        <w:tc>
          <w:tcPr>
            <w:tcW w:w="40" w:type="dxa"/>
            <w:vAlign w:val="bottom"/>
            <w:tcBorders>
              <w:top w:val="single" w:sz="8" w:color="FEFEFE"/>
              <w:right w:val="single" w:sz="8" w:color="FEFEFE"/>
            </w:tcBorders>
            <w:shd w:val="clear" w:color="auto" w:fill="FEFEF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Borders>
              <w:top w:val="single" w:sz="8" w:color="FEFEFE"/>
              <w:right w:val="single" w:sz="8" w:color="FEFEFE"/>
            </w:tcBorders>
            <w:shd w:val="clear" w:color="auto" w:fill="FEFEFE"/>
          </w:tcPr>
          <w:p>
            <w:pPr>
              <w:spacing w:after="0"/>
              <w:rPr>
                <w:sz w:val="11"/>
                <w:szCs w:val="11"/>
                <w:color w:val="auto"/>
              </w:rPr>
            </w:pPr>
          </w:p>
        </w:tc>
        <w:tc>
          <w:tcPr>
            <w:tcW w:w="8700" w:type="dxa"/>
            <w:vAlign w:val="bottom"/>
            <w:tcBorders>
              <w:top w:val="single" w:sz="8" w:color="0000FF"/>
            </w:tcBorders>
            <w:gridSpan w:val="14"/>
            <w:shd w:val="clear" w:color="auto" w:fill="FEFEFE"/>
          </w:tcPr>
          <w:p>
            <w:pPr>
              <w:spacing w:after="0" w:line="134" w:lineRule="exact"/>
              <w:rPr>
                <w:rFonts w:ascii="Arial" w:cs="Arial" w:eastAsia="Arial" w:hAnsi="Arial"/>
                <w:sz w:val="15"/>
                <w:szCs w:val="15"/>
                <w:color w:val="0000FF"/>
              </w:rPr>
            </w:pPr>
            <w:hyperlink r:id="rId205">
              <w:r>
                <w:rPr>
                  <w:rFonts w:ascii="Arial" w:cs="Arial" w:eastAsia="Arial" w:hAnsi="Arial"/>
                  <w:sz w:val="15"/>
                  <w:szCs w:val="15"/>
                  <w:color w:val="0000FF"/>
                </w:rPr>
                <w:t>reference to Exhibit 10.1 to the Company’s Current Report on Form 8-K (File No. 001-37352), filed on May 15, 2018).</w:t>
              </w:r>
            </w:hyperlink>
          </w:p>
        </w:tc>
        <w:tc>
          <w:tcPr>
            <w:tcW w:w="100" w:type="dxa"/>
            <w:vAlign w:val="bottom"/>
            <w:tcBorders>
              <w:top w:val="single" w:sz="8" w:color="FEFEFE"/>
            </w:tcBorders>
            <w:shd w:val="clear" w:color="auto" w:fill="FEFEFE"/>
          </w:tcPr>
          <w:p>
            <w:pPr>
              <w:spacing w:after="0"/>
              <w:rPr>
                <w:sz w:val="11"/>
                <w:szCs w:val="11"/>
                <w:color w:val="auto"/>
              </w:rPr>
            </w:pPr>
          </w:p>
        </w:tc>
        <w:tc>
          <w:tcPr>
            <w:tcW w:w="20" w:type="dxa"/>
            <w:vAlign w:val="bottom"/>
            <w:tcBorders>
              <w:top w:val="single" w:sz="8" w:color="FEFEFE"/>
            </w:tcBorders>
            <w:shd w:val="clear" w:color="auto" w:fill="FEFEFE"/>
          </w:tcPr>
          <w:p>
            <w:pPr>
              <w:spacing w:after="0"/>
              <w:rPr>
                <w:sz w:val="11"/>
                <w:szCs w:val="11"/>
                <w:color w:val="auto"/>
              </w:rPr>
            </w:pPr>
          </w:p>
        </w:tc>
        <w:tc>
          <w:tcPr>
            <w:tcW w:w="20" w:type="dxa"/>
            <w:vAlign w:val="bottom"/>
            <w:tcBorders>
              <w:top w:val="single" w:sz="8" w:color="FEFEFE"/>
            </w:tcBorders>
            <w:shd w:val="clear" w:color="auto" w:fill="FEFEFE"/>
          </w:tcPr>
          <w:p>
            <w:pPr>
              <w:spacing w:after="0"/>
              <w:rPr>
                <w:sz w:val="11"/>
                <w:szCs w:val="11"/>
                <w:color w:val="auto"/>
              </w:rPr>
            </w:pPr>
          </w:p>
        </w:tc>
        <w:tc>
          <w:tcPr>
            <w:tcW w:w="20" w:type="dxa"/>
            <w:vAlign w:val="bottom"/>
            <w:tcBorders>
              <w:top w:val="single" w:sz="8" w:color="FEFEFE"/>
            </w:tcBorders>
            <w:shd w:val="clear" w:color="auto" w:fill="FEFEFE"/>
          </w:tcPr>
          <w:p>
            <w:pPr>
              <w:spacing w:after="0"/>
              <w:rPr>
                <w:sz w:val="11"/>
                <w:szCs w:val="11"/>
                <w:color w:val="auto"/>
              </w:rPr>
            </w:pPr>
          </w:p>
        </w:tc>
        <w:tc>
          <w:tcPr>
            <w:tcW w:w="40" w:type="dxa"/>
            <w:vAlign w:val="bottom"/>
            <w:tcBorders>
              <w:top w:val="single" w:sz="8" w:color="FEFEFE"/>
            </w:tcBorders>
            <w:gridSpan w:val="2"/>
            <w:shd w:val="clear" w:color="auto" w:fill="FEFEFE"/>
          </w:tcPr>
          <w:p>
            <w:pPr>
              <w:spacing w:after="0"/>
              <w:rPr>
                <w:sz w:val="11"/>
                <w:szCs w:val="11"/>
                <w:color w:val="auto"/>
              </w:rPr>
            </w:pPr>
          </w:p>
        </w:tc>
        <w:tc>
          <w:tcPr>
            <w:tcW w:w="60" w:type="dxa"/>
            <w:vAlign w:val="bottom"/>
            <w:tcBorders>
              <w:top w:val="single" w:sz="8" w:color="FEFEFE"/>
            </w:tcBorders>
            <w:gridSpan w:val="2"/>
            <w:shd w:val="clear" w:color="auto" w:fill="FEFEFE"/>
          </w:tcPr>
          <w:p>
            <w:pPr>
              <w:spacing w:after="0"/>
              <w:rPr>
                <w:sz w:val="11"/>
                <w:szCs w:val="11"/>
                <w:color w:val="auto"/>
              </w:rPr>
            </w:pPr>
          </w:p>
        </w:tc>
        <w:tc>
          <w:tcPr>
            <w:tcW w:w="20" w:type="dxa"/>
            <w:vAlign w:val="bottom"/>
            <w:tcBorders>
              <w:top w:val="single" w:sz="8" w:color="FEFEFE"/>
            </w:tcBorders>
            <w:shd w:val="clear" w:color="auto" w:fill="FEFEFE"/>
          </w:tcPr>
          <w:p>
            <w:pPr>
              <w:spacing w:after="0"/>
              <w:rPr>
                <w:sz w:val="11"/>
                <w:szCs w:val="11"/>
                <w:color w:val="auto"/>
              </w:rPr>
            </w:pPr>
          </w:p>
        </w:tc>
        <w:tc>
          <w:tcPr>
            <w:tcW w:w="60" w:type="dxa"/>
            <w:vAlign w:val="bottom"/>
            <w:tcBorders>
              <w:top w:val="single" w:sz="8" w:color="FEFEFE"/>
            </w:tcBorders>
            <w:shd w:val="clear" w:color="auto" w:fill="FEFEFE"/>
          </w:tcPr>
          <w:p>
            <w:pPr>
              <w:spacing w:after="0"/>
              <w:rPr>
                <w:sz w:val="11"/>
                <w:szCs w:val="11"/>
                <w:color w:val="auto"/>
              </w:rPr>
            </w:pPr>
          </w:p>
        </w:tc>
        <w:tc>
          <w:tcPr>
            <w:tcW w:w="20" w:type="dxa"/>
            <w:vAlign w:val="bottom"/>
            <w:tcBorders>
              <w:top w:val="single" w:sz="8" w:color="FEFEFE"/>
            </w:tcBorders>
            <w:shd w:val="clear" w:color="auto" w:fill="FEFEFE"/>
          </w:tcPr>
          <w:p>
            <w:pPr>
              <w:spacing w:after="0"/>
              <w:rPr>
                <w:sz w:val="11"/>
                <w:szCs w:val="11"/>
                <w:color w:val="auto"/>
              </w:rPr>
            </w:pPr>
          </w:p>
        </w:tc>
        <w:tc>
          <w:tcPr>
            <w:tcW w:w="60" w:type="dxa"/>
            <w:vAlign w:val="bottom"/>
            <w:tcBorders>
              <w:top w:val="single" w:sz="8" w:color="FEFEFE"/>
            </w:tcBorders>
            <w:gridSpan w:val="2"/>
            <w:shd w:val="clear" w:color="auto" w:fill="FEFEFE"/>
          </w:tcPr>
          <w:p>
            <w:pPr>
              <w:spacing w:after="0"/>
              <w:rPr>
                <w:sz w:val="11"/>
                <w:szCs w:val="11"/>
                <w:color w:val="auto"/>
              </w:rPr>
            </w:pPr>
          </w:p>
        </w:tc>
        <w:tc>
          <w:tcPr>
            <w:tcW w:w="20" w:type="dxa"/>
            <w:vAlign w:val="bottom"/>
            <w:tcBorders>
              <w:top w:val="single" w:sz="8" w:color="FEFEFE"/>
            </w:tcBorders>
            <w:shd w:val="clear" w:color="auto" w:fill="FEFEFE"/>
          </w:tcPr>
          <w:p>
            <w:pPr>
              <w:spacing w:after="0"/>
              <w:rPr>
                <w:sz w:val="11"/>
                <w:szCs w:val="11"/>
                <w:color w:val="auto"/>
              </w:rPr>
            </w:pPr>
          </w:p>
        </w:tc>
        <w:tc>
          <w:tcPr>
            <w:tcW w:w="40" w:type="dxa"/>
            <w:vAlign w:val="bottom"/>
            <w:tcBorders>
              <w:top w:val="single" w:sz="8" w:color="FEFEFE"/>
            </w:tcBorders>
            <w:gridSpan w:val="2"/>
            <w:shd w:val="clear" w:color="auto" w:fill="FEFEFE"/>
          </w:tcPr>
          <w:p>
            <w:pPr>
              <w:spacing w:after="0"/>
              <w:rPr>
                <w:sz w:val="11"/>
                <w:szCs w:val="11"/>
                <w:color w:val="auto"/>
              </w:rPr>
            </w:pPr>
          </w:p>
        </w:tc>
        <w:tc>
          <w:tcPr>
            <w:tcW w:w="20" w:type="dxa"/>
            <w:vAlign w:val="bottom"/>
            <w:tcBorders>
              <w:top w:val="single" w:sz="8" w:color="FEFEFE"/>
            </w:tcBorders>
            <w:shd w:val="clear" w:color="auto" w:fill="FEFEFE"/>
          </w:tcPr>
          <w:p>
            <w:pPr>
              <w:spacing w:after="0"/>
              <w:rPr>
                <w:sz w:val="11"/>
                <w:szCs w:val="11"/>
                <w:color w:val="auto"/>
              </w:rPr>
            </w:pPr>
          </w:p>
        </w:tc>
        <w:tc>
          <w:tcPr>
            <w:tcW w:w="40" w:type="dxa"/>
            <w:vAlign w:val="bottom"/>
            <w:tcBorders>
              <w:top w:val="single" w:sz="8" w:color="FEFEFE"/>
              <w:right w:val="single" w:sz="8" w:color="FEFEFE"/>
            </w:tcBorders>
            <w:shd w:val="clear" w:color="auto" w:fill="FEFEF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FEFEFE"/>
          </w:tcPr>
          <w:p>
            <w:pPr>
              <w:spacing w:after="0" w:line="20" w:lineRule="exact"/>
              <w:rPr>
                <w:sz w:val="1"/>
                <w:szCs w:val="1"/>
                <w:color w:val="auto"/>
              </w:rPr>
            </w:pPr>
          </w:p>
        </w:tc>
        <w:tc>
          <w:tcPr>
            <w:tcW w:w="3880" w:type="dxa"/>
            <w:vAlign w:val="bottom"/>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96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1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160" w:type="dxa"/>
            <w:vAlign w:val="bottom"/>
            <w:gridSpan w:val="2"/>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40" w:type="dxa"/>
            <w:vAlign w:val="bottom"/>
            <w:gridSpan w:val="2"/>
            <w:shd w:val="clear" w:color="auto" w:fill="FEFEFE"/>
          </w:tcPr>
          <w:p>
            <w:pPr>
              <w:spacing w:after="0" w:line="20" w:lineRule="exact"/>
              <w:rPr>
                <w:sz w:val="1"/>
                <w:szCs w:val="1"/>
                <w:color w:val="auto"/>
              </w:rPr>
            </w:pPr>
          </w:p>
        </w:tc>
        <w:tc>
          <w:tcPr>
            <w:tcW w:w="60" w:type="dxa"/>
            <w:vAlign w:val="bottom"/>
            <w:gridSpan w:val="2"/>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6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60" w:type="dxa"/>
            <w:vAlign w:val="bottom"/>
            <w:gridSpan w:val="2"/>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40" w:type="dxa"/>
            <w:vAlign w:val="bottom"/>
            <w:gridSpan w:val="2"/>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40" w:type="dxa"/>
            <w:vAlign w:val="bottom"/>
            <w:tcBorders>
              <w:right w:val="single" w:sz="8" w:color="FEFEFE"/>
            </w:tcBorders>
            <w:shd w:val="clear" w:color="auto" w:fill="FEFEF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120" w:type="dxa"/>
            <w:vAlign w:val="bottom"/>
          </w:tcPr>
          <w:p>
            <w:pPr>
              <w:ind w:left="20"/>
              <w:spacing w:after="0" w:line="181" w:lineRule="exact"/>
              <w:rPr>
                <w:sz w:val="20"/>
                <w:szCs w:val="20"/>
                <w:color w:val="auto"/>
              </w:rPr>
            </w:pPr>
            <w:r>
              <w:rPr>
                <w:rFonts w:ascii="Arial" w:cs="Arial" w:eastAsia="Arial" w:hAnsi="Arial"/>
                <w:sz w:val="16"/>
                <w:szCs w:val="16"/>
                <w:color w:val="auto"/>
              </w:rPr>
              <w:t>10.29†</w:t>
            </w:r>
          </w:p>
        </w:tc>
        <w:tc>
          <w:tcPr>
            <w:tcW w:w="320" w:type="dxa"/>
            <w:vAlign w:val="bottom"/>
          </w:tcPr>
          <w:p>
            <w:pPr>
              <w:spacing w:after="0"/>
              <w:rPr>
                <w:sz w:val="15"/>
                <w:szCs w:val="15"/>
                <w:color w:val="auto"/>
              </w:rPr>
            </w:pPr>
          </w:p>
        </w:tc>
        <w:tc>
          <w:tcPr>
            <w:tcW w:w="580" w:type="dxa"/>
            <w:vAlign w:val="bottom"/>
            <w:tcBorders>
              <w:right w:val="single" w:sz="8" w:color="FEFEFE"/>
            </w:tcBorders>
            <w:shd w:val="clear" w:color="auto" w:fill="FEFEFE"/>
          </w:tcPr>
          <w:p>
            <w:pPr>
              <w:spacing w:after="0"/>
              <w:rPr>
                <w:sz w:val="15"/>
                <w:szCs w:val="15"/>
                <w:color w:val="auto"/>
              </w:rPr>
            </w:pPr>
          </w:p>
        </w:tc>
        <w:tc>
          <w:tcPr>
            <w:tcW w:w="9240" w:type="dxa"/>
            <w:vAlign w:val="bottom"/>
            <w:tcBorders>
              <w:right w:val="single" w:sz="8" w:color="FEFEFE"/>
            </w:tcBorders>
            <w:gridSpan w:val="32"/>
            <w:shd w:val="clear" w:color="auto" w:fill="FEFEFE"/>
          </w:tcPr>
          <w:p>
            <w:pPr>
              <w:spacing w:after="0" w:line="181" w:lineRule="exact"/>
              <w:rPr>
                <w:rFonts w:ascii="Arial" w:cs="Arial" w:eastAsia="Arial" w:hAnsi="Arial"/>
                <w:sz w:val="16"/>
                <w:szCs w:val="16"/>
                <w:color w:val="0000FF"/>
                <w:w w:val="91"/>
              </w:rPr>
            </w:pPr>
            <w:hyperlink r:id="rId206">
              <w:r>
                <w:rPr>
                  <w:rFonts w:ascii="Arial" w:cs="Arial" w:eastAsia="Arial" w:hAnsi="Arial"/>
                  <w:sz w:val="16"/>
                  <w:szCs w:val="16"/>
                  <w:color w:val="0000FF"/>
                  <w:w w:val="91"/>
                </w:rPr>
                <w:t>Amended and Restated Employment Agreement, dated as of February 26, 2020, by and between Virtu Financial, Inc. and Mr. Brett Fairclough</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Borders>
              <w:top w:val="single" w:sz="8" w:color="FEFEFE"/>
              <w:right w:val="single" w:sz="8" w:color="FEFEFE"/>
            </w:tcBorders>
            <w:shd w:val="clear" w:color="auto" w:fill="FEFEFE"/>
          </w:tcPr>
          <w:p>
            <w:pPr>
              <w:spacing w:after="0"/>
              <w:rPr>
                <w:sz w:val="11"/>
                <w:szCs w:val="11"/>
                <w:color w:val="auto"/>
              </w:rPr>
            </w:pPr>
          </w:p>
        </w:tc>
        <w:tc>
          <w:tcPr>
            <w:tcW w:w="8980" w:type="dxa"/>
            <w:vAlign w:val="bottom"/>
            <w:tcBorders>
              <w:top w:val="single" w:sz="8" w:color="0000FF"/>
            </w:tcBorders>
            <w:gridSpan w:val="23"/>
            <w:shd w:val="clear" w:color="auto" w:fill="FEFEFE"/>
          </w:tcPr>
          <w:p>
            <w:pPr>
              <w:spacing w:after="0" w:line="134" w:lineRule="exact"/>
              <w:rPr>
                <w:rFonts w:ascii="Arial" w:cs="Arial" w:eastAsia="Arial" w:hAnsi="Arial"/>
                <w:sz w:val="15"/>
                <w:szCs w:val="15"/>
                <w:color w:val="0000FF"/>
                <w:w w:val="96"/>
              </w:rPr>
            </w:pPr>
            <w:hyperlink r:id="rId206">
              <w:r>
                <w:rPr>
                  <w:rFonts w:ascii="Arial" w:cs="Arial" w:eastAsia="Arial" w:hAnsi="Arial"/>
                  <w:sz w:val="15"/>
                  <w:szCs w:val="15"/>
                  <w:color w:val="0000FF"/>
                  <w:w w:val="96"/>
                </w:rPr>
                <w:t>(incorporated herein by reference to Exhibit 10.39 to the Company’s Annual Report on Form 10-K (File No. 001-37352) filed on February 28,</w:t>
              </w:r>
            </w:hyperlink>
          </w:p>
        </w:tc>
        <w:tc>
          <w:tcPr>
            <w:tcW w:w="60" w:type="dxa"/>
            <w:vAlign w:val="bottom"/>
            <w:tcBorders>
              <w:top w:val="single" w:sz="8" w:color="FEFEFE"/>
            </w:tcBorders>
            <w:shd w:val="clear" w:color="auto" w:fill="FEFEFE"/>
          </w:tcPr>
          <w:p>
            <w:pPr>
              <w:spacing w:after="0"/>
              <w:rPr>
                <w:sz w:val="11"/>
                <w:szCs w:val="11"/>
                <w:color w:val="auto"/>
              </w:rPr>
            </w:pPr>
          </w:p>
        </w:tc>
        <w:tc>
          <w:tcPr>
            <w:tcW w:w="20" w:type="dxa"/>
            <w:vAlign w:val="bottom"/>
            <w:tcBorders>
              <w:top w:val="single" w:sz="8" w:color="FEFEFE"/>
            </w:tcBorders>
            <w:shd w:val="clear" w:color="auto" w:fill="FEFEFE"/>
          </w:tcPr>
          <w:p>
            <w:pPr>
              <w:spacing w:after="0"/>
              <w:rPr>
                <w:sz w:val="11"/>
                <w:szCs w:val="11"/>
                <w:color w:val="auto"/>
              </w:rPr>
            </w:pPr>
          </w:p>
        </w:tc>
        <w:tc>
          <w:tcPr>
            <w:tcW w:w="60" w:type="dxa"/>
            <w:vAlign w:val="bottom"/>
            <w:tcBorders>
              <w:top w:val="single" w:sz="8" w:color="FEFEFE"/>
            </w:tcBorders>
            <w:gridSpan w:val="2"/>
            <w:shd w:val="clear" w:color="auto" w:fill="FEFEFE"/>
          </w:tcPr>
          <w:p>
            <w:pPr>
              <w:spacing w:after="0"/>
              <w:rPr>
                <w:sz w:val="11"/>
                <w:szCs w:val="11"/>
                <w:color w:val="auto"/>
              </w:rPr>
            </w:pPr>
          </w:p>
        </w:tc>
        <w:tc>
          <w:tcPr>
            <w:tcW w:w="20" w:type="dxa"/>
            <w:vAlign w:val="bottom"/>
            <w:tcBorders>
              <w:top w:val="single" w:sz="8" w:color="FEFEFE"/>
            </w:tcBorders>
            <w:shd w:val="clear" w:color="auto" w:fill="FEFEFE"/>
          </w:tcPr>
          <w:p>
            <w:pPr>
              <w:spacing w:after="0"/>
              <w:rPr>
                <w:sz w:val="11"/>
                <w:szCs w:val="11"/>
                <w:color w:val="auto"/>
              </w:rPr>
            </w:pPr>
          </w:p>
        </w:tc>
        <w:tc>
          <w:tcPr>
            <w:tcW w:w="40" w:type="dxa"/>
            <w:vAlign w:val="bottom"/>
            <w:tcBorders>
              <w:top w:val="single" w:sz="8" w:color="FEFEFE"/>
            </w:tcBorders>
            <w:gridSpan w:val="2"/>
            <w:shd w:val="clear" w:color="auto" w:fill="FEFEFE"/>
          </w:tcPr>
          <w:p>
            <w:pPr>
              <w:spacing w:after="0"/>
              <w:rPr>
                <w:sz w:val="11"/>
                <w:szCs w:val="11"/>
                <w:color w:val="auto"/>
              </w:rPr>
            </w:pPr>
          </w:p>
        </w:tc>
        <w:tc>
          <w:tcPr>
            <w:tcW w:w="20" w:type="dxa"/>
            <w:vAlign w:val="bottom"/>
            <w:tcBorders>
              <w:top w:val="single" w:sz="8" w:color="FEFEFE"/>
            </w:tcBorders>
            <w:shd w:val="clear" w:color="auto" w:fill="FEFEFE"/>
          </w:tcPr>
          <w:p>
            <w:pPr>
              <w:spacing w:after="0"/>
              <w:rPr>
                <w:sz w:val="11"/>
                <w:szCs w:val="11"/>
                <w:color w:val="auto"/>
              </w:rPr>
            </w:pPr>
          </w:p>
        </w:tc>
        <w:tc>
          <w:tcPr>
            <w:tcW w:w="40" w:type="dxa"/>
            <w:vAlign w:val="bottom"/>
            <w:tcBorders>
              <w:top w:val="single" w:sz="8" w:color="FEFEFE"/>
              <w:right w:val="single" w:sz="8" w:color="FEFEFE"/>
            </w:tcBorders>
            <w:shd w:val="clear" w:color="auto" w:fill="FEFEF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Borders>
              <w:top w:val="single" w:sz="8" w:color="FEFEFE"/>
              <w:bottom w:val="single" w:sz="8" w:color="FEFEFE"/>
              <w:right w:val="single" w:sz="8" w:color="FEFEFE"/>
            </w:tcBorders>
            <w:shd w:val="clear" w:color="auto" w:fill="FEFEFE"/>
          </w:tcPr>
          <w:p>
            <w:pPr>
              <w:spacing w:after="0"/>
              <w:rPr>
                <w:sz w:val="11"/>
                <w:szCs w:val="11"/>
                <w:color w:val="auto"/>
              </w:rPr>
            </w:pPr>
          </w:p>
        </w:tc>
        <w:tc>
          <w:tcPr>
            <w:tcW w:w="380" w:type="dxa"/>
            <w:vAlign w:val="bottom"/>
            <w:tcBorders>
              <w:top w:val="single" w:sz="8" w:color="0000FF"/>
              <w:bottom w:val="single" w:sz="8" w:color="0000FF"/>
            </w:tcBorders>
            <w:shd w:val="clear" w:color="auto" w:fill="FEFEFE"/>
          </w:tcPr>
          <w:p>
            <w:pPr>
              <w:spacing w:after="0" w:line="134" w:lineRule="exact"/>
              <w:rPr>
                <w:rFonts w:ascii="Arial" w:cs="Arial" w:eastAsia="Arial" w:hAnsi="Arial"/>
                <w:sz w:val="15"/>
                <w:szCs w:val="15"/>
                <w:color w:val="0000FF"/>
                <w:w w:val="84"/>
              </w:rPr>
            </w:pPr>
            <w:hyperlink r:id="rId206">
              <w:r>
                <w:rPr>
                  <w:rFonts w:ascii="Arial" w:cs="Arial" w:eastAsia="Arial" w:hAnsi="Arial"/>
                  <w:sz w:val="15"/>
                  <w:szCs w:val="15"/>
                  <w:color w:val="0000FF"/>
                  <w:w w:val="84"/>
                </w:rPr>
                <w:t>2020).</w:t>
              </w:r>
            </w:hyperlink>
          </w:p>
        </w:tc>
        <w:tc>
          <w:tcPr>
            <w:tcW w:w="1740" w:type="dxa"/>
            <w:vAlign w:val="bottom"/>
            <w:tcBorders>
              <w:top w:val="single" w:sz="8" w:color="0000FF"/>
              <w:bottom w:val="single" w:sz="8" w:color="FEFEFE"/>
            </w:tcBorders>
            <w:shd w:val="clear" w:color="auto" w:fill="FEFEFE"/>
          </w:tcPr>
          <w:p>
            <w:pPr>
              <w:spacing w:after="0"/>
              <w:rPr>
                <w:sz w:val="11"/>
                <w:szCs w:val="11"/>
                <w:color w:val="auto"/>
              </w:rPr>
            </w:pPr>
          </w:p>
        </w:tc>
        <w:tc>
          <w:tcPr>
            <w:tcW w:w="1760" w:type="dxa"/>
            <w:vAlign w:val="bottom"/>
            <w:tcBorders>
              <w:top w:val="single" w:sz="8" w:color="0000FF"/>
              <w:bottom w:val="single" w:sz="8" w:color="FEFEFE"/>
            </w:tcBorders>
            <w:shd w:val="clear" w:color="auto" w:fill="FEFEFE"/>
          </w:tcPr>
          <w:p>
            <w:pPr>
              <w:spacing w:after="0"/>
              <w:rPr>
                <w:sz w:val="11"/>
                <w:szCs w:val="11"/>
                <w:color w:val="auto"/>
              </w:rPr>
            </w:pPr>
          </w:p>
        </w:tc>
        <w:tc>
          <w:tcPr>
            <w:tcW w:w="660" w:type="dxa"/>
            <w:vAlign w:val="bottom"/>
            <w:tcBorders>
              <w:top w:val="single" w:sz="8" w:color="0000FF"/>
              <w:bottom w:val="single" w:sz="8" w:color="FEFEFE"/>
            </w:tcBorders>
            <w:shd w:val="clear" w:color="auto" w:fill="FEFEFE"/>
          </w:tcPr>
          <w:p>
            <w:pPr>
              <w:spacing w:after="0"/>
              <w:rPr>
                <w:sz w:val="11"/>
                <w:szCs w:val="11"/>
                <w:color w:val="auto"/>
              </w:rPr>
            </w:pPr>
          </w:p>
        </w:tc>
        <w:tc>
          <w:tcPr>
            <w:tcW w:w="500" w:type="dxa"/>
            <w:vAlign w:val="bottom"/>
            <w:tcBorders>
              <w:top w:val="single" w:sz="8" w:color="0000FF"/>
              <w:bottom w:val="single" w:sz="8" w:color="FEFEFE"/>
            </w:tcBorders>
            <w:shd w:val="clear" w:color="auto" w:fill="FEFEFE"/>
          </w:tcPr>
          <w:p>
            <w:pPr>
              <w:spacing w:after="0"/>
              <w:rPr>
                <w:sz w:val="11"/>
                <w:szCs w:val="11"/>
                <w:color w:val="auto"/>
              </w:rPr>
            </w:pPr>
          </w:p>
        </w:tc>
        <w:tc>
          <w:tcPr>
            <w:tcW w:w="340" w:type="dxa"/>
            <w:vAlign w:val="bottom"/>
            <w:tcBorders>
              <w:top w:val="single" w:sz="8" w:color="0000FF"/>
              <w:bottom w:val="single" w:sz="8" w:color="FEFEFE"/>
            </w:tcBorders>
            <w:shd w:val="clear" w:color="auto" w:fill="FEFEFE"/>
          </w:tcPr>
          <w:p>
            <w:pPr>
              <w:spacing w:after="0"/>
              <w:rPr>
                <w:sz w:val="11"/>
                <w:szCs w:val="11"/>
                <w:color w:val="auto"/>
              </w:rPr>
            </w:pPr>
          </w:p>
        </w:tc>
        <w:tc>
          <w:tcPr>
            <w:tcW w:w="420" w:type="dxa"/>
            <w:vAlign w:val="bottom"/>
            <w:tcBorders>
              <w:top w:val="single" w:sz="8" w:color="0000FF"/>
              <w:bottom w:val="single" w:sz="8" w:color="FEFEFE"/>
            </w:tcBorders>
            <w:shd w:val="clear" w:color="auto" w:fill="FEFEFE"/>
          </w:tcPr>
          <w:p>
            <w:pPr>
              <w:spacing w:after="0"/>
              <w:rPr>
                <w:sz w:val="11"/>
                <w:szCs w:val="11"/>
                <w:color w:val="auto"/>
              </w:rPr>
            </w:pPr>
          </w:p>
        </w:tc>
        <w:tc>
          <w:tcPr>
            <w:tcW w:w="1700" w:type="dxa"/>
            <w:vAlign w:val="bottom"/>
            <w:tcBorders>
              <w:top w:val="single" w:sz="8" w:color="0000FF"/>
              <w:bottom w:val="single" w:sz="8" w:color="FEFEFE"/>
            </w:tcBorders>
            <w:shd w:val="clear" w:color="auto" w:fill="FEFEFE"/>
          </w:tcPr>
          <w:p>
            <w:pPr>
              <w:spacing w:after="0"/>
              <w:rPr>
                <w:sz w:val="11"/>
                <w:szCs w:val="11"/>
                <w:color w:val="auto"/>
              </w:rPr>
            </w:pPr>
          </w:p>
        </w:tc>
        <w:tc>
          <w:tcPr>
            <w:tcW w:w="960" w:type="dxa"/>
            <w:vAlign w:val="bottom"/>
            <w:tcBorders>
              <w:top w:val="single" w:sz="8" w:color="0000FF"/>
              <w:bottom w:val="single" w:sz="8" w:color="FEFEFE"/>
            </w:tcBorders>
            <w:shd w:val="clear" w:color="auto" w:fill="FEFEFE"/>
          </w:tcPr>
          <w:p>
            <w:pPr>
              <w:spacing w:after="0"/>
              <w:rPr>
                <w:sz w:val="11"/>
                <w:szCs w:val="11"/>
                <w:color w:val="auto"/>
              </w:rPr>
            </w:pPr>
          </w:p>
        </w:tc>
        <w:tc>
          <w:tcPr>
            <w:tcW w:w="20" w:type="dxa"/>
            <w:vAlign w:val="bottom"/>
            <w:tcBorders>
              <w:top w:val="single" w:sz="8" w:color="0000FF"/>
              <w:bottom w:val="single" w:sz="8" w:color="FEFEFE"/>
            </w:tcBorders>
            <w:shd w:val="clear" w:color="auto" w:fill="FEFEFE"/>
          </w:tcPr>
          <w:p>
            <w:pPr>
              <w:spacing w:after="0"/>
              <w:rPr>
                <w:sz w:val="11"/>
                <w:szCs w:val="11"/>
                <w:color w:val="auto"/>
              </w:rPr>
            </w:pPr>
          </w:p>
        </w:tc>
        <w:tc>
          <w:tcPr>
            <w:tcW w:w="120" w:type="dxa"/>
            <w:vAlign w:val="bottom"/>
            <w:tcBorders>
              <w:top w:val="single" w:sz="8" w:color="0000FF"/>
              <w:bottom w:val="single" w:sz="8" w:color="FEFEFE"/>
            </w:tcBorders>
            <w:shd w:val="clear" w:color="auto" w:fill="FEFEFE"/>
          </w:tcPr>
          <w:p>
            <w:pPr>
              <w:spacing w:after="0"/>
              <w:rPr>
                <w:sz w:val="11"/>
                <w:szCs w:val="11"/>
                <w:color w:val="auto"/>
              </w:rPr>
            </w:pPr>
          </w:p>
        </w:tc>
        <w:tc>
          <w:tcPr>
            <w:tcW w:w="20" w:type="dxa"/>
            <w:vAlign w:val="bottom"/>
            <w:tcBorders>
              <w:top w:val="single" w:sz="8" w:color="0000FF"/>
              <w:bottom w:val="single" w:sz="8" w:color="FEFEFE"/>
            </w:tcBorders>
            <w:shd w:val="clear" w:color="auto" w:fill="FEFEFE"/>
          </w:tcPr>
          <w:p>
            <w:pPr>
              <w:spacing w:after="0"/>
              <w:rPr>
                <w:sz w:val="11"/>
                <w:szCs w:val="11"/>
                <w:color w:val="auto"/>
              </w:rPr>
            </w:pPr>
          </w:p>
        </w:tc>
        <w:tc>
          <w:tcPr>
            <w:tcW w:w="20" w:type="dxa"/>
            <w:vAlign w:val="bottom"/>
            <w:tcBorders>
              <w:top w:val="single" w:sz="8" w:color="0000FF"/>
              <w:bottom w:val="single" w:sz="8" w:color="FEFEFE"/>
            </w:tcBorders>
            <w:shd w:val="clear" w:color="auto" w:fill="FEFEFE"/>
          </w:tcPr>
          <w:p>
            <w:pPr>
              <w:spacing w:after="0"/>
              <w:rPr>
                <w:sz w:val="11"/>
                <w:szCs w:val="11"/>
                <w:color w:val="auto"/>
              </w:rPr>
            </w:pPr>
          </w:p>
        </w:tc>
        <w:tc>
          <w:tcPr>
            <w:tcW w:w="60" w:type="dxa"/>
            <w:vAlign w:val="bottom"/>
            <w:tcBorders>
              <w:top w:val="single" w:sz="8" w:color="0000FF"/>
              <w:bottom w:val="single" w:sz="8" w:color="FEFEFE"/>
            </w:tcBorders>
            <w:shd w:val="clear" w:color="auto" w:fill="FEFEFE"/>
          </w:tcPr>
          <w:p>
            <w:pPr>
              <w:spacing w:after="0"/>
              <w:rPr>
                <w:sz w:val="11"/>
                <w:szCs w:val="11"/>
                <w:color w:val="auto"/>
              </w:rPr>
            </w:pPr>
          </w:p>
        </w:tc>
        <w:tc>
          <w:tcPr>
            <w:tcW w:w="100" w:type="dxa"/>
            <w:vAlign w:val="bottom"/>
            <w:tcBorders>
              <w:top w:val="single" w:sz="8" w:color="0000FF"/>
              <w:bottom w:val="single" w:sz="8" w:color="FEFEFE"/>
            </w:tcBorders>
            <w:shd w:val="clear" w:color="auto" w:fill="FEFEFE"/>
          </w:tcPr>
          <w:p>
            <w:pPr>
              <w:spacing w:after="0"/>
              <w:rPr>
                <w:sz w:val="11"/>
                <w:szCs w:val="11"/>
                <w:color w:val="auto"/>
              </w:rPr>
            </w:pPr>
          </w:p>
        </w:tc>
        <w:tc>
          <w:tcPr>
            <w:tcW w:w="20" w:type="dxa"/>
            <w:vAlign w:val="bottom"/>
            <w:tcBorders>
              <w:top w:val="single" w:sz="8" w:color="0000FF"/>
              <w:bottom w:val="single" w:sz="8" w:color="FEFEFE"/>
            </w:tcBorders>
            <w:shd w:val="clear" w:color="auto" w:fill="FEFEFE"/>
          </w:tcPr>
          <w:p>
            <w:pPr>
              <w:spacing w:after="0"/>
              <w:rPr>
                <w:sz w:val="11"/>
                <w:szCs w:val="11"/>
                <w:color w:val="auto"/>
              </w:rPr>
            </w:pPr>
          </w:p>
        </w:tc>
        <w:tc>
          <w:tcPr>
            <w:tcW w:w="20" w:type="dxa"/>
            <w:vAlign w:val="bottom"/>
            <w:tcBorders>
              <w:top w:val="single" w:sz="8" w:color="0000FF"/>
              <w:bottom w:val="single" w:sz="8" w:color="FEFEFE"/>
            </w:tcBorders>
            <w:shd w:val="clear" w:color="auto" w:fill="FEFEFE"/>
          </w:tcPr>
          <w:p>
            <w:pPr>
              <w:spacing w:after="0"/>
              <w:rPr>
                <w:sz w:val="11"/>
                <w:szCs w:val="11"/>
                <w:color w:val="auto"/>
              </w:rPr>
            </w:pPr>
          </w:p>
        </w:tc>
        <w:tc>
          <w:tcPr>
            <w:tcW w:w="20" w:type="dxa"/>
            <w:vAlign w:val="bottom"/>
            <w:tcBorders>
              <w:top w:val="single" w:sz="8" w:color="0000FF"/>
              <w:bottom w:val="single" w:sz="8" w:color="FEFEFE"/>
            </w:tcBorders>
            <w:shd w:val="clear" w:color="auto" w:fill="FEFEFE"/>
          </w:tcPr>
          <w:p>
            <w:pPr>
              <w:spacing w:after="0"/>
              <w:rPr>
                <w:sz w:val="11"/>
                <w:szCs w:val="11"/>
                <w:color w:val="auto"/>
              </w:rPr>
            </w:pPr>
          </w:p>
        </w:tc>
        <w:tc>
          <w:tcPr>
            <w:tcW w:w="20" w:type="dxa"/>
            <w:vAlign w:val="bottom"/>
            <w:tcBorders>
              <w:top w:val="single" w:sz="8" w:color="0000FF"/>
              <w:bottom w:val="single" w:sz="8" w:color="FEFEFE"/>
            </w:tcBorders>
            <w:shd w:val="clear" w:color="auto" w:fill="FEFEFE"/>
          </w:tcPr>
          <w:p>
            <w:pPr>
              <w:spacing w:after="0"/>
              <w:rPr>
                <w:sz w:val="11"/>
                <w:szCs w:val="11"/>
                <w:color w:val="auto"/>
              </w:rPr>
            </w:pPr>
          </w:p>
        </w:tc>
        <w:tc>
          <w:tcPr>
            <w:tcW w:w="20" w:type="dxa"/>
            <w:vAlign w:val="bottom"/>
            <w:tcBorders>
              <w:top w:val="single" w:sz="8" w:color="0000FF"/>
              <w:bottom w:val="single" w:sz="8" w:color="FEFEFE"/>
            </w:tcBorders>
            <w:shd w:val="clear" w:color="auto" w:fill="FEFEFE"/>
          </w:tcPr>
          <w:p>
            <w:pPr>
              <w:spacing w:after="0"/>
              <w:rPr>
                <w:sz w:val="11"/>
                <w:szCs w:val="11"/>
                <w:color w:val="auto"/>
              </w:rPr>
            </w:pPr>
          </w:p>
        </w:tc>
        <w:tc>
          <w:tcPr>
            <w:tcW w:w="40" w:type="dxa"/>
            <w:vAlign w:val="bottom"/>
            <w:tcBorders>
              <w:top w:val="single" w:sz="8" w:color="0000FF"/>
              <w:bottom w:val="single" w:sz="8" w:color="FEFEFE"/>
            </w:tcBorders>
            <w:shd w:val="clear" w:color="auto" w:fill="FEFEFE"/>
          </w:tcPr>
          <w:p>
            <w:pPr>
              <w:spacing w:after="0"/>
              <w:rPr>
                <w:sz w:val="11"/>
                <w:szCs w:val="11"/>
                <w:color w:val="auto"/>
              </w:rPr>
            </w:pPr>
          </w:p>
        </w:tc>
        <w:tc>
          <w:tcPr>
            <w:tcW w:w="20" w:type="dxa"/>
            <w:vAlign w:val="bottom"/>
            <w:tcBorders>
              <w:top w:val="single" w:sz="8" w:color="0000FF"/>
              <w:bottom w:val="single" w:sz="8" w:color="FEFEFE"/>
            </w:tcBorders>
            <w:shd w:val="clear" w:color="auto" w:fill="FEFEFE"/>
          </w:tcPr>
          <w:p>
            <w:pPr>
              <w:spacing w:after="0"/>
              <w:rPr>
                <w:sz w:val="11"/>
                <w:szCs w:val="11"/>
                <w:color w:val="auto"/>
              </w:rPr>
            </w:pPr>
          </w:p>
        </w:tc>
        <w:tc>
          <w:tcPr>
            <w:tcW w:w="20" w:type="dxa"/>
            <w:vAlign w:val="bottom"/>
            <w:tcBorders>
              <w:top w:val="single" w:sz="8" w:color="FEFEFE"/>
              <w:bottom w:val="single" w:sz="8" w:color="FEFEFE"/>
            </w:tcBorders>
            <w:shd w:val="clear" w:color="auto" w:fill="FEFEFE"/>
          </w:tcPr>
          <w:p>
            <w:pPr>
              <w:spacing w:after="0"/>
              <w:rPr>
                <w:sz w:val="11"/>
                <w:szCs w:val="11"/>
                <w:color w:val="auto"/>
              </w:rPr>
            </w:pPr>
          </w:p>
        </w:tc>
        <w:tc>
          <w:tcPr>
            <w:tcW w:w="60" w:type="dxa"/>
            <w:vAlign w:val="bottom"/>
            <w:tcBorders>
              <w:top w:val="single" w:sz="8" w:color="FEFEFE"/>
              <w:bottom w:val="single" w:sz="8" w:color="FEFEFE"/>
            </w:tcBorders>
            <w:shd w:val="clear" w:color="auto" w:fill="FEFEFE"/>
          </w:tcPr>
          <w:p>
            <w:pPr>
              <w:spacing w:after="0"/>
              <w:rPr>
                <w:sz w:val="11"/>
                <w:szCs w:val="11"/>
                <w:color w:val="auto"/>
              </w:rPr>
            </w:pPr>
          </w:p>
        </w:tc>
        <w:tc>
          <w:tcPr>
            <w:tcW w:w="20" w:type="dxa"/>
            <w:vAlign w:val="bottom"/>
            <w:tcBorders>
              <w:top w:val="single" w:sz="8" w:color="FEFEFE"/>
              <w:bottom w:val="single" w:sz="8" w:color="FEFEFE"/>
            </w:tcBorders>
            <w:shd w:val="clear" w:color="auto" w:fill="FEFEFE"/>
          </w:tcPr>
          <w:p>
            <w:pPr>
              <w:spacing w:after="0"/>
              <w:rPr>
                <w:sz w:val="11"/>
                <w:szCs w:val="11"/>
                <w:color w:val="auto"/>
              </w:rPr>
            </w:pPr>
          </w:p>
        </w:tc>
        <w:tc>
          <w:tcPr>
            <w:tcW w:w="40" w:type="dxa"/>
            <w:vAlign w:val="bottom"/>
            <w:tcBorders>
              <w:top w:val="single" w:sz="8" w:color="FEFEFE"/>
              <w:bottom w:val="single" w:sz="8" w:color="FEFEFE"/>
            </w:tcBorders>
            <w:shd w:val="clear" w:color="auto" w:fill="FEFEFE"/>
          </w:tcPr>
          <w:p>
            <w:pPr>
              <w:spacing w:after="0"/>
              <w:rPr>
                <w:sz w:val="11"/>
                <w:szCs w:val="11"/>
                <w:color w:val="auto"/>
              </w:rPr>
            </w:pPr>
          </w:p>
        </w:tc>
        <w:tc>
          <w:tcPr>
            <w:tcW w:w="20" w:type="dxa"/>
            <w:vAlign w:val="bottom"/>
            <w:tcBorders>
              <w:top w:val="single" w:sz="8" w:color="FEFEFE"/>
              <w:bottom w:val="single" w:sz="8" w:color="FEFEFE"/>
            </w:tcBorders>
            <w:shd w:val="clear" w:color="auto" w:fill="FEFEFE"/>
          </w:tcPr>
          <w:p>
            <w:pPr>
              <w:spacing w:after="0"/>
              <w:rPr>
                <w:sz w:val="11"/>
                <w:szCs w:val="11"/>
                <w:color w:val="auto"/>
              </w:rPr>
            </w:pPr>
          </w:p>
        </w:tc>
        <w:tc>
          <w:tcPr>
            <w:tcW w:w="20" w:type="dxa"/>
            <w:vAlign w:val="bottom"/>
            <w:tcBorders>
              <w:top w:val="single" w:sz="8" w:color="FEFEFE"/>
              <w:bottom w:val="single" w:sz="8" w:color="FEFEFE"/>
            </w:tcBorders>
            <w:shd w:val="clear" w:color="auto" w:fill="FEFEFE"/>
          </w:tcPr>
          <w:p>
            <w:pPr>
              <w:spacing w:after="0"/>
              <w:rPr>
                <w:sz w:val="11"/>
                <w:szCs w:val="11"/>
                <w:color w:val="auto"/>
              </w:rPr>
            </w:pPr>
          </w:p>
        </w:tc>
        <w:tc>
          <w:tcPr>
            <w:tcW w:w="20" w:type="dxa"/>
            <w:vAlign w:val="bottom"/>
            <w:tcBorders>
              <w:top w:val="single" w:sz="8" w:color="FEFEFE"/>
              <w:bottom w:val="single" w:sz="8" w:color="FEFEFE"/>
            </w:tcBorders>
            <w:shd w:val="clear" w:color="auto" w:fill="FEFEFE"/>
          </w:tcPr>
          <w:p>
            <w:pPr>
              <w:spacing w:after="0"/>
              <w:rPr>
                <w:sz w:val="11"/>
                <w:szCs w:val="11"/>
                <w:color w:val="auto"/>
              </w:rPr>
            </w:pPr>
          </w:p>
        </w:tc>
        <w:tc>
          <w:tcPr>
            <w:tcW w:w="20" w:type="dxa"/>
            <w:vAlign w:val="bottom"/>
            <w:tcBorders>
              <w:top w:val="single" w:sz="8" w:color="FEFEFE"/>
              <w:bottom w:val="single" w:sz="8" w:color="FEFEFE"/>
            </w:tcBorders>
            <w:shd w:val="clear" w:color="auto" w:fill="FEFEFE"/>
          </w:tcPr>
          <w:p>
            <w:pPr>
              <w:spacing w:after="0"/>
              <w:rPr>
                <w:sz w:val="11"/>
                <w:szCs w:val="11"/>
                <w:color w:val="auto"/>
              </w:rPr>
            </w:pPr>
          </w:p>
        </w:tc>
        <w:tc>
          <w:tcPr>
            <w:tcW w:w="20" w:type="dxa"/>
            <w:vAlign w:val="bottom"/>
            <w:tcBorders>
              <w:top w:val="single" w:sz="8" w:color="FEFEFE"/>
              <w:bottom w:val="single" w:sz="8" w:color="FEFEFE"/>
            </w:tcBorders>
            <w:shd w:val="clear" w:color="auto" w:fill="FEFEFE"/>
          </w:tcPr>
          <w:p>
            <w:pPr>
              <w:spacing w:after="0"/>
              <w:rPr>
                <w:sz w:val="11"/>
                <w:szCs w:val="11"/>
                <w:color w:val="auto"/>
              </w:rPr>
            </w:pPr>
          </w:p>
        </w:tc>
        <w:tc>
          <w:tcPr>
            <w:tcW w:w="40" w:type="dxa"/>
            <w:vAlign w:val="bottom"/>
            <w:tcBorders>
              <w:top w:val="single" w:sz="8" w:color="FEFEFE"/>
              <w:bottom w:val="single" w:sz="8" w:color="FEFEFE"/>
              <w:right w:val="single" w:sz="8" w:color="FEFEFE"/>
            </w:tcBorders>
            <w:shd w:val="clear" w:color="auto" w:fill="FEFEF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1120" w:type="dxa"/>
            <w:vAlign w:val="bottom"/>
          </w:tcPr>
          <w:p>
            <w:pPr>
              <w:ind w:left="20"/>
              <w:spacing w:after="0" w:line="181" w:lineRule="exact"/>
              <w:rPr>
                <w:sz w:val="20"/>
                <w:szCs w:val="20"/>
                <w:color w:val="auto"/>
              </w:rPr>
            </w:pPr>
            <w:r>
              <w:rPr>
                <w:rFonts w:ascii="Arial" w:cs="Arial" w:eastAsia="Arial" w:hAnsi="Arial"/>
                <w:sz w:val="16"/>
                <w:szCs w:val="16"/>
                <w:color w:val="auto"/>
              </w:rPr>
              <w:t>10.30†</w:t>
            </w:r>
          </w:p>
        </w:tc>
        <w:tc>
          <w:tcPr>
            <w:tcW w:w="320" w:type="dxa"/>
            <w:vAlign w:val="bottom"/>
          </w:tcPr>
          <w:p>
            <w:pPr>
              <w:spacing w:after="0"/>
              <w:rPr>
                <w:sz w:val="15"/>
                <w:szCs w:val="15"/>
                <w:color w:val="auto"/>
              </w:rPr>
            </w:pPr>
          </w:p>
        </w:tc>
        <w:tc>
          <w:tcPr>
            <w:tcW w:w="580" w:type="dxa"/>
            <w:vAlign w:val="bottom"/>
            <w:tcBorders>
              <w:right w:val="single" w:sz="8" w:color="FEFEFE"/>
            </w:tcBorders>
            <w:shd w:val="clear" w:color="auto" w:fill="FEFEFE"/>
          </w:tcPr>
          <w:p>
            <w:pPr>
              <w:spacing w:after="0"/>
              <w:rPr>
                <w:sz w:val="15"/>
                <w:szCs w:val="15"/>
                <w:color w:val="auto"/>
              </w:rPr>
            </w:pPr>
          </w:p>
        </w:tc>
        <w:tc>
          <w:tcPr>
            <w:tcW w:w="9240" w:type="dxa"/>
            <w:vAlign w:val="bottom"/>
            <w:tcBorders>
              <w:right w:val="single" w:sz="8" w:color="FEFEFE"/>
            </w:tcBorders>
            <w:gridSpan w:val="32"/>
            <w:shd w:val="clear" w:color="auto" w:fill="FEFEFE"/>
          </w:tcPr>
          <w:p>
            <w:pPr>
              <w:spacing w:after="0" w:line="181" w:lineRule="exact"/>
              <w:rPr>
                <w:rFonts w:ascii="Arial" w:cs="Arial" w:eastAsia="Arial" w:hAnsi="Arial"/>
                <w:sz w:val="16"/>
                <w:szCs w:val="16"/>
                <w:color w:val="0000FF"/>
                <w:w w:val="91"/>
              </w:rPr>
            </w:pPr>
            <w:hyperlink r:id="rId207">
              <w:r>
                <w:rPr>
                  <w:rFonts w:ascii="Arial" w:cs="Arial" w:eastAsia="Arial" w:hAnsi="Arial"/>
                  <w:sz w:val="16"/>
                  <w:szCs w:val="16"/>
                  <w:color w:val="0000FF"/>
                  <w:w w:val="91"/>
                </w:rPr>
                <w:t>Amended and Restated Employment Agreement, dated as of February 26, 2020, by and between Virtu Financial, Inc. and Mr. Stephen Cavoli</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FEFEFE"/>
          </w:tcPr>
          <w:p>
            <w:pPr>
              <w:spacing w:after="0" w:line="20" w:lineRule="exact"/>
              <w:rPr>
                <w:sz w:val="1"/>
                <w:szCs w:val="1"/>
                <w:color w:val="auto"/>
              </w:rPr>
            </w:pPr>
          </w:p>
        </w:tc>
        <w:tc>
          <w:tcPr>
            <w:tcW w:w="3880" w:type="dxa"/>
            <w:vAlign w:val="bottom"/>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6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60" w:type="dxa"/>
            <w:vAlign w:val="bottom"/>
            <w:gridSpan w:val="2"/>
            <w:shd w:val="clear" w:color="auto" w:fill="FEFEFE"/>
          </w:tcPr>
          <w:p>
            <w:pPr>
              <w:spacing w:after="0" w:line="20" w:lineRule="exact"/>
              <w:rPr>
                <w:sz w:val="1"/>
                <w:szCs w:val="1"/>
                <w:color w:val="auto"/>
              </w:rPr>
            </w:pPr>
          </w:p>
        </w:tc>
        <w:tc>
          <w:tcPr>
            <w:tcW w:w="80" w:type="dxa"/>
            <w:vAlign w:val="bottom"/>
            <w:gridSpan w:val="2"/>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60" w:type="dxa"/>
            <w:vAlign w:val="bottom"/>
            <w:gridSpan w:val="2"/>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40" w:type="dxa"/>
            <w:vAlign w:val="bottom"/>
            <w:gridSpan w:val="2"/>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40" w:type="dxa"/>
            <w:vAlign w:val="bottom"/>
            <w:tcBorders>
              <w:right w:val="single" w:sz="8" w:color="FEFEFE"/>
            </w:tcBorders>
            <w:shd w:val="clear" w:color="auto" w:fill="FEFEF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Borders>
              <w:right w:val="single" w:sz="8" w:color="FEFEFE"/>
            </w:tcBorders>
            <w:shd w:val="clear" w:color="auto" w:fill="FEFEFE"/>
          </w:tcPr>
          <w:p>
            <w:pPr>
              <w:spacing w:after="0"/>
              <w:rPr>
                <w:sz w:val="11"/>
                <w:szCs w:val="11"/>
                <w:color w:val="auto"/>
              </w:rPr>
            </w:pPr>
          </w:p>
        </w:tc>
        <w:tc>
          <w:tcPr>
            <w:tcW w:w="9240" w:type="dxa"/>
            <w:vAlign w:val="bottom"/>
            <w:tcBorders>
              <w:right w:val="single" w:sz="8" w:color="FEFEFE"/>
            </w:tcBorders>
            <w:gridSpan w:val="32"/>
            <w:shd w:val="clear" w:color="auto" w:fill="FEFEFE"/>
          </w:tcPr>
          <w:p>
            <w:pPr>
              <w:spacing w:after="0" w:line="134" w:lineRule="exact"/>
              <w:rPr>
                <w:rFonts w:ascii="Arial" w:cs="Arial" w:eastAsia="Arial" w:hAnsi="Arial"/>
                <w:sz w:val="15"/>
                <w:szCs w:val="15"/>
                <w:color w:val="0000FF"/>
                <w:w w:val="98"/>
              </w:rPr>
            </w:pPr>
            <w:hyperlink r:id="rId207">
              <w:r>
                <w:rPr>
                  <w:rFonts w:ascii="Arial" w:cs="Arial" w:eastAsia="Arial" w:hAnsi="Arial"/>
                  <w:sz w:val="15"/>
                  <w:szCs w:val="15"/>
                  <w:color w:val="0000FF"/>
                  <w:w w:val="98"/>
                </w:rPr>
                <w:t>(incorporated herein by reference to Exhibit 10.40 to the Company’s Annual Report on Form 10-K (File No. 001-37352) filed on February 28,</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Borders>
              <w:top w:val="single" w:sz="8" w:color="FEFEFE"/>
              <w:bottom w:val="single" w:sz="8" w:color="FEFEFE"/>
              <w:right w:val="single" w:sz="8" w:color="FEFEFE"/>
            </w:tcBorders>
            <w:shd w:val="clear" w:color="auto" w:fill="FEFEFE"/>
          </w:tcPr>
          <w:p>
            <w:pPr>
              <w:spacing w:after="0"/>
              <w:rPr>
                <w:sz w:val="11"/>
                <w:szCs w:val="11"/>
                <w:color w:val="auto"/>
              </w:rPr>
            </w:pPr>
          </w:p>
        </w:tc>
        <w:tc>
          <w:tcPr>
            <w:tcW w:w="380" w:type="dxa"/>
            <w:vAlign w:val="bottom"/>
            <w:tcBorders>
              <w:top w:val="single" w:sz="8" w:color="0000FF"/>
              <w:bottom w:val="single" w:sz="8" w:color="0000FF"/>
            </w:tcBorders>
            <w:shd w:val="clear" w:color="auto" w:fill="FEFEFE"/>
          </w:tcPr>
          <w:p>
            <w:pPr>
              <w:spacing w:after="0" w:line="134" w:lineRule="exact"/>
              <w:rPr>
                <w:rFonts w:ascii="Arial" w:cs="Arial" w:eastAsia="Arial" w:hAnsi="Arial"/>
                <w:sz w:val="15"/>
                <w:szCs w:val="15"/>
                <w:color w:val="0000FF"/>
                <w:w w:val="84"/>
              </w:rPr>
            </w:pPr>
            <w:hyperlink r:id="rId207">
              <w:r>
                <w:rPr>
                  <w:rFonts w:ascii="Arial" w:cs="Arial" w:eastAsia="Arial" w:hAnsi="Arial"/>
                  <w:sz w:val="15"/>
                  <w:szCs w:val="15"/>
                  <w:color w:val="0000FF"/>
                  <w:w w:val="84"/>
                </w:rPr>
                <w:t>2020).</w:t>
              </w:r>
            </w:hyperlink>
          </w:p>
        </w:tc>
        <w:tc>
          <w:tcPr>
            <w:tcW w:w="1740" w:type="dxa"/>
            <w:vAlign w:val="bottom"/>
            <w:tcBorders>
              <w:top w:val="single" w:sz="8" w:color="0000FF"/>
              <w:bottom w:val="single" w:sz="8" w:color="FEFEFE"/>
            </w:tcBorders>
            <w:shd w:val="clear" w:color="auto" w:fill="FEFEFE"/>
          </w:tcPr>
          <w:p>
            <w:pPr>
              <w:spacing w:after="0"/>
              <w:rPr>
                <w:sz w:val="11"/>
                <w:szCs w:val="11"/>
                <w:color w:val="auto"/>
              </w:rPr>
            </w:pPr>
          </w:p>
        </w:tc>
        <w:tc>
          <w:tcPr>
            <w:tcW w:w="1760" w:type="dxa"/>
            <w:vAlign w:val="bottom"/>
            <w:tcBorders>
              <w:top w:val="single" w:sz="8" w:color="0000FF"/>
              <w:bottom w:val="single" w:sz="8" w:color="FEFEFE"/>
            </w:tcBorders>
            <w:shd w:val="clear" w:color="auto" w:fill="FEFEFE"/>
          </w:tcPr>
          <w:p>
            <w:pPr>
              <w:spacing w:after="0"/>
              <w:rPr>
                <w:sz w:val="11"/>
                <w:szCs w:val="11"/>
                <w:color w:val="auto"/>
              </w:rPr>
            </w:pPr>
          </w:p>
        </w:tc>
        <w:tc>
          <w:tcPr>
            <w:tcW w:w="660" w:type="dxa"/>
            <w:vAlign w:val="bottom"/>
            <w:tcBorders>
              <w:top w:val="single" w:sz="8" w:color="0000FF"/>
              <w:bottom w:val="single" w:sz="8" w:color="FEFEFE"/>
            </w:tcBorders>
            <w:shd w:val="clear" w:color="auto" w:fill="FEFEFE"/>
          </w:tcPr>
          <w:p>
            <w:pPr>
              <w:spacing w:after="0"/>
              <w:rPr>
                <w:sz w:val="11"/>
                <w:szCs w:val="11"/>
                <w:color w:val="auto"/>
              </w:rPr>
            </w:pPr>
          </w:p>
        </w:tc>
        <w:tc>
          <w:tcPr>
            <w:tcW w:w="500" w:type="dxa"/>
            <w:vAlign w:val="bottom"/>
            <w:tcBorders>
              <w:top w:val="single" w:sz="8" w:color="0000FF"/>
              <w:bottom w:val="single" w:sz="8" w:color="FEFEFE"/>
            </w:tcBorders>
            <w:shd w:val="clear" w:color="auto" w:fill="FEFEFE"/>
          </w:tcPr>
          <w:p>
            <w:pPr>
              <w:spacing w:after="0"/>
              <w:rPr>
                <w:sz w:val="11"/>
                <w:szCs w:val="11"/>
                <w:color w:val="auto"/>
              </w:rPr>
            </w:pPr>
          </w:p>
        </w:tc>
        <w:tc>
          <w:tcPr>
            <w:tcW w:w="340" w:type="dxa"/>
            <w:vAlign w:val="bottom"/>
            <w:tcBorders>
              <w:top w:val="single" w:sz="8" w:color="0000FF"/>
              <w:bottom w:val="single" w:sz="8" w:color="FEFEFE"/>
            </w:tcBorders>
            <w:shd w:val="clear" w:color="auto" w:fill="FEFEFE"/>
          </w:tcPr>
          <w:p>
            <w:pPr>
              <w:spacing w:after="0"/>
              <w:rPr>
                <w:sz w:val="11"/>
                <w:szCs w:val="11"/>
                <w:color w:val="auto"/>
              </w:rPr>
            </w:pPr>
          </w:p>
        </w:tc>
        <w:tc>
          <w:tcPr>
            <w:tcW w:w="420" w:type="dxa"/>
            <w:vAlign w:val="bottom"/>
            <w:tcBorders>
              <w:top w:val="single" w:sz="8" w:color="0000FF"/>
              <w:bottom w:val="single" w:sz="8" w:color="FEFEFE"/>
            </w:tcBorders>
            <w:shd w:val="clear" w:color="auto" w:fill="FEFEFE"/>
          </w:tcPr>
          <w:p>
            <w:pPr>
              <w:spacing w:after="0"/>
              <w:rPr>
                <w:sz w:val="11"/>
                <w:szCs w:val="11"/>
                <w:color w:val="auto"/>
              </w:rPr>
            </w:pPr>
          </w:p>
        </w:tc>
        <w:tc>
          <w:tcPr>
            <w:tcW w:w="1700" w:type="dxa"/>
            <w:vAlign w:val="bottom"/>
            <w:tcBorders>
              <w:top w:val="single" w:sz="8" w:color="0000FF"/>
              <w:bottom w:val="single" w:sz="8" w:color="FEFEFE"/>
            </w:tcBorders>
            <w:shd w:val="clear" w:color="auto" w:fill="FEFEFE"/>
          </w:tcPr>
          <w:p>
            <w:pPr>
              <w:spacing w:after="0"/>
              <w:rPr>
                <w:sz w:val="11"/>
                <w:szCs w:val="11"/>
                <w:color w:val="auto"/>
              </w:rPr>
            </w:pPr>
          </w:p>
        </w:tc>
        <w:tc>
          <w:tcPr>
            <w:tcW w:w="960" w:type="dxa"/>
            <w:vAlign w:val="bottom"/>
            <w:tcBorders>
              <w:top w:val="single" w:sz="8" w:color="0000FF"/>
              <w:bottom w:val="single" w:sz="8" w:color="FEFEFE"/>
            </w:tcBorders>
            <w:shd w:val="clear" w:color="auto" w:fill="FEFEFE"/>
          </w:tcPr>
          <w:p>
            <w:pPr>
              <w:spacing w:after="0"/>
              <w:rPr>
                <w:sz w:val="11"/>
                <w:szCs w:val="11"/>
                <w:color w:val="auto"/>
              </w:rPr>
            </w:pPr>
          </w:p>
        </w:tc>
        <w:tc>
          <w:tcPr>
            <w:tcW w:w="20" w:type="dxa"/>
            <w:vAlign w:val="bottom"/>
            <w:tcBorders>
              <w:top w:val="single" w:sz="8" w:color="0000FF"/>
              <w:bottom w:val="single" w:sz="8" w:color="FEFEFE"/>
            </w:tcBorders>
            <w:shd w:val="clear" w:color="auto" w:fill="FEFEFE"/>
          </w:tcPr>
          <w:p>
            <w:pPr>
              <w:spacing w:after="0"/>
              <w:rPr>
                <w:sz w:val="11"/>
                <w:szCs w:val="11"/>
                <w:color w:val="auto"/>
              </w:rPr>
            </w:pPr>
          </w:p>
        </w:tc>
        <w:tc>
          <w:tcPr>
            <w:tcW w:w="120" w:type="dxa"/>
            <w:vAlign w:val="bottom"/>
            <w:tcBorders>
              <w:top w:val="single" w:sz="8" w:color="0000FF"/>
              <w:bottom w:val="single" w:sz="8" w:color="FEFEFE"/>
            </w:tcBorders>
            <w:shd w:val="clear" w:color="auto" w:fill="FEFEFE"/>
          </w:tcPr>
          <w:p>
            <w:pPr>
              <w:spacing w:after="0"/>
              <w:rPr>
                <w:sz w:val="11"/>
                <w:szCs w:val="11"/>
                <w:color w:val="auto"/>
              </w:rPr>
            </w:pPr>
          </w:p>
        </w:tc>
        <w:tc>
          <w:tcPr>
            <w:tcW w:w="20" w:type="dxa"/>
            <w:vAlign w:val="bottom"/>
            <w:tcBorders>
              <w:top w:val="single" w:sz="8" w:color="0000FF"/>
              <w:bottom w:val="single" w:sz="8" w:color="FEFEFE"/>
            </w:tcBorders>
            <w:shd w:val="clear" w:color="auto" w:fill="FEFEFE"/>
          </w:tcPr>
          <w:p>
            <w:pPr>
              <w:spacing w:after="0"/>
              <w:rPr>
                <w:sz w:val="11"/>
                <w:szCs w:val="11"/>
                <w:color w:val="auto"/>
              </w:rPr>
            </w:pPr>
          </w:p>
        </w:tc>
        <w:tc>
          <w:tcPr>
            <w:tcW w:w="20" w:type="dxa"/>
            <w:vAlign w:val="bottom"/>
            <w:tcBorders>
              <w:top w:val="single" w:sz="8" w:color="0000FF"/>
              <w:bottom w:val="single" w:sz="8" w:color="FEFEFE"/>
            </w:tcBorders>
            <w:shd w:val="clear" w:color="auto" w:fill="FEFEFE"/>
          </w:tcPr>
          <w:p>
            <w:pPr>
              <w:spacing w:after="0"/>
              <w:rPr>
                <w:sz w:val="11"/>
                <w:szCs w:val="11"/>
                <w:color w:val="auto"/>
              </w:rPr>
            </w:pPr>
          </w:p>
        </w:tc>
        <w:tc>
          <w:tcPr>
            <w:tcW w:w="60" w:type="dxa"/>
            <w:vAlign w:val="bottom"/>
            <w:tcBorders>
              <w:top w:val="single" w:sz="8" w:color="0000FF"/>
              <w:bottom w:val="single" w:sz="8" w:color="FEFEFE"/>
            </w:tcBorders>
            <w:shd w:val="clear" w:color="auto" w:fill="FEFEFE"/>
          </w:tcPr>
          <w:p>
            <w:pPr>
              <w:spacing w:after="0"/>
              <w:rPr>
                <w:sz w:val="11"/>
                <w:szCs w:val="11"/>
                <w:color w:val="auto"/>
              </w:rPr>
            </w:pPr>
          </w:p>
        </w:tc>
        <w:tc>
          <w:tcPr>
            <w:tcW w:w="100" w:type="dxa"/>
            <w:vAlign w:val="bottom"/>
            <w:tcBorders>
              <w:top w:val="single" w:sz="8" w:color="0000FF"/>
              <w:bottom w:val="single" w:sz="8" w:color="FEFEFE"/>
            </w:tcBorders>
            <w:shd w:val="clear" w:color="auto" w:fill="FEFEFE"/>
          </w:tcPr>
          <w:p>
            <w:pPr>
              <w:spacing w:after="0"/>
              <w:rPr>
                <w:sz w:val="11"/>
                <w:szCs w:val="11"/>
                <w:color w:val="auto"/>
              </w:rPr>
            </w:pPr>
          </w:p>
        </w:tc>
        <w:tc>
          <w:tcPr>
            <w:tcW w:w="20" w:type="dxa"/>
            <w:vAlign w:val="bottom"/>
            <w:tcBorders>
              <w:top w:val="single" w:sz="8" w:color="0000FF"/>
              <w:bottom w:val="single" w:sz="8" w:color="FEFEFE"/>
            </w:tcBorders>
            <w:shd w:val="clear" w:color="auto" w:fill="FEFEFE"/>
          </w:tcPr>
          <w:p>
            <w:pPr>
              <w:spacing w:after="0"/>
              <w:rPr>
                <w:sz w:val="11"/>
                <w:szCs w:val="11"/>
                <w:color w:val="auto"/>
              </w:rPr>
            </w:pPr>
          </w:p>
        </w:tc>
        <w:tc>
          <w:tcPr>
            <w:tcW w:w="20" w:type="dxa"/>
            <w:vAlign w:val="bottom"/>
            <w:tcBorders>
              <w:top w:val="single" w:sz="8" w:color="0000FF"/>
              <w:bottom w:val="single" w:sz="8" w:color="FEFEFE"/>
            </w:tcBorders>
            <w:shd w:val="clear" w:color="auto" w:fill="FEFEFE"/>
          </w:tcPr>
          <w:p>
            <w:pPr>
              <w:spacing w:after="0"/>
              <w:rPr>
                <w:sz w:val="11"/>
                <w:szCs w:val="11"/>
                <w:color w:val="auto"/>
              </w:rPr>
            </w:pPr>
          </w:p>
        </w:tc>
        <w:tc>
          <w:tcPr>
            <w:tcW w:w="20" w:type="dxa"/>
            <w:vAlign w:val="bottom"/>
            <w:tcBorders>
              <w:top w:val="single" w:sz="8" w:color="0000FF"/>
              <w:bottom w:val="single" w:sz="8" w:color="FEFEFE"/>
            </w:tcBorders>
            <w:shd w:val="clear" w:color="auto" w:fill="FEFEFE"/>
          </w:tcPr>
          <w:p>
            <w:pPr>
              <w:spacing w:after="0"/>
              <w:rPr>
                <w:sz w:val="11"/>
                <w:szCs w:val="11"/>
                <w:color w:val="auto"/>
              </w:rPr>
            </w:pPr>
          </w:p>
        </w:tc>
        <w:tc>
          <w:tcPr>
            <w:tcW w:w="20" w:type="dxa"/>
            <w:vAlign w:val="bottom"/>
            <w:tcBorders>
              <w:top w:val="single" w:sz="8" w:color="0000FF"/>
              <w:bottom w:val="single" w:sz="8" w:color="FEFEFE"/>
            </w:tcBorders>
            <w:shd w:val="clear" w:color="auto" w:fill="FEFEFE"/>
          </w:tcPr>
          <w:p>
            <w:pPr>
              <w:spacing w:after="0"/>
              <w:rPr>
                <w:sz w:val="11"/>
                <w:szCs w:val="11"/>
                <w:color w:val="auto"/>
              </w:rPr>
            </w:pPr>
          </w:p>
        </w:tc>
        <w:tc>
          <w:tcPr>
            <w:tcW w:w="20" w:type="dxa"/>
            <w:vAlign w:val="bottom"/>
            <w:tcBorders>
              <w:top w:val="single" w:sz="8" w:color="0000FF"/>
              <w:bottom w:val="single" w:sz="8" w:color="FEFEFE"/>
            </w:tcBorders>
            <w:shd w:val="clear" w:color="auto" w:fill="FEFEFE"/>
          </w:tcPr>
          <w:p>
            <w:pPr>
              <w:spacing w:after="0"/>
              <w:rPr>
                <w:sz w:val="11"/>
                <w:szCs w:val="11"/>
                <w:color w:val="auto"/>
              </w:rPr>
            </w:pPr>
          </w:p>
        </w:tc>
        <w:tc>
          <w:tcPr>
            <w:tcW w:w="40" w:type="dxa"/>
            <w:vAlign w:val="bottom"/>
            <w:tcBorders>
              <w:top w:val="single" w:sz="8" w:color="0000FF"/>
              <w:bottom w:val="single" w:sz="8" w:color="FEFEFE"/>
            </w:tcBorders>
            <w:shd w:val="clear" w:color="auto" w:fill="FEFEFE"/>
          </w:tcPr>
          <w:p>
            <w:pPr>
              <w:spacing w:after="0"/>
              <w:rPr>
                <w:sz w:val="11"/>
                <w:szCs w:val="11"/>
                <w:color w:val="auto"/>
              </w:rPr>
            </w:pPr>
          </w:p>
        </w:tc>
        <w:tc>
          <w:tcPr>
            <w:tcW w:w="20" w:type="dxa"/>
            <w:vAlign w:val="bottom"/>
            <w:tcBorders>
              <w:top w:val="single" w:sz="8" w:color="0000FF"/>
              <w:bottom w:val="single" w:sz="8" w:color="FEFEFE"/>
            </w:tcBorders>
            <w:shd w:val="clear" w:color="auto" w:fill="FEFEFE"/>
          </w:tcPr>
          <w:p>
            <w:pPr>
              <w:spacing w:after="0"/>
              <w:rPr>
                <w:sz w:val="11"/>
                <w:szCs w:val="11"/>
                <w:color w:val="auto"/>
              </w:rPr>
            </w:pPr>
          </w:p>
        </w:tc>
        <w:tc>
          <w:tcPr>
            <w:tcW w:w="20" w:type="dxa"/>
            <w:vAlign w:val="bottom"/>
            <w:tcBorders>
              <w:top w:val="single" w:sz="8" w:color="FEFEFE"/>
              <w:bottom w:val="single" w:sz="8" w:color="FEFEFE"/>
            </w:tcBorders>
            <w:shd w:val="clear" w:color="auto" w:fill="FEFEFE"/>
          </w:tcPr>
          <w:p>
            <w:pPr>
              <w:spacing w:after="0"/>
              <w:rPr>
                <w:sz w:val="11"/>
                <w:szCs w:val="11"/>
                <w:color w:val="auto"/>
              </w:rPr>
            </w:pPr>
          </w:p>
        </w:tc>
        <w:tc>
          <w:tcPr>
            <w:tcW w:w="60" w:type="dxa"/>
            <w:vAlign w:val="bottom"/>
            <w:tcBorders>
              <w:top w:val="single" w:sz="8" w:color="FEFEFE"/>
              <w:bottom w:val="single" w:sz="8" w:color="FEFEFE"/>
            </w:tcBorders>
            <w:shd w:val="clear" w:color="auto" w:fill="FEFEFE"/>
          </w:tcPr>
          <w:p>
            <w:pPr>
              <w:spacing w:after="0"/>
              <w:rPr>
                <w:sz w:val="11"/>
                <w:szCs w:val="11"/>
                <w:color w:val="auto"/>
              </w:rPr>
            </w:pPr>
          </w:p>
        </w:tc>
        <w:tc>
          <w:tcPr>
            <w:tcW w:w="20" w:type="dxa"/>
            <w:vAlign w:val="bottom"/>
            <w:tcBorders>
              <w:top w:val="single" w:sz="8" w:color="FEFEFE"/>
              <w:bottom w:val="single" w:sz="8" w:color="FEFEFE"/>
            </w:tcBorders>
            <w:shd w:val="clear" w:color="auto" w:fill="FEFEFE"/>
          </w:tcPr>
          <w:p>
            <w:pPr>
              <w:spacing w:after="0"/>
              <w:rPr>
                <w:sz w:val="11"/>
                <w:szCs w:val="11"/>
                <w:color w:val="auto"/>
              </w:rPr>
            </w:pPr>
          </w:p>
        </w:tc>
        <w:tc>
          <w:tcPr>
            <w:tcW w:w="40" w:type="dxa"/>
            <w:vAlign w:val="bottom"/>
            <w:tcBorders>
              <w:top w:val="single" w:sz="8" w:color="FEFEFE"/>
              <w:bottom w:val="single" w:sz="8" w:color="FEFEFE"/>
            </w:tcBorders>
            <w:shd w:val="clear" w:color="auto" w:fill="FEFEFE"/>
          </w:tcPr>
          <w:p>
            <w:pPr>
              <w:spacing w:after="0"/>
              <w:rPr>
                <w:sz w:val="11"/>
                <w:szCs w:val="11"/>
                <w:color w:val="auto"/>
              </w:rPr>
            </w:pPr>
          </w:p>
        </w:tc>
        <w:tc>
          <w:tcPr>
            <w:tcW w:w="20" w:type="dxa"/>
            <w:vAlign w:val="bottom"/>
            <w:tcBorders>
              <w:top w:val="single" w:sz="8" w:color="FEFEFE"/>
              <w:bottom w:val="single" w:sz="8" w:color="FEFEFE"/>
            </w:tcBorders>
            <w:shd w:val="clear" w:color="auto" w:fill="FEFEFE"/>
          </w:tcPr>
          <w:p>
            <w:pPr>
              <w:spacing w:after="0"/>
              <w:rPr>
                <w:sz w:val="11"/>
                <w:szCs w:val="11"/>
                <w:color w:val="auto"/>
              </w:rPr>
            </w:pPr>
          </w:p>
        </w:tc>
        <w:tc>
          <w:tcPr>
            <w:tcW w:w="20" w:type="dxa"/>
            <w:vAlign w:val="bottom"/>
            <w:tcBorders>
              <w:top w:val="single" w:sz="8" w:color="FEFEFE"/>
              <w:bottom w:val="single" w:sz="8" w:color="FEFEFE"/>
            </w:tcBorders>
            <w:shd w:val="clear" w:color="auto" w:fill="FEFEFE"/>
          </w:tcPr>
          <w:p>
            <w:pPr>
              <w:spacing w:after="0"/>
              <w:rPr>
                <w:sz w:val="11"/>
                <w:szCs w:val="11"/>
                <w:color w:val="auto"/>
              </w:rPr>
            </w:pPr>
          </w:p>
        </w:tc>
        <w:tc>
          <w:tcPr>
            <w:tcW w:w="20" w:type="dxa"/>
            <w:vAlign w:val="bottom"/>
            <w:tcBorders>
              <w:top w:val="single" w:sz="8" w:color="FEFEFE"/>
              <w:bottom w:val="single" w:sz="8" w:color="FEFEFE"/>
            </w:tcBorders>
            <w:shd w:val="clear" w:color="auto" w:fill="FEFEFE"/>
          </w:tcPr>
          <w:p>
            <w:pPr>
              <w:spacing w:after="0"/>
              <w:rPr>
                <w:sz w:val="11"/>
                <w:szCs w:val="11"/>
                <w:color w:val="auto"/>
              </w:rPr>
            </w:pPr>
          </w:p>
        </w:tc>
        <w:tc>
          <w:tcPr>
            <w:tcW w:w="20" w:type="dxa"/>
            <w:vAlign w:val="bottom"/>
            <w:tcBorders>
              <w:top w:val="single" w:sz="8" w:color="FEFEFE"/>
              <w:bottom w:val="single" w:sz="8" w:color="FEFEFE"/>
            </w:tcBorders>
            <w:shd w:val="clear" w:color="auto" w:fill="FEFEFE"/>
          </w:tcPr>
          <w:p>
            <w:pPr>
              <w:spacing w:after="0"/>
              <w:rPr>
                <w:sz w:val="11"/>
                <w:szCs w:val="11"/>
                <w:color w:val="auto"/>
              </w:rPr>
            </w:pPr>
          </w:p>
        </w:tc>
        <w:tc>
          <w:tcPr>
            <w:tcW w:w="20" w:type="dxa"/>
            <w:vAlign w:val="bottom"/>
            <w:tcBorders>
              <w:top w:val="single" w:sz="8" w:color="FEFEFE"/>
              <w:bottom w:val="single" w:sz="8" w:color="FEFEFE"/>
            </w:tcBorders>
            <w:shd w:val="clear" w:color="auto" w:fill="FEFEFE"/>
          </w:tcPr>
          <w:p>
            <w:pPr>
              <w:spacing w:after="0"/>
              <w:rPr>
                <w:sz w:val="11"/>
                <w:szCs w:val="11"/>
                <w:color w:val="auto"/>
              </w:rPr>
            </w:pPr>
          </w:p>
        </w:tc>
        <w:tc>
          <w:tcPr>
            <w:tcW w:w="40" w:type="dxa"/>
            <w:vAlign w:val="bottom"/>
            <w:tcBorders>
              <w:top w:val="single" w:sz="8" w:color="FEFEFE"/>
              <w:bottom w:val="single" w:sz="8" w:color="FEFEFE"/>
              <w:right w:val="single" w:sz="8" w:color="FEFEFE"/>
            </w:tcBorders>
            <w:shd w:val="clear" w:color="auto" w:fill="FEFEF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1120" w:type="dxa"/>
            <w:vAlign w:val="bottom"/>
          </w:tcPr>
          <w:p>
            <w:pPr>
              <w:ind w:left="20"/>
              <w:spacing w:after="0" w:line="181" w:lineRule="exact"/>
              <w:rPr>
                <w:sz w:val="20"/>
                <w:szCs w:val="20"/>
                <w:color w:val="auto"/>
              </w:rPr>
            </w:pPr>
            <w:r>
              <w:rPr>
                <w:rFonts w:ascii="Arial" w:cs="Arial" w:eastAsia="Arial" w:hAnsi="Arial"/>
                <w:sz w:val="16"/>
                <w:szCs w:val="16"/>
                <w:color w:val="auto"/>
              </w:rPr>
              <w:t>10.31†</w:t>
            </w:r>
          </w:p>
        </w:tc>
        <w:tc>
          <w:tcPr>
            <w:tcW w:w="320" w:type="dxa"/>
            <w:vAlign w:val="bottom"/>
          </w:tcPr>
          <w:p>
            <w:pPr>
              <w:spacing w:after="0"/>
              <w:rPr>
                <w:sz w:val="15"/>
                <w:szCs w:val="15"/>
                <w:color w:val="auto"/>
              </w:rPr>
            </w:pPr>
          </w:p>
        </w:tc>
        <w:tc>
          <w:tcPr>
            <w:tcW w:w="580" w:type="dxa"/>
            <w:vAlign w:val="bottom"/>
            <w:tcBorders>
              <w:right w:val="single" w:sz="8" w:color="FEFEFE"/>
            </w:tcBorders>
            <w:shd w:val="clear" w:color="auto" w:fill="FEFEFE"/>
          </w:tcPr>
          <w:p>
            <w:pPr>
              <w:spacing w:after="0"/>
              <w:rPr>
                <w:sz w:val="15"/>
                <w:szCs w:val="15"/>
                <w:color w:val="auto"/>
              </w:rPr>
            </w:pPr>
          </w:p>
        </w:tc>
        <w:tc>
          <w:tcPr>
            <w:tcW w:w="9240" w:type="dxa"/>
            <w:vAlign w:val="bottom"/>
            <w:tcBorders>
              <w:right w:val="single" w:sz="8" w:color="FEFEFE"/>
            </w:tcBorders>
            <w:gridSpan w:val="32"/>
            <w:shd w:val="clear" w:color="auto" w:fill="FEFEFE"/>
          </w:tcPr>
          <w:p>
            <w:pPr>
              <w:spacing w:after="0" w:line="181" w:lineRule="exact"/>
              <w:rPr>
                <w:rFonts w:ascii="Arial" w:cs="Arial" w:eastAsia="Arial" w:hAnsi="Arial"/>
                <w:sz w:val="16"/>
                <w:szCs w:val="16"/>
                <w:color w:val="0000FF"/>
                <w:w w:val="94"/>
              </w:rPr>
            </w:pPr>
            <w:hyperlink r:id="rId208">
              <w:r>
                <w:rPr>
                  <w:rFonts w:ascii="Arial" w:cs="Arial" w:eastAsia="Arial" w:hAnsi="Arial"/>
                  <w:sz w:val="16"/>
                  <w:szCs w:val="16"/>
                  <w:color w:val="0000FF"/>
                  <w:w w:val="94"/>
                </w:rPr>
                <w:t>Virtu Financial, Inc. 2015 Amended and Restated Management Incentive Plan Employee Restricted Stock Award Agreement, dated as of</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Borders>
              <w:top w:val="single" w:sz="8" w:color="FEFEFE"/>
              <w:right w:val="single" w:sz="8" w:color="FEFEFE"/>
            </w:tcBorders>
            <w:shd w:val="clear" w:color="auto" w:fill="FEFEFE"/>
          </w:tcPr>
          <w:p>
            <w:pPr>
              <w:spacing w:after="0"/>
              <w:rPr>
                <w:sz w:val="11"/>
                <w:szCs w:val="11"/>
                <w:color w:val="auto"/>
              </w:rPr>
            </w:pPr>
          </w:p>
        </w:tc>
        <w:tc>
          <w:tcPr>
            <w:tcW w:w="8620" w:type="dxa"/>
            <w:vAlign w:val="bottom"/>
            <w:tcBorders>
              <w:top w:val="single" w:sz="8" w:color="0000FF"/>
            </w:tcBorders>
            <w:gridSpan w:val="12"/>
            <w:shd w:val="clear" w:color="auto" w:fill="FEFEFE"/>
          </w:tcPr>
          <w:p>
            <w:pPr>
              <w:spacing w:after="0" w:line="134" w:lineRule="exact"/>
              <w:rPr>
                <w:rFonts w:ascii="Arial" w:cs="Arial" w:eastAsia="Arial" w:hAnsi="Arial"/>
                <w:sz w:val="15"/>
                <w:szCs w:val="15"/>
                <w:color w:val="0000FF"/>
                <w:w w:val="97"/>
              </w:rPr>
            </w:pPr>
            <w:hyperlink r:id="rId208">
              <w:r>
                <w:rPr>
                  <w:rFonts w:ascii="Arial" w:cs="Arial" w:eastAsia="Arial" w:hAnsi="Arial"/>
                  <w:sz w:val="15"/>
                  <w:szCs w:val="15"/>
                  <w:color w:val="0000FF"/>
                  <w:w w:val="97"/>
                </w:rPr>
                <w:t>February 27, 2020, by and between Virtu Financial, Inc. and Douglas A. Cifu (incorporated herein by reference to Exhibit 10.41 to the</w:t>
              </w:r>
            </w:hyperlink>
          </w:p>
        </w:tc>
        <w:tc>
          <w:tcPr>
            <w:tcW w:w="20" w:type="dxa"/>
            <w:vAlign w:val="bottom"/>
            <w:tcBorders>
              <w:top w:val="single" w:sz="8" w:color="FEFEFE"/>
            </w:tcBorders>
            <w:shd w:val="clear" w:color="auto" w:fill="FEFEFE"/>
          </w:tcPr>
          <w:p>
            <w:pPr>
              <w:spacing w:after="0"/>
              <w:rPr>
                <w:sz w:val="11"/>
                <w:szCs w:val="11"/>
                <w:color w:val="auto"/>
              </w:rPr>
            </w:pPr>
          </w:p>
        </w:tc>
        <w:tc>
          <w:tcPr>
            <w:tcW w:w="160" w:type="dxa"/>
            <w:vAlign w:val="bottom"/>
            <w:tcBorders>
              <w:top w:val="single" w:sz="8" w:color="FEFEFE"/>
            </w:tcBorders>
            <w:gridSpan w:val="2"/>
            <w:shd w:val="clear" w:color="auto" w:fill="FEFEFE"/>
          </w:tcPr>
          <w:p>
            <w:pPr>
              <w:spacing w:after="0"/>
              <w:rPr>
                <w:sz w:val="11"/>
                <w:szCs w:val="11"/>
                <w:color w:val="auto"/>
              </w:rPr>
            </w:pPr>
          </w:p>
        </w:tc>
        <w:tc>
          <w:tcPr>
            <w:tcW w:w="20" w:type="dxa"/>
            <w:vAlign w:val="bottom"/>
            <w:tcBorders>
              <w:top w:val="single" w:sz="8" w:color="FEFEFE"/>
            </w:tcBorders>
            <w:shd w:val="clear" w:color="auto" w:fill="FEFEFE"/>
          </w:tcPr>
          <w:p>
            <w:pPr>
              <w:spacing w:after="0"/>
              <w:rPr>
                <w:sz w:val="11"/>
                <w:szCs w:val="11"/>
                <w:color w:val="auto"/>
              </w:rPr>
            </w:pPr>
          </w:p>
        </w:tc>
        <w:tc>
          <w:tcPr>
            <w:tcW w:w="20" w:type="dxa"/>
            <w:vAlign w:val="bottom"/>
            <w:tcBorders>
              <w:top w:val="single" w:sz="8" w:color="FEFEFE"/>
            </w:tcBorders>
            <w:shd w:val="clear" w:color="auto" w:fill="FEFEFE"/>
          </w:tcPr>
          <w:p>
            <w:pPr>
              <w:spacing w:after="0"/>
              <w:rPr>
                <w:sz w:val="11"/>
                <w:szCs w:val="11"/>
                <w:color w:val="auto"/>
              </w:rPr>
            </w:pPr>
          </w:p>
        </w:tc>
        <w:tc>
          <w:tcPr>
            <w:tcW w:w="20" w:type="dxa"/>
            <w:vAlign w:val="bottom"/>
            <w:tcBorders>
              <w:top w:val="single" w:sz="8" w:color="FEFEFE"/>
            </w:tcBorders>
            <w:shd w:val="clear" w:color="auto" w:fill="FEFEFE"/>
          </w:tcPr>
          <w:p>
            <w:pPr>
              <w:spacing w:after="0"/>
              <w:rPr>
                <w:sz w:val="11"/>
                <w:szCs w:val="11"/>
                <w:color w:val="auto"/>
              </w:rPr>
            </w:pPr>
          </w:p>
        </w:tc>
        <w:tc>
          <w:tcPr>
            <w:tcW w:w="100" w:type="dxa"/>
            <w:vAlign w:val="bottom"/>
            <w:tcBorders>
              <w:top w:val="single" w:sz="8" w:color="FEFEFE"/>
            </w:tcBorders>
            <w:gridSpan w:val="4"/>
            <w:shd w:val="clear" w:color="auto" w:fill="FEFEFE"/>
          </w:tcPr>
          <w:p>
            <w:pPr>
              <w:spacing w:after="0"/>
              <w:rPr>
                <w:sz w:val="11"/>
                <w:szCs w:val="11"/>
                <w:color w:val="auto"/>
              </w:rPr>
            </w:pPr>
          </w:p>
        </w:tc>
        <w:tc>
          <w:tcPr>
            <w:tcW w:w="80" w:type="dxa"/>
            <w:vAlign w:val="bottom"/>
            <w:tcBorders>
              <w:top w:val="single" w:sz="8" w:color="FEFEFE"/>
            </w:tcBorders>
            <w:gridSpan w:val="2"/>
            <w:shd w:val="clear" w:color="auto" w:fill="FEFEFE"/>
          </w:tcPr>
          <w:p>
            <w:pPr>
              <w:spacing w:after="0"/>
              <w:rPr>
                <w:sz w:val="11"/>
                <w:szCs w:val="11"/>
                <w:color w:val="auto"/>
              </w:rPr>
            </w:pPr>
          </w:p>
        </w:tc>
        <w:tc>
          <w:tcPr>
            <w:tcW w:w="20" w:type="dxa"/>
            <w:vAlign w:val="bottom"/>
            <w:tcBorders>
              <w:top w:val="single" w:sz="8" w:color="FEFEFE"/>
            </w:tcBorders>
            <w:shd w:val="clear" w:color="auto" w:fill="FEFEFE"/>
          </w:tcPr>
          <w:p>
            <w:pPr>
              <w:spacing w:after="0"/>
              <w:rPr>
                <w:sz w:val="11"/>
                <w:szCs w:val="11"/>
                <w:color w:val="auto"/>
              </w:rPr>
            </w:pPr>
          </w:p>
        </w:tc>
        <w:tc>
          <w:tcPr>
            <w:tcW w:w="60" w:type="dxa"/>
            <w:vAlign w:val="bottom"/>
            <w:tcBorders>
              <w:top w:val="single" w:sz="8" w:color="FEFEFE"/>
            </w:tcBorders>
            <w:gridSpan w:val="2"/>
            <w:shd w:val="clear" w:color="auto" w:fill="FEFEFE"/>
          </w:tcPr>
          <w:p>
            <w:pPr>
              <w:spacing w:after="0"/>
              <w:rPr>
                <w:sz w:val="11"/>
                <w:szCs w:val="11"/>
                <w:color w:val="auto"/>
              </w:rPr>
            </w:pPr>
          </w:p>
        </w:tc>
        <w:tc>
          <w:tcPr>
            <w:tcW w:w="20" w:type="dxa"/>
            <w:vAlign w:val="bottom"/>
            <w:tcBorders>
              <w:top w:val="single" w:sz="8" w:color="FEFEFE"/>
            </w:tcBorders>
            <w:shd w:val="clear" w:color="auto" w:fill="FEFEFE"/>
          </w:tcPr>
          <w:p>
            <w:pPr>
              <w:spacing w:after="0"/>
              <w:rPr>
                <w:sz w:val="11"/>
                <w:szCs w:val="11"/>
                <w:color w:val="auto"/>
              </w:rPr>
            </w:pPr>
          </w:p>
        </w:tc>
        <w:tc>
          <w:tcPr>
            <w:tcW w:w="40" w:type="dxa"/>
            <w:vAlign w:val="bottom"/>
            <w:tcBorders>
              <w:top w:val="single" w:sz="8" w:color="FEFEFE"/>
            </w:tcBorders>
            <w:gridSpan w:val="2"/>
            <w:shd w:val="clear" w:color="auto" w:fill="FEFEFE"/>
          </w:tcPr>
          <w:p>
            <w:pPr>
              <w:spacing w:after="0"/>
              <w:rPr>
                <w:sz w:val="11"/>
                <w:szCs w:val="11"/>
                <w:color w:val="auto"/>
              </w:rPr>
            </w:pPr>
          </w:p>
        </w:tc>
        <w:tc>
          <w:tcPr>
            <w:tcW w:w="20" w:type="dxa"/>
            <w:vAlign w:val="bottom"/>
            <w:tcBorders>
              <w:top w:val="single" w:sz="8" w:color="FEFEFE"/>
            </w:tcBorders>
            <w:shd w:val="clear" w:color="auto" w:fill="FEFEFE"/>
          </w:tcPr>
          <w:p>
            <w:pPr>
              <w:spacing w:after="0"/>
              <w:rPr>
                <w:sz w:val="11"/>
                <w:szCs w:val="11"/>
                <w:color w:val="auto"/>
              </w:rPr>
            </w:pPr>
          </w:p>
        </w:tc>
        <w:tc>
          <w:tcPr>
            <w:tcW w:w="40" w:type="dxa"/>
            <w:vAlign w:val="bottom"/>
            <w:tcBorders>
              <w:top w:val="single" w:sz="8" w:color="FEFEFE"/>
              <w:right w:val="single" w:sz="8" w:color="FEFEFE"/>
            </w:tcBorders>
            <w:shd w:val="clear" w:color="auto" w:fill="FEFEF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Borders>
              <w:top w:val="single" w:sz="8" w:color="FEFEFE"/>
              <w:right w:val="single" w:sz="8" w:color="FEFEFE"/>
            </w:tcBorders>
            <w:shd w:val="clear" w:color="auto" w:fill="FEFEFE"/>
          </w:tcPr>
          <w:p>
            <w:pPr>
              <w:spacing w:after="0"/>
              <w:rPr>
                <w:sz w:val="11"/>
                <w:szCs w:val="11"/>
                <w:color w:val="auto"/>
              </w:rPr>
            </w:pPr>
          </w:p>
        </w:tc>
        <w:tc>
          <w:tcPr>
            <w:tcW w:w="8480" w:type="dxa"/>
            <w:vAlign w:val="bottom"/>
            <w:tcBorders>
              <w:top w:val="single" w:sz="8" w:color="0000FF"/>
            </w:tcBorders>
            <w:gridSpan w:val="10"/>
            <w:shd w:val="clear" w:color="auto" w:fill="FEFEFE"/>
          </w:tcPr>
          <w:p>
            <w:pPr>
              <w:spacing w:after="0" w:line="134" w:lineRule="exact"/>
              <w:rPr>
                <w:rFonts w:ascii="Arial" w:cs="Arial" w:eastAsia="Arial" w:hAnsi="Arial"/>
                <w:sz w:val="15"/>
                <w:szCs w:val="15"/>
                <w:color w:val="0000FF"/>
              </w:rPr>
            </w:pPr>
            <w:hyperlink r:id="rId208">
              <w:r>
                <w:rPr>
                  <w:rFonts w:ascii="Arial" w:cs="Arial" w:eastAsia="Arial" w:hAnsi="Arial"/>
                  <w:sz w:val="15"/>
                  <w:szCs w:val="15"/>
                  <w:color w:val="0000FF"/>
                </w:rPr>
                <w:t>Company’s Annual Report on Form 10-K (File No. 001-37352) filed on February 28, 2020).</w:t>
              </w:r>
            </w:hyperlink>
          </w:p>
        </w:tc>
        <w:tc>
          <w:tcPr>
            <w:tcW w:w="120" w:type="dxa"/>
            <w:vAlign w:val="bottom"/>
            <w:tcBorders>
              <w:top w:val="single" w:sz="8" w:color="FEFEFE"/>
            </w:tcBorders>
            <w:shd w:val="clear" w:color="auto" w:fill="FEFEFE"/>
          </w:tcPr>
          <w:p>
            <w:pPr>
              <w:spacing w:after="0"/>
              <w:rPr>
                <w:sz w:val="11"/>
                <w:szCs w:val="11"/>
                <w:color w:val="auto"/>
              </w:rPr>
            </w:pPr>
          </w:p>
        </w:tc>
        <w:tc>
          <w:tcPr>
            <w:tcW w:w="40" w:type="dxa"/>
            <w:vAlign w:val="bottom"/>
            <w:tcBorders>
              <w:top w:val="single" w:sz="8" w:color="FEFEFE"/>
            </w:tcBorders>
            <w:gridSpan w:val="2"/>
            <w:shd w:val="clear" w:color="auto" w:fill="FEFEFE"/>
          </w:tcPr>
          <w:p>
            <w:pPr>
              <w:spacing w:after="0"/>
              <w:rPr>
                <w:sz w:val="11"/>
                <w:szCs w:val="11"/>
                <w:color w:val="auto"/>
              </w:rPr>
            </w:pPr>
          </w:p>
        </w:tc>
        <w:tc>
          <w:tcPr>
            <w:tcW w:w="160" w:type="dxa"/>
            <w:vAlign w:val="bottom"/>
            <w:tcBorders>
              <w:top w:val="single" w:sz="8" w:color="FEFEFE"/>
            </w:tcBorders>
            <w:gridSpan w:val="2"/>
            <w:shd w:val="clear" w:color="auto" w:fill="FEFEFE"/>
          </w:tcPr>
          <w:p>
            <w:pPr>
              <w:spacing w:after="0"/>
              <w:rPr>
                <w:sz w:val="11"/>
                <w:szCs w:val="11"/>
                <w:color w:val="auto"/>
              </w:rPr>
            </w:pPr>
          </w:p>
        </w:tc>
        <w:tc>
          <w:tcPr>
            <w:tcW w:w="20" w:type="dxa"/>
            <w:vAlign w:val="bottom"/>
            <w:tcBorders>
              <w:top w:val="single" w:sz="8" w:color="FEFEFE"/>
            </w:tcBorders>
            <w:shd w:val="clear" w:color="auto" w:fill="FEFEFE"/>
          </w:tcPr>
          <w:p>
            <w:pPr>
              <w:spacing w:after="0"/>
              <w:rPr>
                <w:sz w:val="11"/>
                <w:szCs w:val="11"/>
                <w:color w:val="auto"/>
              </w:rPr>
            </w:pPr>
          </w:p>
        </w:tc>
        <w:tc>
          <w:tcPr>
            <w:tcW w:w="20" w:type="dxa"/>
            <w:vAlign w:val="bottom"/>
            <w:tcBorders>
              <w:top w:val="single" w:sz="8" w:color="FEFEFE"/>
            </w:tcBorders>
            <w:shd w:val="clear" w:color="auto" w:fill="FEFEFE"/>
          </w:tcPr>
          <w:p>
            <w:pPr>
              <w:spacing w:after="0"/>
              <w:rPr>
                <w:sz w:val="11"/>
                <w:szCs w:val="11"/>
                <w:color w:val="auto"/>
              </w:rPr>
            </w:pPr>
          </w:p>
        </w:tc>
        <w:tc>
          <w:tcPr>
            <w:tcW w:w="20" w:type="dxa"/>
            <w:vAlign w:val="bottom"/>
            <w:tcBorders>
              <w:top w:val="single" w:sz="8" w:color="FEFEFE"/>
            </w:tcBorders>
            <w:shd w:val="clear" w:color="auto" w:fill="FEFEFE"/>
          </w:tcPr>
          <w:p>
            <w:pPr>
              <w:spacing w:after="0"/>
              <w:rPr>
                <w:sz w:val="11"/>
                <w:szCs w:val="11"/>
                <w:color w:val="auto"/>
              </w:rPr>
            </w:pPr>
          </w:p>
        </w:tc>
        <w:tc>
          <w:tcPr>
            <w:tcW w:w="100" w:type="dxa"/>
            <w:vAlign w:val="bottom"/>
            <w:tcBorders>
              <w:top w:val="single" w:sz="8" w:color="FEFEFE"/>
            </w:tcBorders>
            <w:gridSpan w:val="4"/>
            <w:shd w:val="clear" w:color="auto" w:fill="FEFEFE"/>
          </w:tcPr>
          <w:p>
            <w:pPr>
              <w:spacing w:after="0"/>
              <w:rPr>
                <w:sz w:val="11"/>
                <w:szCs w:val="11"/>
                <w:color w:val="auto"/>
              </w:rPr>
            </w:pPr>
          </w:p>
        </w:tc>
        <w:tc>
          <w:tcPr>
            <w:tcW w:w="80" w:type="dxa"/>
            <w:vAlign w:val="bottom"/>
            <w:tcBorders>
              <w:top w:val="single" w:sz="8" w:color="FEFEFE"/>
            </w:tcBorders>
            <w:gridSpan w:val="2"/>
            <w:shd w:val="clear" w:color="auto" w:fill="FEFEFE"/>
          </w:tcPr>
          <w:p>
            <w:pPr>
              <w:spacing w:after="0"/>
              <w:rPr>
                <w:sz w:val="11"/>
                <w:szCs w:val="11"/>
                <w:color w:val="auto"/>
              </w:rPr>
            </w:pPr>
          </w:p>
        </w:tc>
        <w:tc>
          <w:tcPr>
            <w:tcW w:w="20" w:type="dxa"/>
            <w:vAlign w:val="bottom"/>
            <w:tcBorders>
              <w:top w:val="single" w:sz="8" w:color="FEFEFE"/>
            </w:tcBorders>
            <w:shd w:val="clear" w:color="auto" w:fill="FEFEFE"/>
          </w:tcPr>
          <w:p>
            <w:pPr>
              <w:spacing w:after="0"/>
              <w:rPr>
                <w:sz w:val="11"/>
                <w:szCs w:val="11"/>
                <w:color w:val="auto"/>
              </w:rPr>
            </w:pPr>
          </w:p>
        </w:tc>
        <w:tc>
          <w:tcPr>
            <w:tcW w:w="60" w:type="dxa"/>
            <w:vAlign w:val="bottom"/>
            <w:tcBorders>
              <w:top w:val="single" w:sz="8" w:color="FEFEFE"/>
            </w:tcBorders>
            <w:gridSpan w:val="2"/>
            <w:shd w:val="clear" w:color="auto" w:fill="FEFEFE"/>
          </w:tcPr>
          <w:p>
            <w:pPr>
              <w:spacing w:after="0"/>
              <w:rPr>
                <w:sz w:val="11"/>
                <w:szCs w:val="11"/>
                <w:color w:val="auto"/>
              </w:rPr>
            </w:pPr>
          </w:p>
        </w:tc>
        <w:tc>
          <w:tcPr>
            <w:tcW w:w="20" w:type="dxa"/>
            <w:vAlign w:val="bottom"/>
            <w:tcBorders>
              <w:top w:val="single" w:sz="8" w:color="FEFEFE"/>
            </w:tcBorders>
            <w:shd w:val="clear" w:color="auto" w:fill="FEFEFE"/>
          </w:tcPr>
          <w:p>
            <w:pPr>
              <w:spacing w:after="0"/>
              <w:rPr>
                <w:sz w:val="11"/>
                <w:szCs w:val="11"/>
                <w:color w:val="auto"/>
              </w:rPr>
            </w:pPr>
          </w:p>
        </w:tc>
        <w:tc>
          <w:tcPr>
            <w:tcW w:w="40" w:type="dxa"/>
            <w:vAlign w:val="bottom"/>
            <w:tcBorders>
              <w:top w:val="single" w:sz="8" w:color="FEFEFE"/>
            </w:tcBorders>
            <w:gridSpan w:val="2"/>
            <w:shd w:val="clear" w:color="auto" w:fill="FEFEFE"/>
          </w:tcPr>
          <w:p>
            <w:pPr>
              <w:spacing w:after="0"/>
              <w:rPr>
                <w:sz w:val="11"/>
                <w:szCs w:val="11"/>
                <w:color w:val="auto"/>
              </w:rPr>
            </w:pPr>
          </w:p>
        </w:tc>
        <w:tc>
          <w:tcPr>
            <w:tcW w:w="20" w:type="dxa"/>
            <w:vAlign w:val="bottom"/>
            <w:tcBorders>
              <w:top w:val="single" w:sz="8" w:color="FEFEFE"/>
            </w:tcBorders>
            <w:shd w:val="clear" w:color="auto" w:fill="FEFEFE"/>
          </w:tcPr>
          <w:p>
            <w:pPr>
              <w:spacing w:after="0"/>
              <w:rPr>
                <w:sz w:val="11"/>
                <w:szCs w:val="11"/>
                <w:color w:val="auto"/>
              </w:rPr>
            </w:pPr>
          </w:p>
        </w:tc>
        <w:tc>
          <w:tcPr>
            <w:tcW w:w="40" w:type="dxa"/>
            <w:vAlign w:val="bottom"/>
            <w:tcBorders>
              <w:top w:val="single" w:sz="8" w:color="FEFEFE"/>
              <w:right w:val="single" w:sz="8" w:color="FEFEFE"/>
            </w:tcBorders>
            <w:shd w:val="clear" w:color="auto" w:fill="FEFEF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FEFEFE"/>
          </w:tcPr>
          <w:p>
            <w:pPr>
              <w:spacing w:after="0" w:line="20" w:lineRule="exact"/>
              <w:rPr>
                <w:sz w:val="1"/>
                <w:szCs w:val="1"/>
                <w:color w:val="auto"/>
              </w:rPr>
            </w:pPr>
          </w:p>
        </w:tc>
        <w:tc>
          <w:tcPr>
            <w:tcW w:w="3880" w:type="dxa"/>
            <w:vAlign w:val="bottom"/>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660" w:type="dxa"/>
            <w:vAlign w:val="bottom"/>
            <w:gridSpan w:val="2"/>
            <w:shd w:val="clear" w:color="auto" w:fill="FEFEFE"/>
          </w:tcPr>
          <w:p>
            <w:pPr>
              <w:spacing w:after="0" w:line="20" w:lineRule="exact"/>
              <w:rPr>
                <w:sz w:val="1"/>
                <w:szCs w:val="1"/>
                <w:color w:val="auto"/>
              </w:rPr>
            </w:pPr>
          </w:p>
        </w:tc>
        <w:tc>
          <w:tcPr>
            <w:tcW w:w="140" w:type="dxa"/>
            <w:vAlign w:val="bottom"/>
            <w:gridSpan w:val="2"/>
            <w:shd w:val="clear" w:color="auto" w:fill="FEFEFE"/>
          </w:tcPr>
          <w:p>
            <w:pPr>
              <w:spacing w:after="0" w:line="20" w:lineRule="exact"/>
              <w:rPr>
                <w:sz w:val="1"/>
                <w:szCs w:val="1"/>
                <w:color w:val="auto"/>
              </w:rPr>
            </w:pPr>
          </w:p>
        </w:tc>
        <w:tc>
          <w:tcPr>
            <w:tcW w:w="40" w:type="dxa"/>
            <w:vAlign w:val="bottom"/>
            <w:gridSpan w:val="2"/>
            <w:shd w:val="clear" w:color="auto" w:fill="FEFEFE"/>
          </w:tcPr>
          <w:p>
            <w:pPr>
              <w:spacing w:after="0" w:line="20" w:lineRule="exact"/>
              <w:rPr>
                <w:sz w:val="1"/>
                <w:szCs w:val="1"/>
                <w:color w:val="auto"/>
              </w:rPr>
            </w:pPr>
          </w:p>
        </w:tc>
        <w:tc>
          <w:tcPr>
            <w:tcW w:w="160" w:type="dxa"/>
            <w:vAlign w:val="bottom"/>
            <w:gridSpan w:val="2"/>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100" w:type="dxa"/>
            <w:vAlign w:val="bottom"/>
            <w:gridSpan w:val="4"/>
            <w:shd w:val="clear" w:color="auto" w:fill="FEFEFE"/>
          </w:tcPr>
          <w:p>
            <w:pPr>
              <w:spacing w:after="0" w:line="20" w:lineRule="exact"/>
              <w:rPr>
                <w:sz w:val="1"/>
                <w:szCs w:val="1"/>
                <w:color w:val="auto"/>
              </w:rPr>
            </w:pPr>
          </w:p>
        </w:tc>
        <w:tc>
          <w:tcPr>
            <w:tcW w:w="80" w:type="dxa"/>
            <w:vAlign w:val="bottom"/>
            <w:gridSpan w:val="2"/>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60" w:type="dxa"/>
            <w:vAlign w:val="bottom"/>
            <w:gridSpan w:val="2"/>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40" w:type="dxa"/>
            <w:vAlign w:val="bottom"/>
            <w:gridSpan w:val="2"/>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40" w:type="dxa"/>
            <w:vAlign w:val="bottom"/>
            <w:tcBorders>
              <w:right w:val="single" w:sz="8" w:color="FEFEFE"/>
            </w:tcBorders>
            <w:shd w:val="clear" w:color="auto" w:fill="FEFEF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120" w:type="dxa"/>
            <w:vAlign w:val="bottom"/>
          </w:tcPr>
          <w:p>
            <w:pPr>
              <w:ind w:left="20"/>
              <w:spacing w:after="0" w:line="181" w:lineRule="exact"/>
              <w:rPr>
                <w:sz w:val="20"/>
                <w:szCs w:val="20"/>
                <w:color w:val="auto"/>
              </w:rPr>
            </w:pPr>
            <w:r>
              <w:rPr>
                <w:rFonts w:ascii="Arial" w:cs="Arial" w:eastAsia="Arial" w:hAnsi="Arial"/>
                <w:sz w:val="16"/>
                <w:szCs w:val="16"/>
                <w:color w:val="auto"/>
              </w:rPr>
              <w:t>10.32†</w:t>
            </w:r>
          </w:p>
        </w:tc>
        <w:tc>
          <w:tcPr>
            <w:tcW w:w="320" w:type="dxa"/>
            <w:vAlign w:val="bottom"/>
          </w:tcPr>
          <w:p>
            <w:pPr>
              <w:spacing w:after="0"/>
              <w:rPr>
                <w:sz w:val="15"/>
                <w:szCs w:val="15"/>
                <w:color w:val="auto"/>
              </w:rPr>
            </w:pPr>
          </w:p>
        </w:tc>
        <w:tc>
          <w:tcPr>
            <w:tcW w:w="580" w:type="dxa"/>
            <w:vAlign w:val="bottom"/>
            <w:tcBorders>
              <w:right w:val="single" w:sz="8" w:color="FEFEFE"/>
            </w:tcBorders>
            <w:shd w:val="clear" w:color="auto" w:fill="FEFEFE"/>
          </w:tcPr>
          <w:p>
            <w:pPr>
              <w:spacing w:after="0"/>
              <w:rPr>
                <w:sz w:val="15"/>
                <w:szCs w:val="15"/>
                <w:color w:val="auto"/>
              </w:rPr>
            </w:pPr>
          </w:p>
        </w:tc>
        <w:tc>
          <w:tcPr>
            <w:tcW w:w="9240" w:type="dxa"/>
            <w:vAlign w:val="bottom"/>
            <w:tcBorders>
              <w:right w:val="single" w:sz="8" w:color="FEFEFE"/>
            </w:tcBorders>
            <w:gridSpan w:val="32"/>
            <w:shd w:val="clear" w:color="auto" w:fill="FEFEFE"/>
          </w:tcPr>
          <w:p>
            <w:pPr>
              <w:spacing w:after="0" w:line="181" w:lineRule="exact"/>
              <w:rPr>
                <w:rFonts w:ascii="Arial" w:cs="Arial" w:eastAsia="Arial" w:hAnsi="Arial"/>
                <w:sz w:val="16"/>
                <w:szCs w:val="16"/>
                <w:color w:val="0000FF"/>
                <w:w w:val="94"/>
              </w:rPr>
            </w:pPr>
            <w:hyperlink r:id="rId209">
              <w:r>
                <w:rPr>
                  <w:rFonts w:ascii="Arial" w:cs="Arial" w:eastAsia="Arial" w:hAnsi="Arial"/>
                  <w:sz w:val="16"/>
                  <w:szCs w:val="16"/>
                  <w:color w:val="0000FF"/>
                  <w:w w:val="94"/>
                </w:rPr>
                <w:t>Virtu Financial, Inc. 2015 Amended and Restated Management Incentive Plan Employee Restricted Stock Award Agreement, dated as of</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Borders>
              <w:top w:val="single" w:sz="8" w:color="FEFEFE"/>
              <w:right w:val="single" w:sz="8" w:color="FEFEFE"/>
            </w:tcBorders>
            <w:shd w:val="clear" w:color="auto" w:fill="FEFEFE"/>
          </w:tcPr>
          <w:p>
            <w:pPr>
              <w:spacing w:after="0"/>
              <w:rPr>
                <w:sz w:val="11"/>
                <w:szCs w:val="11"/>
                <w:color w:val="auto"/>
              </w:rPr>
            </w:pPr>
          </w:p>
        </w:tc>
        <w:tc>
          <w:tcPr>
            <w:tcW w:w="8620" w:type="dxa"/>
            <w:vAlign w:val="bottom"/>
            <w:tcBorders>
              <w:top w:val="single" w:sz="8" w:color="0000FF"/>
            </w:tcBorders>
            <w:gridSpan w:val="12"/>
            <w:shd w:val="clear" w:color="auto" w:fill="FEFEFE"/>
          </w:tcPr>
          <w:p>
            <w:pPr>
              <w:spacing w:after="0" w:line="134" w:lineRule="exact"/>
              <w:rPr>
                <w:rFonts w:ascii="Arial" w:cs="Arial" w:eastAsia="Arial" w:hAnsi="Arial"/>
                <w:sz w:val="15"/>
                <w:szCs w:val="15"/>
                <w:color w:val="0000FF"/>
                <w:w w:val="97"/>
              </w:rPr>
            </w:pPr>
            <w:hyperlink r:id="rId209">
              <w:r>
                <w:rPr>
                  <w:rFonts w:ascii="Arial" w:cs="Arial" w:eastAsia="Arial" w:hAnsi="Arial"/>
                  <w:sz w:val="15"/>
                  <w:szCs w:val="15"/>
                  <w:color w:val="0000FF"/>
                  <w:w w:val="97"/>
                </w:rPr>
                <w:t>February 27, 2020, by and between Virtu Financial, Inc. and Brett Fairclough (incorporated herein by reference to Exhibit 10.42 to the</w:t>
              </w:r>
            </w:hyperlink>
          </w:p>
        </w:tc>
        <w:tc>
          <w:tcPr>
            <w:tcW w:w="20" w:type="dxa"/>
            <w:vAlign w:val="bottom"/>
            <w:tcBorders>
              <w:top w:val="single" w:sz="8" w:color="FEFEFE"/>
            </w:tcBorders>
            <w:shd w:val="clear" w:color="auto" w:fill="FEFEFE"/>
          </w:tcPr>
          <w:p>
            <w:pPr>
              <w:spacing w:after="0"/>
              <w:rPr>
                <w:sz w:val="11"/>
                <w:szCs w:val="11"/>
                <w:color w:val="auto"/>
              </w:rPr>
            </w:pPr>
          </w:p>
        </w:tc>
        <w:tc>
          <w:tcPr>
            <w:tcW w:w="160" w:type="dxa"/>
            <w:vAlign w:val="bottom"/>
            <w:tcBorders>
              <w:top w:val="single" w:sz="8" w:color="FEFEFE"/>
            </w:tcBorders>
            <w:gridSpan w:val="2"/>
            <w:shd w:val="clear" w:color="auto" w:fill="FEFEFE"/>
          </w:tcPr>
          <w:p>
            <w:pPr>
              <w:spacing w:after="0"/>
              <w:rPr>
                <w:sz w:val="11"/>
                <w:szCs w:val="11"/>
                <w:color w:val="auto"/>
              </w:rPr>
            </w:pPr>
          </w:p>
        </w:tc>
        <w:tc>
          <w:tcPr>
            <w:tcW w:w="20" w:type="dxa"/>
            <w:vAlign w:val="bottom"/>
            <w:tcBorders>
              <w:top w:val="single" w:sz="8" w:color="FEFEFE"/>
            </w:tcBorders>
            <w:shd w:val="clear" w:color="auto" w:fill="FEFEFE"/>
          </w:tcPr>
          <w:p>
            <w:pPr>
              <w:spacing w:after="0"/>
              <w:rPr>
                <w:sz w:val="11"/>
                <w:szCs w:val="11"/>
                <w:color w:val="auto"/>
              </w:rPr>
            </w:pPr>
          </w:p>
        </w:tc>
        <w:tc>
          <w:tcPr>
            <w:tcW w:w="20" w:type="dxa"/>
            <w:vAlign w:val="bottom"/>
            <w:tcBorders>
              <w:top w:val="single" w:sz="8" w:color="FEFEFE"/>
            </w:tcBorders>
            <w:shd w:val="clear" w:color="auto" w:fill="FEFEFE"/>
          </w:tcPr>
          <w:p>
            <w:pPr>
              <w:spacing w:after="0"/>
              <w:rPr>
                <w:sz w:val="11"/>
                <w:szCs w:val="11"/>
                <w:color w:val="auto"/>
              </w:rPr>
            </w:pPr>
          </w:p>
        </w:tc>
        <w:tc>
          <w:tcPr>
            <w:tcW w:w="20" w:type="dxa"/>
            <w:vAlign w:val="bottom"/>
            <w:tcBorders>
              <w:top w:val="single" w:sz="8" w:color="FEFEFE"/>
            </w:tcBorders>
            <w:shd w:val="clear" w:color="auto" w:fill="FEFEFE"/>
          </w:tcPr>
          <w:p>
            <w:pPr>
              <w:spacing w:after="0"/>
              <w:rPr>
                <w:sz w:val="11"/>
                <w:szCs w:val="11"/>
                <w:color w:val="auto"/>
              </w:rPr>
            </w:pPr>
          </w:p>
        </w:tc>
        <w:tc>
          <w:tcPr>
            <w:tcW w:w="100" w:type="dxa"/>
            <w:vAlign w:val="bottom"/>
            <w:tcBorders>
              <w:top w:val="single" w:sz="8" w:color="FEFEFE"/>
            </w:tcBorders>
            <w:gridSpan w:val="4"/>
            <w:shd w:val="clear" w:color="auto" w:fill="FEFEFE"/>
          </w:tcPr>
          <w:p>
            <w:pPr>
              <w:spacing w:after="0"/>
              <w:rPr>
                <w:sz w:val="11"/>
                <w:szCs w:val="11"/>
                <w:color w:val="auto"/>
              </w:rPr>
            </w:pPr>
          </w:p>
        </w:tc>
        <w:tc>
          <w:tcPr>
            <w:tcW w:w="80" w:type="dxa"/>
            <w:vAlign w:val="bottom"/>
            <w:tcBorders>
              <w:top w:val="single" w:sz="8" w:color="FEFEFE"/>
            </w:tcBorders>
            <w:gridSpan w:val="2"/>
            <w:shd w:val="clear" w:color="auto" w:fill="FEFEFE"/>
          </w:tcPr>
          <w:p>
            <w:pPr>
              <w:spacing w:after="0"/>
              <w:rPr>
                <w:sz w:val="11"/>
                <w:szCs w:val="11"/>
                <w:color w:val="auto"/>
              </w:rPr>
            </w:pPr>
          </w:p>
        </w:tc>
        <w:tc>
          <w:tcPr>
            <w:tcW w:w="20" w:type="dxa"/>
            <w:vAlign w:val="bottom"/>
            <w:tcBorders>
              <w:top w:val="single" w:sz="8" w:color="FEFEFE"/>
            </w:tcBorders>
            <w:shd w:val="clear" w:color="auto" w:fill="FEFEFE"/>
          </w:tcPr>
          <w:p>
            <w:pPr>
              <w:spacing w:after="0"/>
              <w:rPr>
                <w:sz w:val="11"/>
                <w:szCs w:val="11"/>
                <w:color w:val="auto"/>
              </w:rPr>
            </w:pPr>
          </w:p>
        </w:tc>
        <w:tc>
          <w:tcPr>
            <w:tcW w:w="60" w:type="dxa"/>
            <w:vAlign w:val="bottom"/>
            <w:tcBorders>
              <w:top w:val="single" w:sz="8" w:color="FEFEFE"/>
            </w:tcBorders>
            <w:gridSpan w:val="2"/>
            <w:shd w:val="clear" w:color="auto" w:fill="FEFEFE"/>
          </w:tcPr>
          <w:p>
            <w:pPr>
              <w:spacing w:after="0"/>
              <w:rPr>
                <w:sz w:val="11"/>
                <w:szCs w:val="11"/>
                <w:color w:val="auto"/>
              </w:rPr>
            </w:pPr>
          </w:p>
        </w:tc>
        <w:tc>
          <w:tcPr>
            <w:tcW w:w="20" w:type="dxa"/>
            <w:vAlign w:val="bottom"/>
            <w:tcBorders>
              <w:top w:val="single" w:sz="8" w:color="FEFEFE"/>
            </w:tcBorders>
            <w:shd w:val="clear" w:color="auto" w:fill="FEFEFE"/>
          </w:tcPr>
          <w:p>
            <w:pPr>
              <w:spacing w:after="0"/>
              <w:rPr>
                <w:sz w:val="11"/>
                <w:szCs w:val="11"/>
                <w:color w:val="auto"/>
              </w:rPr>
            </w:pPr>
          </w:p>
        </w:tc>
        <w:tc>
          <w:tcPr>
            <w:tcW w:w="40" w:type="dxa"/>
            <w:vAlign w:val="bottom"/>
            <w:tcBorders>
              <w:top w:val="single" w:sz="8" w:color="FEFEFE"/>
            </w:tcBorders>
            <w:gridSpan w:val="2"/>
            <w:shd w:val="clear" w:color="auto" w:fill="FEFEFE"/>
          </w:tcPr>
          <w:p>
            <w:pPr>
              <w:spacing w:after="0"/>
              <w:rPr>
                <w:sz w:val="11"/>
                <w:szCs w:val="11"/>
                <w:color w:val="auto"/>
              </w:rPr>
            </w:pPr>
          </w:p>
        </w:tc>
        <w:tc>
          <w:tcPr>
            <w:tcW w:w="20" w:type="dxa"/>
            <w:vAlign w:val="bottom"/>
            <w:tcBorders>
              <w:top w:val="single" w:sz="8" w:color="FEFEFE"/>
            </w:tcBorders>
            <w:shd w:val="clear" w:color="auto" w:fill="FEFEFE"/>
          </w:tcPr>
          <w:p>
            <w:pPr>
              <w:spacing w:after="0"/>
              <w:rPr>
                <w:sz w:val="11"/>
                <w:szCs w:val="11"/>
                <w:color w:val="auto"/>
              </w:rPr>
            </w:pPr>
          </w:p>
        </w:tc>
        <w:tc>
          <w:tcPr>
            <w:tcW w:w="40" w:type="dxa"/>
            <w:vAlign w:val="bottom"/>
            <w:tcBorders>
              <w:top w:val="single" w:sz="8" w:color="FEFEFE"/>
              <w:right w:val="single" w:sz="8" w:color="FEFEFE"/>
            </w:tcBorders>
            <w:shd w:val="clear" w:color="auto" w:fill="FEFEF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Borders>
              <w:top w:val="single" w:sz="8" w:color="FEFEFE"/>
              <w:right w:val="single" w:sz="8" w:color="FEFEFE"/>
            </w:tcBorders>
            <w:shd w:val="clear" w:color="auto" w:fill="FEFEFE"/>
          </w:tcPr>
          <w:p>
            <w:pPr>
              <w:spacing w:after="0"/>
              <w:rPr>
                <w:sz w:val="11"/>
                <w:szCs w:val="11"/>
                <w:color w:val="auto"/>
              </w:rPr>
            </w:pPr>
          </w:p>
        </w:tc>
        <w:tc>
          <w:tcPr>
            <w:tcW w:w="8460" w:type="dxa"/>
            <w:vAlign w:val="bottom"/>
            <w:tcBorders>
              <w:top w:val="single" w:sz="8" w:color="0000FF"/>
            </w:tcBorders>
            <w:gridSpan w:val="9"/>
            <w:shd w:val="clear" w:color="auto" w:fill="FEFEFE"/>
          </w:tcPr>
          <w:p>
            <w:pPr>
              <w:spacing w:after="0" w:line="134" w:lineRule="exact"/>
              <w:rPr>
                <w:rFonts w:ascii="Arial" w:cs="Arial" w:eastAsia="Arial" w:hAnsi="Arial"/>
                <w:sz w:val="15"/>
                <w:szCs w:val="15"/>
                <w:color w:val="0000FF"/>
              </w:rPr>
            </w:pPr>
            <w:hyperlink r:id="rId209">
              <w:r>
                <w:rPr>
                  <w:rFonts w:ascii="Arial" w:cs="Arial" w:eastAsia="Arial" w:hAnsi="Arial"/>
                  <w:sz w:val="15"/>
                  <w:szCs w:val="15"/>
                  <w:color w:val="0000FF"/>
                </w:rPr>
                <w:t>Company’s Annual Report on Form 10-K (File No. 001-37352) filed on February 28, 2020).</w:t>
              </w:r>
            </w:hyperlink>
          </w:p>
        </w:tc>
        <w:tc>
          <w:tcPr>
            <w:tcW w:w="140" w:type="dxa"/>
            <w:vAlign w:val="bottom"/>
            <w:tcBorders>
              <w:top w:val="single" w:sz="8" w:color="FEFEFE"/>
            </w:tcBorders>
            <w:gridSpan w:val="2"/>
            <w:shd w:val="clear" w:color="auto" w:fill="FEFEFE"/>
          </w:tcPr>
          <w:p>
            <w:pPr>
              <w:spacing w:after="0"/>
              <w:rPr>
                <w:sz w:val="11"/>
                <w:szCs w:val="11"/>
                <w:color w:val="auto"/>
              </w:rPr>
            </w:pPr>
          </w:p>
        </w:tc>
        <w:tc>
          <w:tcPr>
            <w:tcW w:w="40" w:type="dxa"/>
            <w:vAlign w:val="bottom"/>
            <w:tcBorders>
              <w:top w:val="single" w:sz="8" w:color="FEFEFE"/>
            </w:tcBorders>
            <w:gridSpan w:val="2"/>
            <w:shd w:val="clear" w:color="auto" w:fill="FEFEFE"/>
          </w:tcPr>
          <w:p>
            <w:pPr>
              <w:spacing w:after="0"/>
              <w:rPr>
                <w:sz w:val="11"/>
                <w:szCs w:val="11"/>
                <w:color w:val="auto"/>
              </w:rPr>
            </w:pPr>
          </w:p>
        </w:tc>
        <w:tc>
          <w:tcPr>
            <w:tcW w:w="160" w:type="dxa"/>
            <w:vAlign w:val="bottom"/>
            <w:tcBorders>
              <w:top w:val="single" w:sz="8" w:color="FEFEFE"/>
            </w:tcBorders>
            <w:gridSpan w:val="2"/>
            <w:shd w:val="clear" w:color="auto" w:fill="FEFEFE"/>
          </w:tcPr>
          <w:p>
            <w:pPr>
              <w:spacing w:after="0"/>
              <w:rPr>
                <w:sz w:val="11"/>
                <w:szCs w:val="11"/>
                <w:color w:val="auto"/>
              </w:rPr>
            </w:pPr>
          </w:p>
        </w:tc>
        <w:tc>
          <w:tcPr>
            <w:tcW w:w="20" w:type="dxa"/>
            <w:vAlign w:val="bottom"/>
            <w:tcBorders>
              <w:top w:val="single" w:sz="8" w:color="FEFEFE"/>
            </w:tcBorders>
            <w:shd w:val="clear" w:color="auto" w:fill="FEFEFE"/>
          </w:tcPr>
          <w:p>
            <w:pPr>
              <w:spacing w:after="0"/>
              <w:rPr>
                <w:sz w:val="11"/>
                <w:szCs w:val="11"/>
                <w:color w:val="auto"/>
              </w:rPr>
            </w:pPr>
          </w:p>
        </w:tc>
        <w:tc>
          <w:tcPr>
            <w:tcW w:w="20" w:type="dxa"/>
            <w:vAlign w:val="bottom"/>
            <w:tcBorders>
              <w:top w:val="single" w:sz="8" w:color="FEFEFE"/>
            </w:tcBorders>
            <w:shd w:val="clear" w:color="auto" w:fill="FEFEFE"/>
          </w:tcPr>
          <w:p>
            <w:pPr>
              <w:spacing w:after="0"/>
              <w:rPr>
                <w:sz w:val="11"/>
                <w:szCs w:val="11"/>
                <w:color w:val="auto"/>
              </w:rPr>
            </w:pPr>
          </w:p>
        </w:tc>
        <w:tc>
          <w:tcPr>
            <w:tcW w:w="20" w:type="dxa"/>
            <w:vAlign w:val="bottom"/>
            <w:tcBorders>
              <w:top w:val="single" w:sz="8" w:color="FEFEFE"/>
            </w:tcBorders>
            <w:shd w:val="clear" w:color="auto" w:fill="FEFEFE"/>
          </w:tcPr>
          <w:p>
            <w:pPr>
              <w:spacing w:after="0"/>
              <w:rPr>
                <w:sz w:val="11"/>
                <w:szCs w:val="11"/>
                <w:color w:val="auto"/>
              </w:rPr>
            </w:pPr>
          </w:p>
        </w:tc>
        <w:tc>
          <w:tcPr>
            <w:tcW w:w="100" w:type="dxa"/>
            <w:vAlign w:val="bottom"/>
            <w:tcBorders>
              <w:top w:val="single" w:sz="8" w:color="FEFEFE"/>
            </w:tcBorders>
            <w:gridSpan w:val="4"/>
            <w:shd w:val="clear" w:color="auto" w:fill="FEFEFE"/>
          </w:tcPr>
          <w:p>
            <w:pPr>
              <w:spacing w:after="0"/>
              <w:rPr>
                <w:sz w:val="11"/>
                <w:szCs w:val="11"/>
                <w:color w:val="auto"/>
              </w:rPr>
            </w:pPr>
          </w:p>
        </w:tc>
        <w:tc>
          <w:tcPr>
            <w:tcW w:w="80" w:type="dxa"/>
            <w:vAlign w:val="bottom"/>
            <w:tcBorders>
              <w:top w:val="single" w:sz="8" w:color="FEFEFE"/>
            </w:tcBorders>
            <w:gridSpan w:val="2"/>
            <w:shd w:val="clear" w:color="auto" w:fill="FEFEFE"/>
          </w:tcPr>
          <w:p>
            <w:pPr>
              <w:spacing w:after="0"/>
              <w:rPr>
                <w:sz w:val="11"/>
                <w:szCs w:val="11"/>
                <w:color w:val="auto"/>
              </w:rPr>
            </w:pPr>
          </w:p>
        </w:tc>
        <w:tc>
          <w:tcPr>
            <w:tcW w:w="20" w:type="dxa"/>
            <w:vAlign w:val="bottom"/>
            <w:tcBorders>
              <w:top w:val="single" w:sz="8" w:color="FEFEFE"/>
            </w:tcBorders>
            <w:shd w:val="clear" w:color="auto" w:fill="FEFEFE"/>
          </w:tcPr>
          <w:p>
            <w:pPr>
              <w:spacing w:after="0"/>
              <w:rPr>
                <w:sz w:val="11"/>
                <w:szCs w:val="11"/>
                <w:color w:val="auto"/>
              </w:rPr>
            </w:pPr>
          </w:p>
        </w:tc>
        <w:tc>
          <w:tcPr>
            <w:tcW w:w="60" w:type="dxa"/>
            <w:vAlign w:val="bottom"/>
            <w:tcBorders>
              <w:top w:val="single" w:sz="8" w:color="FEFEFE"/>
            </w:tcBorders>
            <w:gridSpan w:val="2"/>
            <w:shd w:val="clear" w:color="auto" w:fill="FEFEFE"/>
          </w:tcPr>
          <w:p>
            <w:pPr>
              <w:spacing w:after="0"/>
              <w:rPr>
                <w:sz w:val="11"/>
                <w:szCs w:val="11"/>
                <w:color w:val="auto"/>
              </w:rPr>
            </w:pPr>
          </w:p>
        </w:tc>
        <w:tc>
          <w:tcPr>
            <w:tcW w:w="20" w:type="dxa"/>
            <w:vAlign w:val="bottom"/>
            <w:tcBorders>
              <w:top w:val="single" w:sz="8" w:color="FEFEFE"/>
            </w:tcBorders>
            <w:shd w:val="clear" w:color="auto" w:fill="FEFEFE"/>
          </w:tcPr>
          <w:p>
            <w:pPr>
              <w:spacing w:after="0"/>
              <w:rPr>
                <w:sz w:val="11"/>
                <w:szCs w:val="11"/>
                <w:color w:val="auto"/>
              </w:rPr>
            </w:pPr>
          </w:p>
        </w:tc>
        <w:tc>
          <w:tcPr>
            <w:tcW w:w="40" w:type="dxa"/>
            <w:vAlign w:val="bottom"/>
            <w:tcBorders>
              <w:top w:val="single" w:sz="8" w:color="FEFEFE"/>
            </w:tcBorders>
            <w:gridSpan w:val="2"/>
            <w:shd w:val="clear" w:color="auto" w:fill="FEFEFE"/>
          </w:tcPr>
          <w:p>
            <w:pPr>
              <w:spacing w:after="0"/>
              <w:rPr>
                <w:sz w:val="11"/>
                <w:szCs w:val="11"/>
                <w:color w:val="auto"/>
              </w:rPr>
            </w:pPr>
          </w:p>
        </w:tc>
        <w:tc>
          <w:tcPr>
            <w:tcW w:w="20" w:type="dxa"/>
            <w:vAlign w:val="bottom"/>
            <w:tcBorders>
              <w:top w:val="single" w:sz="8" w:color="FEFEFE"/>
            </w:tcBorders>
            <w:shd w:val="clear" w:color="auto" w:fill="FEFEFE"/>
          </w:tcPr>
          <w:p>
            <w:pPr>
              <w:spacing w:after="0"/>
              <w:rPr>
                <w:sz w:val="11"/>
                <w:szCs w:val="11"/>
                <w:color w:val="auto"/>
              </w:rPr>
            </w:pPr>
          </w:p>
        </w:tc>
        <w:tc>
          <w:tcPr>
            <w:tcW w:w="40" w:type="dxa"/>
            <w:vAlign w:val="bottom"/>
            <w:tcBorders>
              <w:top w:val="single" w:sz="8" w:color="FEFEFE"/>
              <w:right w:val="single" w:sz="8" w:color="FEFEFE"/>
            </w:tcBorders>
            <w:shd w:val="clear" w:color="auto" w:fill="FEFEF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FEFEFE"/>
          </w:tcPr>
          <w:p>
            <w:pPr>
              <w:spacing w:after="0" w:line="20" w:lineRule="exact"/>
              <w:rPr>
                <w:sz w:val="1"/>
                <w:szCs w:val="1"/>
                <w:color w:val="auto"/>
              </w:rPr>
            </w:pPr>
          </w:p>
        </w:tc>
        <w:tc>
          <w:tcPr>
            <w:tcW w:w="3880" w:type="dxa"/>
            <w:vAlign w:val="bottom"/>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800" w:type="dxa"/>
            <w:vAlign w:val="bottom"/>
            <w:gridSpan w:val="4"/>
            <w:shd w:val="clear" w:color="auto" w:fill="FEFEFE"/>
          </w:tcPr>
          <w:p>
            <w:pPr>
              <w:spacing w:after="0" w:line="20" w:lineRule="exact"/>
              <w:rPr>
                <w:sz w:val="1"/>
                <w:szCs w:val="1"/>
                <w:color w:val="auto"/>
              </w:rPr>
            </w:pPr>
          </w:p>
        </w:tc>
        <w:tc>
          <w:tcPr>
            <w:tcW w:w="40" w:type="dxa"/>
            <w:vAlign w:val="bottom"/>
            <w:gridSpan w:val="2"/>
            <w:shd w:val="clear" w:color="auto" w:fill="FEFEFE"/>
          </w:tcPr>
          <w:p>
            <w:pPr>
              <w:spacing w:after="0" w:line="20" w:lineRule="exact"/>
              <w:rPr>
                <w:sz w:val="1"/>
                <w:szCs w:val="1"/>
                <w:color w:val="auto"/>
              </w:rPr>
            </w:pPr>
          </w:p>
        </w:tc>
        <w:tc>
          <w:tcPr>
            <w:tcW w:w="160" w:type="dxa"/>
            <w:vAlign w:val="bottom"/>
            <w:gridSpan w:val="2"/>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100" w:type="dxa"/>
            <w:vAlign w:val="bottom"/>
            <w:gridSpan w:val="4"/>
            <w:shd w:val="clear" w:color="auto" w:fill="FEFEFE"/>
          </w:tcPr>
          <w:p>
            <w:pPr>
              <w:spacing w:after="0" w:line="20" w:lineRule="exact"/>
              <w:rPr>
                <w:sz w:val="1"/>
                <w:szCs w:val="1"/>
                <w:color w:val="auto"/>
              </w:rPr>
            </w:pPr>
          </w:p>
        </w:tc>
        <w:tc>
          <w:tcPr>
            <w:tcW w:w="80" w:type="dxa"/>
            <w:vAlign w:val="bottom"/>
            <w:gridSpan w:val="2"/>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60" w:type="dxa"/>
            <w:vAlign w:val="bottom"/>
            <w:gridSpan w:val="2"/>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40" w:type="dxa"/>
            <w:vAlign w:val="bottom"/>
            <w:gridSpan w:val="2"/>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40" w:type="dxa"/>
            <w:vAlign w:val="bottom"/>
            <w:tcBorders>
              <w:right w:val="single" w:sz="8" w:color="FEFEFE"/>
            </w:tcBorders>
            <w:shd w:val="clear" w:color="auto" w:fill="FEFEF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120" w:type="dxa"/>
            <w:vAlign w:val="bottom"/>
          </w:tcPr>
          <w:p>
            <w:pPr>
              <w:ind w:left="20"/>
              <w:spacing w:after="0" w:line="181" w:lineRule="exact"/>
              <w:rPr>
                <w:sz w:val="20"/>
                <w:szCs w:val="20"/>
                <w:color w:val="auto"/>
              </w:rPr>
            </w:pPr>
            <w:r>
              <w:rPr>
                <w:rFonts w:ascii="Arial" w:cs="Arial" w:eastAsia="Arial" w:hAnsi="Arial"/>
                <w:sz w:val="16"/>
                <w:szCs w:val="16"/>
                <w:color w:val="auto"/>
              </w:rPr>
              <w:t>10.33†</w:t>
            </w:r>
          </w:p>
        </w:tc>
        <w:tc>
          <w:tcPr>
            <w:tcW w:w="320" w:type="dxa"/>
            <w:vAlign w:val="bottom"/>
          </w:tcPr>
          <w:p>
            <w:pPr>
              <w:spacing w:after="0"/>
              <w:rPr>
                <w:sz w:val="15"/>
                <w:szCs w:val="15"/>
                <w:color w:val="auto"/>
              </w:rPr>
            </w:pPr>
          </w:p>
        </w:tc>
        <w:tc>
          <w:tcPr>
            <w:tcW w:w="580" w:type="dxa"/>
            <w:vAlign w:val="bottom"/>
            <w:tcBorders>
              <w:bottom w:val="single" w:sz="8" w:color="FEFEFE"/>
              <w:right w:val="single" w:sz="8" w:color="FEFEFE"/>
            </w:tcBorders>
            <w:shd w:val="clear" w:color="auto" w:fill="FEFEFE"/>
          </w:tcPr>
          <w:p>
            <w:pPr>
              <w:spacing w:after="0"/>
              <w:rPr>
                <w:sz w:val="15"/>
                <w:szCs w:val="15"/>
                <w:color w:val="auto"/>
              </w:rPr>
            </w:pPr>
          </w:p>
        </w:tc>
        <w:tc>
          <w:tcPr>
            <w:tcW w:w="8640" w:type="dxa"/>
            <w:vAlign w:val="bottom"/>
            <w:tcBorders>
              <w:bottom w:val="single" w:sz="8" w:color="0000FF"/>
            </w:tcBorders>
            <w:gridSpan w:val="13"/>
            <w:shd w:val="clear" w:color="auto" w:fill="FEFEFE"/>
          </w:tcPr>
          <w:p>
            <w:pPr>
              <w:spacing w:after="0" w:line="181" w:lineRule="exact"/>
              <w:rPr>
                <w:rFonts w:ascii="Arial" w:cs="Arial" w:eastAsia="Arial" w:hAnsi="Arial"/>
                <w:sz w:val="16"/>
                <w:szCs w:val="16"/>
                <w:color w:val="0000FF"/>
                <w:w w:val="89"/>
              </w:rPr>
            </w:pPr>
            <w:hyperlink r:id="rId210">
              <w:r>
                <w:rPr>
                  <w:rFonts w:ascii="Arial" w:cs="Arial" w:eastAsia="Arial" w:hAnsi="Arial"/>
                  <w:sz w:val="16"/>
                  <w:szCs w:val="16"/>
                  <w:color w:val="0000FF"/>
                  <w:w w:val="89"/>
                </w:rPr>
                <w:t>Virtu Financial, Inc. 2015 Amended and Restated Management Incentive Plan Employee Restricted Stock Award Agreement, dated as of</w:t>
              </w:r>
            </w:hyperlink>
          </w:p>
        </w:tc>
        <w:tc>
          <w:tcPr>
            <w:tcW w:w="600" w:type="dxa"/>
            <w:vAlign w:val="bottom"/>
            <w:tcBorders>
              <w:bottom w:val="single" w:sz="8" w:color="FEFEFE"/>
              <w:right w:val="single" w:sz="8" w:color="FEFEFE"/>
            </w:tcBorders>
            <w:gridSpan w:val="19"/>
            <w:shd w:val="clear" w:color="auto" w:fill="FEFEF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Borders>
              <w:right w:val="single" w:sz="8" w:color="FEFEFE"/>
            </w:tcBorders>
            <w:shd w:val="clear" w:color="auto" w:fill="FEFEFE"/>
          </w:tcPr>
          <w:p>
            <w:pPr>
              <w:spacing w:after="0"/>
              <w:rPr>
                <w:sz w:val="11"/>
                <w:szCs w:val="11"/>
                <w:color w:val="auto"/>
              </w:rPr>
            </w:pPr>
          </w:p>
        </w:tc>
        <w:tc>
          <w:tcPr>
            <w:tcW w:w="9240" w:type="dxa"/>
            <w:vAlign w:val="bottom"/>
            <w:tcBorders>
              <w:right w:val="single" w:sz="8" w:color="FEFEFE"/>
            </w:tcBorders>
            <w:gridSpan w:val="32"/>
            <w:shd w:val="clear" w:color="auto" w:fill="FEFEFE"/>
          </w:tcPr>
          <w:p>
            <w:pPr>
              <w:spacing w:after="0" w:line="134" w:lineRule="exact"/>
              <w:rPr>
                <w:rFonts w:ascii="Arial" w:cs="Arial" w:eastAsia="Arial" w:hAnsi="Arial"/>
                <w:sz w:val="15"/>
                <w:szCs w:val="15"/>
                <w:color w:val="0000FF"/>
                <w:w w:val="96"/>
              </w:rPr>
            </w:pPr>
            <w:hyperlink r:id="rId210">
              <w:r>
                <w:rPr>
                  <w:rFonts w:ascii="Arial" w:cs="Arial" w:eastAsia="Arial" w:hAnsi="Arial"/>
                  <w:sz w:val="15"/>
                  <w:szCs w:val="15"/>
                  <w:color w:val="0000FF"/>
                  <w:w w:val="96"/>
                </w:rPr>
                <w:t>February 27, 2020, by and between Virtu Financial, Inc. and Stephen Cavoli (incorporated herein by reference to Exhibit 10.43 to the Company’s</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Borders>
              <w:top w:val="single" w:sz="8" w:color="FEFEFE"/>
              <w:right w:val="single" w:sz="8" w:color="FEFEFE"/>
            </w:tcBorders>
            <w:shd w:val="clear" w:color="auto" w:fill="FEFEFE"/>
          </w:tcPr>
          <w:p>
            <w:pPr>
              <w:spacing w:after="0"/>
              <w:rPr>
                <w:sz w:val="11"/>
                <w:szCs w:val="11"/>
                <w:color w:val="auto"/>
              </w:rPr>
            </w:pPr>
          </w:p>
        </w:tc>
        <w:tc>
          <w:tcPr>
            <w:tcW w:w="9180" w:type="dxa"/>
            <w:vAlign w:val="bottom"/>
            <w:tcBorders>
              <w:top w:val="single" w:sz="8" w:color="0000FF"/>
            </w:tcBorders>
            <w:gridSpan w:val="30"/>
            <w:shd w:val="clear" w:color="auto" w:fill="FEFEFE"/>
          </w:tcPr>
          <w:p>
            <w:pPr>
              <w:spacing w:after="0" w:line="134" w:lineRule="exact"/>
              <w:rPr>
                <w:rFonts w:ascii="Arial" w:cs="Arial" w:eastAsia="Arial" w:hAnsi="Arial"/>
                <w:sz w:val="15"/>
                <w:szCs w:val="15"/>
                <w:color w:val="0000FF"/>
              </w:rPr>
            </w:pPr>
            <w:hyperlink r:id="rId210">
              <w:r>
                <w:rPr>
                  <w:rFonts w:ascii="Arial" w:cs="Arial" w:eastAsia="Arial" w:hAnsi="Arial"/>
                  <w:sz w:val="15"/>
                  <w:szCs w:val="15"/>
                  <w:color w:val="0000FF"/>
                </w:rPr>
                <w:t>Annual Report on Form 10-K (File No. 001-37352) filed on February 28, 2020).</w:t>
              </w:r>
            </w:hyperlink>
          </w:p>
        </w:tc>
        <w:tc>
          <w:tcPr>
            <w:tcW w:w="20" w:type="dxa"/>
            <w:vAlign w:val="bottom"/>
            <w:tcBorders>
              <w:top w:val="single" w:sz="8" w:color="FEFEFE"/>
            </w:tcBorders>
            <w:shd w:val="clear" w:color="auto" w:fill="FEFEFE"/>
          </w:tcPr>
          <w:p>
            <w:pPr>
              <w:spacing w:after="0"/>
              <w:rPr>
                <w:sz w:val="11"/>
                <w:szCs w:val="11"/>
                <w:color w:val="auto"/>
              </w:rPr>
            </w:pPr>
          </w:p>
        </w:tc>
        <w:tc>
          <w:tcPr>
            <w:tcW w:w="40" w:type="dxa"/>
            <w:vAlign w:val="bottom"/>
            <w:tcBorders>
              <w:top w:val="single" w:sz="8" w:color="FEFEFE"/>
              <w:right w:val="single" w:sz="8" w:color="FEFEFE"/>
            </w:tcBorders>
            <w:shd w:val="clear" w:color="auto" w:fill="FEFEF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120" w:type="dxa"/>
            <w:vAlign w:val="bottom"/>
            <w:vMerge w:val="restart"/>
          </w:tcPr>
          <w:p>
            <w:pPr>
              <w:ind w:left="20"/>
              <w:spacing w:after="0"/>
              <w:rPr>
                <w:sz w:val="20"/>
                <w:szCs w:val="20"/>
                <w:color w:val="auto"/>
              </w:rPr>
            </w:pPr>
            <w:r>
              <w:rPr>
                <w:rFonts w:ascii="Arial" w:cs="Arial" w:eastAsia="Arial" w:hAnsi="Arial"/>
                <w:sz w:val="16"/>
                <w:szCs w:val="16"/>
                <w:color w:val="auto"/>
              </w:rPr>
              <w:t>10.34†</w:t>
            </w:r>
          </w:p>
        </w:tc>
        <w:tc>
          <w:tcPr>
            <w:tcW w:w="320" w:type="dxa"/>
            <w:vAlign w:val="bottom"/>
          </w:tcPr>
          <w:p>
            <w:pPr>
              <w:spacing w:after="0" w:line="20" w:lineRule="exact"/>
              <w:rPr>
                <w:sz w:val="1"/>
                <w:szCs w:val="1"/>
                <w:color w:val="auto"/>
              </w:rPr>
            </w:pPr>
          </w:p>
        </w:tc>
        <w:tc>
          <w:tcPr>
            <w:tcW w:w="580" w:type="dxa"/>
            <w:vAlign w:val="bottom"/>
            <w:tcBorders>
              <w:right w:val="single" w:sz="8" w:color="FEFEFE"/>
            </w:tcBorders>
            <w:shd w:val="clear" w:color="auto" w:fill="FEFEFE"/>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40" w:type="dxa"/>
            <w:vAlign w:val="bottom"/>
            <w:shd w:val="clear" w:color="auto" w:fill="FEFEFE"/>
          </w:tcPr>
          <w:p>
            <w:pPr>
              <w:spacing w:after="0" w:line="20" w:lineRule="exact"/>
              <w:rPr>
                <w:sz w:val="1"/>
                <w:szCs w:val="1"/>
                <w:color w:val="auto"/>
              </w:rPr>
            </w:pPr>
          </w:p>
        </w:tc>
        <w:tc>
          <w:tcPr>
            <w:tcW w:w="420" w:type="dxa"/>
            <w:vAlign w:val="bottom"/>
            <w:shd w:val="clear" w:color="auto" w:fill="FEFEFE"/>
          </w:tcPr>
          <w:p>
            <w:pPr>
              <w:spacing w:after="0" w:line="20" w:lineRule="exact"/>
              <w:rPr>
                <w:sz w:val="1"/>
                <w:szCs w:val="1"/>
                <w:color w:val="auto"/>
              </w:rPr>
            </w:pPr>
          </w:p>
        </w:tc>
        <w:tc>
          <w:tcPr>
            <w:tcW w:w="1700" w:type="dxa"/>
            <w:vAlign w:val="bottom"/>
            <w:shd w:val="clear" w:color="auto" w:fill="FEFEFE"/>
          </w:tcPr>
          <w:p>
            <w:pPr>
              <w:spacing w:after="0" w:line="20" w:lineRule="exact"/>
              <w:rPr>
                <w:sz w:val="1"/>
                <w:szCs w:val="1"/>
                <w:color w:val="auto"/>
              </w:rPr>
            </w:pPr>
          </w:p>
        </w:tc>
        <w:tc>
          <w:tcPr>
            <w:tcW w:w="96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1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60" w:type="dxa"/>
            <w:vAlign w:val="bottom"/>
            <w:shd w:val="clear" w:color="auto" w:fill="FEFEFE"/>
          </w:tcPr>
          <w:p>
            <w:pPr>
              <w:spacing w:after="0" w:line="20" w:lineRule="exact"/>
              <w:rPr>
                <w:sz w:val="1"/>
                <w:szCs w:val="1"/>
                <w:color w:val="auto"/>
              </w:rPr>
            </w:pPr>
          </w:p>
        </w:tc>
        <w:tc>
          <w:tcPr>
            <w:tcW w:w="10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6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40" w:type="dxa"/>
            <w:vAlign w:val="bottom"/>
            <w:tcBorders>
              <w:right w:val="single" w:sz="8" w:color="FEFEFE"/>
            </w:tcBorders>
            <w:shd w:val="clear" w:color="auto" w:fill="FEFEF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12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Borders>
              <w:right w:val="single" w:sz="8" w:color="FEFEFE"/>
            </w:tcBorders>
            <w:shd w:val="clear" w:color="auto" w:fill="FEFEFE"/>
          </w:tcPr>
          <w:p>
            <w:pPr>
              <w:spacing w:after="0"/>
              <w:rPr>
                <w:sz w:val="18"/>
                <w:szCs w:val="18"/>
                <w:color w:val="auto"/>
              </w:rPr>
            </w:pPr>
          </w:p>
        </w:tc>
        <w:tc>
          <w:tcPr>
            <w:tcW w:w="9240" w:type="dxa"/>
            <w:vAlign w:val="bottom"/>
            <w:tcBorders>
              <w:right w:val="single" w:sz="8" w:color="FEFEFE"/>
            </w:tcBorders>
            <w:gridSpan w:val="32"/>
            <w:vMerge w:val="restart"/>
            <w:shd w:val="clear" w:color="auto" w:fill="FEFEFE"/>
          </w:tcPr>
          <w:p>
            <w:pPr>
              <w:spacing w:after="0"/>
              <w:rPr>
                <w:rFonts w:ascii="Arial" w:cs="Arial" w:eastAsia="Arial" w:hAnsi="Arial"/>
                <w:sz w:val="16"/>
                <w:szCs w:val="16"/>
                <w:color w:val="0000FF"/>
                <w:w w:val="93"/>
              </w:rPr>
            </w:pPr>
            <w:hyperlink r:id="rId211">
              <w:r>
                <w:rPr>
                  <w:rFonts w:ascii="Arial" w:cs="Arial" w:eastAsia="Arial" w:hAnsi="Arial"/>
                  <w:sz w:val="16"/>
                  <w:szCs w:val="16"/>
                  <w:color w:val="0000FF"/>
                  <w:w w:val="93"/>
                </w:rPr>
                <w:t>Investment Technology Group, Inc. 2007 Omnibus Equity Compensation Plan, Amended and Restated Effective June 8, 2017 (incorporated</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1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580" w:type="dxa"/>
            <w:vAlign w:val="bottom"/>
            <w:tcBorders>
              <w:right w:val="single" w:sz="8" w:color="FEFEFE"/>
            </w:tcBorders>
            <w:shd w:val="clear" w:color="auto" w:fill="FEFEFE"/>
          </w:tcPr>
          <w:p>
            <w:pPr>
              <w:spacing w:after="0"/>
              <w:rPr>
                <w:sz w:val="4"/>
                <w:szCs w:val="4"/>
                <w:color w:val="auto"/>
              </w:rPr>
            </w:pPr>
          </w:p>
        </w:tc>
        <w:tc>
          <w:tcPr>
            <w:tcW w:w="9240" w:type="dxa"/>
            <w:vAlign w:val="bottom"/>
            <w:tcBorders>
              <w:right w:val="single" w:sz="8" w:color="FEFEFE"/>
            </w:tcBorders>
            <w:gridSpan w:val="32"/>
            <w:vMerge w:val="continue"/>
            <w:shd w:val="clear" w:color="auto" w:fill="FEFEF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Borders>
              <w:top w:val="single" w:sz="8" w:color="FEFEFE"/>
              <w:right w:val="single" w:sz="8" w:color="FEFEFE"/>
            </w:tcBorders>
            <w:shd w:val="clear" w:color="auto" w:fill="FEFEFE"/>
          </w:tcPr>
          <w:p>
            <w:pPr>
              <w:spacing w:after="0"/>
              <w:rPr>
                <w:sz w:val="11"/>
                <w:szCs w:val="11"/>
                <w:color w:val="auto"/>
              </w:rPr>
            </w:pPr>
          </w:p>
        </w:tc>
        <w:tc>
          <w:tcPr>
            <w:tcW w:w="8800" w:type="dxa"/>
            <w:vAlign w:val="bottom"/>
            <w:tcBorders>
              <w:top w:val="single" w:sz="8" w:color="0000FF"/>
            </w:tcBorders>
            <w:gridSpan w:val="15"/>
            <w:shd w:val="clear" w:color="auto" w:fill="FEFEFE"/>
          </w:tcPr>
          <w:p>
            <w:pPr>
              <w:spacing w:after="0" w:line="134" w:lineRule="exact"/>
              <w:rPr>
                <w:rFonts w:ascii="Arial" w:cs="Arial" w:eastAsia="Arial" w:hAnsi="Arial"/>
                <w:sz w:val="15"/>
                <w:szCs w:val="15"/>
                <w:color w:val="0000FF"/>
                <w:w w:val="97"/>
              </w:rPr>
            </w:pPr>
            <w:hyperlink r:id="rId211">
              <w:r>
                <w:rPr>
                  <w:rFonts w:ascii="Arial" w:cs="Arial" w:eastAsia="Arial" w:hAnsi="Arial"/>
                  <w:sz w:val="15"/>
                  <w:szCs w:val="15"/>
                  <w:color w:val="0000FF"/>
                  <w:w w:val="97"/>
                </w:rPr>
                <w:t>herein by reference to Exhibit 4.3 to the Company’s Registration Statement on Form S-8 (File No. 333-230012) filed on March 1, 2019).</w:t>
              </w:r>
            </w:hyperlink>
          </w:p>
        </w:tc>
        <w:tc>
          <w:tcPr>
            <w:tcW w:w="20" w:type="dxa"/>
            <w:vAlign w:val="bottom"/>
            <w:tcBorders>
              <w:top w:val="single" w:sz="8" w:color="FEFEFE"/>
            </w:tcBorders>
            <w:shd w:val="clear" w:color="auto" w:fill="FEFEFE"/>
          </w:tcPr>
          <w:p>
            <w:pPr>
              <w:spacing w:after="0"/>
              <w:rPr>
                <w:sz w:val="11"/>
                <w:szCs w:val="11"/>
                <w:color w:val="auto"/>
              </w:rPr>
            </w:pPr>
          </w:p>
        </w:tc>
        <w:tc>
          <w:tcPr>
            <w:tcW w:w="20" w:type="dxa"/>
            <w:vAlign w:val="bottom"/>
            <w:tcBorders>
              <w:top w:val="single" w:sz="8" w:color="FEFEFE"/>
            </w:tcBorders>
            <w:shd w:val="clear" w:color="auto" w:fill="FEFEFE"/>
          </w:tcPr>
          <w:p>
            <w:pPr>
              <w:spacing w:after="0"/>
              <w:rPr>
                <w:sz w:val="11"/>
                <w:szCs w:val="11"/>
                <w:color w:val="auto"/>
              </w:rPr>
            </w:pPr>
          </w:p>
        </w:tc>
        <w:tc>
          <w:tcPr>
            <w:tcW w:w="20" w:type="dxa"/>
            <w:vAlign w:val="bottom"/>
            <w:tcBorders>
              <w:top w:val="single" w:sz="8" w:color="FEFEFE"/>
            </w:tcBorders>
            <w:shd w:val="clear" w:color="auto" w:fill="FEFEFE"/>
          </w:tcPr>
          <w:p>
            <w:pPr>
              <w:spacing w:after="0"/>
              <w:rPr>
                <w:sz w:val="11"/>
                <w:szCs w:val="11"/>
                <w:color w:val="auto"/>
              </w:rPr>
            </w:pPr>
          </w:p>
        </w:tc>
        <w:tc>
          <w:tcPr>
            <w:tcW w:w="100" w:type="dxa"/>
            <w:vAlign w:val="bottom"/>
            <w:tcBorders>
              <w:top w:val="single" w:sz="8" w:color="FEFEFE"/>
            </w:tcBorders>
            <w:gridSpan w:val="4"/>
            <w:shd w:val="clear" w:color="auto" w:fill="FEFEFE"/>
          </w:tcPr>
          <w:p>
            <w:pPr>
              <w:spacing w:after="0"/>
              <w:rPr>
                <w:sz w:val="11"/>
                <w:szCs w:val="11"/>
                <w:color w:val="auto"/>
              </w:rPr>
            </w:pPr>
          </w:p>
        </w:tc>
        <w:tc>
          <w:tcPr>
            <w:tcW w:w="80" w:type="dxa"/>
            <w:vAlign w:val="bottom"/>
            <w:tcBorders>
              <w:top w:val="single" w:sz="8" w:color="FEFEFE"/>
            </w:tcBorders>
            <w:gridSpan w:val="2"/>
            <w:shd w:val="clear" w:color="auto" w:fill="FEFEFE"/>
          </w:tcPr>
          <w:p>
            <w:pPr>
              <w:spacing w:after="0"/>
              <w:rPr>
                <w:sz w:val="11"/>
                <w:szCs w:val="11"/>
                <w:color w:val="auto"/>
              </w:rPr>
            </w:pPr>
          </w:p>
        </w:tc>
        <w:tc>
          <w:tcPr>
            <w:tcW w:w="20" w:type="dxa"/>
            <w:vAlign w:val="bottom"/>
            <w:tcBorders>
              <w:top w:val="single" w:sz="8" w:color="FEFEFE"/>
            </w:tcBorders>
            <w:shd w:val="clear" w:color="auto" w:fill="FEFEFE"/>
          </w:tcPr>
          <w:p>
            <w:pPr>
              <w:spacing w:after="0"/>
              <w:rPr>
                <w:sz w:val="11"/>
                <w:szCs w:val="11"/>
                <w:color w:val="auto"/>
              </w:rPr>
            </w:pPr>
          </w:p>
        </w:tc>
        <w:tc>
          <w:tcPr>
            <w:tcW w:w="60" w:type="dxa"/>
            <w:vAlign w:val="bottom"/>
            <w:tcBorders>
              <w:top w:val="single" w:sz="8" w:color="FEFEFE"/>
            </w:tcBorders>
            <w:gridSpan w:val="2"/>
            <w:shd w:val="clear" w:color="auto" w:fill="FEFEFE"/>
          </w:tcPr>
          <w:p>
            <w:pPr>
              <w:spacing w:after="0"/>
              <w:rPr>
                <w:sz w:val="11"/>
                <w:szCs w:val="11"/>
                <w:color w:val="auto"/>
              </w:rPr>
            </w:pPr>
          </w:p>
        </w:tc>
        <w:tc>
          <w:tcPr>
            <w:tcW w:w="20" w:type="dxa"/>
            <w:vAlign w:val="bottom"/>
            <w:tcBorders>
              <w:top w:val="single" w:sz="8" w:color="FEFEFE"/>
            </w:tcBorders>
            <w:shd w:val="clear" w:color="auto" w:fill="FEFEFE"/>
          </w:tcPr>
          <w:p>
            <w:pPr>
              <w:spacing w:after="0"/>
              <w:rPr>
                <w:sz w:val="11"/>
                <w:szCs w:val="11"/>
                <w:color w:val="auto"/>
              </w:rPr>
            </w:pPr>
          </w:p>
        </w:tc>
        <w:tc>
          <w:tcPr>
            <w:tcW w:w="60" w:type="dxa"/>
            <w:vAlign w:val="bottom"/>
            <w:tcBorders>
              <w:top w:val="single" w:sz="8" w:color="FEFEFE"/>
            </w:tcBorders>
            <w:gridSpan w:val="3"/>
            <w:shd w:val="clear" w:color="auto" w:fill="FEFEFE"/>
          </w:tcPr>
          <w:p>
            <w:pPr>
              <w:spacing w:after="0"/>
              <w:rPr>
                <w:sz w:val="11"/>
                <w:szCs w:val="11"/>
                <w:color w:val="auto"/>
              </w:rPr>
            </w:pPr>
          </w:p>
        </w:tc>
        <w:tc>
          <w:tcPr>
            <w:tcW w:w="40" w:type="dxa"/>
            <w:vAlign w:val="bottom"/>
            <w:tcBorders>
              <w:top w:val="single" w:sz="8" w:color="FEFEFE"/>
              <w:right w:val="single" w:sz="8" w:color="FEFEFE"/>
            </w:tcBorders>
            <w:shd w:val="clear" w:color="auto" w:fill="FEFEF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FEFEFE"/>
          </w:tcPr>
          <w:p>
            <w:pPr>
              <w:spacing w:after="0" w:line="20" w:lineRule="exact"/>
              <w:rPr>
                <w:sz w:val="1"/>
                <w:szCs w:val="1"/>
                <w:color w:val="auto"/>
              </w:rPr>
            </w:pPr>
          </w:p>
        </w:tc>
        <w:tc>
          <w:tcPr>
            <w:tcW w:w="3880" w:type="dxa"/>
            <w:vAlign w:val="bottom"/>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2800" w:type="dxa"/>
            <w:vAlign w:val="bottom"/>
            <w:gridSpan w:val="4"/>
            <w:shd w:val="clear" w:color="auto" w:fill="0000FF"/>
          </w:tcPr>
          <w:p>
            <w:pPr>
              <w:spacing w:after="0" w:line="20" w:lineRule="exact"/>
              <w:rPr>
                <w:sz w:val="1"/>
                <w:szCs w:val="1"/>
                <w:color w:val="auto"/>
              </w:rPr>
            </w:pPr>
          </w:p>
        </w:tc>
        <w:tc>
          <w:tcPr>
            <w:tcW w:w="220" w:type="dxa"/>
            <w:vAlign w:val="bottom"/>
            <w:gridSpan w:val="5"/>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100" w:type="dxa"/>
            <w:vAlign w:val="bottom"/>
            <w:gridSpan w:val="4"/>
            <w:shd w:val="clear" w:color="auto" w:fill="FEFEFE"/>
          </w:tcPr>
          <w:p>
            <w:pPr>
              <w:spacing w:after="0" w:line="20" w:lineRule="exact"/>
              <w:rPr>
                <w:sz w:val="1"/>
                <w:szCs w:val="1"/>
                <w:color w:val="auto"/>
              </w:rPr>
            </w:pPr>
          </w:p>
        </w:tc>
        <w:tc>
          <w:tcPr>
            <w:tcW w:w="80" w:type="dxa"/>
            <w:vAlign w:val="bottom"/>
            <w:gridSpan w:val="2"/>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60" w:type="dxa"/>
            <w:vAlign w:val="bottom"/>
            <w:gridSpan w:val="2"/>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60" w:type="dxa"/>
            <w:vAlign w:val="bottom"/>
            <w:gridSpan w:val="3"/>
            <w:shd w:val="clear" w:color="auto" w:fill="FEFEFE"/>
          </w:tcPr>
          <w:p>
            <w:pPr>
              <w:spacing w:after="0" w:line="20" w:lineRule="exact"/>
              <w:rPr>
                <w:sz w:val="1"/>
                <w:szCs w:val="1"/>
                <w:color w:val="auto"/>
              </w:rPr>
            </w:pPr>
          </w:p>
        </w:tc>
        <w:tc>
          <w:tcPr>
            <w:tcW w:w="40" w:type="dxa"/>
            <w:vAlign w:val="bottom"/>
            <w:tcBorders>
              <w:right w:val="single" w:sz="8" w:color="FEFEFE"/>
            </w:tcBorders>
            <w:shd w:val="clear" w:color="auto" w:fill="FEFEF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1120" w:type="dxa"/>
            <w:vAlign w:val="bottom"/>
          </w:tcPr>
          <w:p>
            <w:pPr>
              <w:ind w:left="20"/>
              <w:spacing w:after="0"/>
              <w:rPr>
                <w:sz w:val="20"/>
                <w:szCs w:val="20"/>
                <w:color w:val="auto"/>
              </w:rPr>
            </w:pPr>
            <w:r>
              <w:rPr>
                <w:rFonts w:ascii="Arial" w:cs="Arial" w:eastAsia="Arial" w:hAnsi="Arial"/>
                <w:sz w:val="16"/>
                <w:szCs w:val="16"/>
                <w:color w:val="auto"/>
              </w:rPr>
              <w:t>10.35†</w:t>
            </w:r>
          </w:p>
        </w:tc>
        <w:tc>
          <w:tcPr>
            <w:tcW w:w="320" w:type="dxa"/>
            <w:vAlign w:val="bottom"/>
          </w:tcPr>
          <w:p>
            <w:pPr>
              <w:spacing w:after="0"/>
              <w:rPr>
                <w:sz w:val="21"/>
                <w:szCs w:val="21"/>
                <w:color w:val="auto"/>
              </w:rPr>
            </w:pPr>
          </w:p>
        </w:tc>
        <w:tc>
          <w:tcPr>
            <w:tcW w:w="580" w:type="dxa"/>
            <w:vAlign w:val="bottom"/>
            <w:tcBorders>
              <w:bottom w:val="single" w:sz="8" w:color="FEFEFE"/>
              <w:right w:val="single" w:sz="8" w:color="FEFEFE"/>
            </w:tcBorders>
            <w:shd w:val="clear" w:color="auto" w:fill="FEFEFE"/>
          </w:tcPr>
          <w:p>
            <w:pPr>
              <w:spacing w:after="0"/>
              <w:rPr>
                <w:sz w:val="21"/>
                <w:szCs w:val="21"/>
                <w:color w:val="auto"/>
              </w:rPr>
            </w:pPr>
          </w:p>
        </w:tc>
        <w:tc>
          <w:tcPr>
            <w:tcW w:w="9060" w:type="dxa"/>
            <w:vAlign w:val="bottom"/>
            <w:tcBorders>
              <w:bottom w:val="single" w:sz="8" w:color="0000FF"/>
            </w:tcBorders>
            <w:gridSpan w:val="25"/>
            <w:shd w:val="clear" w:color="auto" w:fill="FEFEFE"/>
          </w:tcPr>
          <w:p>
            <w:pPr>
              <w:spacing w:after="0"/>
              <w:rPr>
                <w:rFonts w:ascii="Arial" w:cs="Arial" w:eastAsia="Arial" w:hAnsi="Arial"/>
                <w:sz w:val="16"/>
                <w:szCs w:val="16"/>
                <w:color w:val="0000FF"/>
                <w:w w:val="88"/>
              </w:rPr>
            </w:pPr>
            <w:hyperlink r:id="rId212">
              <w:r>
                <w:rPr>
                  <w:rFonts w:ascii="Arial" w:cs="Arial" w:eastAsia="Arial" w:hAnsi="Arial"/>
                  <w:sz w:val="16"/>
                  <w:szCs w:val="16"/>
                  <w:color w:val="0000FF"/>
                  <w:w w:val="88"/>
                </w:rPr>
                <w:t>Virtu Financial, Inc. 2015 Amended and Restated Management Incentive Plan Common Stock Award Agreement, dated as of February 1, 2021,</w:t>
              </w:r>
            </w:hyperlink>
          </w:p>
        </w:tc>
        <w:tc>
          <w:tcPr>
            <w:tcW w:w="180" w:type="dxa"/>
            <w:vAlign w:val="bottom"/>
            <w:tcBorders>
              <w:bottom w:val="single" w:sz="8" w:color="FEFEFE"/>
              <w:right w:val="single" w:sz="8" w:color="FEFEFE"/>
            </w:tcBorders>
            <w:gridSpan w:val="7"/>
            <w:shd w:val="clear" w:color="auto" w:fill="FEFEFE"/>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4"/>
        </w:trPr>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Borders>
              <w:right w:val="single" w:sz="8" w:color="FEFEFE"/>
            </w:tcBorders>
            <w:shd w:val="clear" w:color="auto" w:fill="FEFEFE"/>
          </w:tcPr>
          <w:p>
            <w:pPr>
              <w:spacing w:after="0"/>
              <w:rPr>
                <w:sz w:val="11"/>
                <w:szCs w:val="11"/>
                <w:color w:val="auto"/>
              </w:rPr>
            </w:pPr>
          </w:p>
        </w:tc>
        <w:tc>
          <w:tcPr>
            <w:tcW w:w="9240" w:type="dxa"/>
            <w:vAlign w:val="bottom"/>
            <w:tcBorders>
              <w:right w:val="single" w:sz="8" w:color="FEFEFE"/>
            </w:tcBorders>
            <w:gridSpan w:val="32"/>
            <w:shd w:val="clear" w:color="auto" w:fill="FEFEFE"/>
          </w:tcPr>
          <w:p>
            <w:pPr>
              <w:spacing w:after="0" w:line="134" w:lineRule="exact"/>
              <w:rPr>
                <w:rFonts w:ascii="Arial" w:cs="Arial" w:eastAsia="Arial" w:hAnsi="Arial"/>
                <w:sz w:val="15"/>
                <w:szCs w:val="15"/>
                <w:color w:val="0000FF"/>
                <w:w w:val="96"/>
              </w:rPr>
            </w:pPr>
            <w:hyperlink r:id="rId212">
              <w:r>
                <w:rPr>
                  <w:rFonts w:ascii="Arial" w:cs="Arial" w:eastAsia="Arial" w:hAnsi="Arial"/>
                  <w:sz w:val="15"/>
                  <w:szCs w:val="15"/>
                  <w:color w:val="0000FF"/>
                  <w:w w:val="96"/>
                </w:rPr>
                <w:t>by and between Virtu Financial, Inc. and Douglas A. Cifu (incorporated herein by reference to Exhibit 10.33 to the Company’s Annual Report on</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Borders>
              <w:top w:val="single" w:sz="8" w:color="FEFEFE"/>
              <w:bottom w:val="single" w:sz="8" w:color="FEFEFE"/>
              <w:right w:val="single" w:sz="8" w:color="FEFEFE"/>
            </w:tcBorders>
            <w:shd w:val="clear" w:color="auto" w:fill="FEFEFE"/>
          </w:tcPr>
          <w:p>
            <w:pPr>
              <w:spacing w:after="0"/>
              <w:rPr>
                <w:sz w:val="11"/>
                <w:szCs w:val="11"/>
                <w:color w:val="auto"/>
              </w:rPr>
            </w:pPr>
          </w:p>
        </w:tc>
        <w:tc>
          <w:tcPr>
            <w:tcW w:w="3880" w:type="dxa"/>
            <w:vAlign w:val="bottom"/>
            <w:tcBorders>
              <w:top w:val="single" w:sz="8" w:color="0000FF"/>
              <w:bottom w:val="single" w:sz="8" w:color="0000FF"/>
            </w:tcBorders>
            <w:gridSpan w:val="3"/>
            <w:shd w:val="clear" w:color="auto" w:fill="FEFEFE"/>
          </w:tcPr>
          <w:p>
            <w:pPr>
              <w:spacing w:after="0" w:line="134" w:lineRule="exact"/>
              <w:rPr>
                <w:rFonts w:ascii="Arial" w:cs="Arial" w:eastAsia="Arial" w:hAnsi="Arial"/>
                <w:sz w:val="15"/>
                <w:szCs w:val="15"/>
                <w:color w:val="0000FF"/>
                <w:w w:val="96"/>
              </w:rPr>
            </w:pPr>
            <w:hyperlink r:id="rId212">
              <w:r>
                <w:rPr>
                  <w:rFonts w:ascii="Arial" w:cs="Arial" w:eastAsia="Arial" w:hAnsi="Arial"/>
                  <w:sz w:val="15"/>
                  <w:szCs w:val="15"/>
                  <w:color w:val="0000FF"/>
                  <w:w w:val="96"/>
                </w:rPr>
                <w:t>Form 10-K (File No. 001-37352) filed on February 25, 2021).</w:t>
              </w:r>
            </w:hyperlink>
          </w:p>
        </w:tc>
        <w:tc>
          <w:tcPr>
            <w:tcW w:w="5320" w:type="dxa"/>
            <w:vAlign w:val="bottom"/>
            <w:tcBorders>
              <w:top w:val="single" w:sz="8" w:color="0000FF"/>
              <w:bottom w:val="single" w:sz="8" w:color="FEFEFE"/>
            </w:tcBorders>
            <w:gridSpan w:val="28"/>
            <w:shd w:val="clear" w:color="auto" w:fill="FEFEFE"/>
          </w:tcPr>
          <w:p>
            <w:pPr>
              <w:spacing w:after="0"/>
              <w:rPr>
                <w:sz w:val="11"/>
                <w:szCs w:val="11"/>
                <w:color w:val="auto"/>
              </w:rPr>
            </w:pPr>
          </w:p>
        </w:tc>
        <w:tc>
          <w:tcPr>
            <w:tcW w:w="40" w:type="dxa"/>
            <w:vAlign w:val="bottom"/>
            <w:tcBorders>
              <w:top w:val="single" w:sz="8" w:color="FEFEFE"/>
              <w:bottom w:val="single" w:sz="8" w:color="FEFEFE"/>
              <w:right w:val="single" w:sz="8" w:color="FEFEFE"/>
            </w:tcBorders>
            <w:shd w:val="clear" w:color="auto" w:fill="FEFEF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1120" w:type="dxa"/>
            <w:vAlign w:val="bottom"/>
          </w:tcPr>
          <w:p>
            <w:pPr>
              <w:ind w:left="20"/>
              <w:spacing w:after="0" w:line="181" w:lineRule="exact"/>
              <w:rPr>
                <w:sz w:val="20"/>
                <w:szCs w:val="20"/>
                <w:color w:val="auto"/>
              </w:rPr>
            </w:pPr>
            <w:r>
              <w:rPr>
                <w:rFonts w:ascii="Arial" w:cs="Arial" w:eastAsia="Arial" w:hAnsi="Arial"/>
                <w:sz w:val="16"/>
                <w:szCs w:val="16"/>
                <w:color w:val="auto"/>
              </w:rPr>
              <w:t>10.36†</w:t>
            </w:r>
          </w:p>
        </w:tc>
        <w:tc>
          <w:tcPr>
            <w:tcW w:w="320" w:type="dxa"/>
            <w:vAlign w:val="bottom"/>
          </w:tcPr>
          <w:p>
            <w:pPr>
              <w:spacing w:after="0"/>
              <w:rPr>
                <w:sz w:val="15"/>
                <w:szCs w:val="15"/>
                <w:color w:val="auto"/>
              </w:rPr>
            </w:pPr>
          </w:p>
        </w:tc>
        <w:tc>
          <w:tcPr>
            <w:tcW w:w="580" w:type="dxa"/>
            <w:vAlign w:val="bottom"/>
            <w:tcBorders>
              <w:bottom w:val="single" w:sz="8" w:color="FEFEFE"/>
              <w:right w:val="single" w:sz="8" w:color="FEFEFE"/>
            </w:tcBorders>
            <w:shd w:val="clear" w:color="auto" w:fill="FEFEFE"/>
          </w:tcPr>
          <w:p>
            <w:pPr>
              <w:spacing w:after="0"/>
              <w:rPr>
                <w:sz w:val="15"/>
                <w:szCs w:val="15"/>
                <w:color w:val="auto"/>
              </w:rPr>
            </w:pPr>
          </w:p>
        </w:tc>
        <w:tc>
          <w:tcPr>
            <w:tcW w:w="8860" w:type="dxa"/>
            <w:vAlign w:val="bottom"/>
            <w:tcBorders>
              <w:bottom w:val="single" w:sz="8" w:color="0000FF"/>
            </w:tcBorders>
            <w:gridSpan w:val="18"/>
            <w:shd w:val="clear" w:color="auto" w:fill="FEFEFE"/>
          </w:tcPr>
          <w:p>
            <w:pPr>
              <w:spacing w:after="0" w:line="181" w:lineRule="exact"/>
              <w:rPr>
                <w:rFonts w:ascii="Arial" w:cs="Arial" w:eastAsia="Arial" w:hAnsi="Arial"/>
                <w:sz w:val="16"/>
                <w:szCs w:val="16"/>
                <w:color w:val="0000FF"/>
                <w:w w:val="89"/>
              </w:rPr>
            </w:pPr>
            <w:hyperlink r:id="rId213">
              <w:r>
                <w:rPr>
                  <w:rFonts w:ascii="Arial" w:cs="Arial" w:eastAsia="Arial" w:hAnsi="Arial"/>
                  <w:sz w:val="16"/>
                  <w:szCs w:val="16"/>
                  <w:color w:val="0000FF"/>
                  <w:w w:val="89"/>
                </w:rPr>
                <w:t>Virtu Financial, Inc. 2015 Amended and Restated Management Incentive Plan Restricted Stock Unit and Common Stock Award Agreement,</w:t>
              </w:r>
            </w:hyperlink>
          </w:p>
        </w:tc>
        <w:tc>
          <w:tcPr>
            <w:tcW w:w="380" w:type="dxa"/>
            <w:vAlign w:val="bottom"/>
            <w:tcBorders>
              <w:bottom w:val="single" w:sz="8" w:color="FEFEFE"/>
              <w:right w:val="single" w:sz="8" w:color="FEFEFE"/>
            </w:tcBorders>
            <w:gridSpan w:val="14"/>
            <w:shd w:val="clear" w:color="auto" w:fill="FEFEF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Borders>
              <w:right w:val="single" w:sz="8" w:color="FEFEFE"/>
            </w:tcBorders>
            <w:shd w:val="clear" w:color="auto" w:fill="FEFEFE"/>
          </w:tcPr>
          <w:p>
            <w:pPr>
              <w:spacing w:after="0"/>
              <w:rPr>
                <w:sz w:val="11"/>
                <w:szCs w:val="11"/>
                <w:color w:val="auto"/>
              </w:rPr>
            </w:pPr>
          </w:p>
        </w:tc>
        <w:tc>
          <w:tcPr>
            <w:tcW w:w="9240" w:type="dxa"/>
            <w:vAlign w:val="bottom"/>
            <w:tcBorders>
              <w:right w:val="single" w:sz="8" w:color="FEFEFE"/>
            </w:tcBorders>
            <w:gridSpan w:val="32"/>
            <w:shd w:val="clear" w:color="auto" w:fill="FEFEFE"/>
          </w:tcPr>
          <w:p>
            <w:pPr>
              <w:spacing w:after="0" w:line="134" w:lineRule="exact"/>
              <w:rPr>
                <w:rFonts w:ascii="Arial" w:cs="Arial" w:eastAsia="Arial" w:hAnsi="Arial"/>
                <w:sz w:val="15"/>
                <w:szCs w:val="15"/>
                <w:color w:val="0000FF"/>
                <w:w w:val="96"/>
              </w:rPr>
            </w:pPr>
            <w:hyperlink r:id="rId213">
              <w:r>
                <w:rPr>
                  <w:rFonts w:ascii="Arial" w:cs="Arial" w:eastAsia="Arial" w:hAnsi="Arial"/>
                  <w:sz w:val="15"/>
                  <w:szCs w:val="15"/>
                  <w:color w:val="0000FF"/>
                  <w:w w:val="96"/>
                </w:rPr>
                <w:t>dated as of February 1, 2021, by and between Virtu Financial, Inc. and Douglas A. Cifu (incorporated herein by reference to Exhibit 10.34 to the</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Borders>
              <w:top w:val="single" w:sz="8" w:color="FEFEFE"/>
              <w:right w:val="single" w:sz="8" w:color="FEFEFE"/>
            </w:tcBorders>
            <w:shd w:val="clear" w:color="auto" w:fill="FEFEFE"/>
          </w:tcPr>
          <w:p>
            <w:pPr>
              <w:spacing w:after="0"/>
              <w:rPr>
                <w:sz w:val="11"/>
                <w:szCs w:val="11"/>
                <w:color w:val="auto"/>
              </w:rPr>
            </w:pPr>
          </w:p>
        </w:tc>
        <w:tc>
          <w:tcPr>
            <w:tcW w:w="9140" w:type="dxa"/>
            <w:vAlign w:val="bottom"/>
            <w:tcBorders>
              <w:top w:val="single" w:sz="8" w:color="0000FF"/>
            </w:tcBorders>
            <w:gridSpan w:val="28"/>
            <w:shd w:val="clear" w:color="auto" w:fill="FEFEFE"/>
          </w:tcPr>
          <w:p>
            <w:pPr>
              <w:spacing w:after="0" w:line="134" w:lineRule="exact"/>
              <w:rPr>
                <w:rFonts w:ascii="Arial" w:cs="Arial" w:eastAsia="Arial" w:hAnsi="Arial"/>
                <w:sz w:val="15"/>
                <w:szCs w:val="15"/>
                <w:color w:val="0000FF"/>
              </w:rPr>
            </w:pPr>
            <w:hyperlink r:id="rId213">
              <w:r>
                <w:rPr>
                  <w:rFonts w:ascii="Arial" w:cs="Arial" w:eastAsia="Arial" w:hAnsi="Arial"/>
                  <w:sz w:val="15"/>
                  <w:szCs w:val="15"/>
                  <w:color w:val="0000FF"/>
                </w:rPr>
                <w:t>Company’s Annual Report on Form 10-K (File No. 001-37352) filed on February 25, 2021).</w:t>
              </w:r>
            </w:hyperlink>
          </w:p>
        </w:tc>
        <w:tc>
          <w:tcPr>
            <w:tcW w:w="100" w:type="dxa"/>
            <w:vAlign w:val="bottom"/>
            <w:tcBorders>
              <w:top w:val="single" w:sz="8" w:color="FEFEFE"/>
              <w:right w:val="single" w:sz="8" w:color="FEFEFE"/>
            </w:tcBorders>
            <w:gridSpan w:val="4"/>
            <w:shd w:val="clear" w:color="auto" w:fill="FEFEF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FEFEFE"/>
          </w:tcPr>
          <w:p>
            <w:pPr>
              <w:spacing w:after="0" w:line="20" w:lineRule="exact"/>
              <w:rPr>
                <w:sz w:val="1"/>
                <w:szCs w:val="1"/>
                <w:color w:val="auto"/>
              </w:rPr>
            </w:pPr>
          </w:p>
        </w:tc>
        <w:tc>
          <w:tcPr>
            <w:tcW w:w="4540" w:type="dxa"/>
            <w:vAlign w:val="bottom"/>
            <w:gridSpan w:val="4"/>
            <w:shd w:val="clear" w:color="auto" w:fill="0000FF"/>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3020" w:type="dxa"/>
            <w:vAlign w:val="bottom"/>
            <w:gridSpan w:val="9"/>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120" w:type="dxa"/>
            <w:vAlign w:val="bottom"/>
            <w:gridSpan w:val="5"/>
            <w:shd w:val="clear" w:color="auto" w:fill="FEFEFE"/>
          </w:tcPr>
          <w:p>
            <w:pPr>
              <w:spacing w:after="0" w:line="20" w:lineRule="exact"/>
              <w:rPr>
                <w:sz w:val="1"/>
                <w:szCs w:val="1"/>
                <w:color w:val="auto"/>
              </w:rPr>
            </w:pPr>
          </w:p>
        </w:tc>
        <w:tc>
          <w:tcPr>
            <w:tcW w:w="100" w:type="dxa"/>
            <w:vAlign w:val="bottom"/>
            <w:gridSpan w:val="3"/>
            <w:shd w:val="clear" w:color="auto" w:fill="FEFEFE"/>
          </w:tcPr>
          <w:p>
            <w:pPr>
              <w:spacing w:after="0" w:line="20" w:lineRule="exact"/>
              <w:rPr>
                <w:sz w:val="1"/>
                <w:szCs w:val="1"/>
                <w:color w:val="auto"/>
              </w:rPr>
            </w:pPr>
          </w:p>
        </w:tc>
        <w:tc>
          <w:tcPr>
            <w:tcW w:w="60" w:type="dxa"/>
            <w:vAlign w:val="bottom"/>
            <w:gridSpan w:val="2"/>
            <w:shd w:val="clear" w:color="auto" w:fill="FEFEFE"/>
          </w:tcPr>
          <w:p>
            <w:pPr>
              <w:spacing w:after="0" w:line="20" w:lineRule="exact"/>
              <w:rPr>
                <w:sz w:val="1"/>
                <w:szCs w:val="1"/>
                <w:color w:val="auto"/>
              </w:rPr>
            </w:pPr>
          </w:p>
        </w:tc>
        <w:tc>
          <w:tcPr>
            <w:tcW w:w="120" w:type="dxa"/>
            <w:vAlign w:val="bottom"/>
            <w:tcBorders>
              <w:right w:val="single" w:sz="8" w:color="FEFEFE"/>
            </w:tcBorders>
            <w:gridSpan w:val="5"/>
            <w:shd w:val="clear" w:color="auto" w:fill="FEFEF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120" w:type="dxa"/>
            <w:vAlign w:val="bottom"/>
          </w:tcPr>
          <w:p>
            <w:pPr>
              <w:ind w:left="20"/>
              <w:spacing w:after="0" w:line="181" w:lineRule="exact"/>
              <w:rPr>
                <w:sz w:val="20"/>
                <w:szCs w:val="20"/>
                <w:color w:val="auto"/>
              </w:rPr>
            </w:pPr>
            <w:r>
              <w:rPr>
                <w:rFonts w:ascii="Arial" w:cs="Arial" w:eastAsia="Arial" w:hAnsi="Arial"/>
                <w:sz w:val="16"/>
                <w:szCs w:val="16"/>
                <w:color w:val="auto"/>
              </w:rPr>
              <w:t>10.37†</w:t>
            </w:r>
          </w:p>
        </w:tc>
        <w:tc>
          <w:tcPr>
            <w:tcW w:w="320" w:type="dxa"/>
            <w:vAlign w:val="bottom"/>
          </w:tcPr>
          <w:p>
            <w:pPr>
              <w:spacing w:after="0"/>
              <w:rPr>
                <w:sz w:val="15"/>
                <w:szCs w:val="15"/>
                <w:color w:val="auto"/>
              </w:rPr>
            </w:pPr>
          </w:p>
        </w:tc>
        <w:tc>
          <w:tcPr>
            <w:tcW w:w="580" w:type="dxa"/>
            <w:vAlign w:val="bottom"/>
            <w:tcBorders>
              <w:right w:val="single" w:sz="8" w:color="FEFEFE"/>
            </w:tcBorders>
            <w:shd w:val="clear" w:color="auto" w:fill="FEFEFE"/>
          </w:tcPr>
          <w:p>
            <w:pPr>
              <w:spacing w:after="0"/>
              <w:rPr>
                <w:sz w:val="15"/>
                <w:szCs w:val="15"/>
                <w:color w:val="auto"/>
              </w:rPr>
            </w:pPr>
          </w:p>
        </w:tc>
        <w:tc>
          <w:tcPr>
            <w:tcW w:w="9240" w:type="dxa"/>
            <w:vAlign w:val="bottom"/>
            <w:tcBorders>
              <w:right w:val="single" w:sz="8" w:color="FEFEFE"/>
            </w:tcBorders>
            <w:gridSpan w:val="32"/>
            <w:shd w:val="clear" w:color="auto" w:fill="FEFEFE"/>
          </w:tcPr>
          <w:p>
            <w:pPr>
              <w:spacing w:after="0" w:line="181" w:lineRule="exact"/>
              <w:rPr>
                <w:rFonts w:ascii="Arial" w:cs="Arial" w:eastAsia="Arial" w:hAnsi="Arial"/>
                <w:sz w:val="16"/>
                <w:szCs w:val="16"/>
                <w:color w:val="0000FF"/>
                <w:w w:val="92"/>
              </w:rPr>
            </w:pPr>
            <w:hyperlink r:id="rId214">
              <w:r>
                <w:rPr>
                  <w:rFonts w:ascii="Arial" w:cs="Arial" w:eastAsia="Arial" w:hAnsi="Arial"/>
                  <w:sz w:val="16"/>
                  <w:szCs w:val="16"/>
                  <w:color w:val="0000FF"/>
                  <w:w w:val="92"/>
                </w:rPr>
                <w:t>Virtu Financial, Inc. 2015 Amended and Restated Management Incentive Plan Restricted Stock Unit Award Agreement, dated as of June 22,</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Borders>
              <w:top w:val="single" w:sz="8" w:color="FEFEFE"/>
              <w:bottom w:val="single" w:sz="8" w:color="FEFEFE"/>
              <w:right w:val="single" w:sz="8" w:color="FEFEFE"/>
            </w:tcBorders>
            <w:shd w:val="clear" w:color="auto" w:fill="FEFEFE"/>
          </w:tcPr>
          <w:p>
            <w:pPr>
              <w:spacing w:after="0"/>
              <w:rPr>
                <w:sz w:val="11"/>
                <w:szCs w:val="11"/>
                <w:color w:val="auto"/>
              </w:rPr>
            </w:pPr>
          </w:p>
        </w:tc>
        <w:tc>
          <w:tcPr>
            <w:tcW w:w="8820" w:type="dxa"/>
            <w:vAlign w:val="bottom"/>
            <w:tcBorders>
              <w:top w:val="single" w:sz="8" w:color="0000FF"/>
              <w:bottom w:val="single" w:sz="8" w:color="0000FF"/>
            </w:tcBorders>
            <w:gridSpan w:val="16"/>
            <w:shd w:val="clear" w:color="auto" w:fill="FEFEFE"/>
          </w:tcPr>
          <w:p>
            <w:pPr>
              <w:spacing w:after="0" w:line="134" w:lineRule="exact"/>
              <w:rPr>
                <w:rFonts w:ascii="Arial" w:cs="Arial" w:eastAsia="Arial" w:hAnsi="Arial"/>
                <w:sz w:val="15"/>
                <w:szCs w:val="15"/>
                <w:color w:val="0000FF"/>
                <w:w w:val="95"/>
              </w:rPr>
            </w:pPr>
            <w:hyperlink r:id="rId214">
              <w:r>
                <w:rPr>
                  <w:rFonts w:ascii="Arial" w:cs="Arial" w:eastAsia="Arial" w:hAnsi="Arial"/>
                  <w:sz w:val="15"/>
                  <w:szCs w:val="15"/>
                  <w:color w:val="0000FF"/>
                  <w:w w:val="95"/>
                </w:rPr>
                <w:t>2020, by and between Virtu Financial, Inc. and Joseph Molluso (incorporated herein by reference to Exhibit 10.35 to the Company’s Annual</w:t>
              </w:r>
            </w:hyperlink>
          </w:p>
        </w:tc>
        <w:tc>
          <w:tcPr>
            <w:tcW w:w="20" w:type="dxa"/>
            <w:vAlign w:val="bottom"/>
            <w:tcBorders>
              <w:top w:val="single" w:sz="8" w:color="FEFEFE"/>
              <w:bottom w:val="single" w:sz="8" w:color="0000FF"/>
            </w:tcBorders>
            <w:shd w:val="clear" w:color="auto" w:fill="FEFEFE"/>
          </w:tcPr>
          <w:p>
            <w:pPr>
              <w:spacing w:after="0"/>
              <w:rPr>
                <w:sz w:val="11"/>
                <w:szCs w:val="11"/>
                <w:color w:val="auto"/>
              </w:rPr>
            </w:pPr>
          </w:p>
        </w:tc>
        <w:tc>
          <w:tcPr>
            <w:tcW w:w="120" w:type="dxa"/>
            <w:vAlign w:val="bottom"/>
            <w:tcBorders>
              <w:top w:val="single" w:sz="8" w:color="FEFEFE"/>
              <w:bottom w:val="single" w:sz="8" w:color="FEFEFE"/>
            </w:tcBorders>
            <w:gridSpan w:val="5"/>
            <w:shd w:val="clear" w:color="auto" w:fill="FEFEFE"/>
          </w:tcPr>
          <w:p>
            <w:pPr>
              <w:spacing w:after="0"/>
              <w:rPr>
                <w:sz w:val="11"/>
                <w:szCs w:val="11"/>
                <w:color w:val="auto"/>
              </w:rPr>
            </w:pPr>
          </w:p>
        </w:tc>
        <w:tc>
          <w:tcPr>
            <w:tcW w:w="100" w:type="dxa"/>
            <w:vAlign w:val="bottom"/>
            <w:tcBorders>
              <w:top w:val="single" w:sz="8" w:color="FEFEFE"/>
              <w:bottom w:val="single" w:sz="8" w:color="FEFEFE"/>
            </w:tcBorders>
            <w:gridSpan w:val="3"/>
            <w:shd w:val="clear" w:color="auto" w:fill="FEFEFE"/>
          </w:tcPr>
          <w:p>
            <w:pPr>
              <w:spacing w:after="0"/>
              <w:rPr>
                <w:sz w:val="11"/>
                <w:szCs w:val="11"/>
                <w:color w:val="auto"/>
              </w:rPr>
            </w:pPr>
          </w:p>
        </w:tc>
        <w:tc>
          <w:tcPr>
            <w:tcW w:w="60" w:type="dxa"/>
            <w:vAlign w:val="bottom"/>
            <w:tcBorders>
              <w:top w:val="single" w:sz="8" w:color="FEFEFE"/>
              <w:bottom w:val="single" w:sz="8" w:color="FEFEFE"/>
            </w:tcBorders>
            <w:gridSpan w:val="2"/>
            <w:shd w:val="clear" w:color="auto" w:fill="FEFEFE"/>
          </w:tcPr>
          <w:p>
            <w:pPr>
              <w:spacing w:after="0"/>
              <w:rPr>
                <w:sz w:val="11"/>
                <w:szCs w:val="11"/>
                <w:color w:val="auto"/>
              </w:rPr>
            </w:pPr>
          </w:p>
        </w:tc>
        <w:tc>
          <w:tcPr>
            <w:tcW w:w="120" w:type="dxa"/>
            <w:vAlign w:val="bottom"/>
            <w:tcBorders>
              <w:top w:val="single" w:sz="8" w:color="FEFEFE"/>
              <w:bottom w:val="single" w:sz="8" w:color="FEFEFE"/>
              <w:right w:val="single" w:sz="8" w:color="FEFEFE"/>
            </w:tcBorders>
            <w:gridSpan w:val="5"/>
            <w:shd w:val="clear" w:color="auto" w:fill="FEFEF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Borders>
              <w:right w:val="single" w:sz="8" w:color="FEFEFE"/>
            </w:tcBorders>
            <w:shd w:val="clear" w:color="auto" w:fill="FEFEFE"/>
          </w:tcPr>
          <w:p>
            <w:pPr>
              <w:spacing w:after="0"/>
              <w:rPr>
                <w:sz w:val="11"/>
                <w:szCs w:val="11"/>
                <w:color w:val="auto"/>
              </w:rPr>
            </w:pPr>
          </w:p>
        </w:tc>
        <w:tc>
          <w:tcPr>
            <w:tcW w:w="8840" w:type="dxa"/>
            <w:vAlign w:val="bottom"/>
            <w:gridSpan w:val="17"/>
            <w:shd w:val="clear" w:color="auto" w:fill="FEFEFE"/>
          </w:tcPr>
          <w:p>
            <w:pPr>
              <w:spacing w:after="0" w:line="134" w:lineRule="exact"/>
              <w:rPr>
                <w:rFonts w:ascii="Arial" w:cs="Arial" w:eastAsia="Arial" w:hAnsi="Arial"/>
                <w:sz w:val="15"/>
                <w:szCs w:val="15"/>
                <w:color w:val="0000FF"/>
              </w:rPr>
            </w:pPr>
            <w:hyperlink r:id="rId214">
              <w:r>
                <w:rPr>
                  <w:rFonts w:ascii="Arial" w:cs="Arial" w:eastAsia="Arial" w:hAnsi="Arial"/>
                  <w:sz w:val="15"/>
                  <w:szCs w:val="15"/>
                  <w:color w:val="0000FF"/>
                </w:rPr>
                <w:t>Report on Form 10-K (File No. 001-37352) filed on February 25, 2021).</w:t>
              </w:r>
            </w:hyperlink>
          </w:p>
        </w:tc>
        <w:tc>
          <w:tcPr>
            <w:tcW w:w="120" w:type="dxa"/>
            <w:vAlign w:val="bottom"/>
            <w:gridSpan w:val="5"/>
            <w:shd w:val="clear" w:color="auto" w:fill="FEFEFE"/>
          </w:tcPr>
          <w:p>
            <w:pPr>
              <w:spacing w:after="0"/>
              <w:rPr>
                <w:sz w:val="11"/>
                <w:szCs w:val="11"/>
                <w:color w:val="auto"/>
              </w:rPr>
            </w:pPr>
          </w:p>
        </w:tc>
        <w:tc>
          <w:tcPr>
            <w:tcW w:w="100" w:type="dxa"/>
            <w:vAlign w:val="bottom"/>
            <w:gridSpan w:val="3"/>
            <w:shd w:val="clear" w:color="auto" w:fill="FEFEFE"/>
          </w:tcPr>
          <w:p>
            <w:pPr>
              <w:spacing w:after="0"/>
              <w:rPr>
                <w:sz w:val="11"/>
                <w:szCs w:val="11"/>
                <w:color w:val="auto"/>
              </w:rPr>
            </w:pPr>
          </w:p>
        </w:tc>
        <w:tc>
          <w:tcPr>
            <w:tcW w:w="60" w:type="dxa"/>
            <w:vAlign w:val="bottom"/>
            <w:gridSpan w:val="2"/>
            <w:shd w:val="clear" w:color="auto" w:fill="FEFEFE"/>
          </w:tcPr>
          <w:p>
            <w:pPr>
              <w:spacing w:after="0"/>
              <w:rPr>
                <w:sz w:val="11"/>
                <w:szCs w:val="11"/>
                <w:color w:val="auto"/>
              </w:rPr>
            </w:pPr>
          </w:p>
        </w:tc>
        <w:tc>
          <w:tcPr>
            <w:tcW w:w="120" w:type="dxa"/>
            <w:vAlign w:val="bottom"/>
            <w:tcBorders>
              <w:right w:val="single" w:sz="8" w:color="FEFEFE"/>
            </w:tcBorders>
            <w:gridSpan w:val="5"/>
            <w:shd w:val="clear" w:color="auto" w:fill="FEFEF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FEFEFE"/>
          </w:tcPr>
          <w:p>
            <w:pPr>
              <w:spacing w:after="0" w:line="20" w:lineRule="exact"/>
              <w:rPr>
                <w:sz w:val="1"/>
                <w:szCs w:val="1"/>
                <w:color w:val="auto"/>
              </w:rPr>
            </w:pPr>
          </w:p>
        </w:tc>
        <w:tc>
          <w:tcPr>
            <w:tcW w:w="4540" w:type="dxa"/>
            <w:vAlign w:val="bottom"/>
            <w:gridSpan w:val="4"/>
            <w:shd w:val="clear" w:color="auto" w:fill="0000FF"/>
          </w:tcPr>
          <w:p>
            <w:pPr>
              <w:spacing w:after="0" w:line="20" w:lineRule="exact"/>
              <w:rPr>
                <w:sz w:val="1"/>
                <w:szCs w:val="1"/>
                <w:color w:val="auto"/>
              </w:rPr>
            </w:pPr>
          </w:p>
        </w:tc>
        <w:tc>
          <w:tcPr>
            <w:tcW w:w="1260" w:type="dxa"/>
            <w:vAlign w:val="bottom"/>
            <w:gridSpan w:val="3"/>
            <w:shd w:val="clear" w:color="auto" w:fill="FEFEFE"/>
          </w:tcPr>
          <w:p>
            <w:pPr>
              <w:spacing w:after="0" w:line="20" w:lineRule="exact"/>
              <w:rPr>
                <w:sz w:val="1"/>
                <w:szCs w:val="1"/>
                <w:color w:val="auto"/>
              </w:rPr>
            </w:pPr>
          </w:p>
        </w:tc>
        <w:tc>
          <w:tcPr>
            <w:tcW w:w="3160" w:type="dxa"/>
            <w:vAlign w:val="bottom"/>
            <w:gridSpan w:val="15"/>
            <w:shd w:val="clear" w:color="auto" w:fill="FEFEFE"/>
          </w:tcPr>
          <w:p>
            <w:pPr>
              <w:spacing w:after="0" w:line="20" w:lineRule="exact"/>
              <w:rPr>
                <w:sz w:val="1"/>
                <w:szCs w:val="1"/>
                <w:color w:val="auto"/>
              </w:rPr>
            </w:pPr>
          </w:p>
        </w:tc>
        <w:tc>
          <w:tcPr>
            <w:tcW w:w="100" w:type="dxa"/>
            <w:vAlign w:val="bottom"/>
            <w:gridSpan w:val="3"/>
            <w:shd w:val="clear" w:color="auto" w:fill="FEFEFE"/>
          </w:tcPr>
          <w:p>
            <w:pPr>
              <w:spacing w:after="0" w:line="20" w:lineRule="exact"/>
              <w:rPr>
                <w:sz w:val="1"/>
                <w:szCs w:val="1"/>
                <w:color w:val="auto"/>
              </w:rPr>
            </w:pPr>
          </w:p>
        </w:tc>
        <w:tc>
          <w:tcPr>
            <w:tcW w:w="60" w:type="dxa"/>
            <w:vAlign w:val="bottom"/>
            <w:gridSpan w:val="2"/>
            <w:shd w:val="clear" w:color="auto" w:fill="FEFEFE"/>
          </w:tcPr>
          <w:p>
            <w:pPr>
              <w:spacing w:after="0" w:line="20" w:lineRule="exact"/>
              <w:rPr>
                <w:sz w:val="1"/>
                <w:szCs w:val="1"/>
                <w:color w:val="auto"/>
              </w:rPr>
            </w:pPr>
          </w:p>
        </w:tc>
        <w:tc>
          <w:tcPr>
            <w:tcW w:w="120" w:type="dxa"/>
            <w:vAlign w:val="bottom"/>
            <w:tcBorders>
              <w:right w:val="single" w:sz="8" w:color="FEFEFE"/>
            </w:tcBorders>
            <w:gridSpan w:val="5"/>
            <w:shd w:val="clear" w:color="auto" w:fill="FEFEF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120" w:type="dxa"/>
            <w:vAlign w:val="bottom"/>
          </w:tcPr>
          <w:p>
            <w:pPr>
              <w:ind w:left="20"/>
              <w:spacing w:after="0" w:line="181" w:lineRule="exact"/>
              <w:rPr>
                <w:sz w:val="20"/>
                <w:szCs w:val="20"/>
                <w:color w:val="auto"/>
              </w:rPr>
            </w:pPr>
            <w:r>
              <w:rPr>
                <w:rFonts w:ascii="Arial" w:cs="Arial" w:eastAsia="Arial" w:hAnsi="Arial"/>
                <w:sz w:val="16"/>
                <w:szCs w:val="16"/>
                <w:color w:val="auto"/>
              </w:rPr>
              <w:t>10.38†</w:t>
            </w:r>
          </w:p>
        </w:tc>
        <w:tc>
          <w:tcPr>
            <w:tcW w:w="320" w:type="dxa"/>
            <w:vAlign w:val="bottom"/>
          </w:tcPr>
          <w:p>
            <w:pPr>
              <w:spacing w:after="0"/>
              <w:rPr>
                <w:sz w:val="15"/>
                <w:szCs w:val="15"/>
                <w:color w:val="auto"/>
              </w:rPr>
            </w:pPr>
          </w:p>
        </w:tc>
        <w:tc>
          <w:tcPr>
            <w:tcW w:w="580" w:type="dxa"/>
            <w:vAlign w:val="bottom"/>
            <w:tcBorders>
              <w:right w:val="single" w:sz="8" w:color="FEFEFE"/>
            </w:tcBorders>
            <w:shd w:val="clear" w:color="auto" w:fill="FEFEFE"/>
          </w:tcPr>
          <w:p>
            <w:pPr>
              <w:spacing w:after="0"/>
              <w:rPr>
                <w:sz w:val="15"/>
                <w:szCs w:val="15"/>
                <w:color w:val="auto"/>
              </w:rPr>
            </w:pPr>
          </w:p>
        </w:tc>
        <w:tc>
          <w:tcPr>
            <w:tcW w:w="9240" w:type="dxa"/>
            <w:vAlign w:val="bottom"/>
            <w:tcBorders>
              <w:right w:val="single" w:sz="8" w:color="FEFEFE"/>
            </w:tcBorders>
            <w:gridSpan w:val="32"/>
            <w:shd w:val="clear" w:color="auto" w:fill="FEFEFE"/>
          </w:tcPr>
          <w:p>
            <w:pPr>
              <w:spacing w:after="0" w:line="181" w:lineRule="exact"/>
              <w:rPr>
                <w:rFonts w:ascii="Arial" w:cs="Arial" w:eastAsia="Arial" w:hAnsi="Arial"/>
                <w:sz w:val="16"/>
                <w:szCs w:val="16"/>
                <w:color w:val="0000FF"/>
                <w:w w:val="91"/>
              </w:rPr>
            </w:pPr>
            <w:hyperlink r:id="rId215">
              <w:r>
                <w:rPr>
                  <w:rFonts w:ascii="Arial" w:cs="Arial" w:eastAsia="Arial" w:hAnsi="Arial"/>
                  <w:sz w:val="16"/>
                  <w:szCs w:val="16"/>
                  <w:color w:val="0000FF"/>
                  <w:w w:val="91"/>
                </w:rPr>
                <w:t>Virtu Financial, Inc. 2015 Amended and Restated Management Incentive Plan Restricted Stock Award Award Agreement, dated as of June 22,</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Borders>
              <w:top w:val="single" w:sz="8" w:color="FEFEFE"/>
              <w:right w:val="single" w:sz="8" w:color="FEFEFE"/>
            </w:tcBorders>
            <w:shd w:val="clear" w:color="auto" w:fill="FEFEFE"/>
          </w:tcPr>
          <w:p>
            <w:pPr>
              <w:spacing w:after="0"/>
              <w:rPr>
                <w:sz w:val="11"/>
                <w:szCs w:val="11"/>
                <w:color w:val="auto"/>
              </w:rPr>
            </w:pPr>
          </w:p>
        </w:tc>
        <w:tc>
          <w:tcPr>
            <w:tcW w:w="8960" w:type="dxa"/>
            <w:vAlign w:val="bottom"/>
            <w:tcBorders>
              <w:top w:val="single" w:sz="8" w:color="0000FF"/>
            </w:tcBorders>
            <w:gridSpan w:val="22"/>
            <w:shd w:val="clear" w:color="auto" w:fill="FEFEFE"/>
          </w:tcPr>
          <w:p>
            <w:pPr>
              <w:spacing w:after="0" w:line="134" w:lineRule="exact"/>
              <w:rPr>
                <w:rFonts w:ascii="Arial" w:cs="Arial" w:eastAsia="Arial" w:hAnsi="Arial"/>
                <w:sz w:val="15"/>
                <w:szCs w:val="15"/>
                <w:color w:val="0000FF"/>
                <w:w w:val="96"/>
              </w:rPr>
            </w:pPr>
            <w:hyperlink r:id="rId215">
              <w:r>
                <w:rPr>
                  <w:rFonts w:ascii="Arial" w:cs="Arial" w:eastAsia="Arial" w:hAnsi="Arial"/>
                  <w:sz w:val="15"/>
                  <w:szCs w:val="15"/>
                  <w:color w:val="0000FF"/>
                  <w:w w:val="96"/>
                </w:rPr>
                <w:t>2020, by and between Virtu Financial, Inc. and Joseph Molluso (incorporated herein by reference to Exhibit 10.36 to the Company’s Annual</w:t>
              </w:r>
            </w:hyperlink>
          </w:p>
        </w:tc>
        <w:tc>
          <w:tcPr>
            <w:tcW w:w="100" w:type="dxa"/>
            <w:vAlign w:val="bottom"/>
            <w:tcBorders>
              <w:top w:val="single" w:sz="8" w:color="FEFEFE"/>
            </w:tcBorders>
            <w:gridSpan w:val="3"/>
            <w:shd w:val="clear" w:color="auto" w:fill="FEFEFE"/>
          </w:tcPr>
          <w:p>
            <w:pPr>
              <w:spacing w:after="0"/>
              <w:rPr>
                <w:sz w:val="11"/>
                <w:szCs w:val="11"/>
                <w:color w:val="auto"/>
              </w:rPr>
            </w:pPr>
          </w:p>
        </w:tc>
        <w:tc>
          <w:tcPr>
            <w:tcW w:w="60" w:type="dxa"/>
            <w:vAlign w:val="bottom"/>
            <w:tcBorders>
              <w:top w:val="single" w:sz="8" w:color="FEFEFE"/>
            </w:tcBorders>
            <w:gridSpan w:val="2"/>
            <w:shd w:val="clear" w:color="auto" w:fill="FEFEFE"/>
          </w:tcPr>
          <w:p>
            <w:pPr>
              <w:spacing w:after="0"/>
              <w:rPr>
                <w:sz w:val="11"/>
                <w:szCs w:val="11"/>
                <w:color w:val="auto"/>
              </w:rPr>
            </w:pPr>
          </w:p>
        </w:tc>
        <w:tc>
          <w:tcPr>
            <w:tcW w:w="120" w:type="dxa"/>
            <w:vAlign w:val="bottom"/>
            <w:tcBorders>
              <w:top w:val="single" w:sz="8" w:color="FEFEFE"/>
              <w:right w:val="single" w:sz="8" w:color="FEFEFE"/>
            </w:tcBorders>
            <w:gridSpan w:val="5"/>
            <w:shd w:val="clear" w:color="auto" w:fill="FEFEF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Borders>
              <w:top w:val="single" w:sz="8" w:color="FEFEFE"/>
              <w:right w:val="single" w:sz="8" w:color="FEFEFE"/>
            </w:tcBorders>
            <w:shd w:val="clear" w:color="auto" w:fill="FEFEFE"/>
          </w:tcPr>
          <w:p>
            <w:pPr>
              <w:spacing w:after="0"/>
              <w:rPr>
                <w:sz w:val="11"/>
                <w:szCs w:val="11"/>
                <w:color w:val="auto"/>
              </w:rPr>
            </w:pPr>
          </w:p>
        </w:tc>
        <w:tc>
          <w:tcPr>
            <w:tcW w:w="8840" w:type="dxa"/>
            <w:vAlign w:val="bottom"/>
            <w:tcBorders>
              <w:top w:val="single" w:sz="8" w:color="0000FF"/>
            </w:tcBorders>
            <w:gridSpan w:val="17"/>
            <w:shd w:val="clear" w:color="auto" w:fill="FEFEFE"/>
          </w:tcPr>
          <w:p>
            <w:pPr>
              <w:spacing w:after="0" w:line="134" w:lineRule="exact"/>
              <w:rPr>
                <w:rFonts w:ascii="Arial" w:cs="Arial" w:eastAsia="Arial" w:hAnsi="Arial"/>
                <w:sz w:val="15"/>
                <w:szCs w:val="15"/>
                <w:color w:val="0000FF"/>
              </w:rPr>
            </w:pPr>
            <w:hyperlink r:id="rId215">
              <w:r>
                <w:rPr>
                  <w:rFonts w:ascii="Arial" w:cs="Arial" w:eastAsia="Arial" w:hAnsi="Arial"/>
                  <w:sz w:val="15"/>
                  <w:szCs w:val="15"/>
                  <w:color w:val="0000FF"/>
                </w:rPr>
                <w:t>Report on Form 10-K (File No. 001-37352) filed on February 25, 2021).</w:t>
              </w:r>
            </w:hyperlink>
          </w:p>
        </w:tc>
        <w:tc>
          <w:tcPr>
            <w:tcW w:w="220" w:type="dxa"/>
            <w:vAlign w:val="bottom"/>
            <w:tcBorders>
              <w:top w:val="single" w:sz="8" w:color="FEFEFE"/>
            </w:tcBorders>
            <w:gridSpan w:val="8"/>
            <w:shd w:val="clear" w:color="auto" w:fill="FEFEFE"/>
          </w:tcPr>
          <w:p>
            <w:pPr>
              <w:spacing w:after="0"/>
              <w:rPr>
                <w:sz w:val="11"/>
                <w:szCs w:val="11"/>
                <w:color w:val="auto"/>
              </w:rPr>
            </w:pPr>
          </w:p>
        </w:tc>
        <w:tc>
          <w:tcPr>
            <w:tcW w:w="60" w:type="dxa"/>
            <w:vAlign w:val="bottom"/>
            <w:tcBorders>
              <w:top w:val="single" w:sz="8" w:color="FEFEFE"/>
            </w:tcBorders>
            <w:gridSpan w:val="2"/>
            <w:shd w:val="clear" w:color="auto" w:fill="FEFEFE"/>
          </w:tcPr>
          <w:p>
            <w:pPr>
              <w:spacing w:after="0"/>
              <w:rPr>
                <w:sz w:val="11"/>
                <w:szCs w:val="11"/>
                <w:color w:val="auto"/>
              </w:rPr>
            </w:pPr>
          </w:p>
        </w:tc>
        <w:tc>
          <w:tcPr>
            <w:tcW w:w="120" w:type="dxa"/>
            <w:vAlign w:val="bottom"/>
            <w:tcBorders>
              <w:top w:val="single" w:sz="8" w:color="FEFEFE"/>
              <w:right w:val="single" w:sz="8" w:color="FEFEFE"/>
            </w:tcBorders>
            <w:gridSpan w:val="5"/>
            <w:shd w:val="clear" w:color="auto" w:fill="FEFEF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bottom w:val="single" w:sz="8" w:color="FEFEFE"/>
              <w:right w:val="single" w:sz="8" w:color="0000FF"/>
            </w:tcBorders>
            <w:shd w:val="clear" w:color="auto" w:fill="FEFEFE"/>
          </w:tcPr>
          <w:p>
            <w:pPr>
              <w:spacing w:after="0" w:line="20" w:lineRule="exact"/>
              <w:rPr>
                <w:sz w:val="1"/>
                <w:szCs w:val="1"/>
                <w:color w:val="auto"/>
              </w:rPr>
            </w:pPr>
          </w:p>
        </w:tc>
        <w:tc>
          <w:tcPr>
            <w:tcW w:w="4540" w:type="dxa"/>
            <w:vAlign w:val="bottom"/>
            <w:tcBorders>
              <w:bottom w:val="single" w:sz="8" w:color="FEFEFE"/>
            </w:tcBorders>
            <w:gridSpan w:val="4"/>
            <w:shd w:val="clear" w:color="auto" w:fill="0000FF"/>
          </w:tcPr>
          <w:p>
            <w:pPr>
              <w:spacing w:after="0" w:line="20" w:lineRule="exact"/>
              <w:rPr>
                <w:sz w:val="1"/>
                <w:szCs w:val="1"/>
                <w:color w:val="auto"/>
              </w:rPr>
            </w:pPr>
          </w:p>
        </w:tc>
        <w:tc>
          <w:tcPr>
            <w:tcW w:w="1260" w:type="dxa"/>
            <w:vAlign w:val="bottom"/>
            <w:tcBorders>
              <w:bottom w:val="single" w:sz="8" w:color="FEFEFE"/>
            </w:tcBorders>
            <w:gridSpan w:val="3"/>
            <w:shd w:val="clear" w:color="auto" w:fill="FEFEFE"/>
          </w:tcPr>
          <w:p>
            <w:pPr>
              <w:spacing w:after="0" w:line="20" w:lineRule="exact"/>
              <w:rPr>
                <w:sz w:val="1"/>
                <w:szCs w:val="1"/>
                <w:color w:val="auto"/>
              </w:rPr>
            </w:pPr>
          </w:p>
        </w:tc>
        <w:tc>
          <w:tcPr>
            <w:tcW w:w="3260" w:type="dxa"/>
            <w:vAlign w:val="bottom"/>
            <w:tcBorders>
              <w:bottom w:val="single" w:sz="8" w:color="FEFEFE"/>
            </w:tcBorders>
            <w:gridSpan w:val="18"/>
            <w:shd w:val="clear" w:color="auto" w:fill="FEFEFE"/>
          </w:tcPr>
          <w:p>
            <w:pPr>
              <w:spacing w:after="0" w:line="20" w:lineRule="exact"/>
              <w:rPr>
                <w:sz w:val="1"/>
                <w:szCs w:val="1"/>
                <w:color w:val="auto"/>
              </w:rPr>
            </w:pPr>
          </w:p>
        </w:tc>
        <w:tc>
          <w:tcPr>
            <w:tcW w:w="60" w:type="dxa"/>
            <w:vAlign w:val="bottom"/>
            <w:tcBorders>
              <w:bottom w:val="single" w:sz="8" w:color="FEFEFE"/>
            </w:tcBorders>
            <w:gridSpan w:val="2"/>
            <w:shd w:val="clear" w:color="auto" w:fill="FEFEFE"/>
          </w:tcPr>
          <w:p>
            <w:pPr>
              <w:spacing w:after="0" w:line="20" w:lineRule="exact"/>
              <w:rPr>
                <w:sz w:val="1"/>
                <w:szCs w:val="1"/>
                <w:color w:val="auto"/>
              </w:rPr>
            </w:pPr>
          </w:p>
        </w:tc>
        <w:tc>
          <w:tcPr>
            <w:tcW w:w="120" w:type="dxa"/>
            <w:vAlign w:val="bottom"/>
            <w:tcBorders>
              <w:bottom w:val="single" w:sz="8" w:color="FEFEFE"/>
              <w:right w:val="single" w:sz="8" w:color="FEFEFE"/>
            </w:tcBorders>
            <w:gridSpan w:val="5"/>
            <w:shd w:val="clear" w:color="auto" w:fill="FEFEF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1120" w:type="dxa"/>
            <w:vAlign w:val="bottom"/>
          </w:tcPr>
          <w:p>
            <w:pPr>
              <w:ind w:left="20"/>
              <w:spacing w:after="0" w:line="161" w:lineRule="exact"/>
              <w:rPr>
                <w:sz w:val="20"/>
                <w:szCs w:val="20"/>
                <w:color w:val="auto"/>
              </w:rPr>
            </w:pPr>
            <w:r>
              <w:rPr>
                <w:rFonts w:ascii="Arial" w:cs="Arial" w:eastAsia="Arial" w:hAnsi="Arial"/>
                <w:sz w:val="16"/>
                <w:szCs w:val="16"/>
                <w:color w:val="auto"/>
              </w:rPr>
              <w:t>10.39†</w:t>
            </w:r>
          </w:p>
        </w:tc>
        <w:tc>
          <w:tcPr>
            <w:tcW w:w="320" w:type="dxa"/>
            <w:vAlign w:val="bottom"/>
          </w:tcPr>
          <w:p>
            <w:pPr>
              <w:spacing w:after="0"/>
              <w:rPr>
                <w:sz w:val="14"/>
                <w:szCs w:val="14"/>
                <w:color w:val="auto"/>
              </w:rPr>
            </w:pPr>
          </w:p>
        </w:tc>
        <w:tc>
          <w:tcPr>
            <w:tcW w:w="580" w:type="dxa"/>
            <w:vAlign w:val="bottom"/>
            <w:tcBorders>
              <w:right w:val="single" w:sz="8" w:color="FEFEFE"/>
            </w:tcBorders>
          </w:tcPr>
          <w:p>
            <w:pPr>
              <w:spacing w:after="0"/>
              <w:rPr>
                <w:sz w:val="14"/>
                <w:szCs w:val="14"/>
                <w:color w:val="auto"/>
              </w:rPr>
            </w:pPr>
          </w:p>
        </w:tc>
        <w:tc>
          <w:tcPr>
            <w:tcW w:w="9240" w:type="dxa"/>
            <w:vAlign w:val="bottom"/>
            <w:tcBorders>
              <w:right w:val="single" w:sz="8" w:color="FEFEFE"/>
            </w:tcBorders>
            <w:gridSpan w:val="32"/>
            <w:shd w:val="clear" w:color="auto" w:fill="FEFEFE"/>
          </w:tcPr>
          <w:p>
            <w:pPr>
              <w:spacing w:after="0" w:line="161" w:lineRule="exact"/>
              <w:rPr>
                <w:rFonts w:ascii="Arial" w:cs="Arial" w:eastAsia="Arial" w:hAnsi="Arial"/>
                <w:sz w:val="16"/>
                <w:szCs w:val="16"/>
                <w:color w:val="0000FF"/>
                <w:w w:val="93"/>
              </w:rPr>
            </w:pPr>
            <w:hyperlink r:id="rId216">
              <w:r>
                <w:rPr>
                  <w:rFonts w:ascii="Arial" w:cs="Arial" w:eastAsia="Arial" w:hAnsi="Arial"/>
                  <w:sz w:val="16"/>
                  <w:szCs w:val="16"/>
                  <w:color w:val="0000FF"/>
                  <w:w w:val="93"/>
                </w:rPr>
                <w:t>Virtu Financial, Inc. 2015 Amended and Restated Management Incentive Plan Restricted Stock Unit and Common Stock Award Agreement,</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Borders>
              <w:right w:val="single" w:sz="8" w:color="FEFEFE"/>
            </w:tcBorders>
          </w:tcPr>
          <w:p>
            <w:pPr>
              <w:spacing w:after="0"/>
              <w:rPr>
                <w:sz w:val="11"/>
                <w:szCs w:val="11"/>
                <w:color w:val="auto"/>
              </w:rPr>
            </w:pPr>
          </w:p>
        </w:tc>
        <w:tc>
          <w:tcPr>
            <w:tcW w:w="8860" w:type="dxa"/>
            <w:vAlign w:val="bottom"/>
            <w:tcBorders>
              <w:top w:val="single" w:sz="8" w:color="0000FF"/>
            </w:tcBorders>
            <w:gridSpan w:val="18"/>
            <w:shd w:val="clear" w:color="auto" w:fill="FEFEFE"/>
          </w:tcPr>
          <w:p>
            <w:pPr>
              <w:spacing w:after="0" w:line="134" w:lineRule="exact"/>
              <w:rPr>
                <w:rFonts w:ascii="Arial" w:cs="Arial" w:eastAsia="Arial" w:hAnsi="Arial"/>
                <w:sz w:val="15"/>
                <w:szCs w:val="15"/>
                <w:color w:val="0000FF"/>
                <w:w w:val="95"/>
              </w:rPr>
            </w:pPr>
            <w:hyperlink r:id="rId216">
              <w:r>
                <w:rPr>
                  <w:rFonts w:ascii="Arial" w:cs="Arial" w:eastAsia="Arial" w:hAnsi="Arial"/>
                  <w:sz w:val="15"/>
                  <w:szCs w:val="15"/>
                  <w:color w:val="0000FF"/>
                  <w:w w:val="95"/>
                </w:rPr>
                <w:t>dated as of February 1, 2021, by and between Virtu Financial, Inc. and Joseph Molluso (incorporated herein by reference to Exhibit 10.37 to</w:t>
              </w:r>
            </w:hyperlink>
          </w:p>
        </w:tc>
        <w:tc>
          <w:tcPr>
            <w:tcW w:w="380" w:type="dxa"/>
            <w:vAlign w:val="bottom"/>
            <w:tcBorders>
              <w:top w:val="single" w:sz="8" w:color="FEFEFE"/>
              <w:right w:val="single" w:sz="8" w:color="FEFEFE"/>
            </w:tcBorders>
            <w:gridSpan w:val="14"/>
            <w:shd w:val="clear" w:color="auto" w:fill="FEFEFE"/>
          </w:tcPr>
          <w:p>
            <w:pPr>
              <w:spacing w:after="0" w:line="134" w:lineRule="exact"/>
              <w:rPr>
                <w:rFonts w:ascii="Arial" w:cs="Arial" w:eastAsia="Arial" w:hAnsi="Arial"/>
                <w:sz w:val="15"/>
                <w:szCs w:val="15"/>
                <w:color w:val="0000FF"/>
              </w:rPr>
            </w:pPr>
            <w:hyperlink r:id="rId216">
              <w:r>
                <w:rPr>
                  <w:rFonts w:ascii="Arial" w:cs="Arial" w:eastAsia="Arial" w:hAnsi="Arial"/>
                  <w:sz w:val="15"/>
                  <w:szCs w:val="15"/>
                  <w:color w:val="0000FF"/>
                </w:rPr>
                <w:t>the</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Borders>
              <w:right w:val="single" w:sz="8" w:color="FEFEFE"/>
            </w:tcBorders>
          </w:tcPr>
          <w:p>
            <w:pPr>
              <w:spacing w:after="0"/>
              <w:rPr>
                <w:sz w:val="11"/>
                <w:szCs w:val="11"/>
                <w:color w:val="auto"/>
              </w:rPr>
            </w:pPr>
          </w:p>
        </w:tc>
        <w:tc>
          <w:tcPr>
            <w:tcW w:w="9060" w:type="dxa"/>
            <w:vAlign w:val="bottom"/>
            <w:tcBorders>
              <w:top w:val="single" w:sz="8" w:color="0000FF"/>
            </w:tcBorders>
            <w:gridSpan w:val="25"/>
            <w:shd w:val="clear" w:color="auto" w:fill="FEFEFE"/>
          </w:tcPr>
          <w:p>
            <w:pPr>
              <w:spacing w:after="0" w:line="134" w:lineRule="exact"/>
              <w:rPr>
                <w:rFonts w:ascii="Arial" w:cs="Arial" w:eastAsia="Arial" w:hAnsi="Arial"/>
                <w:sz w:val="15"/>
                <w:szCs w:val="15"/>
                <w:color w:val="0000FF"/>
              </w:rPr>
            </w:pPr>
            <w:hyperlink r:id="rId216">
              <w:r>
                <w:rPr>
                  <w:rFonts w:ascii="Arial" w:cs="Arial" w:eastAsia="Arial" w:hAnsi="Arial"/>
                  <w:sz w:val="15"/>
                  <w:szCs w:val="15"/>
                  <w:color w:val="0000FF"/>
                </w:rPr>
                <w:t>Company’s Annual Report on Form 10-K (File No. 001-37352) filed on February 25, 2021).</w:t>
              </w:r>
            </w:hyperlink>
          </w:p>
        </w:tc>
        <w:tc>
          <w:tcPr>
            <w:tcW w:w="60" w:type="dxa"/>
            <w:vAlign w:val="bottom"/>
            <w:tcBorders>
              <w:top w:val="single" w:sz="8" w:color="FEFEFE"/>
            </w:tcBorders>
            <w:gridSpan w:val="2"/>
            <w:shd w:val="clear" w:color="auto" w:fill="FEFEFE"/>
          </w:tcPr>
          <w:p>
            <w:pPr>
              <w:spacing w:after="0"/>
              <w:rPr>
                <w:sz w:val="11"/>
                <w:szCs w:val="11"/>
                <w:color w:val="auto"/>
              </w:rPr>
            </w:pPr>
          </w:p>
        </w:tc>
        <w:tc>
          <w:tcPr>
            <w:tcW w:w="120" w:type="dxa"/>
            <w:vAlign w:val="bottom"/>
            <w:tcBorders>
              <w:top w:val="single" w:sz="8" w:color="FEFEFE"/>
              <w:right w:val="single" w:sz="8" w:color="FEFEFE"/>
            </w:tcBorders>
            <w:gridSpan w:val="5"/>
            <w:shd w:val="clear" w:color="auto" w:fill="FEFEF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5800" w:type="dxa"/>
            <w:vAlign w:val="bottom"/>
            <w:gridSpan w:val="7"/>
            <w:shd w:val="clear" w:color="auto" w:fill="0000FF"/>
          </w:tcPr>
          <w:p>
            <w:pPr>
              <w:spacing w:after="0" w:line="20" w:lineRule="exact"/>
              <w:rPr>
                <w:sz w:val="1"/>
                <w:szCs w:val="1"/>
                <w:color w:val="auto"/>
              </w:rPr>
            </w:pPr>
          </w:p>
        </w:tc>
        <w:tc>
          <w:tcPr>
            <w:tcW w:w="3320" w:type="dxa"/>
            <w:vAlign w:val="bottom"/>
            <w:gridSpan w:val="20"/>
            <w:shd w:val="clear" w:color="auto" w:fill="FEFEFE"/>
          </w:tcPr>
          <w:p>
            <w:pPr>
              <w:spacing w:after="0" w:line="20" w:lineRule="exact"/>
              <w:rPr>
                <w:sz w:val="1"/>
                <w:szCs w:val="1"/>
                <w:color w:val="auto"/>
              </w:rPr>
            </w:pPr>
          </w:p>
        </w:tc>
        <w:tc>
          <w:tcPr>
            <w:tcW w:w="120" w:type="dxa"/>
            <w:vAlign w:val="bottom"/>
            <w:tcBorders>
              <w:right w:val="single" w:sz="8" w:color="FEFEFE"/>
            </w:tcBorders>
            <w:gridSpan w:val="5"/>
            <w:shd w:val="clear" w:color="auto" w:fill="FEFEF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120" w:type="dxa"/>
            <w:vAlign w:val="bottom"/>
          </w:tcPr>
          <w:p>
            <w:pPr>
              <w:ind w:left="20"/>
              <w:spacing w:after="0" w:line="181" w:lineRule="exact"/>
              <w:rPr>
                <w:sz w:val="20"/>
                <w:szCs w:val="20"/>
                <w:color w:val="auto"/>
              </w:rPr>
            </w:pPr>
            <w:r>
              <w:rPr>
                <w:rFonts w:ascii="Arial" w:cs="Arial" w:eastAsia="Arial" w:hAnsi="Arial"/>
                <w:sz w:val="16"/>
                <w:szCs w:val="16"/>
                <w:color w:val="auto"/>
              </w:rPr>
              <w:t>10.40†</w:t>
            </w:r>
          </w:p>
        </w:tc>
        <w:tc>
          <w:tcPr>
            <w:tcW w:w="320" w:type="dxa"/>
            <w:vAlign w:val="bottom"/>
          </w:tcPr>
          <w:p>
            <w:pPr>
              <w:spacing w:after="0"/>
              <w:rPr>
                <w:sz w:val="15"/>
                <w:szCs w:val="15"/>
                <w:color w:val="auto"/>
              </w:rPr>
            </w:pPr>
          </w:p>
        </w:tc>
        <w:tc>
          <w:tcPr>
            <w:tcW w:w="580" w:type="dxa"/>
            <w:vAlign w:val="bottom"/>
            <w:tcBorders>
              <w:right w:val="single" w:sz="8" w:color="FEFEFE"/>
            </w:tcBorders>
          </w:tcPr>
          <w:p>
            <w:pPr>
              <w:spacing w:after="0"/>
              <w:rPr>
                <w:sz w:val="15"/>
                <w:szCs w:val="15"/>
                <w:color w:val="auto"/>
              </w:rPr>
            </w:pPr>
          </w:p>
        </w:tc>
        <w:tc>
          <w:tcPr>
            <w:tcW w:w="8860" w:type="dxa"/>
            <w:vAlign w:val="bottom"/>
            <w:tcBorders>
              <w:bottom w:val="single" w:sz="8" w:color="0000FF"/>
            </w:tcBorders>
            <w:gridSpan w:val="18"/>
            <w:shd w:val="clear" w:color="auto" w:fill="FEFEFE"/>
          </w:tcPr>
          <w:p>
            <w:pPr>
              <w:spacing w:after="0" w:line="181" w:lineRule="exact"/>
              <w:rPr>
                <w:rFonts w:ascii="Arial" w:cs="Arial" w:eastAsia="Arial" w:hAnsi="Arial"/>
                <w:sz w:val="16"/>
                <w:szCs w:val="16"/>
                <w:color w:val="0000FF"/>
                <w:w w:val="89"/>
              </w:rPr>
            </w:pPr>
            <w:hyperlink r:id="rId217">
              <w:r>
                <w:rPr>
                  <w:rFonts w:ascii="Arial" w:cs="Arial" w:eastAsia="Arial" w:hAnsi="Arial"/>
                  <w:sz w:val="16"/>
                  <w:szCs w:val="16"/>
                  <w:color w:val="0000FF"/>
                  <w:w w:val="89"/>
                </w:rPr>
                <w:t>Virtu Financial, Inc. 2015 Amended and Restated Management Incentive Plan Restricted Stock Unit and Common Stock Award Agreement,</w:t>
              </w:r>
            </w:hyperlink>
          </w:p>
        </w:tc>
        <w:tc>
          <w:tcPr>
            <w:tcW w:w="380" w:type="dxa"/>
            <w:vAlign w:val="bottom"/>
            <w:tcBorders>
              <w:bottom w:val="single" w:sz="8" w:color="FEFEFE"/>
              <w:right w:val="single" w:sz="8" w:color="FEFEFE"/>
            </w:tcBorders>
            <w:gridSpan w:val="14"/>
            <w:shd w:val="clear" w:color="auto" w:fill="FEFEF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Borders>
              <w:right w:val="single" w:sz="8" w:color="FEFEFE"/>
            </w:tcBorders>
          </w:tcPr>
          <w:p>
            <w:pPr>
              <w:spacing w:after="0"/>
              <w:rPr>
                <w:sz w:val="11"/>
                <w:szCs w:val="11"/>
                <w:color w:val="auto"/>
              </w:rPr>
            </w:pPr>
          </w:p>
        </w:tc>
        <w:tc>
          <w:tcPr>
            <w:tcW w:w="9240" w:type="dxa"/>
            <w:vAlign w:val="bottom"/>
            <w:tcBorders>
              <w:right w:val="single" w:sz="8" w:color="FEFEFE"/>
            </w:tcBorders>
            <w:gridSpan w:val="32"/>
            <w:shd w:val="clear" w:color="auto" w:fill="FEFEFE"/>
          </w:tcPr>
          <w:p>
            <w:pPr>
              <w:spacing w:after="0" w:line="134" w:lineRule="exact"/>
              <w:rPr>
                <w:rFonts w:ascii="Arial" w:cs="Arial" w:eastAsia="Arial" w:hAnsi="Arial"/>
                <w:sz w:val="15"/>
                <w:szCs w:val="15"/>
                <w:color w:val="0000FF"/>
                <w:w w:val="96"/>
              </w:rPr>
            </w:pPr>
            <w:hyperlink r:id="rId217">
              <w:r>
                <w:rPr>
                  <w:rFonts w:ascii="Arial" w:cs="Arial" w:eastAsia="Arial" w:hAnsi="Arial"/>
                  <w:sz w:val="15"/>
                  <w:szCs w:val="15"/>
                  <w:color w:val="0000FF"/>
                  <w:w w:val="96"/>
                </w:rPr>
                <w:t>dated as of February 1, 2021, by and between Virtu Financial, Inc. and Brett Fairclough (incorporated herein by reference to Exhibit 10.38 to the</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Borders>
              <w:right w:val="single" w:sz="8" w:color="FEFEFE"/>
            </w:tcBorders>
          </w:tcPr>
          <w:p>
            <w:pPr>
              <w:spacing w:after="0"/>
              <w:rPr>
                <w:sz w:val="12"/>
                <w:szCs w:val="12"/>
                <w:color w:val="auto"/>
              </w:rPr>
            </w:pPr>
          </w:p>
        </w:tc>
        <w:tc>
          <w:tcPr>
            <w:tcW w:w="9120" w:type="dxa"/>
            <w:vAlign w:val="bottom"/>
            <w:tcBorders>
              <w:top w:val="single" w:sz="8" w:color="0000FF"/>
            </w:tcBorders>
            <w:gridSpan w:val="27"/>
            <w:shd w:val="clear" w:color="auto" w:fill="FEFEFE"/>
          </w:tcPr>
          <w:p>
            <w:pPr>
              <w:spacing w:after="0" w:line="134" w:lineRule="exact"/>
              <w:rPr>
                <w:rFonts w:ascii="Arial" w:cs="Arial" w:eastAsia="Arial" w:hAnsi="Arial"/>
                <w:sz w:val="15"/>
                <w:szCs w:val="15"/>
                <w:color w:val="0000FF"/>
              </w:rPr>
            </w:pPr>
            <w:hyperlink r:id="rId217">
              <w:r>
                <w:rPr>
                  <w:rFonts w:ascii="Arial" w:cs="Arial" w:eastAsia="Arial" w:hAnsi="Arial"/>
                  <w:sz w:val="15"/>
                  <w:szCs w:val="15"/>
                  <w:color w:val="0000FF"/>
                </w:rPr>
                <w:t>Company’s Annual Report on Form 10-K (File No. 001-37352) filed on February 25, 2021).</w:t>
              </w:r>
            </w:hyperlink>
          </w:p>
        </w:tc>
        <w:tc>
          <w:tcPr>
            <w:tcW w:w="120" w:type="dxa"/>
            <w:vAlign w:val="bottom"/>
            <w:tcBorders>
              <w:top w:val="single" w:sz="8" w:color="FEFEFE"/>
              <w:right w:val="single" w:sz="8" w:color="FEFEFE"/>
            </w:tcBorders>
            <w:gridSpan w:val="5"/>
            <w:shd w:val="clear" w:color="auto" w:fill="FEFEF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56"/>
        </w:trPr>
        <w:tc>
          <w:tcPr>
            <w:tcW w:w="1120" w:type="dxa"/>
            <w:vAlign w:val="bottom"/>
          </w:tcPr>
          <w:p>
            <w:pPr>
              <w:spacing w:after="0"/>
              <w:rPr>
                <w:sz w:val="24"/>
                <w:szCs w:val="24"/>
                <w:color w:val="auto"/>
              </w:rPr>
            </w:pPr>
          </w:p>
        </w:tc>
        <w:tc>
          <w:tcPr>
            <w:tcW w:w="900" w:type="dxa"/>
            <w:vAlign w:val="bottom"/>
            <w:gridSpan w:val="2"/>
          </w:tcPr>
          <w:p>
            <w:pPr>
              <w:spacing w:after="0"/>
              <w:rPr>
                <w:sz w:val="24"/>
                <w:szCs w:val="24"/>
                <w:color w:val="auto"/>
              </w:rPr>
            </w:pPr>
          </w:p>
        </w:tc>
        <w:tc>
          <w:tcPr>
            <w:tcW w:w="3880" w:type="dxa"/>
            <w:vAlign w:val="bottom"/>
            <w:tcBorders>
              <w:top w:val="single" w:sz="8" w:color="0000FF"/>
            </w:tcBorders>
            <w:gridSpan w:val="3"/>
          </w:tcPr>
          <w:p>
            <w:pPr>
              <w:jc w:val="right"/>
              <w:ind w:right="160"/>
              <w:spacing w:after="0"/>
              <w:rPr>
                <w:sz w:val="20"/>
                <w:szCs w:val="20"/>
                <w:color w:val="auto"/>
              </w:rPr>
            </w:pPr>
            <w:r>
              <w:rPr>
                <w:rFonts w:ascii="Arial" w:cs="Arial" w:eastAsia="Arial" w:hAnsi="Arial"/>
                <w:sz w:val="16"/>
                <w:szCs w:val="16"/>
                <w:color w:val="auto"/>
              </w:rPr>
              <w:t>145</w:t>
            </w:r>
          </w:p>
        </w:tc>
        <w:tc>
          <w:tcPr>
            <w:tcW w:w="66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1700" w:type="dxa"/>
            <w:vAlign w:val="bottom"/>
            <w:tcBorders>
              <w:top w:val="single" w:sz="8" w:color="FEFEFE"/>
            </w:tcBorders>
          </w:tcPr>
          <w:p>
            <w:pPr>
              <w:spacing w:after="0"/>
              <w:rPr>
                <w:sz w:val="24"/>
                <w:szCs w:val="24"/>
                <w:color w:val="auto"/>
              </w:rPr>
            </w:pPr>
          </w:p>
        </w:tc>
        <w:tc>
          <w:tcPr>
            <w:tcW w:w="960" w:type="dxa"/>
            <w:vAlign w:val="bottom"/>
            <w:tcBorders>
              <w:top w:val="single" w:sz="8" w:color="FEFEFE"/>
            </w:tcBorders>
          </w:tcPr>
          <w:p>
            <w:pPr>
              <w:spacing w:after="0"/>
              <w:rPr>
                <w:sz w:val="24"/>
                <w:szCs w:val="24"/>
                <w:color w:val="auto"/>
              </w:rPr>
            </w:pPr>
          </w:p>
        </w:tc>
        <w:tc>
          <w:tcPr>
            <w:tcW w:w="20" w:type="dxa"/>
            <w:vAlign w:val="bottom"/>
            <w:tcBorders>
              <w:top w:val="single" w:sz="8" w:color="FEFEFE"/>
            </w:tcBorders>
          </w:tcPr>
          <w:p>
            <w:pPr>
              <w:spacing w:after="0"/>
              <w:rPr>
                <w:sz w:val="24"/>
                <w:szCs w:val="24"/>
                <w:color w:val="auto"/>
              </w:rPr>
            </w:pPr>
          </w:p>
        </w:tc>
        <w:tc>
          <w:tcPr>
            <w:tcW w:w="120" w:type="dxa"/>
            <w:vAlign w:val="bottom"/>
            <w:tcBorders>
              <w:top w:val="single" w:sz="8" w:color="FEFEFE"/>
            </w:tcBorders>
          </w:tcPr>
          <w:p>
            <w:pPr>
              <w:spacing w:after="0"/>
              <w:rPr>
                <w:sz w:val="24"/>
                <w:szCs w:val="24"/>
                <w:color w:val="auto"/>
              </w:rPr>
            </w:pPr>
          </w:p>
        </w:tc>
        <w:tc>
          <w:tcPr>
            <w:tcW w:w="20" w:type="dxa"/>
            <w:vAlign w:val="bottom"/>
            <w:tcBorders>
              <w:top w:val="single" w:sz="8" w:color="FEFEFE"/>
            </w:tcBorders>
          </w:tcPr>
          <w:p>
            <w:pPr>
              <w:spacing w:after="0"/>
              <w:rPr>
                <w:sz w:val="24"/>
                <w:szCs w:val="24"/>
                <w:color w:val="auto"/>
              </w:rPr>
            </w:pPr>
          </w:p>
        </w:tc>
        <w:tc>
          <w:tcPr>
            <w:tcW w:w="20" w:type="dxa"/>
            <w:vAlign w:val="bottom"/>
            <w:tcBorders>
              <w:top w:val="single" w:sz="8" w:color="FEFEFE"/>
            </w:tcBorders>
          </w:tcPr>
          <w:p>
            <w:pPr>
              <w:spacing w:after="0"/>
              <w:rPr>
                <w:sz w:val="24"/>
                <w:szCs w:val="24"/>
                <w:color w:val="auto"/>
              </w:rPr>
            </w:pPr>
          </w:p>
        </w:tc>
        <w:tc>
          <w:tcPr>
            <w:tcW w:w="60" w:type="dxa"/>
            <w:vAlign w:val="bottom"/>
            <w:tcBorders>
              <w:top w:val="single" w:sz="8" w:color="FEFEFE"/>
            </w:tcBorders>
          </w:tcPr>
          <w:p>
            <w:pPr>
              <w:spacing w:after="0"/>
              <w:rPr>
                <w:sz w:val="24"/>
                <w:szCs w:val="24"/>
                <w:color w:val="auto"/>
              </w:rPr>
            </w:pPr>
          </w:p>
        </w:tc>
        <w:tc>
          <w:tcPr>
            <w:tcW w:w="100" w:type="dxa"/>
            <w:vAlign w:val="bottom"/>
            <w:tcBorders>
              <w:top w:val="single" w:sz="8" w:color="FEFEFE"/>
            </w:tcBorders>
          </w:tcPr>
          <w:p>
            <w:pPr>
              <w:spacing w:after="0"/>
              <w:rPr>
                <w:sz w:val="24"/>
                <w:szCs w:val="24"/>
                <w:color w:val="auto"/>
              </w:rPr>
            </w:pPr>
          </w:p>
        </w:tc>
        <w:tc>
          <w:tcPr>
            <w:tcW w:w="20" w:type="dxa"/>
            <w:vAlign w:val="bottom"/>
            <w:tcBorders>
              <w:top w:val="single" w:sz="8" w:color="FEFEFE"/>
            </w:tcBorders>
          </w:tcPr>
          <w:p>
            <w:pPr>
              <w:spacing w:after="0"/>
              <w:rPr>
                <w:sz w:val="24"/>
                <w:szCs w:val="24"/>
                <w:color w:val="auto"/>
              </w:rPr>
            </w:pPr>
          </w:p>
        </w:tc>
        <w:tc>
          <w:tcPr>
            <w:tcW w:w="20" w:type="dxa"/>
            <w:vAlign w:val="bottom"/>
            <w:tcBorders>
              <w:top w:val="single" w:sz="8" w:color="FEFEFE"/>
            </w:tcBorders>
          </w:tcPr>
          <w:p>
            <w:pPr>
              <w:spacing w:after="0"/>
              <w:rPr>
                <w:sz w:val="24"/>
                <w:szCs w:val="24"/>
                <w:color w:val="auto"/>
              </w:rPr>
            </w:pPr>
          </w:p>
        </w:tc>
        <w:tc>
          <w:tcPr>
            <w:tcW w:w="20" w:type="dxa"/>
            <w:vAlign w:val="bottom"/>
            <w:tcBorders>
              <w:top w:val="single" w:sz="8" w:color="FEFEFE"/>
            </w:tcBorders>
          </w:tcPr>
          <w:p>
            <w:pPr>
              <w:spacing w:after="0"/>
              <w:rPr>
                <w:sz w:val="24"/>
                <w:szCs w:val="24"/>
                <w:color w:val="auto"/>
              </w:rPr>
            </w:pPr>
          </w:p>
        </w:tc>
        <w:tc>
          <w:tcPr>
            <w:tcW w:w="20" w:type="dxa"/>
            <w:vAlign w:val="bottom"/>
            <w:tcBorders>
              <w:top w:val="single" w:sz="8" w:color="FEFEFE"/>
            </w:tcBorders>
          </w:tcPr>
          <w:p>
            <w:pPr>
              <w:spacing w:after="0"/>
              <w:rPr>
                <w:sz w:val="24"/>
                <w:szCs w:val="24"/>
                <w:color w:val="auto"/>
              </w:rPr>
            </w:pPr>
          </w:p>
        </w:tc>
        <w:tc>
          <w:tcPr>
            <w:tcW w:w="20" w:type="dxa"/>
            <w:vAlign w:val="bottom"/>
            <w:tcBorders>
              <w:top w:val="single" w:sz="8" w:color="FEFEFE"/>
            </w:tcBorders>
          </w:tcPr>
          <w:p>
            <w:pPr>
              <w:spacing w:after="0"/>
              <w:rPr>
                <w:sz w:val="24"/>
                <w:szCs w:val="24"/>
                <w:color w:val="auto"/>
              </w:rPr>
            </w:pPr>
          </w:p>
        </w:tc>
        <w:tc>
          <w:tcPr>
            <w:tcW w:w="40" w:type="dxa"/>
            <w:vAlign w:val="bottom"/>
            <w:tcBorders>
              <w:top w:val="single" w:sz="8" w:color="FEFEFE"/>
            </w:tcBorders>
          </w:tcPr>
          <w:p>
            <w:pPr>
              <w:spacing w:after="0"/>
              <w:rPr>
                <w:sz w:val="24"/>
                <w:szCs w:val="24"/>
                <w:color w:val="auto"/>
              </w:rPr>
            </w:pPr>
          </w:p>
        </w:tc>
        <w:tc>
          <w:tcPr>
            <w:tcW w:w="20" w:type="dxa"/>
            <w:vAlign w:val="bottom"/>
            <w:tcBorders>
              <w:top w:val="single" w:sz="8" w:color="FEFEFE"/>
            </w:tcBorders>
          </w:tcPr>
          <w:p>
            <w:pPr>
              <w:spacing w:after="0"/>
              <w:rPr>
                <w:sz w:val="24"/>
                <w:szCs w:val="24"/>
                <w:color w:val="auto"/>
              </w:rPr>
            </w:pPr>
          </w:p>
        </w:tc>
        <w:tc>
          <w:tcPr>
            <w:tcW w:w="20" w:type="dxa"/>
            <w:vAlign w:val="bottom"/>
            <w:tcBorders>
              <w:top w:val="single" w:sz="8" w:color="FEFEFE"/>
            </w:tcBorders>
          </w:tcPr>
          <w:p>
            <w:pPr>
              <w:spacing w:after="0"/>
              <w:rPr>
                <w:sz w:val="24"/>
                <w:szCs w:val="24"/>
                <w:color w:val="auto"/>
              </w:rPr>
            </w:pPr>
          </w:p>
        </w:tc>
        <w:tc>
          <w:tcPr>
            <w:tcW w:w="60" w:type="dxa"/>
            <w:vAlign w:val="bottom"/>
            <w:tcBorders>
              <w:top w:val="single" w:sz="8" w:color="FEFEFE"/>
            </w:tcBorders>
          </w:tcPr>
          <w:p>
            <w:pPr>
              <w:spacing w:after="0"/>
              <w:rPr>
                <w:sz w:val="24"/>
                <w:szCs w:val="24"/>
                <w:color w:val="auto"/>
              </w:rPr>
            </w:pPr>
          </w:p>
        </w:tc>
        <w:tc>
          <w:tcPr>
            <w:tcW w:w="20" w:type="dxa"/>
            <w:vAlign w:val="bottom"/>
            <w:tcBorders>
              <w:top w:val="single" w:sz="8" w:color="FEFEFE"/>
            </w:tcBorders>
          </w:tcPr>
          <w:p>
            <w:pPr>
              <w:spacing w:after="0"/>
              <w:rPr>
                <w:sz w:val="24"/>
                <w:szCs w:val="24"/>
                <w:color w:val="auto"/>
              </w:rPr>
            </w:pPr>
          </w:p>
        </w:tc>
        <w:tc>
          <w:tcPr>
            <w:tcW w:w="40" w:type="dxa"/>
            <w:vAlign w:val="bottom"/>
            <w:tcBorders>
              <w:top w:val="single" w:sz="8" w:color="FEFEFE"/>
            </w:tcBorders>
          </w:tcPr>
          <w:p>
            <w:pPr>
              <w:spacing w:after="0"/>
              <w:rPr>
                <w:sz w:val="24"/>
                <w:szCs w:val="24"/>
                <w:color w:val="auto"/>
              </w:rPr>
            </w:pPr>
          </w:p>
        </w:tc>
        <w:tc>
          <w:tcPr>
            <w:tcW w:w="20" w:type="dxa"/>
            <w:vAlign w:val="bottom"/>
            <w:tcBorders>
              <w:top w:val="single" w:sz="8" w:color="FEFEFE"/>
            </w:tcBorders>
          </w:tcPr>
          <w:p>
            <w:pPr>
              <w:spacing w:after="0"/>
              <w:rPr>
                <w:sz w:val="24"/>
                <w:szCs w:val="24"/>
                <w:color w:val="auto"/>
              </w:rPr>
            </w:pPr>
          </w:p>
        </w:tc>
        <w:tc>
          <w:tcPr>
            <w:tcW w:w="20" w:type="dxa"/>
            <w:vAlign w:val="bottom"/>
            <w:tcBorders>
              <w:top w:val="single" w:sz="8" w:color="FEFEFE"/>
            </w:tcBorders>
          </w:tcPr>
          <w:p>
            <w:pPr>
              <w:spacing w:after="0"/>
              <w:rPr>
                <w:sz w:val="24"/>
                <w:szCs w:val="24"/>
                <w:color w:val="auto"/>
              </w:rPr>
            </w:pPr>
          </w:p>
        </w:tc>
        <w:tc>
          <w:tcPr>
            <w:tcW w:w="20" w:type="dxa"/>
            <w:vAlign w:val="bottom"/>
            <w:tcBorders>
              <w:top w:val="single" w:sz="8" w:color="FEFEFE"/>
            </w:tcBorders>
          </w:tcPr>
          <w:p>
            <w:pPr>
              <w:spacing w:after="0"/>
              <w:rPr>
                <w:sz w:val="24"/>
                <w:szCs w:val="24"/>
                <w:color w:val="auto"/>
              </w:rPr>
            </w:pPr>
          </w:p>
        </w:tc>
        <w:tc>
          <w:tcPr>
            <w:tcW w:w="20" w:type="dxa"/>
            <w:vAlign w:val="bottom"/>
            <w:tcBorders>
              <w:top w:val="single" w:sz="8" w:color="FEFEFE"/>
            </w:tcBorders>
          </w:tcPr>
          <w:p>
            <w:pPr>
              <w:spacing w:after="0"/>
              <w:rPr>
                <w:sz w:val="24"/>
                <w:szCs w:val="24"/>
                <w:color w:val="auto"/>
              </w:rPr>
            </w:pPr>
          </w:p>
        </w:tc>
        <w:tc>
          <w:tcPr>
            <w:tcW w:w="20" w:type="dxa"/>
            <w:vAlign w:val="bottom"/>
            <w:tcBorders>
              <w:top w:val="single" w:sz="8" w:color="FEFEFE"/>
            </w:tcBorders>
          </w:tcPr>
          <w:p>
            <w:pPr>
              <w:spacing w:after="0"/>
              <w:rPr>
                <w:sz w:val="24"/>
                <w:szCs w:val="24"/>
                <w:color w:val="auto"/>
              </w:rPr>
            </w:pPr>
          </w:p>
        </w:tc>
        <w:tc>
          <w:tcPr>
            <w:tcW w:w="40" w:type="dxa"/>
            <w:vAlign w:val="bottom"/>
            <w:tcBorders>
              <w:top w:val="single" w:sz="8" w:color="FEFEF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11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740" w:type="dxa"/>
            <w:vAlign w:val="bottom"/>
            <w:tcBorders>
              <w:bottom w:val="single" w:sz="8" w:color="9A9A9A"/>
            </w:tcBorders>
          </w:tcPr>
          <w:p>
            <w:pPr>
              <w:spacing w:after="0"/>
              <w:rPr>
                <w:sz w:val="8"/>
                <w:szCs w:val="8"/>
                <w:color w:val="auto"/>
              </w:rPr>
            </w:pPr>
          </w:p>
        </w:tc>
        <w:tc>
          <w:tcPr>
            <w:tcW w:w="176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70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7125335</wp:posOffset>
            </wp:positionH>
            <wp:positionV relativeFrom="paragraph">
              <wp:posOffset>-27305</wp:posOffset>
            </wp:positionV>
            <wp:extent cx="33020" cy="406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09" w:right="319" w:bottom="1440" w:gutter="0" w:footer="0" w:header="0"/>
        </w:sectPr>
      </w:pPr>
    </w:p>
    <w:bookmarkStart w:id="145" w:name="page146"/>
    <w:bookmarkEnd w:id="14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10.41†</w:t>
      </w:r>
    </w:p>
    <w:p>
      <w:pPr>
        <w:spacing w:after="0" w:line="396"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10.42*†</w:t>
      </w:r>
    </w:p>
    <w:p>
      <w:pPr>
        <w:spacing w:after="0" w:line="219"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10.43*†</w:t>
      </w:r>
    </w:p>
    <w:p>
      <w:pPr>
        <w:spacing w:after="0" w:line="219"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10.44*†</w:t>
      </w:r>
    </w:p>
    <w:p>
      <w:pPr>
        <w:spacing w:after="0" w:line="219"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10.45*†</w:t>
      </w:r>
    </w:p>
    <w:p>
      <w:pPr>
        <w:spacing w:after="0" w:line="219"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10.46*†</w:t>
      </w:r>
    </w:p>
    <w:p>
      <w:pPr>
        <w:spacing w:after="0" w:line="219"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10.47*†</w:t>
      </w:r>
    </w:p>
    <w:p>
      <w:pPr>
        <w:spacing w:after="0" w:line="219"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10.48*†</w:t>
      </w:r>
    </w:p>
    <w:p>
      <w:pPr>
        <w:spacing w:after="0" w:line="219"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10.49†</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6"/>
          <w:szCs w:val="16"/>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-115570</wp:posOffset>
            </wp:positionV>
            <wp:extent cx="1255395" cy="22104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0">
                      <a:extLst>
                        <a:ext uri="{28A0092B-C50C-407E-A947-70E740481C1C}"/>
                      </a:extLst>
                    </a:blip>
                    <a:srcRect/>
                    <a:stretch>
                      <a:fillRect/>
                    </a:stretch>
                  </pic:blipFill>
                  <pic:spPr bwMode="auto">
                    <a:xfrm>
                      <a:off x="0" y="0"/>
                      <a:ext cx="1255395" cy="2210435"/>
                    </a:xfrm>
                    <a:prstGeom prst="rect">
                      <a:avLst/>
                    </a:prstGeom>
                    <a:noFill/>
                  </pic:spPr>
                </pic:pic>
              </a:graphicData>
            </a:graphic>
          </wp:anchor>
        </w:drawing>
      </w:r>
    </w:p>
    <w:p>
      <w:pPr>
        <w:spacing w:after="0" w:line="9" w:lineRule="exact"/>
        <w:rPr>
          <w:sz w:val="20"/>
          <w:szCs w:val="20"/>
          <w:color w:val="auto"/>
        </w:rPr>
      </w:pPr>
    </w:p>
    <w:p>
      <w:pPr>
        <w:ind w:left="20"/>
        <w:spacing w:after="0"/>
        <w:rPr>
          <w:sz w:val="20"/>
          <w:szCs w:val="20"/>
          <w:color w:val="auto"/>
        </w:rPr>
      </w:pPr>
      <w:r>
        <w:rPr>
          <w:rFonts w:ascii="Arial" w:cs="Arial" w:eastAsia="Arial" w:hAnsi="Arial"/>
          <w:sz w:val="16"/>
          <w:szCs w:val="16"/>
          <w:color w:val="auto"/>
        </w:rPr>
        <w:t>23.1*</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6"/>
          <w:szCs w:val="16"/>
          <w:color w:val="auto"/>
        </w:rPr>
        <w:t>31.1*</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6"/>
          <w:szCs w:val="16"/>
          <w:color w:val="auto"/>
        </w:rPr>
        <w:t>31.2*</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6"/>
          <w:szCs w:val="16"/>
          <w:color w:val="auto"/>
        </w:rPr>
        <w:t>32.1*</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6"/>
          <w:szCs w:val="16"/>
          <w:color w:val="auto"/>
        </w:rPr>
        <w:t>32.2*</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101.INS*</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101.SCH*</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101.CAL*</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101.LAB*</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101.PRE*</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101.DEF*</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104</w:t>
      </w:r>
    </w:p>
    <w:p>
      <w:pPr>
        <w:spacing w:after="0" w:line="242" w:lineRule="exact"/>
        <w:rPr>
          <w:sz w:val="20"/>
          <w:szCs w:val="20"/>
          <w:color w:val="auto"/>
        </w:rPr>
      </w:pPr>
    </w:p>
    <w:p>
      <w:pPr>
        <w:spacing w:after="0"/>
        <w:rPr>
          <w:sz w:val="20"/>
          <w:szCs w:val="20"/>
          <w:color w:val="auto"/>
        </w:rPr>
      </w:pPr>
      <w:r>
        <w:rPr>
          <w:rFonts w:ascii="Arial" w:cs="Arial" w:eastAsia="Arial" w:hAnsi="Arial"/>
          <w:sz w:val="15"/>
          <w:szCs w:val="15"/>
          <w:color w:val="auto"/>
        </w:rPr>
        <w:t>* Filed herewith.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160"/>
        <w:spacing w:after="0" w:line="242" w:lineRule="auto"/>
        <w:rPr>
          <w:rFonts w:ascii="Arial" w:cs="Arial" w:eastAsia="Arial" w:hAnsi="Arial"/>
          <w:sz w:val="16"/>
          <w:szCs w:val="16"/>
          <w:u w:val="single" w:color="auto"/>
          <w:color w:val="0000FF"/>
        </w:rPr>
      </w:pPr>
      <w:hyperlink r:id="rId221">
        <w:r>
          <w:rPr>
            <w:rFonts w:ascii="Arial" w:cs="Arial" w:eastAsia="Arial" w:hAnsi="Arial"/>
            <w:sz w:val="16"/>
            <w:szCs w:val="16"/>
            <w:u w:val="single" w:color="auto"/>
            <w:color w:val="0000FF"/>
          </w:rPr>
          <w:t>Virtu Financial, Inc. 2015 Amended and Restated Management Incentive Plan Restricted Stock Unit and Common Stock Award Agreement,</w:t>
        </w:r>
      </w:hyperlink>
      <w:r>
        <w:rPr>
          <w:rFonts w:ascii="Arial" w:cs="Arial" w:eastAsia="Arial" w:hAnsi="Arial"/>
          <w:sz w:val="16"/>
          <w:szCs w:val="16"/>
          <w:u w:val="single" w:color="auto"/>
          <w:color w:val="0000FF"/>
        </w:rPr>
        <w:t xml:space="preserve"> </w:t>
      </w:r>
      <w:hyperlink r:id="rId221">
        <w:r>
          <w:rPr>
            <w:rFonts w:ascii="Arial" w:cs="Arial" w:eastAsia="Arial" w:hAnsi="Arial"/>
            <w:sz w:val="16"/>
            <w:szCs w:val="16"/>
            <w:u w:val="single" w:color="auto"/>
            <w:color w:val="0000FF"/>
          </w:rPr>
          <w:t>dated as of February 1, 2021, by and between Virtu Financial, Inc. and Stephen Cavoli (incorporated herein by reference to Exhibit 10.39 to the</w:t>
        </w:r>
      </w:hyperlink>
      <w:r>
        <w:rPr>
          <w:rFonts w:ascii="Arial" w:cs="Arial" w:eastAsia="Arial" w:hAnsi="Arial"/>
          <w:sz w:val="16"/>
          <w:szCs w:val="16"/>
          <w:u w:val="single" w:color="auto"/>
          <w:color w:val="0000FF"/>
        </w:rPr>
        <w:t xml:space="preserve"> </w:t>
      </w:r>
      <w:hyperlink r:id="rId221">
        <w:r>
          <w:rPr>
            <w:rFonts w:ascii="Arial" w:cs="Arial" w:eastAsia="Arial" w:hAnsi="Arial"/>
            <w:sz w:val="16"/>
            <w:szCs w:val="16"/>
            <w:u w:val="single" w:color="auto"/>
            <w:color w:val="0000FF"/>
          </w:rPr>
          <w:t>Company’s Annual Report on Form 10-K (File No. 001-37352) filed on February 25, 2021).</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-4445</wp:posOffset>
            </wp:positionH>
            <wp:positionV relativeFrom="paragraph">
              <wp:posOffset>-360045</wp:posOffset>
            </wp:positionV>
            <wp:extent cx="5878830" cy="45929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2">
                      <a:extLst>
                        <a:ext uri="{28A0092B-C50C-407E-A947-70E740481C1C}"/>
                      </a:extLst>
                    </a:blip>
                    <a:srcRect/>
                    <a:stretch>
                      <a:fillRect/>
                    </a:stretch>
                  </pic:blipFill>
                  <pic:spPr bwMode="auto">
                    <a:xfrm>
                      <a:off x="0" y="0"/>
                      <a:ext cx="5878830" cy="4592955"/>
                    </a:xfrm>
                    <a:prstGeom prst="rect">
                      <a:avLst/>
                    </a:prstGeom>
                    <a:noFill/>
                  </pic:spPr>
                </pic:pic>
              </a:graphicData>
            </a:graphic>
          </wp:anchor>
        </w:drawing>
      </w:r>
    </w:p>
    <w:p>
      <w:pPr>
        <w:spacing w:after="0" w:line="4" w:lineRule="exact"/>
        <w:rPr>
          <w:rFonts w:ascii="Arial" w:cs="Arial" w:eastAsia="Arial" w:hAnsi="Arial"/>
          <w:sz w:val="16"/>
          <w:szCs w:val="16"/>
          <w:u w:val="single" w:color="auto"/>
          <w:color w:val="0000FF"/>
        </w:rPr>
      </w:pPr>
    </w:p>
    <w:p>
      <w:pPr>
        <w:ind w:right="240"/>
        <w:spacing w:after="0" w:line="253" w:lineRule="auto"/>
        <w:rPr>
          <w:rFonts w:ascii="Arial" w:cs="Arial" w:eastAsia="Arial" w:hAnsi="Arial"/>
          <w:sz w:val="16"/>
          <w:szCs w:val="16"/>
          <w:u w:val="single" w:color="auto"/>
          <w:color w:val="0000FF"/>
        </w:rPr>
      </w:pPr>
      <w:hyperlink w:anchor="page371">
        <w:r>
          <w:rPr>
            <w:rFonts w:ascii="Arial" w:cs="Arial" w:eastAsia="Arial" w:hAnsi="Arial"/>
            <w:sz w:val="16"/>
            <w:szCs w:val="16"/>
            <w:u w:val="single" w:color="auto"/>
            <w:color w:val="0000FF"/>
          </w:rPr>
          <w:t>Virtu Financial, Inc. Amended and Restated 2015 Management Incentive Plan Employee Restricted Stock Unit Award Agreement, dated as of</w:t>
        </w:r>
      </w:hyperlink>
      <w:r>
        <w:rPr>
          <w:rFonts w:ascii="Arial" w:cs="Arial" w:eastAsia="Arial" w:hAnsi="Arial"/>
          <w:sz w:val="16"/>
          <w:szCs w:val="16"/>
          <w:u w:val="single" w:color="auto"/>
          <w:color w:val="0000FF"/>
        </w:rPr>
        <w:t xml:space="preserve"> </w:t>
      </w:r>
      <w:hyperlink w:anchor="page371">
        <w:r>
          <w:rPr>
            <w:rFonts w:ascii="Arial" w:cs="Arial" w:eastAsia="Arial" w:hAnsi="Arial"/>
            <w:sz w:val="16"/>
            <w:szCs w:val="16"/>
            <w:u w:val="single" w:color="auto"/>
            <w:color w:val="0000FF"/>
          </w:rPr>
          <w:t>December 24, 2021, by and between Virtu Financial, Inc. and Douglas A. Cifu.</w:t>
        </w:r>
      </w:hyperlink>
    </w:p>
    <w:p>
      <w:pPr>
        <w:spacing w:after="0" w:line="15" w:lineRule="exact"/>
        <w:rPr>
          <w:sz w:val="20"/>
          <w:szCs w:val="20"/>
          <w:color w:val="auto"/>
        </w:rPr>
      </w:pPr>
    </w:p>
    <w:p>
      <w:pPr>
        <w:ind w:right="240"/>
        <w:spacing w:after="0" w:line="253" w:lineRule="auto"/>
        <w:rPr>
          <w:rFonts w:ascii="Arial" w:cs="Arial" w:eastAsia="Arial" w:hAnsi="Arial"/>
          <w:sz w:val="16"/>
          <w:szCs w:val="16"/>
          <w:u w:val="single" w:color="auto"/>
          <w:color w:val="0000FF"/>
        </w:rPr>
      </w:pPr>
      <w:hyperlink w:anchor="page377">
        <w:r>
          <w:rPr>
            <w:rFonts w:ascii="Arial" w:cs="Arial" w:eastAsia="Arial" w:hAnsi="Arial"/>
            <w:sz w:val="16"/>
            <w:szCs w:val="16"/>
            <w:u w:val="single" w:color="auto"/>
            <w:color w:val="0000FF"/>
          </w:rPr>
          <w:t>Virtu Financial, Inc. Amended and Restated 2015 Management Incentive Plan Employee Restricted Stock Unit Award Agreement, dated as of</w:t>
        </w:r>
      </w:hyperlink>
      <w:r>
        <w:rPr>
          <w:rFonts w:ascii="Arial" w:cs="Arial" w:eastAsia="Arial" w:hAnsi="Arial"/>
          <w:sz w:val="16"/>
          <w:szCs w:val="16"/>
          <w:u w:val="single" w:color="auto"/>
          <w:color w:val="0000FF"/>
        </w:rPr>
        <w:t xml:space="preserve"> </w:t>
      </w:r>
      <w:hyperlink w:anchor="page377">
        <w:r>
          <w:rPr>
            <w:rFonts w:ascii="Arial" w:cs="Arial" w:eastAsia="Arial" w:hAnsi="Arial"/>
            <w:sz w:val="16"/>
            <w:szCs w:val="16"/>
            <w:u w:val="single" w:color="auto"/>
            <w:color w:val="0000FF"/>
          </w:rPr>
          <w:t>February 3, 2022, by and between Virtu Financial, Inc. and Douglas A. Cifu.</w:t>
        </w:r>
      </w:hyperlink>
    </w:p>
    <w:p>
      <w:pPr>
        <w:spacing w:after="0" w:line="15" w:lineRule="exact"/>
        <w:rPr>
          <w:sz w:val="20"/>
          <w:szCs w:val="20"/>
          <w:color w:val="auto"/>
        </w:rPr>
      </w:pPr>
    </w:p>
    <w:p>
      <w:pPr>
        <w:ind w:right="240"/>
        <w:spacing w:after="0" w:line="253" w:lineRule="auto"/>
        <w:rPr>
          <w:rFonts w:ascii="Arial" w:cs="Arial" w:eastAsia="Arial" w:hAnsi="Arial"/>
          <w:sz w:val="16"/>
          <w:szCs w:val="16"/>
          <w:u w:val="single" w:color="auto"/>
          <w:color w:val="0000FF"/>
        </w:rPr>
      </w:pPr>
      <w:hyperlink w:anchor="page384">
        <w:r>
          <w:rPr>
            <w:rFonts w:ascii="Arial" w:cs="Arial" w:eastAsia="Arial" w:hAnsi="Arial"/>
            <w:sz w:val="16"/>
            <w:szCs w:val="16"/>
            <w:u w:val="single" w:color="auto"/>
            <w:color w:val="0000FF"/>
          </w:rPr>
          <w:t>Virtu Financial, Inc. Amended and Restated 2015 Management Incentive Plan Employee Restricted Stock Unit Award Agreement, dated as of</w:t>
        </w:r>
      </w:hyperlink>
      <w:r>
        <w:rPr>
          <w:rFonts w:ascii="Arial" w:cs="Arial" w:eastAsia="Arial" w:hAnsi="Arial"/>
          <w:sz w:val="16"/>
          <w:szCs w:val="16"/>
          <w:u w:val="single" w:color="auto"/>
          <w:color w:val="0000FF"/>
        </w:rPr>
        <w:t xml:space="preserve"> </w:t>
      </w:r>
      <w:hyperlink w:anchor="page384">
        <w:r>
          <w:rPr>
            <w:rFonts w:ascii="Arial" w:cs="Arial" w:eastAsia="Arial" w:hAnsi="Arial"/>
            <w:sz w:val="16"/>
            <w:szCs w:val="16"/>
            <w:u w:val="single" w:color="auto"/>
            <w:color w:val="0000FF"/>
          </w:rPr>
          <w:t>February 3, 2022, by and between Virtu Financial, Inc. and Joseph Molluso.</w:t>
        </w:r>
      </w:hyperlink>
    </w:p>
    <w:p>
      <w:pPr>
        <w:spacing w:after="0" w:line="15" w:lineRule="exact"/>
        <w:rPr>
          <w:sz w:val="20"/>
          <w:szCs w:val="20"/>
          <w:color w:val="auto"/>
        </w:rPr>
      </w:pPr>
    </w:p>
    <w:p>
      <w:pPr>
        <w:ind w:right="460"/>
        <w:spacing w:after="0" w:line="253" w:lineRule="auto"/>
        <w:rPr>
          <w:rFonts w:ascii="Arial" w:cs="Arial" w:eastAsia="Arial" w:hAnsi="Arial"/>
          <w:sz w:val="16"/>
          <w:szCs w:val="16"/>
          <w:u w:val="single" w:color="auto"/>
          <w:color w:val="0000FF"/>
        </w:rPr>
      </w:pPr>
      <w:hyperlink w:anchor="page391">
        <w:r>
          <w:rPr>
            <w:rFonts w:ascii="Arial" w:cs="Arial" w:eastAsia="Arial" w:hAnsi="Arial"/>
            <w:sz w:val="16"/>
            <w:szCs w:val="16"/>
            <w:u w:val="single" w:color="auto"/>
            <w:color w:val="0000FF"/>
          </w:rPr>
          <w:t>Virtu Financial, Inc. Amended and Restated 2015 Management Incentive Plan Employee Restricted Stock Unit and Common Stock Award</w:t>
        </w:r>
      </w:hyperlink>
      <w:r>
        <w:rPr>
          <w:rFonts w:ascii="Arial" w:cs="Arial" w:eastAsia="Arial" w:hAnsi="Arial"/>
          <w:sz w:val="16"/>
          <w:szCs w:val="16"/>
          <w:u w:val="single" w:color="auto"/>
          <w:color w:val="0000FF"/>
        </w:rPr>
        <w:t xml:space="preserve"> </w:t>
      </w:r>
      <w:hyperlink w:anchor="page391">
        <w:r>
          <w:rPr>
            <w:rFonts w:ascii="Arial" w:cs="Arial" w:eastAsia="Arial" w:hAnsi="Arial"/>
            <w:sz w:val="16"/>
            <w:szCs w:val="16"/>
            <w:u w:val="single" w:color="auto"/>
            <w:color w:val="0000FF"/>
          </w:rPr>
          <w:t>Agreement, dated as of February 3, 2022, by and between Virtu Financial, Inc. and Sean Galvin.</w:t>
        </w:r>
      </w:hyperlink>
    </w:p>
    <w:p>
      <w:pPr>
        <w:spacing w:after="0" w:line="15" w:lineRule="exact"/>
        <w:rPr>
          <w:sz w:val="20"/>
          <w:szCs w:val="20"/>
          <w:color w:val="auto"/>
        </w:rPr>
      </w:pPr>
    </w:p>
    <w:p>
      <w:pPr>
        <w:ind w:right="240"/>
        <w:spacing w:after="0" w:line="253" w:lineRule="auto"/>
        <w:rPr>
          <w:rFonts w:ascii="Arial" w:cs="Arial" w:eastAsia="Arial" w:hAnsi="Arial"/>
          <w:sz w:val="16"/>
          <w:szCs w:val="16"/>
          <w:u w:val="single" w:color="auto"/>
          <w:color w:val="0000FF"/>
        </w:rPr>
      </w:pPr>
      <w:hyperlink w:anchor="page398">
        <w:r>
          <w:rPr>
            <w:rFonts w:ascii="Arial" w:cs="Arial" w:eastAsia="Arial" w:hAnsi="Arial"/>
            <w:sz w:val="16"/>
            <w:szCs w:val="16"/>
            <w:u w:val="single" w:color="auto"/>
            <w:color w:val="0000FF"/>
          </w:rPr>
          <w:t>Virtu Financial, Inc. Amended and Restated 2015 Management Incentive Plan Employee Restricted Stock Unit Award Agreement, dated as of</w:t>
        </w:r>
      </w:hyperlink>
      <w:r>
        <w:rPr>
          <w:rFonts w:ascii="Arial" w:cs="Arial" w:eastAsia="Arial" w:hAnsi="Arial"/>
          <w:sz w:val="16"/>
          <w:szCs w:val="16"/>
          <w:u w:val="single" w:color="auto"/>
          <w:color w:val="0000FF"/>
        </w:rPr>
        <w:t xml:space="preserve"> </w:t>
      </w:r>
      <w:hyperlink w:anchor="page398">
        <w:r>
          <w:rPr>
            <w:rFonts w:ascii="Arial" w:cs="Arial" w:eastAsia="Arial" w:hAnsi="Arial"/>
            <w:sz w:val="16"/>
            <w:szCs w:val="16"/>
            <w:u w:val="single" w:color="auto"/>
            <w:color w:val="0000FF"/>
          </w:rPr>
          <w:t>February 3, 2022, by and between Virtu Financial, Inc. and Sean Galvin.</w:t>
        </w:r>
      </w:hyperlink>
    </w:p>
    <w:p>
      <w:pPr>
        <w:spacing w:after="0" w:line="15" w:lineRule="exact"/>
        <w:rPr>
          <w:sz w:val="20"/>
          <w:szCs w:val="20"/>
          <w:color w:val="auto"/>
        </w:rPr>
      </w:pPr>
    </w:p>
    <w:p>
      <w:pPr>
        <w:ind w:right="460"/>
        <w:spacing w:after="0" w:line="253" w:lineRule="auto"/>
        <w:rPr>
          <w:rFonts w:ascii="Arial" w:cs="Arial" w:eastAsia="Arial" w:hAnsi="Arial"/>
          <w:sz w:val="16"/>
          <w:szCs w:val="16"/>
          <w:u w:val="single" w:color="auto"/>
          <w:color w:val="0000FF"/>
        </w:rPr>
      </w:pPr>
      <w:hyperlink w:anchor="page405">
        <w:r>
          <w:rPr>
            <w:rFonts w:ascii="Arial" w:cs="Arial" w:eastAsia="Arial" w:hAnsi="Arial"/>
            <w:sz w:val="16"/>
            <w:szCs w:val="16"/>
            <w:u w:val="single" w:color="auto"/>
            <w:color w:val="0000FF"/>
          </w:rPr>
          <w:t>Virtu Financial, Inc. Amended and Restated 2015 Management Incentive Plan Employee Restricted Stock Unit and Common Stock Award</w:t>
        </w:r>
      </w:hyperlink>
      <w:r>
        <w:rPr>
          <w:rFonts w:ascii="Arial" w:cs="Arial" w:eastAsia="Arial" w:hAnsi="Arial"/>
          <w:sz w:val="16"/>
          <w:szCs w:val="16"/>
          <w:u w:val="single" w:color="auto"/>
          <w:color w:val="0000FF"/>
        </w:rPr>
        <w:t xml:space="preserve"> </w:t>
      </w:r>
      <w:hyperlink w:anchor="page405">
        <w:r>
          <w:rPr>
            <w:rFonts w:ascii="Arial" w:cs="Arial" w:eastAsia="Arial" w:hAnsi="Arial"/>
            <w:sz w:val="16"/>
            <w:szCs w:val="16"/>
            <w:u w:val="single" w:color="auto"/>
            <w:color w:val="0000FF"/>
          </w:rPr>
          <w:t>Agreement, dated as of February 3, 2022, by and between Virtu Financial, Inc. and Brett Fairclough.</w:t>
        </w:r>
      </w:hyperlink>
    </w:p>
    <w:p>
      <w:pPr>
        <w:spacing w:after="0" w:line="15" w:lineRule="exact"/>
        <w:rPr>
          <w:sz w:val="20"/>
          <w:szCs w:val="20"/>
          <w:color w:val="auto"/>
        </w:rPr>
      </w:pPr>
    </w:p>
    <w:p>
      <w:pPr>
        <w:ind w:right="460"/>
        <w:spacing w:after="0" w:line="253" w:lineRule="auto"/>
        <w:rPr>
          <w:rFonts w:ascii="Arial" w:cs="Arial" w:eastAsia="Arial" w:hAnsi="Arial"/>
          <w:sz w:val="16"/>
          <w:szCs w:val="16"/>
          <w:u w:val="single" w:color="auto"/>
          <w:color w:val="0000FF"/>
        </w:rPr>
      </w:pPr>
      <w:hyperlink w:anchor="page412">
        <w:r>
          <w:rPr>
            <w:rFonts w:ascii="Arial" w:cs="Arial" w:eastAsia="Arial" w:hAnsi="Arial"/>
            <w:sz w:val="16"/>
            <w:szCs w:val="16"/>
            <w:u w:val="single" w:color="auto"/>
            <w:color w:val="0000FF"/>
          </w:rPr>
          <w:t>Virtu Financial, Inc. Amended and Restated 2015 Management Incentive Plan Employee Restricted Stock Unit and Common Stock Award</w:t>
        </w:r>
      </w:hyperlink>
      <w:r>
        <w:rPr>
          <w:rFonts w:ascii="Arial" w:cs="Arial" w:eastAsia="Arial" w:hAnsi="Arial"/>
          <w:sz w:val="16"/>
          <w:szCs w:val="16"/>
          <w:u w:val="single" w:color="auto"/>
          <w:color w:val="0000FF"/>
        </w:rPr>
        <w:t xml:space="preserve"> </w:t>
      </w:r>
      <w:hyperlink w:anchor="page412">
        <w:r>
          <w:rPr>
            <w:rFonts w:ascii="Arial" w:cs="Arial" w:eastAsia="Arial" w:hAnsi="Arial"/>
            <w:sz w:val="16"/>
            <w:szCs w:val="16"/>
            <w:u w:val="single" w:color="auto"/>
            <w:color w:val="0000FF"/>
          </w:rPr>
          <w:t>Agreement, dated as of February 3, 2022, by and between Virtu Financial, Inc. and Stephen Cavoli.</w:t>
        </w:r>
      </w:hyperlink>
    </w:p>
    <w:p>
      <w:pPr>
        <w:spacing w:after="0" w:line="3" w:lineRule="exact"/>
        <w:rPr>
          <w:sz w:val="20"/>
          <w:szCs w:val="20"/>
          <w:color w:val="auto"/>
        </w:rPr>
      </w:pPr>
    </w:p>
    <w:p>
      <w:pPr>
        <w:ind w:right="160"/>
        <w:spacing w:after="0" w:line="231" w:lineRule="auto"/>
        <w:rPr>
          <w:rFonts w:ascii="Arial" w:cs="Arial" w:eastAsia="Arial" w:hAnsi="Arial"/>
          <w:sz w:val="16"/>
          <w:szCs w:val="16"/>
          <w:u w:val="single" w:color="auto"/>
          <w:color w:val="0000FF"/>
        </w:rPr>
      </w:pPr>
      <w:hyperlink r:id="rId223">
        <w:r>
          <w:rPr>
            <w:rFonts w:ascii="Arial" w:cs="Arial" w:eastAsia="Arial" w:hAnsi="Arial"/>
            <w:sz w:val="16"/>
            <w:szCs w:val="16"/>
            <w:u w:val="single" w:color="auto"/>
            <w:color w:val="0000FF"/>
          </w:rPr>
          <w:t>Virtu Financial, Inc. Deferred Compensation Plan (incorporated herein by reference to Exhibit 10.40 to the Company’s Annual Report on Form</w:t>
        </w:r>
      </w:hyperlink>
      <w:r>
        <w:rPr>
          <w:rFonts w:ascii="Arial" w:cs="Arial" w:eastAsia="Arial" w:hAnsi="Arial"/>
          <w:sz w:val="16"/>
          <w:szCs w:val="16"/>
          <w:u w:val="single" w:color="auto"/>
          <w:color w:val="0000FF"/>
        </w:rPr>
        <w:t xml:space="preserve"> </w:t>
      </w:r>
      <w:hyperlink r:id="rId223">
        <w:r>
          <w:rPr>
            <w:rFonts w:ascii="Arial" w:cs="Arial" w:eastAsia="Arial" w:hAnsi="Arial"/>
            <w:sz w:val="16"/>
            <w:szCs w:val="16"/>
            <w:u w:val="single" w:color="auto"/>
            <w:color w:val="0000FF"/>
          </w:rPr>
          <w:t>10-K (File No. 001-37352) filed on February 25, 2021)</w:t>
        </w:r>
      </w:hyperlink>
    </w:p>
    <w:p>
      <w:pPr>
        <w:spacing w:after="0" w:line="1" w:lineRule="exact"/>
        <w:rPr>
          <w:sz w:val="20"/>
          <w:szCs w:val="20"/>
          <w:color w:val="auto"/>
        </w:rPr>
      </w:pPr>
    </w:p>
    <w:p>
      <w:pPr>
        <w:spacing w:after="0"/>
        <w:rPr>
          <w:rFonts w:ascii="Arial" w:cs="Arial" w:eastAsia="Arial" w:hAnsi="Arial"/>
          <w:sz w:val="16"/>
          <w:szCs w:val="16"/>
          <w:u w:val="single" w:color="auto"/>
          <w:color w:val="0000FF"/>
        </w:rPr>
      </w:pPr>
      <w:hyperlink w:anchor="page419">
        <w:r>
          <w:rPr>
            <w:rFonts w:ascii="Arial" w:cs="Arial" w:eastAsia="Arial" w:hAnsi="Arial"/>
            <w:sz w:val="16"/>
            <w:szCs w:val="16"/>
            <w:u w:val="single" w:color="auto"/>
            <w:color w:val="0000FF"/>
          </w:rPr>
          <w:t>Subsidiaries of Virtu Financial, Inc.</w:t>
        </w:r>
      </w:hyperlink>
    </w:p>
    <w:p>
      <w:pPr>
        <w:spacing w:after="0" w:line="29" w:lineRule="exact"/>
        <w:rPr>
          <w:sz w:val="20"/>
          <w:szCs w:val="20"/>
          <w:color w:val="auto"/>
        </w:rPr>
      </w:pPr>
    </w:p>
    <w:p>
      <w:pPr>
        <w:spacing w:after="0"/>
        <w:rPr>
          <w:rFonts w:ascii="Arial" w:cs="Arial" w:eastAsia="Arial" w:hAnsi="Arial"/>
          <w:sz w:val="16"/>
          <w:szCs w:val="16"/>
          <w:u w:val="single" w:color="auto"/>
          <w:color w:val="0000FF"/>
        </w:rPr>
      </w:pPr>
      <w:hyperlink w:anchor="page420">
        <w:r>
          <w:rPr>
            <w:rFonts w:ascii="Arial" w:cs="Arial" w:eastAsia="Arial" w:hAnsi="Arial"/>
            <w:sz w:val="16"/>
            <w:szCs w:val="16"/>
            <w:u w:val="single" w:color="auto"/>
            <w:color w:val="0000FF"/>
          </w:rPr>
          <w:t>Consent of PricewaterhouseCoopers LLP.</w:t>
        </w:r>
      </w:hyperlink>
    </w:p>
    <w:p>
      <w:pPr>
        <w:spacing w:after="0" w:line="29" w:lineRule="exact"/>
        <w:rPr>
          <w:sz w:val="20"/>
          <w:szCs w:val="20"/>
          <w:color w:val="auto"/>
        </w:rPr>
      </w:pPr>
    </w:p>
    <w:p>
      <w:pPr>
        <w:ind w:right="500"/>
        <w:spacing w:after="0" w:line="231" w:lineRule="auto"/>
        <w:rPr>
          <w:rFonts w:ascii="Arial" w:cs="Arial" w:eastAsia="Arial" w:hAnsi="Arial"/>
          <w:sz w:val="16"/>
          <w:szCs w:val="16"/>
          <w:u w:val="single" w:color="auto"/>
          <w:color w:val="0000FF"/>
        </w:rPr>
      </w:pPr>
      <w:hyperlink w:anchor="page421">
        <w:r>
          <w:rPr>
            <w:rFonts w:ascii="Arial" w:cs="Arial" w:eastAsia="Arial" w:hAnsi="Arial"/>
            <w:sz w:val="16"/>
            <w:szCs w:val="16"/>
            <w:u w:val="single" w:color="auto"/>
            <w:color w:val="0000FF"/>
          </w:rPr>
          <w:t>Certification of Chief Executive Officer required by Rule 13a-14(a)/15d-14(a) under the Securities Exchange Act of 1934, as amended, as</w:t>
        </w:r>
      </w:hyperlink>
      <w:r>
        <w:rPr>
          <w:rFonts w:ascii="Arial" w:cs="Arial" w:eastAsia="Arial" w:hAnsi="Arial"/>
          <w:sz w:val="16"/>
          <w:szCs w:val="16"/>
          <w:u w:val="single" w:color="auto"/>
          <w:color w:val="0000FF"/>
        </w:rPr>
        <w:t xml:space="preserve"> </w:t>
      </w:r>
      <w:hyperlink w:anchor="page421">
        <w:r>
          <w:rPr>
            <w:rFonts w:ascii="Arial" w:cs="Arial" w:eastAsia="Arial" w:hAnsi="Arial"/>
            <w:sz w:val="16"/>
            <w:szCs w:val="16"/>
            <w:u w:val="single" w:color="auto"/>
            <w:color w:val="0000FF"/>
          </w:rPr>
          <w:t>adopted pursuant to Section 302 of the Sarbanes-Oxley Act of 2002.</w:t>
        </w:r>
      </w:hyperlink>
    </w:p>
    <w:p>
      <w:pPr>
        <w:spacing w:after="0" w:line="1" w:lineRule="exact"/>
        <w:rPr>
          <w:sz w:val="20"/>
          <w:szCs w:val="20"/>
          <w:color w:val="auto"/>
        </w:rPr>
      </w:pPr>
    </w:p>
    <w:p>
      <w:pPr>
        <w:spacing w:after="0" w:line="231" w:lineRule="auto"/>
        <w:rPr>
          <w:rFonts w:ascii="Arial" w:cs="Arial" w:eastAsia="Arial" w:hAnsi="Arial"/>
          <w:sz w:val="16"/>
          <w:szCs w:val="16"/>
          <w:u w:val="single" w:color="auto"/>
          <w:color w:val="0000FF"/>
        </w:rPr>
      </w:pPr>
      <w:hyperlink w:anchor="page422">
        <w:r>
          <w:rPr>
            <w:rFonts w:ascii="Arial" w:cs="Arial" w:eastAsia="Arial" w:hAnsi="Arial"/>
            <w:sz w:val="16"/>
            <w:szCs w:val="16"/>
            <w:u w:val="single" w:color="auto"/>
            <w:color w:val="0000FF"/>
          </w:rPr>
          <w:t>Certification of Chief Financial Officer required by Rule 13a-14(a)/15d-14(a) under the Securities Exchange Act of 1934, as amended, as adopted</w:t>
        </w:r>
      </w:hyperlink>
      <w:r>
        <w:rPr>
          <w:rFonts w:ascii="Arial" w:cs="Arial" w:eastAsia="Arial" w:hAnsi="Arial"/>
          <w:sz w:val="16"/>
          <w:szCs w:val="16"/>
          <w:u w:val="single" w:color="auto"/>
          <w:color w:val="0000FF"/>
        </w:rPr>
        <w:t xml:space="preserve"> </w:t>
      </w:r>
      <w:hyperlink w:anchor="page422">
        <w:r>
          <w:rPr>
            <w:rFonts w:ascii="Arial" w:cs="Arial" w:eastAsia="Arial" w:hAnsi="Arial"/>
            <w:sz w:val="16"/>
            <w:szCs w:val="16"/>
            <w:u w:val="single" w:color="auto"/>
            <w:color w:val="0000FF"/>
          </w:rPr>
          <w:t>pursuant to Section 302 of the Sarbanes-Oxley Act of 2002.</w:t>
        </w:r>
      </w:hyperlink>
    </w:p>
    <w:p>
      <w:pPr>
        <w:spacing w:after="0" w:line="1" w:lineRule="exact"/>
        <w:rPr>
          <w:sz w:val="20"/>
          <w:szCs w:val="20"/>
          <w:color w:val="auto"/>
        </w:rPr>
      </w:pPr>
    </w:p>
    <w:p>
      <w:pPr>
        <w:ind w:right="240"/>
        <w:spacing w:after="0" w:line="231" w:lineRule="auto"/>
        <w:rPr>
          <w:rFonts w:ascii="Arial" w:cs="Arial" w:eastAsia="Arial" w:hAnsi="Arial"/>
          <w:sz w:val="16"/>
          <w:szCs w:val="16"/>
          <w:u w:val="single" w:color="auto"/>
          <w:color w:val="0000FF"/>
        </w:rPr>
      </w:pPr>
      <w:hyperlink w:anchor="page423">
        <w:r>
          <w:rPr>
            <w:rFonts w:ascii="Arial" w:cs="Arial" w:eastAsia="Arial" w:hAnsi="Arial"/>
            <w:sz w:val="16"/>
            <w:szCs w:val="16"/>
            <w:u w:val="single" w:color="auto"/>
            <w:color w:val="0000FF"/>
          </w:rPr>
          <w:t>Certification of Chief Executive Officer pursuant to 18 U.S.C. Section 1350, as adopted pursuant to Section 906 of the Sarbanes-Oxley Act of</w:t>
        </w:r>
      </w:hyperlink>
      <w:r>
        <w:rPr>
          <w:rFonts w:ascii="Arial" w:cs="Arial" w:eastAsia="Arial" w:hAnsi="Arial"/>
          <w:sz w:val="16"/>
          <w:szCs w:val="16"/>
          <w:u w:val="single" w:color="auto"/>
          <w:color w:val="0000FF"/>
        </w:rPr>
        <w:t xml:space="preserve"> </w:t>
      </w:r>
      <w:hyperlink w:anchor="page423">
        <w:r>
          <w:rPr>
            <w:rFonts w:ascii="Arial" w:cs="Arial" w:eastAsia="Arial" w:hAnsi="Arial"/>
            <w:sz w:val="16"/>
            <w:szCs w:val="16"/>
            <w:u w:val="single" w:color="auto"/>
            <w:color w:val="0000FF"/>
          </w:rPr>
          <w:t>2002.</w:t>
        </w:r>
      </w:hyperlink>
    </w:p>
    <w:p>
      <w:pPr>
        <w:spacing w:after="0" w:line="1" w:lineRule="exact"/>
        <w:rPr>
          <w:sz w:val="20"/>
          <w:szCs w:val="20"/>
          <w:color w:val="auto"/>
        </w:rPr>
      </w:pPr>
    </w:p>
    <w:p>
      <w:pPr>
        <w:ind w:right="280"/>
        <w:spacing w:after="0" w:line="231" w:lineRule="auto"/>
        <w:rPr>
          <w:rFonts w:ascii="Arial" w:cs="Arial" w:eastAsia="Arial" w:hAnsi="Arial"/>
          <w:sz w:val="16"/>
          <w:szCs w:val="16"/>
          <w:u w:val="single" w:color="auto"/>
          <w:color w:val="0000FF"/>
        </w:rPr>
      </w:pPr>
      <w:hyperlink w:anchor="page424">
        <w:r>
          <w:rPr>
            <w:rFonts w:ascii="Arial" w:cs="Arial" w:eastAsia="Arial" w:hAnsi="Arial"/>
            <w:sz w:val="16"/>
            <w:szCs w:val="16"/>
            <w:u w:val="single" w:color="auto"/>
            <w:color w:val="0000FF"/>
          </w:rPr>
          <w:t>Certification of Chief Financial Officer pursuant to 18 U.S.C. Section 1350, as adopted pursuant to Section 906 of the Sarbanes-Oxley Act of</w:t>
        </w:r>
      </w:hyperlink>
      <w:r>
        <w:rPr>
          <w:rFonts w:ascii="Arial" w:cs="Arial" w:eastAsia="Arial" w:hAnsi="Arial"/>
          <w:sz w:val="16"/>
          <w:szCs w:val="16"/>
          <w:u w:val="single" w:color="auto"/>
          <w:color w:val="0000FF"/>
        </w:rPr>
        <w:t xml:space="preserve"> </w:t>
      </w:r>
      <w:hyperlink w:anchor="page424">
        <w:r>
          <w:rPr>
            <w:rFonts w:ascii="Arial" w:cs="Arial" w:eastAsia="Arial" w:hAnsi="Arial"/>
            <w:sz w:val="16"/>
            <w:szCs w:val="16"/>
            <w:u w:val="single" w:color="auto"/>
            <w:color w:val="0000FF"/>
          </w:rPr>
          <w:t>2002.</w:t>
        </w:r>
      </w:hyperlink>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XBRL Instance Document</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Schema</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Calculation Linkbase</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Label Linkbase</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Presentation Linkbase</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Definition Document</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Cover Page Interactive Data File (formatted as Inline XBRL and contained in Exhibit 101)</w:t>
      </w:r>
    </w:p>
    <w:p>
      <w:pPr>
        <w:spacing w:after="0" w:line="359" w:lineRule="exact"/>
        <w:rPr>
          <w:sz w:val="20"/>
          <w:szCs w:val="20"/>
          <w:color w:val="auto"/>
        </w:rPr>
      </w:pPr>
    </w:p>
    <w:p>
      <w:pPr>
        <w:sectPr>
          <w:pgSz w:w="11900" w:h="16838" w:orient="portrait"/>
          <w:cols w:equalWidth="0" w:num="2">
            <w:col w:w="1260" w:space="720"/>
            <w:col w:w="9220"/>
          </w:cols>
          <w:pgMar w:left="320" w:top="127" w:right="379" w:bottom="1440" w:gutter="0" w:footer="0" w:header="0"/>
        </w:sectPr>
      </w:pPr>
    </w:p>
    <w:p>
      <w:pPr>
        <w:spacing w:after="0"/>
        <w:rPr>
          <w:sz w:val="20"/>
          <w:szCs w:val="20"/>
          <w:color w:val="auto"/>
        </w:rPr>
      </w:pPr>
      <w:r>
        <w:rPr>
          <w:rFonts w:ascii="Arial" w:cs="Arial" w:eastAsia="Arial" w:hAnsi="Arial"/>
          <w:sz w:val="16"/>
          <w:szCs w:val="16"/>
          <w:color w:val="auto"/>
        </w:rPr>
        <w:t>†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73660</wp:posOffset>
            </wp:positionV>
            <wp:extent cx="7174865" cy="406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type w:val="continuous"/>
        </w:sectPr>
      </w:pPr>
    </w:p>
    <w:bookmarkStart w:id="146" w:name="page147"/>
    <w:bookmarkEnd w:id="14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199" w:lineRule="exact"/>
        <w:rPr>
          <w:sz w:val="20"/>
          <w:szCs w:val="20"/>
          <w:color w:val="auto"/>
        </w:rPr>
      </w:pPr>
    </w:p>
    <w:p>
      <w:pPr>
        <w:ind w:right="220" w:firstLine="568"/>
        <w:spacing w:after="0" w:line="268" w:lineRule="auto"/>
        <w:rPr>
          <w:sz w:val="20"/>
          <w:szCs w:val="20"/>
          <w:color w:val="auto"/>
        </w:rPr>
      </w:pPr>
      <w:r>
        <w:rPr>
          <w:rFonts w:ascii="Arial" w:cs="Arial" w:eastAsia="Arial" w:hAnsi="Arial"/>
          <w:sz w:val="16"/>
          <w:szCs w:val="16"/>
          <w:color w:val="auto"/>
        </w:rPr>
        <w:t>Pursuant to the requirements of Section 13 or 15(d) of the Securities Exchange Act of 1934, as amended, the Registrant has duly caused this report to be signed on its behalf by the undersigned thereunto duly authorized.</w:t>
      </w:r>
    </w:p>
    <w:p>
      <w:pPr>
        <w:spacing w:after="0" w:line="3" w:lineRule="exact"/>
        <w:rPr>
          <w:sz w:val="20"/>
          <w:szCs w:val="20"/>
          <w:color w:val="auto"/>
        </w:rPr>
      </w:pPr>
    </w:p>
    <w:tbl>
      <w:tblPr>
        <w:tblLayout w:type="fixed"/>
        <w:tblInd w:w="780" w:type="dxa"/>
        <w:tblCellMar>
          <w:top w:w="0" w:type="dxa"/>
          <w:left w:w="0" w:type="dxa"/>
          <w:bottom w:w="0" w:type="dxa"/>
          <w:right w:w="0" w:type="dxa"/>
        </w:tblCellMar>
      </w:tblPr>
      <w:tr>
        <w:trPr>
          <w:trHeight w:val="201"/>
        </w:trPr>
        <w:tc>
          <w:tcPr>
            <w:tcW w:w="11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6120" w:type="dxa"/>
            <w:vAlign w:val="bottom"/>
            <w:gridSpan w:val="2"/>
          </w:tcPr>
          <w:p>
            <w:pPr>
              <w:ind w:left="540"/>
              <w:spacing w:after="0"/>
              <w:rPr>
                <w:sz w:val="20"/>
                <w:szCs w:val="20"/>
                <w:color w:val="auto"/>
              </w:rPr>
            </w:pPr>
            <w:r>
              <w:rPr>
                <w:rFonts w:ascii="Arial" w:cs="Arial" w:eastAsia="Arial" w:hAnsi="Arial"/>
                <w:sz w:val="16"/>
                <w:szCs w:val="16"/>
                <w:color w:val="auto"/>
              </w:rPr>
              <w:t>Virtu Financial, Inc.</w:t>
            </w:r>
          </w:p>
        </w:tc>
      </w:tr>
      <w:tr>
        <w:trPr>
          <w:trHeight w:val="675"/>
        </w:trPr>
        <w:tc>
          <w:tcPr>
            <w:tcW w:w="1180" w:type="dxa"/>
            <w:vAlign w:val="bottom"/>
          </w:tcPr>
          <w:p>
            <w:pPr>
              <w:spacing w:after="0"/>
              <w:rPr>
                <w:sz w:val="20"/>
                <w:szCs w:val="20"/>
                <w:color w:val="auto"/>
              </w:rPr>
            </w:pPr>
            <w:r>
              <w:rPr>
                <w:rFonts w:ascii="Arial" w:cs="Arial" w:eastAsia="Arial" w:hAnsi="Arial"/>
                <w:sz w:val="16"/>
                <w:szCs w:val="16"/>
                <w:color w:val="auto"/>
              </w:rPr>
              <w:t>DATE:</w:t>
            </w:r>
          </w:p>
        </w:tc>
        <w:tc>
          <w:tcPr>
            <w:tcW w:w="2400" w:type="dxa"/>
            <w:vAlign w:val="bottom"/>
          </w:tcPr>
          <w:p>
            <w:pPr>
              <w:ind w:left="700"/>
              <w:spacing w:after="0"/>
              <w:rPr>
                <w:sz w:val="20"/>
                <w:szCs w:val="20"/>
                <w:color w:val="auto"/>
              </w:rPr>
            </w:pPr>
            <w:r>
              <w:rPr>
                <w:rFonts w:ascii="Arial" w:cs="Arial" w:eastAsia="Arial" w:hAnsi="Arial"/>
                <w:sz w:val="16"/>
                <w:szCs w:val="16"/>
                <w:color w:val="auto"/>
              </w:rPr>
              <w:t>February 18, 2022</w:t>
            </w:r>
          </w:p>
        </w:tc>
        <w:tc>
          <w:tcPr>
            <w:tcW w:w="1180" w:type="dxa"/>
            <w:vAlign w:val="bottom"/>
          </w:tcPr>
          <w:p>
            <w:pPr>
              <w:ind w:left="540"/>
              <w:spacing w:after="0"/>
              <w:rPr>
                <w:sz w:val="20"/>
                <w:szCs w:val="20"/>
                <w:color w:val="auto"/>
              </w:rPr>
            </w:pPr>
            <w:r>
              <w:rPr>
                <w:rFonts w:ascii="Arial" w:cs="Arial" w:eastAsia="Arial" w:hAnsi="Arial"/>
                <w:sz w:val="16"/>
                <w:szCs w:val="16"/>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Douglas A. Cifu</w:t>
            </w:r>
          </w:p>
        </w:tc>
      </w:tr>
      <w:tr>
        <w:trPr>
          <w:trHeight w:val="193"/>
        </w:trPr>
        <w:tc>
          <w:tcPr>
            <w:tcW w:w="11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940" w:type="dxa"/>
            <w:vAlign w:val="bottom"/>
          </w:tcPr>
          <w:p>
            <w:pPr>
              <w:spacing w:after="0"/>
              <w:rPr>
                <w:sz w:val="20"/>
                <w:szCs w:val="20"/>
                <w:color w:val="auto"/>
              </w:rPr>
            </w:pPr>
            <w:r>
              <w:rPr>
                <w:rFonts w:ascii="Arial" w:cs="Arial" w:eastAsia="Arial" w:hAnsi="Arial"/>
                <w:sz w:val="16"/>
                <w:szCs w:val="16"/>
                <w:color w:val="auto"/>
              </w:rPr>
              <w:t>Douglas A. Cifu</w:t>
            </w:r>
          </w:p>
        </w:tc>
      </w:tr>
      <w:tr>
        <w:trPr>
          <w:trHeight w:val="201"/>
        </w:trPr>
        <w:tc>
          <w:tcPr>
            <w:tcW w:w="11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940" w:type="dxa"/>
            <w:vAlign w:val="bottom"/>
          </w:tcPr>
          <w:p>
            <w:pPr>
              <w:spacing w:after="0"/>
              <w:rPr>
                <w:sz w:val="20"/>
                <w:szCs w:val="20"/>
                <w:color w:val="auto"/>
              </w:rPr>
            </w:pPr>
            <w:r>
              <w:rPr>
                <w:rFonts w:ascii="Arial" w:cs="Arial" w:eastAsia="Arial" w:hAnsi="Arial"/>
                <w:sz w:val="16"/>
                <w:szCs w:val="16"/>
                <w:color w:val="auto"/>
              </w:rPr>
              <w:t>Chief Executive Officer</w:t>
            </w:r>
          </w:p>
        </w:tc>
      </w:tr>
      <w:tr>
        <w:trPr>
          <w:trHeight w:val="675"/>
        </w:trPr>
        <w:tc>
          <w:tcPr>
            <w:tcW w:w="1180" w:type="dxa"/>
            <w:vAlign w:val="bottom"/>
          </w:tcPr>
          <w:p>
            <w:pPr>
              <w:spacing w:after="0"/>
              <w:rPr>
                <w:sz w:val="20"/>
                <w:szCs w:val="20"/>
                <w:color w:val="auto"/>
              </w:rPr>
            </w:pPr>
            <w:r>
              <w:rPr>
                <w:rFonts w:ascii="Arial" w:cs="Arial" w:eastAsia="Arial" w:hAnsi="Arial"/>
                <w:sz w:val="16"/>
                <w:szCs w:val="16"/>
                <w:color w:val="auto"/>
              </w:rPr>
              <w:t>DATE:</w:t>
            </w:r>
          </w:p>
        </w:tc>
        <w:tc>
          <w:tcPr>
            <w:tcW w:w="2400" w:type="dxa"/>
            <w:vAlign w:val="bottom"/>
          </w:tcPr>
          <w:p>
            <w:pPr>
              <w:ind w:left="700"/>
              <w:spacing w:after="0"/>
              <w:rPr>
                <w:sz w:val="20"/>
                <w:szCs w:val="20"/>
                <w:color w:val="auto"/>
              </w:rPr>
            </w:pPr>
            <w:r>
              <w:rPr>
                <w:rFonts w:ascii="Arial" w:cs="Arial" w:eastAsia="Arial" w:hAnsi="Arial"/>
                <w:sz w:val="16"/>
                <w:szCs w:val="16"/>
                <w:color w:val="auto"/>
              </w:rPr>
              <w:t>February 18, 2022</w:t>
            </w:r>
          </w:p>
        </w:tc>
        <w:tc>
          <w:tcPr>
            <w:tcW w:w="1180" w:type="dxa"/>
            <w:vAlign w:val="bottom"/>
          </w:tcPr>
          <w:p>
            <w:pPr>
              <w:ind w:left="540"/>
              <w:spacing w:after="0"/>
              <w:rPr>
                <w:sz w:val="20"/>
                <w:szCs w:val="20"/>
                <w:color w:val="auto"/>
              </w:rPr>
            </w:pPr>
            <w:r>
              <w:rPr>
                <w:rFonts w:ascii="Arial" w:cs="Arial" w:eastAsia="Arial" w:hAnsi="Arial"/>
                <w:sz w:val="16"/>
                <w:szCs w:val="16"/>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Sean P. Galvin</w:t>
            </w:r>
          </w:p>
        </w:tc>
      </w:tr>
      <w:tr>
        <w:trPr>
          <w:trHeight w:val="193"/>
        </w:trPr>
        <w:tc>
          <w:tcPr>
            <w:tcW w:w="11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940" w:type="dxa"/>
            <w:vAlign w:val="bottom"/>
          </w:tcPr>
          <w:p>
            <w:pPr>
              <w:spacing w:after="0"/>
              <w:rPr>
                <w:sz w:val="20"/>
                <w:szCs w:val="20"/>
                <w:color w:val="auto"/>
              </w:rPr>
            </w:pPr>
            <w:r>
              <w:rPr>
                <w:rFonts w:ascii="Arial" w:cs="Arial" w:eastAsia="Arial" w:hAnsi="Arial"/>
                <w:sz w:val="16"/>
                <w:szCs w:val="16"/>
                <w:color w:val="auto"/>
              </w:rPr>
              <w:t>Sean P. Galvin</w:t>
            </w:r>
          </w:p>
        </w:tc>
      </w:tr>
      <w:tr>
        <w:trPr>
          <w:trHeight w:val="201"/>
        </w:trPr>
        <w:tc>
          <w:tcPr>
            <w:tcW w:w="11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940" w:type="dxa"/>
            <w:vAlign w:val="bottom"/>
          </w:tcPr>
          <w:p>
            <w:pPr>
              <w:spacing w:after="0"/>
              <w:rPr>
                <w:sz w:val="20"/>
                <w:szCs w:val="20"/>
                <w:color w:val="auto"/>
              </w:rPr>
            </w:pPr>
            <w:r>
              <w:rPr>
                <w:rFonts w:ascii="Arial" w:cs="Arial" w:eastAsia="Arial" w:hAnsi="Arial"/>
                <w:sz w:val="16"/>
                <w:szCs w:val="16"/>
                <w:color w:val="auto"/>
              </w:rPr>
              <w:t>Chief Financial Officer</w:t>
            </w:r>
          </w:p>
        </w:tc>
      </w:tr>
    </w:tbl>
    <w:p>
      <w:pPr>
        <w:spacing w:after="0" w:line="72" w:lineRule="exact"/>
        <w:rPr>
          <w:sz w:val="20"/>
          <w:szCs w:val="20"/>
          <w:color w:val="auto"/>
        </w:rPr>
      </w:pPr>
    </w:p>
    <w:p>
      <w:pPr>
        <w:ind w:firstLine="568"/>
        <w:spacing w:after="0" w:line="294" w:lineRule="auto"/>
        <w:rPr>
          <w:sz w:val="20"/>
          <w:szCs w:val="20"/>
          <w:color w:val="auto"/>
        </w:rPr>
      </w:pPr>
      <w:r>
        <w:rPr>
          <w:rFonts w:ascii="Arial" w:cs="Arial" w:eastAsia="Arial" w:hAnsi="Arial"/>
          <w:sz w:val="14"/>
          <w:szCs w:val="14"/>
          <w:color w:val="auto"/>
        </w:rPr>
        <w:t>KNOW ALL MEN BY THESE PRESENTS, that each person whose signature appears below constitutes and appoints Douglas A. Cifu and Sean P. Galvin, and each of them, his or her true and lawful attorneys-in-fact and agents,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or she might or could do in person hereby ratifying and confirming all that said attorneys-in-fact and agents, or his or her substitute or substitutes, may lawfully do or cause to be done by virtue hereof.</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174865" cy="406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7" w:name="page148"/>
    <w:bookmarkEnd w:id="14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ind w:firstLine="568"/>
        <w:spacing w:after="0" w:line="267" w:lineRule="auto"/>
        <w:rPr>
          <w:sz w:val="20"/>
          <w:szCs w:val="20"/>
          <w:color w:val="auto"/>
        </w:rPr>
      </w:pPr>
      <w:r>
        <w:rPr>
          <w:rFonts w:ascii="Arial" w:cs="Arial" w:eastAsia="Arial" w:hAnsi="Arial"/>
          <w:sz w:val="16"/>
          <w:szCs w:val="16"/>
          <w:color w:val="auto"/>
        </w:rPr>
        <w:t>Pursuant to the requirements of the Securities and Exchange Act of 1934, as amended, the report has been signed below by the following persons on behalf of the Registrant and in the capacities indicated on February 18, 2022.</w:t>
      </w:r>
    </w:p>
    <w:p>
      <w:pPr>
        <w:spacing w:after="0" w:line="1" w:lineRule="exact"/>
        <w:rPr>
          <w:sz w:val="20"/>
          <w:szCs w:val="20"/>
          <w:color w:val="auto"/>
        </w:rPr>
      </w:pPr>
    </w:p>
    <w:p>
      <w:pPr>
        <w:ind w:left="2620"/>
        <w:spacing w:after="0"/>
        <w:tabs>
          <w:tab w:leader="none" w:pos="8120" w:val="left"/>
        </w:tabs>
        <w:rPr>
          <w:sz w:val="20"/>
          <w:szCs w:val="20"/>
          <w:color w:val="auto"/>
        </w:rPr>
      </w:pPr>
      <w:r>
        <w:rPr>
          <w:rFonts w:ascii="Arial" w:cs="Arial" w:eastAsia="Arial" w:hAnsi="Arial"/>
          <w:sz w:val="16"/>
          <w:szCs w:val="16"/>
          <w:b w:val="1"/>
          <w:bCs w:val="1"/>
          <w:u w:val="single" w:color="auto"/>
          <w:color w:val="auto"/>
        </w:rPr>
        <w:t>Signature</w:t>
      </w:r>
      <w:r>
        <w:rPr>
          <w:sz w:val="20"/>
          <w:szCs w:val="20"/>
          <w:color w:val="auto"/>
        </w:rPr>
        <w:tab/>
      </w:r>
      <w:r>
        <w:rPr>
          <w:rFonts w:ascii="Arial" w:cs="Arial" w:eastAsia="Arial" w:hAnsi="Arial"/>
          <w:sz w:val="16"/>
          <w:szCs w:val="16"/>
          <w:b w:val="1"/>
          <w:bCs w:val="1"/>
          <w:u w:val="single" w:color="auto"/>
          <w:color w:val="auto"/>
        </w:rPr>
        <w:t>Title</w:t>
      </w:r>
    </w:p>
    <w:p>
      <w:pPr>
        <w:sectPr>
          <w:pgSz w:w="11900" w:h="16838" w:orient="portrait"/>
          <w:cols w:equalWidth="0" w:num="1">
            <w:col w:w="10760"/>
          </w:cols>
          <w:pgMar w:left="320" w:top="127" w:right="819" w:bottom="1440" w:gutter="0" w:footer="0" w:header="0"/>
        </w:sectPr>
      </w:pPr>
    </w:p>
    <w:p>
      <w:pPr>
        <w:spacing w:after="0" w:line="294"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/s/ Douglas A. Cifu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11430</wp:posOffset>
            </wp:positionV>
            <wp:extent cx="3382645" cy="76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6">
                      <a:extLst>
                        <a:ext uri="{28A0092B-C50C-407E-A947-70E740481C1C}"/>
                      </a:extLst>
                    </a:blip>
                    <a:srcRect/>
                    <a:stretch>
                      <a:fillRect/>
                    </a:stretch>
                  </pic:blipFill>
                  <pic:spPr bwMode="auto">
                    <a:xfrm>
                      <a:off x="0" y="0"/>
                      <a:ext cx="3382645" cy="7620"/>
                    </a:xfrm>
                    <a:prstGeom prst="rect">
                      <a:avLst/>
                    </a:prstGeom>
                    <a:noFill/>
                  </pic:spPr>
                </pic:pic>
              </a:graphicData>
            </a:graphic>
          </wp:anchor>
        </w:drawing>
      </w:r>
    </w:p>
    <w:p>
      <w:pPr>
        <w:spacing w:after="0" w:line="33"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Douglas A. Cifu</w:t>
      </w:r>
    </w:p>
    <w:p>
      <w:pPr>
        <w:spacing w:after="0" w:line="290"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/s/ Sean P. Galvin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11430</wp:posOffset>
            </wp:positionV>
            <wp:extent cx="3382645" cy="7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7">
                      <a:extLst>
                        <a:ext uri="{28A0092B-C50C-407E-A947-70E740481C1C}"/>
                      </a:extLst>
                    </a:blip>
                    <a:srcRect/>
                    <a:stretch>
                      <a:fillRect/>
                    </a:stretch>
                  </pic:blipFill>
                  <pic:spPr bwMode="auto">
                    <a:xfrm>
                      <a:off x="0" y="0"/>
                      <a:ext cx="3382645" cy="7620"/>
                    </a:xfrm>
                    <a:prstGeom prst="rect">
                      <a:avLst/>
                    </a:prstGeom>
                    <a:noFill/>
                  </pic:spPr>
                </pic:pic>
              </a:graphicData>
            </a:graphic>
          </wp:anchor>
        </w:drawing>
      </w:r>
    </w:p>
    <w:p>
      <w:pPr>
        <w:spacing w:after="0" w:line="33"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Sean P. Galvin</w:t>
      </w:r>
    </w:p>
    <w:p>
      <w:pPr>
        <w:spacing w:after="0" w:line="266"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/s/ Robert Greifeld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26670</wp:posOffset>
            </wp:positionV>
            <wp:extent cx="3382645" cy="76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8">
                      <a:extLst>
                        <a:ext uri="{28A0092B-C50C-407E-A947-70E740481C1C}"/>
                      </a:extLst>
                    </a:blip>
                    <a:srcRect/>
                    <a:stretch>
                      <a:fillRect/>
                    </a:stretch>
                  </pic:blipFill>
                  <pic:spPr bwMode="auto">
                    <a:xfrm>
                      <a:off x="0" y="0"/>
                      <a:ext cx="3382645" cy="7620"/>
                    </a:xfrm>
                    <a:prstGeom prst="rect">
                      <a:avLst/>
                    </a:prstGeom>
                    <a:noFill/>
                  </pic:spPr>
                </pic:pic>
              </a:graphicData>
            </a:graphic>
          </wp:anchor>
        </w:drawing>
      </w:r>
    </w:p>
    <w:p>
      <w:pPr>
        <w:spacing w:after="0" w:line="45"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Robert Greifeld</w:t>
      </w:r>
    </w:p>
    <w:p>
      <w:pPr>
        <w:spacing w:after="0" w:line="301"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/s/ Vincent Viola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11430</wp:posOffset>
            </wp:positionV>
            <wp:extent cx="3382645" cy="7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9">
                      <a:extLst>
                        <a:ext uri="{28A0092B-C50C-407E-A947-70E740481C1C}"/>
                      </a:extLst>
                    </a:blip>
                    <a:srcRect/>
                    <a:stretch>
                      <a:fillRect/>
                    </a:stretch>
                  </pic:blipFill>
                  <pic:spPr bwMode="auto">
                    <a:xfrm>
                      <a:off x="0" y="0"/>
                      <a:ext cx="3382645" cy="7620"/>
                    </a:xfrm>
                    <a:prstGeom prst="rect">
                      <a:avLst/>
                    </a:prstGeom>
                    <a:noFill/>
                  </pic:spPr>
                </pic:pic>
              </a:graphicData>
            </a:graphic>
          </wp:anchor>
        </w:drawing>
      </w:r>
    </w:p>
    <w:p>
      <w:pPr>
        <w:spacing w:after="0" w:line="33"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Vincent Viola</w:t>
      </w:r>
    </w:p>
    <w:p>
      <w:pPr>
        <w:spacing w:after="0" w:line="290" w:lineRule="exact"/>
        <w:rPr>
          <w:sz w:val="20"/>
          <w:szCs w:val="20"/>
          <w:color w:val="auto"/>
        </w:rPr>
      </w:pPr>
    </w:p>
    <w:p>
      <w:pPr>
        <w:jc w:val="center"/>
        <w:ind w:right="240"/>
        <w:spacing w:after="0"/>
        <w:rPr>
          <w:sz w:val="20"/>
          <w:szCs w:val="20"/>
          <w:color w:val="auto"/>
        </w:rPr>
      </w:pPr>
      <w:r>
        <w:rPr>
          <w:rFonts w:ascii="Arial" w:cs="Arial" w:eastAsia="Arial" w:hAnsi="Arial"/>
          <w:sz w:val="14"/>
          <w:szCs w:val="14"/>
          <w:color w:val="auto"/>
        </w:rPr>
        <w:t>/s/ William F. Cruger,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26035</wp:posOffset>
            </wp:positionV>
            <wp:extent cx="3382645" cy="76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0">
                      <a:extLst>
                        <a:ext uri="{28A0092B-C50C-407E-A947-70E740481C1C}"/>
                      </a:extLst>
                    </a:blip>
                    <a:srcRect/>
                    <a:stretch>
                      <a:fillRect/>
                    </a:stretch>
                  </pic:blipFill>
                  <pic:spPr bwMode="auto">
                    <a:xfrm>
                      <a:off x="0" y="0"/>
                      <a:ext cx="3382645" cy="7620"/>
                    </a:xfrm>
                    <a:prstGeom prst="rect">
                      <a:avLst/>
                    </a:prstGeom>
                    <a:noFill/>
                  </pic:spPr>
                </pic:pic>
              </a:graphicData>
            </a:graphic>
          </wp:anchor>
        </w:drawing>
      </w:r>
    </w:p>
    <w:p>
      <w:pPr>
        <w:spacing w:after="0" w:line="56"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William F. Cruger, Jr.</w:t>
      </w:r>
    </w:p>
    <w:p>
      <w:pPr>
        <w:spacing w:after="0" w:line="290"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/s/ Virginia Gambale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11430</wp:posOffset>
            </wp:positionV>
            <wp:extent cx="3382645" cy="76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1">
                      <a:extLst>
                        <a:ext uri="{28A0092B-C50C-407E-A947-70E740481C1C}"/>
                      </a:extLst>
                    </a:blip>
                    <a:srcRect/>
                    <a:stretch>
                      <a:fillRect/>
                    </a:stretch>
                  </pic:blipFill>
                  <pic:spPr bwMode="auto">
                    <a:xfrm>
                      <a:off x="0" y="0"/>
                      <a:ext cx="3382645" cy="7620"/>
                    </a:xfrm>
                    <a:prstGeom prst="rect">
                      <a:avLst/>
                    </a:prstGeom>
                    <a:noFill/>
                  </pic:spPr>
                </pic:pic>
              </a:graphicData>
            </a:graphic>
          </wp:anchor>
        </w:drawing>
      </w:r>
    </w:p>
    <w:p>
      <w:pPr>
        <w:spacing w:after="0" w:line="33"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Virginia Gambale</w:t>
      </w:r>
    </w:p>
    <w:p>
      <w:pPr>
        <w:spacing w:after="0" w:line="266" w:lineRule="exact"/>
        <w:rPr>
          <w:sz w:val="20"/>
          <w:szCs w:val="20"/>
          <w:color w:val="auto"/>
        </w:rPr>
      </w:pPr>
    </w:p>
    <w:p>
      <w:pPr>
        <w:jc w:val="center"/>
        <w:ind w:right="240"/>
        <w:spacing w:after="0"/>
        <w:rPr>
          <w:sz w:val="20"/>
          <w:szCs w:val="20"/>
          <w:color w:val="auto"/>
        </w:rPr>
      </w:pPr>
      <w:r>
        <w:rPr>
          <w:rFonts w:ascii="Arial" w:cs="Arial" w:eastAsia="Arial" w:hAnsi="Arial"/>
          <w:sz w:val="14"/>
          <w:szCs w:val="14"/>
          <w:color w:val="auto"/>
        </w:rPr>
        <w:t>/s/ Joseph J. Grano,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41275</wp:posOffset>
            </wp:positionV>
            <wp:extent cx="3382645" cy="76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2">
                      <a:extLst>
                        <a:ext uri="{28A0092B-C50C-407E-A947-70E740481C1C}"/>
                      </a:extLst>
                    </a:blip>
                    <a:srcRect/>
                    <a:stretch>
                      <a:fillRect/>
                    </a:stretch>
                  </pic:blipFill>
                  <pic:spPr bwMode="auto">
                    <a:xfrm>
                      <a:off x="0" y="0"/>
                      <a:ext cx="3382645" cy="7620"/>
                    </a:xfrm>
                    <a:prstGeom prst="rect">
                      <a:avLst/>
                    </a:prstGeom>
                    <a:noFill/>
                  </pic:spPr>
                </pic:pic>
              </a:graphicData>
            </a:graphic>
          </wp:anchor>
        </w:drawing>
      </w:r>
    </w:p>
    <w:p>
      <w:pPr>
        <w:spacing w:after="0" w:line="68"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Joseph J. Grano, Jr.</w:t>
      </w:r>
    </w:p>
    <w:p>
      <w:pPr>
        <w:spacing w:after="0" w:line="278"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/s/ Joanne Minieri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26670</wp:posOffset>
            </wp:positionV>
            <wp:extent cx="3382645" cy="76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3">
                      <a:extLst>
                        <a:ext uri="{28A0092B-C50C-407E-A947-70E740481C1C}"/>
                      </a:extLst>
                    </a:blip>
                    <a:srcRect/>
                    <a:stretch>
                      <a:fillRect/>
                    </a:stretch>
                  </pic:blipFill>
                  <pic:spPr bwMode="auto">
                    <a:xfrm>
                      <a:off x="0" y="0"/>
                      <a:ext cx="3382645" cy="7620"/>
                    </a:xfrm>
                    <a:prstGeom prst="rect">
                      <a:avLst/>
                    </a:prstGeom>
                    <a:noFill/>
                  </pic:spPr>
                </pic:pic>
              </a:graphicData>
            </a:graphic>
          </wp:anchor>
        </w:drawing>
      </w:r>
    </w:p>
    <w:p>
      <w:pPr>
        <w:spacing w:after="0" w:line="45"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Joanne Minieri</w:t>
      </w:r>
    </w:p>
    <w:p>
      <w:pPr>
        <w:spacing w:after="0" w:line="278"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/s/ John D. Nixon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26670</wp:posOffset>
            </wp:positionV>
            <wp:extent cx="3382645" cy="76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4">
                      <a:extLst>
                        <a:ext uri="{28A0092B-C50C-407E-A947-70E740481C1C}"/>
                      </a:extLst>
                    </a:blip>
                    <a:srcRect/>
                    <a:stretch>
                      <a:fillRect/>
                    </a:stretch>
                  </pic:blipFill>
                  <pic:spPr bwMode="auto">
                    <a:xfrm>
                      <a:off x="0" y="0"/>
                      <a:ext cx="3382645" cy="7620"/>
                    </a:xfrm>
                    <a:prstGeom prst="rect">
                      <a:avLst/>
                    </a:prstGeom>
                    <a:noFill/>
                  </pic:spPr>
                </pic:pic>
              </a:graphicData>
            </a:graphic>
          </wp:anchor>
        </w:drawing>
      </w:r>
    </w:p>
    <w:p>
      <w:pPr>
        <w:spacing w:after="0" w:line="56"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John D. Nixon</w:t>
      </w:r>
    </w:p>
    <w:p>
      <w:pPr>
        <w:spacing w:after="0" w:line="290"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/s/ Christopher Quick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11430</wp:posOffset>
            </wp:positionV>
            <wp:extent cx="3382645" cy="76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5">
                      <a:extLst>
                        <a:ext uri="{28A0092B-C50C-407E-A947-70E740481C1C}"/>
                      </a:extLst>
                    </a:blip>
                    <a:srcRect/>
                    <a:stretch>
                      <a:fillRect/>
                    </a:stretch>
                  </pic:blipFill>
                  <pic:spPr bwMode="auto">
                    <a:xfrm>
                      <a:off x="0" y="0"/>
                      <a:ext cx="3382645" cy="7620"/>
                    </a:xfrm>
                    <a:prstGeom prst="rect">
                      <a:avLst/>
                    </a:prstGeom>
                    <a:noFill/>
                  </pic:spPr>
                </pic:pic>
              </a:graphicData>
            </a:graphic>
          </wp:anchor>
        </w:drawing>
      </w:r>
    </w:p>
    <w:p>
      <w:pPr>
        <w:spacing w:after="0" w:line="33"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Christopher Quick</w:t>
      </w:r>
    </w:p>
    <w:p>
      <w:pPr>
        <w:spacing w:after="0" w:line="266"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/s/ David Urban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26670</wp:posOffset>
            </wp:positionV>
            <wp:extent cx="3382645" cy="76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6">
                      <a:extLst>
                        <a:ext uri="{28A0092B-C50C-407E-A947-70E740481C1C}"/>
                      </a:extLst>
                    </a:blip>
                    <a:srcRect/>
                    <a:stretch>
                      <a:fillRect/>
                    </a:stretch>
                  </pic:blipFill>
                  <pic:spPr bwMode="auto">
                    <a:xfrm>
                      <a:off x="0" y="0"/>
                      <a:ext cx="3382645" cy="7620"/>
                    </a:xfrm>
                    <a:prstGeom prst="rect">
                      <a:avLst/>
                    </a:prstGeom>
                    <a:noFill/>
                  </pic:spPr>
                </pic:pic>
              </a:graphicData>
            </a:graphic>
          </wp:anchor>
        </w:drawing>
      </w:r>
    </w:p>
    <w:p>
      <w:pPr>
        <w:spacing w:after="0" w:line="45"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David Urban</w:t>
      </w:r>
    </w:p>
    <w:p>
      <w:pPr>
        <w:spacing w:after="0" w:line="278"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/s/ Michael T. Viola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19050</wp:posOffset>
            </wp:positionV>
            <wp:extent cx="3382645" cy="76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7">
                      <a:extLst>
                        <a:ext uri="{28A0092B-C50C-407E-A947-70E740481C1C}"/>
                      </a:extLst>
                    </a:blip>
                    <a:srcRect/>
                    <a:stretch>
                      <a:fillRect/>
                    </a:stretch>
                  </pic:blipFill>
                  <pic:spPr bwMode="auto">
                    <a:xfrm>
                      <a:off x="0" y="0"/>
                      <a:ext cx="3382645" cy="7620"/>
                    </a:xfrm>
                    <a:prstGeom prst="rect">
                      <a:avLst/>
                    </a:prstGeom>
                    <a:noFill/>
                  </pic:spPr>
                </pic:pic>
              </a:graphicData>
            </a:graphic>
          </wp:anchor>
        </w:drawing>
      </w:r>
    </w:p>
    <w:p>
      <w:pPr>
        <w:spacing w:after="0" w:line="33"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Michael T. Viola</w:t>
      </w:r>
    </w:p>
    <w:p>
      <w:pPr>
        <w:spacing w:after="0" w:line="20" w:lineRule="exact"/>
        <w:rPr>
          <w:sz w:val="20"/>
          <w:szCs w:val="20"/>
          <w:color w:val="auto"/>
        </w:rPr>
      </w:pPr>
      <w:r>
        <w:rPr>
          <w:sz w:val="20"/>
          <w:szCs w:val="20"/>
          <w:color w:val="auto"/>
        </w:rPr>
        <w:br w:type="column"/>
      </w:r>
    </w:p>
    <w:p>
      <w:pPr>
        <w:spacing w:after="0" w:line="281" w:lineRule="exact"/>
        <w:rPr>
          <w:sz w:val="20"/>
          <w:szCs w:val="20"/>
          <w:color w:val="auto"/>
        </w:rPr>
      </w:pPr>
    </w:p>
    <w:p>
      <w:pPr>
        <w:jc w:val="center"/>
        <w:ind w:right="1100"/>
        <w:spacing w:after="0"/>
        <w:rPr>
          <w:sz w:val="20"/>
          <w:szCs w:val="20"/>
          <w:color w:val="auto"/>
        </w:rPr>
      </w:pPr>
      <w:r>
        <w:rPr>
          <w:rFonts w:ascii="Arial" w:cs="Arial" w:eastAsia="Arial" w:hAnsi="Arial"/>
          <w:sz w:val="16"/>
          <w:szCs w:val="16"/>
          <w:color w:val="auto"/>
        </w:rPr>
        <w:t>Chief Executive Officer</w:t>
      </w:r>
    </w:p>
    <w:p>
      <w:pPr>
        <w:jc w:val="center"/>
        <w:ind w:right="1060"/>
        <w:spacing w:after="0"/>
        <w:rPr>
          <w:sz w:val="20"/>
          <w:szCs w:val="20"/>
          <w:color w:val="auto"/>
        </w:rPr>
      </w:pPr>
      <w:r>
        <w:rPr>
          <w:rFonts w:ascii="Arial" w:cs="Arial" w:eastAsia="Arial" w:hAnsi="Arial"/>
          <w:sz w:val="15"/>
          <w:szCs w:val="15"/>
          <w:color w:val="auto"/>
        </w:rPr>
        <w:t>(Principal Executive Officer) and Director</w:t>
      </w:r>
    </w:p>
    <w:p>
      <w:pPr>
        <w:spacing w:after="0" w:line="354" w:lineRule="exact"/>
        <w:rPr>
          <w:sz w:val="20"/>
          <w:szCs w:val="20"/>
          <w:color w:val="auto"/>
        </w:rPr>
      </w:pPr>
    </w:p>
    <w:p>
      <w:pPr>
        <w:jc w:val="center"/>
        <w:ind w:right="1060"/>
        <w:spacing w:after="0"/>
        <w:rPr>
          <w:sz w:val="20"/>
          <w:szCs w:val="20"/>
          <w:color w:val="auto"/>
        </w:rPr>
      </w:pPr>
      <w:r>
        <w:rPr>
          <w:rFonts w:ascii="Arial" w:cs="Arial" w:eastAsia="Arial" w:hAnsi="Arial"/>
          <w:sz w:val="16"/>
          <w:szCs w:val="16"/>
          <w:color w:val="auto"/>
        </w:rPr>
        <w:t>Chief Financial Officer</w:t>
      </w:r>
    </w:p>
    <w:p>
      <w:pPr>
        <w:jc w:val="center"/>
        <w:ind w:right="1060"/>
        <w:spacing w:after="0"/>
        <w:rPr>
          <w:sz w:val="20"/>
          <w:szCs w:val="20"/>
          <w:color w:val="auto"/>
        </w:rPr>
      </w:pPr>
      <w:r>
        <w:rPr>
          <w:rFonts w:ascii="Arial" w:cs="Arial" w:eastAsia="Arial" w:hAnsi="Arial"/>
          <w:sz w:val="14"/>
          <w:szCs w:val="14"/>
          <w:color w:val="auto"/>
        </w:rPr>
        <w:t>(Principal Financial and Accounting Officer)</w:t>
      </w:r>
    </w:p>
    <w:p>
      <w:pPr>
        <w:spacing w:after="0" w:line="200" w:lineRule="exact"/>
        <w:rPr>
          <w:sz w:val="20"/>
          <w:szCs w:val="20"/>
          <w:color w:val="auto"/>
        </w:rPr>
      </w:pPr>
    </w:p>
    <w:p>
      <w:pPr>
        <w:spacing w:after="0" w:line="25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Chairman of the Board of Directors</w:t>
      </w:r>
    </w:p>
    <w:p>
      <w:pPr>
        <w:spacing w:after="0" w:line="200" w:lineRule="exact"/>
        <w:rPr>
          <w:sz w:val="20"/>
          <w:szCs w:val="20"/>
          <w:color w:val="auto"/>
        </w:rPr>
      </w:pPr>
    </w:p>
    <w:p>
      <w:pPr>
        <w:spacing w:after="0" w:line="32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Chairman Emeritus and Director</w:t>
      </w:r>
    </w:p>
    <w:p>
      <w:pPr>
        <w:spacing w:after="0" w:line="200" w:lineRule="exact"/>
        <w:rPr>
          <w:sz w:val="20"/>
          <w:szCs w:val="20"/>
          <w:color w:val="auto"/>
        </w:rPr>
      </w:pPr>
    </w:p>
    <w:p>
      <w:pPr>
        <w:spacing w:after="0" w:line="326"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326"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326"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326"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326"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326"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326"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326"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Director</w:t>
      </w:r>
    </w:p>
    <w:p>
      <w:pPr>
        <w:spacing w:after="0" w:line="318" w:lineRule="exact"/>
        <w:rPr>
          <w:sz w:val="20"/>
          <w:szCs w:val="20"/>
          <w:color w:val="auto"/>
        </w:rPr>
      </w:pPr>
    </w:p>
    <w:p>
      <w:pPr>
        <w:sectPr>
          <w:pgSz w:w="11900" w:h="16838" w:orient="portrait"/>
          <w:cols w:equalWidth="0" w:num="2">
            <w:col w:w="6140" w:space="720"/>
            <w:col w:w="3900"/>
          </w:cols>
          <w:pgMar w:left="320" w:top="127" w:right="8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479"/>
        <w:spacing w:after="0"/>
        <w:rPr>
          <w:sz w:val="20"/>
          <w:szCs w:val="20"/>
          <w:color w:val="auto"/>
        </w:rPr>
      </w:pPr>
      <w:r>
        <w:rPr>
          <w:rFonts w:ascii="Arial" w:cs="Arial" w:eastAsia="Arial" w:hAnsi="Arial"/>
          <w:sz w:val="14"/>
          <w:szCs w:val="14"/>
          <w:color w:val="auto"/>
        </w:rPr>
        <w:t>148</w:t>
      </w:r>
    </w:p>
    <w:p>
      <w:pPr>
        <w:sectPr>
          <w:pgSz w:w="11900" w:h="16838" w:orient="portrait"/>
          <w:cols w:equalWidth="0" w:num="1">
            <w:col w:w="10760"/>
          </w:cols>
          <w:pgMar w:left="320" w:top="127" w:right="819" w:bottom="1440" w:gutter="0" w:footer="0" w:header="0"/>
          <w:type w:val="continuous"/>
        </w:sectPr>
      </w:pPr>
    </w:p>
    <w:bookmarkStart w:id="148" w:name="page149"/>
    <w:bookmarkEnd w:id="148"/>
    <w:p>
      <w:pPr>
        <w:jc w:val="center"/>
        <w:ind w:right="-4"/>
        <w:spacing w:after="0"/>
        <w:rPr>
          <w:sz w:val="20"/>
          <w:szCs w:val="20"/>
          <w:color w:val="auto"/>
        </w:rPr>
      </w:pPr>
      <w:r>
        <w:rPr>
          <w:rFonts w:ascii="Arial" w:cs="Arial" w:eastAsia="Arial" w:hAnsi="Arial"/>
          <w:sz w:val="17"/>
          <w:szCs w:val="17"/>
          <w:b w:val="1"/>
          <w:bCs w:val="1"/>
          <w:color w:val="auto"/>
        </w:rPr>
        <w:t>VIRTU FINANCIAL, INC.</w:t>
      </w:r>
    </w:p>
    <w:p>
      <w:pPr>
        <w:jc w:val="center"/>
        <w:ind w:right="-4"/>
        <w:spacing w:after="0" w:line="203" w:lineRule="auto"/>
        <w:rPr>
          <w:sz w:val="20"/>
          <w:szCs w:val="20"/>
          <w:color w:val="auto"/>
        </w:rPr>
      </w:pPr>
      <w:r>
        <w:rPr>
          <w:rFonts w:ascii="Arial" w:cs="Arial" w:eastAsia="Arial" w:hAnsi="Arial"/>
          <w:sz w:val="17"/>
          <w:szCs w:val="17"/>
          <w:b w:val="1"/>
          <w:bCs w:val="1"/>
          <w:color w:val="auto"/>
        </w:rPr>
        <w:t>AMENDED AND RESTATED</w:t>
      </w:r>
    </w:p>
    <w:p>
      <w:pPr>
        <w:jc w:val="center"/>
        <w:ind w:right="-4"/>
        <w:spacing w:after="0" w:line="203" w:lineRule="auto"/>
        <w:rPr>
          <w:sz w:val="20"/>
          <w:szCs w:val="20"/>
          <w:color w:val="auto"/>
        </w:rPr>
      </w:pPr>
      <w:r>
        <w:rPr>
          <w:rFonts w:ascii="Arial" w:cs="Arial" w:eastAsia="Arial" w:hAnsi="Arial"/>
          <w:sz w:val="17"/>
          <w:szCs w:val="17"/>
          <w:b w:val="1"/>
          <w:bCs w:val="1"/>
          <w:color w:val="auto"/>
        </w:rPr>
        <w:t>2015 MANAGEMENT INCENTIVE PLAN</w:t>
      </w:r>
    </w:p>
    <w:p>
      <w:pPr>
        <w:spacing w:after="0" w:line="1" w:lineRule="exact"/>
        <w:rPr>
          <w:sz w:val="20"/>
          <w:szCs w:val="20"/>
          <w:color w:val="auto"/>
        </w:rPr>
      </w:pPr>
    </w:p>
    <w:p>
      <w:pPr>
        <w:jc w:val="center"/>
        <w:ind w:right="-4"/>
        <w:spacing w:after="0"/>
        <w:rPr>
          <w:sz w:val="20"/>
          <w:szCs w:val="20"/>
          <w:color w:val="auto"/>
        </w:rPr>
      </w:pPr>
      <w:r>
        <w:rPr>
          <w:rFonts w:ascii="Arial" w:cs="Arial" w:eastAsia="Arial" w:hAnsi="Arial"/>
          <w:sz w:val="17"/>
          <w:szCs w:val="17"/>
          <w:b w:val="1"/>
          <w:bCs w:val="1"/>
          <w:u w:val="single" w:color="auto"/>
          <w:color w:val="auto"/>
        </w:rPr>
        <w:t>RESTRICTED STOCK UNIT AND COMMON STOCK AWARD AGREEMENT</w:t>
      </w:r>
    </w:p>
    <w:p>
      <w:pPr>
        <w:spacing w:after="0" w:line="98" w:lineRule="exact"/>
        <w:rPr>
          <w:sz w:val="20"/>
          <w:szCs w:val="20"/>
          <w:color w:val="auto"/>
        </w:rPr>
      </w:pPr>
    </w:p>
    <w:p>
      <w:pPr>
        <w:ind w:left="5" w:right="160" w:firstLine="568"/>
        <w:spacing w:after="0" w:line="237" w:lineRule="auto"/>
        <w:rPr>
          <w:sz w:val="20"/>
          <w:szCs w:val="20"/>
          <w:color w:val="auto"/>
        </w:rPr>
      </w:pPr>
      <w:r>
        <w:rPr>
          <w:rFonts w:ascii="Arial" w:cs="Arial" w:eastAsia="Arial" w:hAnsi="Arial"/>
          <w:sz w:val="17"/>
          <w:szCs w:val="17"/>
          <w:color w:val="auto"/>
        </w:rPr>
        <w:t>THIS RESTRICTED STOCK UNIT AND COMMON STOCK AWARD AGREEMENT (the “</w:t>
      </w:r>
      <w:r>
        <w:rPr>
          <w:rFonts w:ascii="Arial" w:cs="Arial" w:eastAsia="Arial" w:hAnsi="Arial"/>
          <w:sz w:val="17"/>
          <w:szCs w:val="17"/>
          <w:u w:val="single" w:color="auto"/>
          <w:color w:val="auto"/>
        </w:rPr>
        <w:t>Agreement</w:t>
      </w:r>
      <w:r>
        <w:rPr>
          <w:rFonts w:ascii="Arial" w:cs="Arial" w:eastAsia="Arial" w:hAnsi="Arial"/>
          <w:sz w:val="17"/>
          <w:szCs w:val="17"/>
          <w:color w:val="auto"/>
        </w:rPr>
        <w:t>”), is entered into as of January 24, 2020 (the “</w:t>
      </w:r>
      <w:r>
        <w:rPr>
          <w:rFonts w:ascii="Arial" w:cs="Arial" w:eastAsia="Arial" w:hAnsi="Arial"/>
          <w:sz w:val="17"/>
          <w:szCs w:val="17"/>
          <w:u w:val="single" w:color="auto"/>
          <w:color w:val="auto"/>
        </w:rPr>
        <w:t>Date of Grant</w:t>
      </w:r>
      <w:r>
        <w:rPr>
          <w:rFonts w:ascii="Arial" w:cs="Arial" w:eastAsia="Arial" w:hAnsi="Arial"/>
          <w:sz w:val="17"/>
          <w:szCs w:val="17"/>
          <w:color w:val="auto"/>
        </w:rPr>
        <w:t>”), by and between Virtu Financial,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and Douglas Cifu (the “</w:t>
      </w:r>
      <w:r>
        <w:rPr>
          <w:rFonts w:ascii="Arial" w:cs="Arial" w:eastAsia="Arial" w:hAnsi="Arial"/>
          <w:sz w:val="17"/>
          <w:szCs w:val="17"/>
          <w:u w:val="single" w:color="auto"/>
          <w:color w:val="auto"/>
        </w:rPr>
        <w:t>Participant</w:t>
      </w:r>
      <w:r>
        <w:rPr>
          <w:rFonts w:ascii="Arial" w:cs="Arial" w:eastAsia="Arial" w:hAnsi="Arial"/>
          <w:sz w:val="17"/>
          <w:szCs w:val="17"/>
          <w:color w:val="auto"/>
        </w:rPr>
        <w:t>”).</w:t>
      </w:r>
    </w:p>
    <w:p>
      <w:pPr>
        <w:spacing w:after="0" w:line="87" w:lineRule="exact"/>
        <w:rPr>
          <w:sz w:val="20"/>
          <w:szCs w:val="20"/>
          <w:color w:val="auto"/>
        </w:rPr>
      </w:pPr>
    </w:p>
    <w:p>
      <w:pPr>
        <w:ind w:left="5" w:right="40" w:firstLine="568"/>
        <w:spacing w:after="0" w:line="237" w:lineRule="auto"/>
        <w:rPr>
          <w:sz w:val="20"/>
          <w:szCs w:val="20"/>
          <w:color w:val="auto"/>
        </w:rPr>
      </w:pPr>
      <w:r>
        <w:rPr>
          <w:rFonts w:ascii="Arial" w:cs="Arial" w:eastAsia="Arial" w:hAnsi="Arial"/>
          <w:sz w:val="17"/>
          <w:szCs w:val="17"/>
          <w:color w:val="auto"/>
        </w:rPr>
        <w:t>WHEREAS, the Company has adopted the Virtu Financial, Inc. Amended and Restated 2015 Management Incentive Plan (the “</w:t>
      </w:r>
      <w:r>
        <w:rPr>
          <w:rFonts w:ascii="Arial" w:cs="Arial" w:eastAsia="Arial" w:hAnsi="Arial"/>
          <w:sz w:val="17"/>
          <w:szCs w:val="17"/>
          <w:u w:val="single" w:color="auto"/>
          <w:color w:val="auto"/>
        </w:rPr>
        <w:t>Plan</w:t>
      </w:r>
      <w:r>
        <w:rPr>
          <w:rFonts w:ascii="Arial" w:cs="Arial" w:eastAsia="Arial" w:hAnsi="Arial"/>
          <w:sz w:val="17"/>
          <w:szCs w:val="17"/>
          <w:color w:val="auto"/>
        </w:rPr>
        <w:t>”), pursuant to which shares of Class A Common Stock and Restricted Stock Units (“</w:t>
      </w:r>
      <w:r>
        <w:rPr>
          <w:rFonts w:ascii="Arial" w:cs="Arial" w:eastAsia="Arial" w:hAnsi="Arial"/>
          <w:sz w:val="17"/>
          <w:szCs w:val="17"/>
          <w:u w:val="single" w:color="auto"/>
          <w:color w:val="auto"/>
        </w:rPr>
        <w:t>RSUs</w:t>
      </w:r>
      <w:r>
        <w:rPr>
          <w:rFonts w:ascii="Arial" w:cs="Arial" w:eastAsia="Arial" w:hAnsi="Arial"/>
          <w:sz w:val="17"/>
          <w:szCs w:val="17"/>
          <w:color w:val="auto"/>
        </w:rPr>
        <w:t>”) may be granted; and</w:t>
      </w:r>
    </w:p>
    <w:p>
      <w:pPr>
        <w:spacing w:after="0" w:line="87" w:lineRule="exact"/>
        <w:rPr>
          <w:sz w:val="20"/>
          <w:szCs w:val="20"/>
          <w:color w:val="auto"/>
        </w:rPr>
      </w:pPr>
    </w:p>
    <w:p>
      <w:pPr>
        <w:jc w:val="both"/>
        <w:ind w:left="5" w:firstLine="568"/>
        <w:spacing w:after="0" w:line="225" w:lineRule="auto"/>
        <w:rPr>
          <w:sz w:val="20"/>
          <w:szCs w:val="20"/>
          <w:color w:val="auto"/>
        </w:rPr>
      </w:pPr>
      <w:r>
        <w:rPr>
          <w:rFonts w:ascii="Arial" w:cs="Arial" w:eastAsia="Arial" w:hAnsi="Arial"/>
          <w:sz w:val="17"/>
          <w:szCs w:val="17"/>
          <w:color w:val="auto"/>
        </w:rPr>
        <w:t>WHEREAS, the Compensation Committee of the Board of Directors of the Company has determined that it is in the best interests of the Company and its stockholders to grant the shares of Class A Common Stock in recognition of Participant’s service to the Company and its Affiliates from January 1, 2019 through December 31, 2019, and RSUs provided for herein to the Participant subject to the terms set forth herein.</w:t>
      </w:r>
    </w:p>
    <w:p>
      <w:pPr>
        <w:spacing w:after="0" w:line="90" w:lineRule="exact"/>
        <w:rPr>
          <w:sz w:val="20"/>
          <w:szCs w:val="20"/>
          <w:color w:val="auto"/>
        </w:rPr>
      </w:pPr>
    </w:p>
    <w:p>
      <w:pPr>
        <w:ind w:left="5" w:right="320" w:firstLine="568"/>
        <w:spacing w:after="0" w:line="297" w:lineRule="auto"/>
        <w:rPr>
          <w:sz w:val="20"/>
          <w:szCs w:val="20"/>
          <w:color w:val="auto"/>
        </w:rPr>
      </w:pPr>
      <w:r>
        <w:rPr>
          <w:rFonts w:ascii="Arial" w:cs="Arial" w:eastAsia="Arial" w:hAnsi="Arial"/>
          <w:sz w:val="15"/>
          <w:szCs w:val="15"/>
          <w:color w:val="auto"/>
        </w:rPr>
        <w:t>NOW, THEREFORE, for and in consideration of the premises and the covenants of the parties contained in this Agreement, and for other good and valuable consideration, the receipt of which is hereby acknowledged, the parties hereto, for themselves, their successors and assigns, hereby agree as follows:</w:t>
      </w:r>
    </w:p>
    <w:p>
      <w:pPr>
        <w:spacing w:after="0" w:line="88" w:lineRule="exact"/>
        <w:rPr>
          <w:sz w:val="20"/>
          <w:szCs w:val="20"/>
          <w:color w:val="auto"/>
        </w:rPr>
      </w:pPr>
    </w:p>
    <w:p>
      <w:pPr>
        <w:ind w:left="305" w:hanging="305"/>
        <w:spacing w:after="0"/>
        <w:tabs>
          <w:tab w:leader="none" w:pos="305" w:val="left"/>
        </w:tabs>
        <w:numPr>
          <w:ilvl w:val="0"/>
          <w:numId w:val="43"/>
        </w:numPr>
        <w:rPr>
          <w:rFonts w:ascii="Arial" w:cs="Arial" w:eastAsia="Arial" w:hAnsi="Arial"/>
          <w:sz w:val="17"/>
          <w:szCs w:val="17"/>
          <w:b w:val="1"/>
          <w:bCs w:val="1"/>
          <w:color w:val="auto"/>
        </w:rPr>
      </w:pPr>
      <w:r>
        <w:rPr>
          <w:rFonts w:ascii="Arial" w:cs="Arial" w:eastAsia="Arial" w:hAnsi="Arial"/>
          <w:sz w:val="17"/>
          <w:szCs w:val="17"/>
          <w:b w:val="1"/>
          <w:bCs w:val="1"/>
          <w:color w:val="auto"/>
        </w:rPr>
        <w:t>Grant of Common Stock and Restricted Stock Units.</w:t>
      </w:r>
    </w:p>
    <w:p>
      <w:pPr>
        <w:spacing w:after="0" w:line="165" w:lineRule="exact"/>
        <w:rPr>
          <w:rFonts w:ascii="Arial" w:cs="Arial" w:eastAsia="Arial" w:hAnsi="Arial"/>
          <w:sz w:val="17"/>
          <w:szCs w:val="17"/>
          <w:b w:val="1"/>
          <w:bCs w:val="1"/>
          <w:color w:val="auto"/>
        </w:rPr>
      </w:pPr>
    </w:p>
    <w:p>
      <w:pPr>
        <w:ind w:left="5" w:right="40" w:firstLine="563"/>
        <w:spacing w:after="0" w:line="230" w:lineRule="auto"/>
        <w:tabs>
          <w:tab w:leader="none" w:pos="939" w:val="left"/>
        </w:tabs>
        <w:numPr>
          <w:ilvl w:val="1"/>
          <w:numId w:val="43"/>
        </w:numPr>
        <w:rPr>
          <w:rFonts w:ascii="Arial" w:cs="Arial" w:eastAsia="Arial" w:hAnsi="Arial"/>
          <w:sz w:val="16"/>
          <w:szCs w:val="16"/>
          <w:color w:val="auto"/>
        </w:rPr>
      </w:pPr>
      <w:r>
        <w:rPr>
          <w:rFonts w:ascii="Arial" w:cs="Arial" w:eastAsia="Arial" w:hAnsi="Arial"/>
          <w:sz w:val="16"/>
          <w:szCs w:val="16"/>
          <w:u w:val="single" w:color="auto"/>
          <w:color w:val="auto"/>
        </w:rPr>
        <w:t>Grant</w:t>
      </w:r>
      <w:r>
        <w:rPr>
          <w:rFonts w:ascii="Arial" w:cs="Arial" w:eastAsia="Arial" w:hAnsi="Arial"/>
          <w:sz w:val="16"/>
          <w:szCs w:val="16"/>
          <w:color w:val="auto"/>
        </w:rPr>
        <w:t>. The Company hereby grants to the Participant a total number of shares of Class A Common Stock equal to approximately $840,000 divided by the Issue Price (the “</w:t>
      </w:r>
      <w:r>
        <w:rPr>
          <w:rFonts w:ascii="Arial" w:cs="Arial" w:eastAsia="Arial" w:hAnsi="Arial"/>
          <w:sz w:val="16"/>
          <w:szCs w:val="16"/>
          <w:u w:val="single" w:color="auto"/>
          <w:color w:val="auto"/>
        </w:rPr>
        <w:t>Shares</w:t>
      </w:r>
      <w:r>
        <w:rPr>
          <w:rFonts w:ascii="Arial" w:cs="Arial" w:eastAsia="Arial" w:hAnsi="Arial"/>
          <w:sz w:val="16"/>
          <w:szCs w:val="16"/>
          <w:color w:val="auto"/>
        </w:rPr>
        <w:t>”), and a total number of RSUs equal to approximately $1,260,000 divided by the Issue Price, in each case on the terms and conditions set forth in this Agreement and as otherwise provided in the Plan. The RSUs shall be credited to a separate book-entry account maintained for the Participant on the books of the Company, which may be maintained by a third party. The “</w:t>
      </w:r>
      <w:r>
        <w:rPr>
          <w:rFonts w:ascii="Arial" w:cs="Arial" w:eastAsia="Arial" w:hAnsi="Arial"/>
          <w:sz w:val="16"/>
          <w:szCs w:val="16"/>
          <w:u w:val="single" w:color="auto"/>
          <w:color w:val="auto"/>
        </w:rPr>
        <w:t>Issue Price</w:t>
      </w:r>
      <w:r>
        <w:rPr>
          <w:rFonts w:ascii="Arial" w:cs="Arial" w:eastAsia="Arial" w:hAnsi="Arial"/>
          <w:sz w:val="16"/>
          <w:szCs w:val="16"/>
          <w:color w:val="auto"/>
        </w:rPr>
        <w:t>” shall mean the volume weighted average price of shares of the Company’s Class A Common Stock traded during the three days preceding the Date of Grant, as determined by the Company.</w:t>
      </w:r>
    </w:p>
    <w:p>
      <w:pPr>
        <w:spacing w:after="0" w:line="136" w:lineRule="exact"/>
        <w:rPr>
          <w:rFonts w:ascii="Arial" w:cs="Arial" w:eastAsia="Arial" w:hAnsi="Arial"/>
          <w:sz w:val="16"/>
          <w:szCs w:val="16"/>
          <w:color w:val="auto"/>
        </w:rPr>
      </w:pPr>
    </w:p>
    <w:p>
      <w:pPr>
        <w:ind w:left="5" w:right="140" w:firstLine="563"/>
        <w:spacing w:after="0" w:line="213" w:lineRule="auto"/>
        <w:tabs>
          <w:tab w:leader="none" w:pos="949" w:val="left"/>
        </w:tabs>
        <w:numPr>
          <w:ilvl w:val="1"/>
          <w:numId w:val="43"/>
        </w:numPr>
        <w:rPr>
          <w:rFonts w:ascii="Arial" w:cs="Arial" w:eastAsia="Arial" w:hAnsi="Arial"/>
          <w:sz w:val="17"/>
          <w:szCs w:val="17"/>
          <w:color w:val="auto"/>
        </w:rPr>
      </w:pPr>
      <w:r>
        <w:rPr>
          <w:rFonts w:ascii="Arial" w:cs="Arial" w:eastAsia="Arial" w:hAnsi="Arial"/>
          <w:sz w:val="17"/>
          <w:szCs w:val="17"/>
          <w:u w:val="single" w:color="auto"/>
          <w:color w:val="auto"/>
        </w:rPr>
        <w:t>Incorporation by Reference</w:t>
      </w:r>
      <w:r>
        <w:rPr>
          <w:rFonts w:ascii="Arial" w:cs="Arial" w:eastAsia="Arial" w:hAnsi="Arial"/>
          <w:sz w:val="17"/>
          <w:szCs w:val="17"/>
          <w:color w:val="auto"/>
        </w:rPr>
        <w:t>. The provisions of the Plan are incorporated herein by reference. Except as otherwise expressly set forth herein, this Agreement shall be construed in accordance with the provisions of the Plan and any interpretations, amendments, rules and regulations promulgated by the Committee from time to time pursuant to the Plan. Any capitalized terms not otherwise defined in this Agreement shall have the definitions set forth in the Plan. The Committee shall have final authority to interpret and construe the Plan and this Agreement and to make any and all determinations under them, and its decision shall be binding and conclusive upon the Participant and his legal representative in respect of any questions arising under the Plan or this Agreement. The Participant acknowledges that he has received a copy of the Plan and has had an opportunity to review the Plan and agrees to be bound by all the terms and provisions of the Plan.</w:t>
      </w:r>
    </w:p>
    <w:p>
      <w:pPr>
        <w:spacing w:after="0" w:line="129" w:lineRule="exact"/>
        <w:rPr>
          <w:rFonts w:ascii="Arial" w:cs="Arial" w:eastAsia="Arial" w:hAnsi="Arial"/>
          <w:sz w:val="17"/>
          <w:szCs w:val="17"/>
          <w:color w:val="auto"/>
        </w:rPr>
      </w:pPr>
    </w:p>
    <w:p>
      <w:pPr>
        <w:ind w:left="305" w:hanging="305"/>
        <w:spacing w:after="0"/>
        <w:tabs>
          <w:tab w:leader="none" w:pos="305" w:val="left"/>
        </w:tabs>
        <w:numPr>
          <w:ilvl w:val="0"/>
          <w:numId w:val="43"/>
        </w:numPr>
        <w:rPr>
          <w:rFonts w:ascii="Arial" w:cs="Arial" w:eastAsia="Arial" w:hAnsi="Arial"/>
          <w:sz w:val="17"/>
          <w:szCs w:val="17"/>
          <w:b w:val="1"/>
          <w:bCs w:val="1"/>
          <w:color w:val="auto"/>
        </w:rPr>
      </w:pPr>
      <w:r>
        <w:rPr>
          <w:rFonts w:ascii="Arial" w:cs="Arial" w:eastAsia="Arial" w:hAnsi="Arial"/>
          <w:sz w:val="17"/>
          <w:szCs w:val="17"/>
          <w:b w:val="1"/>
          <w:bCs w:val="1"/>
          <w:color w:val="auto"/>
        </w:rPr>
        <w:t>Vesting and Settlement.</w:t>
      </w:r>
    </w:p>
    <w:p>
      <w:pPr>
        <w:spacing w:after="0" w:line="165" w:lineRule="exact"/>
        <w:rPr>
          <w:rFonts w:ascii="Arial" w:cs="Arial" w:eastAsia="Arial" w:hAnsi="Arial"/>
          <w:sz w:val="17"/>
          <w:szCs w:val="17"/>
          <w:b w:val="1"/>
          <w:bCs w:val="1"/>
          <w:color w:val="auto"/>
        </w:rPr>
      </w:pPr>
    </w:p>
    <w:p>
      <w:pPr>
        <w:ind w:left="925" w:hanging="357"/>
        <w:spacing w:after="0"/>
        <w:tabs>
          <w:tab w:leader="none" w:pos="925" w:val="left"/>
        </w:tabs>
        <w:numPr>
          <w:ilvl w:val="1"/>
          <w:numId w:val="43"/>
        </w:numPr>
        <w:rPr>
          <w:rFonts w:ascii="Arial" w:cs="Arial" w:eastAsia="Arial" w:hAnsi="Arial"/>
          <w:sz w:val="17"/>
          <w:szCs w:val="17"/>
          <w:color w:val="auto"/>
        </w:rPr>
      </w:pPr>
      <w:r>
        <w:rPr>
          <w:rFonts w:ascii="Arial" w:cs="Arial" w:eastAsia="Arial" w:hAnsi="Arial"/>
          <w:sz w:val="17"/>
          <w:szCs w:val="17"/>
          <w:color w:val="auto"/>
        </w:rPr>
        <w:t>The Shares shall be one hundred percent (100%) vested as of the Date of Grant.</w:t>
      </w:r>
    </w:p>
    <w:p>
      <w:pPr>
        <w:spacing w:after="0" w:line="159" w:lineRule="exact"/>
        <w:rPr>
          <w:rFonts w:ascii="Arial" w:cs="Arial" w:eastAsia="Arial" w:hAnsi="Arial"/>
          <w:sz w:val="17"/>
          <w:szCs w:val="17"/>
          <w:color w:val="auto"/>
        </w:rPr>
      </w:pPr>
    </w:p>
    <w:p>
      <w:pPr>
        <w:ind w:left="5" w:right="80" w:firstLine="563"/>
        <w:spacing w:after="0" w:line="216" w:lineRule="auto"/>
        <w:tabs>
          <w:tab w:leader="none" w:pos="949" w:val="left"/>
        </w:tabs>
        <w:numPr>
          <w:ilvl w:val="1"/>
          <w:numId w:val="43"/>
        </w:numPr>
        <w:rPr>
          <w:rFonts w:ascii="Arial" w:cs="Arial" w:eastAsia="Arial" w:hAnsi="Arial"/>
          <w:sz w:val="17"/>
          <w:szCs w:val="17"/>
          <w:color w:val="auto"/>
        </w:rPr>
      </w:pPr>
      <w:r>
        <w:rPr>
          <w:rFonts w:ascii="Arial" w:cs="Arial" w:eastAsia="Arial" w:hAnsi="Arial"/>
          <w:sz w:val="17"/>
          <w:szCs w:val="17"/>
          <w:color w:val="auto"/>
        </w:rPr>
        <w:t>Except as may otherwise be provided herein, subject to the Participant’s continued employment or service with the Company or an Affiliate, the RSUs shall vest in equal installments on each of the first three (3) anniversaries of the Date of Grant (each such date, a “</w:t>
      </w:r>
      <w:r>
        <w:rPr>
          <w:rFonts w:ascii="Arial" w:cs="Arial" w:eastAsia="Arial" w:hAnsi="Arial"/>
          <w:sz w:val="17"/>
          <w:szCs w:val="17"/>
          <w:u w:val="single" w:color="auto"/>
          <w:color w:val="auto"/>
        </w:rPr>
        <w:t>Vesting Date</w:t>
      </w:r>
      <w:r>
        <w:rPr>
          <w:rFonts w:ascii="Arial" w:cs="Arial" w:eastAsia="Arial" w:hAnsi="Arial"/>
          <w:sz w:val="17"/>
          <w:szCs w:val="17"/>
          <w:color w:val="auto"/>
        </w:rPr>
        <w:t>”). Upon each Vesting Date, such portion of the RSUs that vest on such date shall no longer be subject to the transfer restrictions pursuant to Section 9(a) hereof or cancellation pursuant to Section 4 hereof. Any fractional RSUs resulting from the application of the vesting schedule shall be aggregated and the RSUs resulting from such aggregation shall vest on the final Vesting Date.</w:t>
      </w:r>
    </w:p>
    <w:p>
      <w:pPr>
        <w:spacing w:after="0" w:line="138" w:lineRule="exact"/>
        <w:rPr>
          <w:rFonts w:ascii="Arial" w:cs="Arial" w:eastAsia="Arial" w:hAnsi="Arial"/>
          <w:sz w:val="17"/>
          <w:szCs w:val="17"/>
          <w:color w:val="auto"/>
        </w:rPr>
      </w:pPr>
    </w:p>
    <w:p>
      <w:pPr>
        <w:ind w:left="5" w:right="580" w:firstLine="563"/>
        <w:spacing w:after="0" w:line="237" w:lineRule="auto"/>
        <w:tabs>
          <w:tab w:leader="none" w:pos="936" w:val="left"/>
        </w:tabs>
        <w:numPr>
          <w:ilvl w:val="1"/>
          <w:numId w:val="43"/>
        </w:numPr>
        <w:rPr>
          <w:rFonts w:ascii="Arial" w:cs="Arial" w:eastAsia="Arial" w:hAnsi="Arial"/>
          <w:sz w:val="17"/>
          <w:szCs w:val="17"/>
          <w:color w:val="auto"/>
        </w:rPr>
      </w:pPr>
      <w:r>
        <w:rPr>
          <w:rFonts w:ascii="Arial" w:cs="Arial" w:eastAsia="Arial" w:hAnsi="Arial"/>
          <w:sz w:val="17"/>
          <w:szCs w:val="17"/>
          <w:color w:val="auto"/>
        </w:rPr>
        <w:t>Vested RSUs shall be settled within ten (10) days following the Vesting Date for such RSUs in shares of Class A Common Stock, or cash, as determined by the Committee in its sole discretion.</w:t>
      </w:r>
    </w:p>
    <w:p>
      <w:pPr>
        <w:sectPr>
          <w:pgSz w:w="11900" w:h="16838" w:orient="portrait"/>
          <w:cols w:equalWidth="0" w:num="1">
            <w:col w:w="11265"/>
          </w:cols>
          <w:pgMar w:left="315" w:top="1234" w:right="319" w:bottom="1440" w:gutter="0" w:footer="0" w:header="0"/>
        </w:sectPr>
      </w:pPr>
    </w:p>
    <w:bookmarkStart w:id="149" w:name="page150"/>
    <w:bookmarkEnd w:id="149"/>
    <w:p>
      <w:pPr>
        <w:ind w:left="5" w:right="140" w:hanging="5"/>
        <w:spacing w:after="0" w:line="228" w:lineRule="auto"/>
        <w:tabs>
          <w:tab w:leader="none" w:pos="309" w:val="left"/>
        </w:tabs>
        <w:numPr>
          <w:ilvl w:val="0"/>
          <w:numId w:val="4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Dividend Equivalents. </w:t>
      </w:r>
      <w:r>
        <w:rPr>
          <w:rFonts w:ascii="Arial" w:cs="Arial" w:eastAsia="Arial" w:hAnsi="Arial"/>
          <w:sz w:val="17"/>
          <w:szCs w:val="17"/>
          <w:color w:val="auto"/>
        </w:rPr>
        <w:t>In the event of any issuance of a cash dividend on the shares of Class A Common Stock (a “</w:t>
      </w:r>
      <w:r>
        <w:rPr>
          <w:rFonts w:ascii="Arial" w:cs="Arial" w:eastAsia="Arial" w:hAnsi="Arial"/>
          <w:sz w:val="17"/>
          <w:szCs w:val="17"/>
          <w:u w:val="single" w:color="auto"/>
          <w:color w:val="auto"/>
        </w:rPr>
        <w:t>Dividend</w:t>
      </w:r>
      <w:r>
        <w:rPr>
          <w:rFonts w:ascii="Arial" w:cs="Arial" w:eastAsia="Arial" w:hAnsi="Arial"/>
          <w:sz w:val="17"/>
          <w:szCs w:val="17"/>
          <w:color w:val="auto"/>
        </w:rPr>
        <w:t>”), the Participant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entitled to receive, with respect to each RSU granted pursuant to this Agreement and outstanding as of the record date for such Dividend, payment of an amount equal to the Dividend at the same time as the Dividend is paid to holders of shares of Class A Common Stock generally.</w:t>
      </w:r>
    </w:p>
    <w:p>
      <w:pPr>
        <w:spacing w:after="0" w:line="129" w:lineRule="exact"/>
        <w:rPr>
          <w:rFonts w:ascii="Arial" w:cs="Arial" w:eastAsia="Arial" w:hAnsi="Arial"/>
          <w:sz w:val="17"/>
          <w:szCs w:val="17"/>
          <w:b w:val="1"/>
          <w:bCs w:val="1"/>
          <w:color w:val="auto"/>
        </w:rPr>
      </w:pPr>
    </w:p>
    <w:p>
      <w:pPr>
        <w:ind w:left="5" w:right="480" w:hanging="5"/>
        <w:spacing w:after="0" w:line="271" w:lineRule="auto"/>
        <w:tabs>
          <w:tab w:leader="none" w:pos="306" w:val="left"/>
        </w:tabs>
        <w:numPr>
          <w:ilvl w:val="0"/>
          <w:numId w:val="4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Termination of Employment or Service. </w:t>
      </w:r>
      <w:r>
        <w:rPr>
          <w:rFonts w:ascii="Arial" w:cs="Arial" w:eastAsia="Arial" w:hAnsi="Arial"/>
          <w:sz w:val="16"/>
          <w:szCs w:val="16"/>
          <w:color w:val="auto"/>
        </w:rPr>
        <w:t>If the Participant’s employment or service with the Company and its Affiliates terminates for any reason, all</w:t>
      </w:r>
      <w:r>
        <w:rPr>
          <w:rFonts w:ascii="Arial" w:cs="Arial" w:eastAsia="Arial" w:hAnsi="Arial"/>
          <w:sz w:val="16"/>
          <w:szCs w:val="16"/>
          <w:b w:val="1"/>
          <w:bCs w:val="1"/>
          <w:color w:val="auto"/>
        </w:rPr>
        <w:t xml:space="preserve"> </w:t>
      </w:r>
      <w:r>
        <w:rPr>
          <w:rFonts w:ascii="Arial" w:cs="Arial" w:eastAsia="Arial" w:hAnsi="Arial"/>
          <w:sz w:val="16"/>
          <w:szCs w:val="16"/>
          <w:color w:val="auto"/>
        </w:rPr>
        <w:t>unvested RSUs shall be cancelled immediately and the Participant shall not be entitled to receive any payments with respect thereto.</w:t>
      </w:r>
    </w:p>
    <w:p>
      <w:pPr>
        <w:spacing w:after="0" w:line="105" w:lineRule="exact"/>
        <w:rPr>
          <w:rFonts w:ascii="Arial" w:cs="Arial" w:eastAsia="Arial" w:hAnsi="Arial"/>
          <w:sz w:val="16"/>
          <w:szCs w:val="16"/>
          <w:b w:val="1"/>
          <w:bCs w:val="1"/>
          <w:color w:val="auto"/>
        </w:rPr>
      </w:pPr>
    </w:p>
    <w:p>
      <w:pPr>
        <w:ind w:left="5" w:right="160" w:hanging="5"/>
        <w:spacing w:after="0" w:line="232" w:lineRule="auto"/>
        <w:tabs>
          <w:tab w:leader="none" w:pos="309" w:val="left"/>
        </w:tabs>
        <w:numPr>
          <w:ilvl w:val="0"/>
          <w:numId w:val="4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Rights as a Stockholder. </w:t>
      </w:r>
      <w:r>
        <w:rPr>
          <w:rFonts w:ascii="Arial" w:cs="Arial" w:eastAsia="Arial" w:hAnsi="Arial"/>
          <w:sz w:val="16"/>
          <w:szCs w:val="16"/>
          <w:color w:val="auto"/>
        </w:rPr>
        <w:t>The Participant shall not be deemed for any purpose to be the owner of any shares of Class A Common Stock constituting the</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or underlying the RSUs unless, until and to the extent that (i) the Company shall have issued and delivered to the Participant the shares of Class A Common Stock constituting the Shares or underlying the RSUs and (ii) the Participant’s name shall have been entered as a stockholder of record with respect to such shares of Class A Common Stock on the books of the Company. The Company shall cause the actions described in clauses (i) and (ii) of the preceding sentence to occur promptly following settlement as contemplated by this Agreement, subject to compliance with applicable laws.</w:t>
      </w:r>
    </w:p>
    <w:p>
      <w:pPr>
        <w:spacing w:after="0" w:line="128" w:lineRule="exact"/>
        <w:rPr>
          <w:rFonts w:ascii="Arial" w:cs="Arial" w:eastAsia="Arial" w:hAnsi="Arial"/>
          <w:sz w:val="16"/>
          <w:szCs w:val="16"/>
          <w:b w:val="1"/>
          <w:bCs w:val="1"/>
          <w:color w:val="auto"/>
        </w:rPr>
      </w:pPr>
    </w:p>
    <w:p>
      <w:pPr>
        <w:ind w:left="305" w:hanging="305"/>
        <w:spacing w:after="0"/>
        <w:tabs>
          <w:tab w:leader="none" w:pos="305" w:val="left"/>
        </w:tabs>
        <w:numPr>
          <w:ilvl w:val="0"/>
          <w:numId w:val="44"/>
        </w:numPr>
        <w:rPr>
          <w:rFonts w:ascii="Arial" w:cs="Arial" w:eastAsia="Arial" w:hAnsi="Arial"/>
          <w:sz w:val="17"/>
          <w:szCs w:val="17"/>
          <w:b w:val="1"/>
          <w:bCs w:val="1"/>
          <w:color w:val="auto"/>
        </w:rPr>
      </w:pPr>
      <w:r>
        <w:rPr>
          <w:rFonts w:ascii="Arial" w:cs="Arial" w:eastAsia="Arial" w:hAnsi="Arial"/>
          <w:sz w:val="17"/>
          <w:szCs w:val="17"/>
          <w:b w:val="1"/>
          <w:bCs w:val="1"/>
          <w:color w:val="auto"/>
        </w:rPr>
        <w:t>Compliance with Legal Requirements.</w:t>
      </w:r>
    </w:p>
    <w:p>
      <w:pPr>
        <w:spacing w:after="0" w:line="165" w:lineRule="exact"/>
        <w:rPr>
          <w:rFonts w:ascii="Arial" w:cs="Arial" w:eastAsia="Arial" w:hAnsi="Arial"/>
          <w:sz w:val="17"/>
          <w:szCs w:val="17"/>
          <w:b w:val="1"/>
          <w:bCs w:val="1"/>
          <w:color w:val="auto"/>
        </w:rPr>
      </w:pPr>
    </w:p>
    <w:p>
      <w:pPr>
        <w:ind w:left="5" w:firstLine="563"/>
        <w:spacing w:after="0" w:line="216" w:lineRule="auto"/>
        <w:tabs>
          <w:tab w:leader="none" w:pos="939" w:val="left"/>
        </w:tabs>
        <w:numPr>
          <w:ilvl w:val="1"/>
          <w:numId w:val="44"/>
        </w:numPr>
        <w:rPr>
          <w:rFonts w:ascii="Arial" w:cs="Arial" w:eastAsia="Arial" w:hAnsi="Arial"/>
          <w:sz w:val="17"/>
          <w:szCs w:val="17"/>
          <w:color w:val="auto"/>
        </w:rPr>
      </w:pPr>
      <w:r>
        <w:rPr>
          <w:rFonts w:ascii="Arial" w:cs="Arial" w:eastAsia="Arial" w:hAnsi="Arial"/>
          <w:sz w:val="17"/>
          <w:szCs w:val="17"/>
          <w:u w:val="single" w:color="auto"/>
          <w:color w:val="auto"/>
        </w:rPr>
        <w:t>Generally</w:t>
      </w:r>
      <w:r>
        <w:rPr>
          <w:rFonts w:ascii="Arial" w:cs="Arial" w:eastAsia="Arial" w:hAnsi="Arial"/>
          <w:sz w:val="17"/>
          <w:szCs w:val="17"/>
          <w:color w:val="auto"/>
        </w:rPr>
        <w:t>. The granting of the Shares and the granting and settlement of the RSUs, and any other obligations of the Company under this Agreement, shall be subject to all applicable U.S. federal, state and local laws, rules and regulations, all applicable non-U.S. laws, rules and regulations and to such approvals by any regulatory or governmental agency as may be required. The Participant agrees to take all steps the Committee or the Company determines are reasonably necessary to comply with all applicable provisions of U.S. federal and state securities law and non-U.S. securities law in exercising his rights under this Agreement.</w:t>
      </w:r>
    </w:p>
    <w:p>
      <w:pPr>
        <w:spacing w:after="0" w:line="138" w:lineRule="exact"/>
        <w:rPr>
          <w:rFonts w:ascii="Arial" w:cs="Arial" w:eastAsia="Arial" w:hAnsi="Arial"/>
          <w:sz w:val="17"/>
          <w:szCs w:val="17"/>
          <w:color w:val="auto"/>
        </w:rPr>
      </w:pPr>
    </w:p>
    <w:p>
      <w:pPr>
        <w:ind w:left="5" w:right="40" w:firstLine="563"/>
        <w:spacing w:after="0" w:line="224" w:lineRule="auto"/>
        <w:tabs>
          <w:tab w:leader="none" w:pos="949" w:val="left"/>
        </w:tabs>
        <w:numPr>
          <w:ilvl w:val="1"/>
          <w:numId w:val="44"/>
        </w:numPr>
        <w:rPr>
          <w:rFonts w:ascii="Arial" w:cs="Arial" w:eastAsia="Arial" w:hAnsi="Arial"/>
          <w:sz w:val="16"/>
          <w:szCs w:val="16"/>
          <w:color w:val="auto"/>
        </w:rPr>
      </w:pPr>
      <w:r>
        <w:rPr>
          <w:rFonts w:ascii="Arial" w:cs="Arial" w:eastAsia="Arial" w:hAnsi="Arial"/>
          <w:sz w:val="16"/>
          <w:szCs w:val="16"/>
          <w:u w:val="single" w:color="auto"/>
          <w:color w:val="auto"/>
        </w:rPr>
        <w:t>Taxes and Withholding</w:t>
      </w:r>
      <w:r>
        <w:rPr>
          <w:rFonts w:ascii="Arial" w:cs="Arial" w:eastAsia="Arial" w:hAnsi="Arial"/>
          <w:sz w:val="16"/>
          <w:szCs w:val="16"/>
          <w:color w:val="auto"/>
        </w:rPr>
        <w:t>. The grant of the Shares and the vesting and settlement of the RSUs shall be subject to the Participant satisfying any applicable U.S. federal, state and local tax withholding obligations and non-U.S. tax withholding obligations. The Participant shall be required to pay to the Company, and the Company shall have the right and is hereby authorized to withhold any cash, shares of Class A Common Stock, other securities or other property or from any compensation or other amounts owing to the Participant, the amount (in cash, Class A Common Stock, other securities or other property) of any required withholding taxes in respect of the Shares or in respect of the RSUs, settlement of the RSUs or any payment or transfer of the RSUs, and to take any such other action as the Committee or the Company deem necessary to satisfy all obligations for the payment of such withholding taxes. In its sole discretion, the Company may permit the Participant to satisfy, in whole or in part, the tax obligations by (A) withholding shares of Class A Common Stock from the Shares having a Fair Market Value equal to such withholding liability and (B) withholding shares of Class A Common Stock that would otherwise be deliverable to the Participant upon settlement of the RSUs with a Fair Market Value equal to such withholding liability.</w:t>
      </w:r>
    </w:p>
    <w:p>
      <w:pPr>
        <w:spacing w:after="0" w:line="129" w:lineRule="exact"/>
        <w:rPr>
          <w:rFonts w:ascii="Arial" w:cs="Arial" w:eastAsia="Arial" w:hAnsi="Arial"/>
          <w:sz w:val="16"/>
          <w:szCs w:val="16"/>
          <w:color w:val="auto"/>
        </w:rPr>
      </w:pPr>
    </w:p>
    <w:p>
      <w:pPr>
        <w:ind w:left="5" w:right="60" w:hanging="5"/>
        <w:spacing w:after="0" w:line="210" w:lineRule="auto"/>
        <w:tabs>
          <w:tab w:leader="none" w:pos="309" w:val="left"/>
        </w:tabs>
        <w:numPr>
          <w:ilvl w:val="0"/>
          <w:numId w:val="4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Clawback. </w:t>
      </w:r>
      <w:r>
        <w:rPr>
          <w:rFonts w:ascii="Arial" w:cs="Arial" w:eastAsia="Arial" w:hAnsi="Arial"/>
          <w:sz w:val="17"/>
          <w:szCs w:val="17"/>
          <w:color w:val="auto"/>
        </w:rPr>
        <w:t>Notwithstanding anything to the contrary contained herein, the Committee may cancel the Shares and RSU award if the Participant, without the</w:t>
      </w:r>
      <w:r>
        <w:rPr>
          <w:rFonts w:ascii="Arial" w:cs="Arial" w:eastAsia="Arial" w:hAnsi="Arial"/>
          <w:sz w:val="17"/>
          <w:szCs w:val="17"/>
          <w:b w:val="1"/>
          <w:bCs w:val="1"/>
          <w:color w:val="auto"/>
        </w:rPr>
        <w:t xml:space="preserve"> </w:t>
      </w:r>
      <w:r>
        <w:rPr>
          <w:rFonts w:ascii="Arial" w:cs="Arial" w:eastAsia="Arial" w:hAnsi="Arial"/>
          <w:sz w:val="17"/>
          <w:szCs w:val="17"/>
          <w:color w:val="auto"/>
        </w:rPr>
        <w:t>consent of the Company, has engaged in or engages in activity that is in conflict with or adverse to the interest of the Company or any Affiliate while employed by or providing services to the Company or any Affiliate, including fraud or conduct contributing to any financial restatements or irregularities, or violates a non-competition, non-solicitation, non-disparagement, non-disclosure or confidentiality covenant or agreement with the Company or any Affiliate, as determined by the Committee. In such event, the Participant will forfeit any compensation, gain or other value realized previously or thereafter on the vesting or settlement of the RSUs, the sale or other transfer of the Shares and the RSUs, or the sale of shares of Class A Common Stock acquired in respect of the RSUs, and must promptly repay such amounts to the Company. If the Participant receives any amount in excess of what the Participant should have received with respect to the Shares or under the terms of the RSUs for any reason (including without limitation by reason of a financial restatement, mistake in calculations or other administrative error), all as determined by the Committee, then the Participant shall be required to promptly repay any such excess amount to the Company. To the extent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4"/>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65"/>
          </w:cols>
          <w:pgMar w:left="315" w:top="1243" w:right="319" w:bottom="1440" w:gutter="0" w:footer="0" w:header="0"/>
        </w:sectPr>
      </w:pPr>
    </w:p>
    <w:bookmarkStart w:id="150" w:name="page151"/>
    <w:bookmarkEnd w:id="150"/>
    <w:p>
      <w:pPr>
        <w:ind w:left="5" w:right="60"/>
        <w:spacing w:after="0" w:line="264" w:lineRule="auto"/>
        <w:rPr>
          <w:sz w:val="20"/>
          <w:szCs w:val="20"/>
          <w:color w:val="auto"/>
        </w:rPr>
      </w:pPr>
      <w:r>
        <w:rPr>
          <w:rFonts w:ascii="Arial" w:cs="Arial" w:eastAsia="Arial" w:hAnsi="Arial"/>
          <w:sz w:val="15"/>
          <w:szCs w:val="15"/>
          <w:color w:val="auto"/>
        </w:rPr>
        <w:t>required by applicable law and/or the rules and regulations of NASDAQ or any other securities exchange or inter-dealer quotation system on which the Class A Common Stock is listed or quoted, or if so required pursuant to a written policy adopted by the Company, the Shares and the RSUs shall be subject (including on a retroactive basis) to clawback, forfeiture or similar requirements (and such requirements shall be deemed incorporated by reference into this Agreement).</w:t>
      </w:r>
    </w:p>
    <w:p>
      <w:pPr>
        <w:spacing w:after="0" w:line="111" w:lineRule="exact"/>
        <w:rPr>
          <w:sz w:val="20"/>
          <w:szCs w:val="20"/>
          <w:color w:val="auto"/>
        </w:rPr>
      </w:pPr>
    </w:p>
    <w:p>
      <w:pPr>
        <w:ind w:left="305" w:hanging="305"/>
        <w:spacing w:after="0"/>
        <w:tabs>
          <w:tab w:leader="none" w:pos="305" w:val="left"/>
        </w:tabs>
        <w:numPr>
          <w:ilvl w:val="0"/>
          <w:numId w:val="45"/>
        </w:numPr>
        <w:rPr>
          <w:rFonts w:ascii="Arial" w:cs="Arial" w:eastAsia="Arial" w:hAnsi="Arial"/>
          <w:sz w:val="17"/>
          <w:szCs w:val="17"/>
          <w:b w:val="1"/>
          <w:bCs w:val="1"/>
          <w:color w:val="auto"/>
        </w:rPr>
      </w:pPr>
      <w:r>
        <w:rPr>
          <w:rFonts w:ascii="Arial" w:cs="Arial" w:eastAsia="Arial" w:hAnsi="Arial"/>
          <w:sz w:val="17"/>
          <w:szCs w:val="17"/>
          <w:b w:val="1"/>
          <w:bCs w:val="1"/>
          <w:color w:val="auto"/>
        </w:rPr>
        <w:t>Contractual Obligations.</w:t>
      </w:r>
    </w:p>
    <w:p>
      <w:pPr>
        <w:spacing w:after="0" w:line="165" w:lineRule="exact"/>
        <w:rPr>
          <w:rFonts w:ascii="Arial" w:cs="Arial" w:eastAsia="Arial" w:hAnsi="Arial"/>
          <w:sz w:val="17"/>
          <w:szCs w:val="17"/>
          <w:b w:val="1"/>
          <w:bCs w:val="1"/>
          <w:color w:val="auto"/>
        </w:rPr>
      </w:pPr>
    </w:p>
    <w:p>
      <w:pPr>
        <w:ind w:left="5" w:right="20" w:firstLine="563"/>
        <w:spacing w:after="0" w:line="225" w:lineRule="auto"/>
        <w:tabs>
          <w:tab w:leader="none" w:pos="939" w:val="left"/>
        </w:tabs>
        <w:numPr>
          <w:ilvl w:val="1"/>
          <w:numId w:val="45"/>
        </w:numPr>
        <w:rPr>
          <w:rFonts w:ascii="Arial" w:cs="Arial" w:eastAsia="Arial" w:hAnsi="Arial"/>
          <w:sz w:val="17"/>
          <w:szCs w:val="17"/>
          <w:color w:val="auto"/>
        </w:rPr>
      </w:pPr>
      <w:r>
        <w:rPr>
          <w:rFonts w:ascii="Arial" w:cs="Arial" w:eastAsia="Arial" w:hAnsi="Arial"/>
          <w:sz w:val="17"/>
          <w:szCs w:val="17"/>
          <w:color w:val="auto"/>
        </w:rPr>
        <w:t xml:space="preserve">Nothing in this Agreement shall supersede, modify, replace or cancel any existing contractual obligations, including but not limited to restrictive covenants, applicable to you in </w:t>
      </w:r>
      <w:r>
        <w:rPr>
          <w:rFonts w:ascii="Arial" w:cs="Arial" w:eastAsia="Arial" w:hAnsi="Arial"/>
          <w:sz w:val="17"/>
          <w:szCs w:val="17"/>
          <w:i w:val="1"/>
          <w:iCs w:val="1"/>
          <w:u w:val="single" w:color="auto"/>
          <w:color w:val="auto"/>
        </w:rPr>
        <w:t>any</w:t>
      </w:r>
      <w:r>
        <w:rPr>
          <w:rFonts w:ascii="Arial" w:cs="Arial" w:eastAsia="Arial" w:hAnsi="Arial"/>
          <w:sz w:val="17"/>
          <w:szCs w:val="17"/>
          <w:color w:val="auto"/>
        </w:rPr>
        <w:t xml:space="preserve"> employment agreement, offer letter, prior equity award agreement or any other agreement or contract with the Company or its Affiliates.</w:t>
      </w:r>
    </w:p>
    <w:p>
      <w:pPr>
        <w:spacing w:after="0" w:line="136" w:lineRule="exact"/>
        <w:rPr>
          <w:rFonts w:ascii="Arial" w:cs="Arial" w:eastAsia="Arial" w:hAnsi="Arial"/>
          <w:sz w:val="17"/>
          <w:szCs w:val="17"/>
          <w:color w:val="auto"/>
        </w:rPr>
      </w:pPr>
    </w:p>
    <w:p>
      <w:pPr>
        <w:ind w:left="5" w:firstLine="563"/>
        <w:spacing w:after="0" w:line="216" w:lineRule="auto"/>
        <w:tabs>
          <w:tab w:leader="none" w:pos="949" w:val="left"/>
        </w:tabs>
        <w:numPr>
          <w:ilvl w:val="1"/>
          <w:numId w:val="45"/>
        </w:numPr>
        <w:rPr>
          <w:rFonts w:ascii="Arial" w:cs="Arial" w:eastAsia="Arial" w:hAnsi="Arial"/>
          <w:sz w:val="17"/>
          <w:szCs w:val="17"/>
          <w:color w:val="auto"/>
        </w:rPr>
      </w:pPr>
      <w:r>
        <w:rPr>
          <w:rFonts w:ascii="Arial" w:cs="Arial" w:eastAsia="Arial" w:hAnsi="Arial"/>
          <w:sz w:val="17"/>
          <w:szCs w:val="17"/>
          <w:color w:val="auto"/>
        </w:rPr>
        <w:t>In the event that the Participant violates any of the contractual obligations referred to in this Section 8, in addition to any other remedy which may be available at law or in equity, the RSUs shall be automatically forfeited effective as of the date on which such violation first occurs. The foregoing rights and remedies are in addition to any other rights and remedies that may be available to the Company and shall not prevent (and the Participant shall not assert that they shall prevent) the Company from bringing one or more actions in any applicable jurisdiction to recover damages as a result of the Participant’s breach of such restrictive covenants.</w:t>
      </w:r>
    </w:p>
    <w:p>
      <w:pPr>
        <w:spacing w:after="0" w:line="132" w:lineRule="exact"/>
        <w:rPr>
          <w:rFonts w:ascii="Arial" w:cs="Arial" w:eastAsia="Arial" w:hAnsi="Arial"/>
          <w:sz w:val="17"/>
          <w:szCs w:val="17"/>
          <w:color w:val="auto"/>
        </w:rPr>
      </w:pPr>
    </w:p>
    <w:p>
      <w:pPr>
        <w:ind w:left="305" w:hanging="305"/>
        <w:spacing w:after="0"/>
        <w:tabs>
          <w:tab w:leader="none" w:pos="305" w:val="left"/>
        </w:tabs>
        <w:numPr>
          <w:ilvl w:val="0"/>
          <w:numId w:val="45"/>
        </w:numPr>
        <w:rPr>
          <w:rFonts w:ascii="Arial" w:cs="Arial" w:eastAsia="Arial" w:hAnsi="Arial"/>
          <w:sz w:val="17"/>
          <w:szCs w:val="17"/>
          <w:b w:val="1"/>
          <w:bCs w:val="1"/>
          <w:color w:val="auto"/>
        </w:rPr>
      </w:pPr>
      <w:r>
        <w:rPr>
          <w:rFonts w:ascii="Arial" w:cs="Arial" w:eastAsia="Arial" w:hAnsi="Arial"/>
          <w:sz w:val="17"/>
          <w:szCs w:val="17"/>
          <w:b w:val="1"/>
          <w:bCs w:val="1"/>
          <w:color w:val="auto"/>
        </w:rPr>
        <w:t>Miscellaneous.</w:t>
      </w:r>
    </w:p>
    <w:p>
      <w:pPr>
        <w:spacing w:after="0" w:line="165" w:lineRule="exact"/>
        <w:rPr>
          <w:rFonts w:ascii="Arial" w:cs="Arial" w:eastAsia="Arial" w:hAnsi="Arial"/>
          <w:sz w:val="17"/>
          <w:szCs w:val="17"/>
          <w:b w:val="1"/>
          <w:bCs w:val="1"/>
          <w:color w:val="auto"/>
        </w:rPr>
      </w:pPr>
    </w:p>
    <w:p>
      <w:pPr>
        <w:ind w:left="5" w:right="320" w:firstLine="563"/>
        <w:spacing w:after="0" w:line="220" w:lineRule="auto"/>
        <w:tabs>
          <w:tab w:leader="none" w:pos="939" w:val="left"/>
        </w:tabs>
        <w:numPr>
          <w:ilvl w:val="1"/>
          <w:numId w:val="45"/>
        </w:numPr>
        <w:rPr>
          <w:rFonts w:ascii="Arial" w:cs="Arial" w:eastAsia="Arial" w:hAnsi="Arial"/>
          <w:sz w:val="17"/>
          <w:szCs w:val="17"/>
          <w:color w:val="auto"/>
        </w:rPr>
      </w:pPr>
      <w:r>
        <w:rPr>
          <w:rFonts w:ascii="Arial" w:cs="Arial" w:eastAsia="Arial" w:hAnsi="Arial"/>
          <w:sz w:val="17"/>
          <w:szCs w:val="17"/>
          <w:u w:val="single" w:color="auto"/>
          <w:color w:val="auto"/>
        </w:rPr>
        <w:t>Transferability</w:t>
      </w:r>
      <w:r>
        <w:rPr>
          <w:rFonts w:ascii="Arial" w:cs="Arial" w:eastAsia="Arial" w:hAnsi="Arial"/>
          <w:sz w:val="17"/>
          <w:szCs w:val="17"/>
          <w:color w:val="auto"/>
        </w:rPr>
        <w:t>. The RSUs may not be assigned, alienated, pledged, attached, sold or otherwise transferred or encumbered (a “</w:t>
      </w:r>
      <w:r>
        <w:rPr>
          <w:rFonts w:ascii="Arial" w:cs="Arial" w:eastAsia="Arial" w:hAnsi="Arial"/>
          <w:sz w:val="17"/>
          <w:szCs w:val="17"/>
          <w:u w:val="single" w:color="auto"/>
          <w:color w:val="auto"/>
        </w:rPr>
        <w:t>Transfer</w:t>
      </w:r>
      <w:r>
        <w:rPr>
          <w:rFonts w:ascii="Arial" w:cs="Arial" w:eastAsia="Arial" w:hAnsi="Arial"/>
          <w:sz w:val="17"/>
          <w:szCs w:val="17"/>
          <w:color w:val="auto"/>
        </w:rPr>
        <w:t>”) by the Participant other than by will or by the laws of descent and distribution, pursuant to a qualified domestic relations order or as otherwise permitted under Section 15(b) of the Plan. Any attempted Transfer of the RSUs contrary to the provisions hereof, and the levy of any execution, attachment or similar process upon the RSUs, shall be null and void and without effect.</w:t>
      </w:r>
    </w:p>
    <w:p>
      <w:pPr>
        <w:spacing w:after="0" w:line="135" w:lineRule="exact"/>
        <w:rPr>
          <w:rFonts w:ascii="Arial" w:cs="Arial" w:eastAsia="Arial" w:hAnsi="Arial"/>
          <w:sz w:val="17"/>
          <w:szCs w:val="17"/>
          <w:color w:val="auto"/>
        </w:rPr>
      </w:pPr>
    </w:p>
    <w:p>
      <w:pPr>
        <w:jc w:val="both"/>
        <w:ind w:left="5" w:right="160" w:firstLine="563"/>
        <w:spacing w:after="0" w:line="220" w:lineRule="auto"/>
        <w:tabs>
          <w:tab w:leader="none" w:pos="949" w:val="left"/>
        </w:tabs>
        <w:numPr>
          <w:ilvl w:val="1"/>
          <w:numId w:val="45"/>
        </w:numPr>
        <w:rPr>
          <w:rFonts w:ascii="Arial" w:cs="Arial" w:eastAsia="Arial" w:hAnsi="Arial"/>
          <w:sz w:val="17"/>
          <w:szCs w:val="17"/>
          <w:color w:val="auto"/>
        </w:rPr>
      </w:pPr>
      <w:r>
        <w:rPr>
          <w:rFonts w:ascii="Arial" w:cs="Arial" w:eastAsia="Arial" w:hAnsi="Arial"/>
          <w:sz w:val="17"/>
          <w:szCs w:val="17"/>
          <w:u w:val="single" w:color="auto"/>
          <w:color w:val="auto"/>
        </w:rPr>
        <w:t>Waiver</w:t>
      </w:r>
      <w:r>
        <w:rPr>
          <w:rFonts w:ascii="Arial" w:cs="Arial" w:eastAsia="Arial" w:hAnsi="Arial"/>
          <w:sz w:val="17"/>
          <w:szCs w:val="17"/>
          <w:color w:val="auto"/>
        </w:rPr>
        <w:t>. Any right of the Company contained in this Agreement may be waived in writing by the Committee. No waiver of any right hereunder by any party shall operate as a waiver of any other right, or as a waiver of the same right with respect to any subsequent occasion for its exercise, or as a waiver of any right to damages. No waiver by any party of any breach of this Agreement shall be held to constitute a waiver of any other breach or a waiver of the continuation of the same breach.</w:t>
      </w:r>
    </w:p>
    <w:p>
      <w:pPr>
        <w:spacing w:after="0" w:line="119" w:lineRule="exact"/>
        <w:rPr>
          <w:rFonts w:ascii="Arial" w:cs="Arial" w:eastAsia="Arial" w:hAnsi="Arial"/>
          <w:sz w:val="17"/>
          <w:szCs w:val="17"/>
          <w:color w:val="auto"/>
        </w:rPr>
      </w:pPr>
    </w:p>
    <w:p>
      <w:pPr>
        <w:ind w:left="925" w:hanging="357"/>
        <w:spacing w:after="0"/>
        <w:tabs>
          <w:tab w:leader="none" w:pos="925" w:val="left"/>
        </w:tabs>
        <w:numPr>
          <w:ilvl w:val="1"/>
          <w:numId w:val="45"/>
        </w:numPr>
        <w:rPr>
          <w:rFonts w:ascii="Arial" w:cs="Arial" w:eastAsia="Arial" w:hAnsi="Arial"/>
          <w:sz w:val="17"/>
          <w:szCs w:val="17"/>
          <w:color w:val="auto"/>
        </w:rPr>
      </w:pPr>
      <w:r>
        <w:rPr>
          <w:rFonts w:ascii="Arial" w:cs="Arial" w:eastAsia="Arial" w:hAnsi="Arial"/>
          <w:sz w:val="17"/>
          <w:szCs w:val="17"/>
          <w:u w:val="single" w:color="auto"/>
          <w:color w:val="auto"/>
        </w:rPr>
        <w:t>Section 409A</w:t>
      </w:r>
      <w:r>
        <w:rPr>
          <w:rFonts w:ascii="Arial" w:cs="Arial" w:eastAsia="Arial" w:hAnsi="Arial"/>
          <w:sz w:val="17"/>
          <w:szCs w:val="17"/>
          <w:color w:val="auto"/>
        </w:rPr>
        <w:t>. The RSUs are intended to be exempt from, or compliant with, Section 409A of the Internal Revenue Code (“Code”).</w:t>
      </w:r>
    </w:p>
    <w:p>
      <w:pPr>
        <w:ind w:left="5" w:right="140"/>
        <w:spacing w:after="0" w:line="210" w:lineRule="auto"/>
        <w:rPr>
          <w:rFonts w:ascii="Arial" w:cs="Arial" w:eastAsia="Arial" w:hAnsi="Arial"/>
          <w:sz w:val="17"/>
          <w:szCs w:val="17"/>
          <w:color w:val="auto"/>
        </w:rPr>
      </w:pPr>
      <w:r>
        <w:rPr>
          <w:rFonts w:ascii="Arial" w:cs="Arial" w:eastAsia="Arial" w:hAnsi="Arial"/>
          <w:sz w:val="17"/>
          <w:szCs w:val="17"/>
          <w:color w:val="auto"/>
        </w:rPr>
        <w:t>Notwithstanding the foregoing or any provision of the Plan or this Agreement, if any provision of the Plan or this Agreement contravenes Section 409A of the Code or could cause the Participant to incur any tax, interest or penalties under Section 409A of the Code, the Committee may, in its sole discretion and without the Participant’s consent, modify such provision to (i) comply with, or avoid being subject to, Section 409A of the Code, or to avoid the incurrence of taxes, interest and penalties under Section 409A of the Code, and/or (ii) maintain, to the maximum extent practicable, the original intent and economic benefit to the Participant of the applicable provision without materially increasing the cost to the Company or contravening the provisions of Section 409A of the Code. This Section 9(c) does not create an obligation on the part of the Company to modify the Plan or this Agreement and does not guarantee that the RSUs will not be subject to interest and penalties under Section 409A.</w:t>
      </w:r>
    </w:p>
    <w:p>
      <w:pPr>
        <w:spacing w:after="0" w:line="138" w:lineRule="exact"/>
        <w:rPr>
          <w:rFonts w:ascii="Arial" w:cs="Arial" w:eastAsia="Arial" w:hAnsi="Arial"/>
          <w:sz w:val="17"/>
          <w:szCs w:val="17"/>
          <w:color w:val="auto"/>
        </w:rPr>
      </w:pPr>
    </w:p>
    <w:p>
      <w:pPr>
        <w:ind w:left="5" w:firstLine="563"/>
        <w:spacing w:after="0" w:line="297" w:lineRule="auto"/>
        <w:tabs>
          <w:tab w:leader="none" w:pos="949" w:val="left"/>
        </w:tabs>
        <w:numPr>
          <w:ilvl w:val="1"/>
          <w:numId w:val="45"/>
        </w:numPr>
        <w:rPr>
          <w:rFonts w:ascii="Arial" w:cs="Arial" w:eastAsia="Arial" w:hAnsi="Arial"/>
          <w:sz w:val="15"/>
          <w:szCs w:val="15"/>
          <w:color w:val="auto"/>
        </w:rPr>
      </w:pPr>
      <w:r>
        <w:rPr>
          <w:rFonts w:ascii="Arial" w:cs="Arial" w:eastAsia="Arial" w:hAnsi="Arial"/>
          <w:sz w:val="15"/>
          <w:szCs w:val="15"/>
          <w:u w:val="single" w:color="auto"/>
          <w:color w:val="auto"/>
        </w:rPr>
        <w:t>General Assets</w:t>
      </w:r>
      <w:r>
        <w:rPr>
          <w:rFonts w:ascii="Arial" w:cs="Arial" w:eastAsia="Arial" w:hAnsi="Arial"/>
          <w:sz w:val="15"/>
          <w:szCs w:val="15"/>
          <w:color w:val="auto"/>
        </w:rPr>
        <w:t>. All amounts credited in respect of the RSUs to the book-entry account under this Agreement shall continue for all purposes to be part of the general assets of the Company. The Participant’s interest in such account shall make the Participant only a general, unsecured creditor of the Company.</w:t>
      </w:r>
    </w:p>
    <w:p>
      <w:pPr>
        <w:spacing w:after="0" w:line="94" w:lineRule="exact"/>
        <w:rPr>
          <w:rFonts w:ascii="Arial" w:cs="Arial" w:eastAsia="Arial" w:hAnsi="Arial"/>
          <w:sz w:val="15"/>
          <w:szCs w:val="15"/>
          <w:color w:val="auto"/>
        </w:rPr>
      </w:pPr>
    </w:p>
    <w:p>
      <w:pPr>
        <w:ind w:left="5" w:right="20" w:firstLine="563"/>
        <w:spacing w:after="0" w:line="225" w:lineRule="auto"/>
        <w:tabs>
          <w:tab w:leader="none" w:pos="939" w:val="left"/>
        </w:tabs>
        <w:numPr>
          <w:ilvl w:val="1"/>
          <w:numId w:val="45"/>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Any notices provided for in this Agreement or the Plan shall be in writing and shall be deemed sufficiently given if either hand delivered or if sent by fax, pdf/email or overnight courier, or by postage paid first class mail. Notices sent by mail shall be deemed received three business days after mailing but in no event later than the date of actual receipt. Notices shall be directed, if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24"/>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45"/>
          </w:cols>
          <w:pgMar w:left="315" w:top="1249" w:right="339" w:bottom="1440" w:gutter="0" w:footer="0" w:header="0"/>
        </w:sectPr>
      </w:pPr>
    </w:p>
    <w:bookmarkStart w:id="151" w:name="page152"/>
    <w:bookmarkEnd w:id="151"/>
    <w:p>
      <w:pPr>
        <w:ind w:right="460"/>
        <w:spacing w:after="0" w:line="237" w:lineRule="auto"/>
        <w:rPr>
          <w:sz w:val="20"/>
          <w:szCs w:val="20"/>
          <w:color w:val="auto"/>
        </w:rPr>
      </w:pPr>
      <w:r>
        <w:rPr>
          <w:rFonts w:ascii="Arial" w:cs="Arial" w:eastAsia="Arial" w:hAnsi="Arial"/>
          <w:sz w:val="17"/>
          <w:szCs w:val="17"/>
          <w:color w:val="auto"/>
        </w:rPr>
        <w:t>Participant, at the Participant’s address indicated by the Company’s records, or if to the Company, to the attention of the General Counsel at the Company’s principal executive office.</w:t>
      </w:r>
    </w:p>
    <w:p>
      <w:pPr>
        <w:spacing w:after="0" w:line="135" w:lineRule="exact"/>
        <w:rPr>
          <w:sz w:val="20"/>
          <w:szCs w:val="20"/>
          <w:color w:val="auto"/>
        </w:rPr>
      </w:pPr>
    </w:p>
    <w:p>
      <w:pPr>
        <w:ind w:right="600" w:firstLine="563"/>
        <w:spacing w:after="0" w:line="264" w:lineRule="auto"/>
        <w:tabs>
          <w:tab w:leader="none" w:pos="915"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16" w:lineRule="exact"/>
        <w:rPr>
          <w:rFonts w:ascii="Arial" w:cs="Arial" w:eastAsia="Arial" w:hAnsi="Arial"/>
          <w:sz w:val="16"/>
          <w:szCs w:val="16"/>
          <w:color w:val="auto"/>
        </w:rPr>
      </w:pPr>
    </w:p>
    <w:p>
      <w:pPr>
        <w:ind w:right="100" w:firstLine="563"/>
        <w:spacing w:after="0"/>
        <w:tabs>
          <w:tab w:leader="none" w:pos="944"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No Rights to Employment or Service</w:t>
      </w:r>
      <w:r>
        <w:rPr>
          <w:rFonts w:ascii="Arial" w:cs="Arial" w:eastAsia="Arial" w:hAnsi="Arial"/>
          <w:sz w:val="16"/>
          <w:szCs w:val="16"/>
          <w:color w:val="auto"/>
        </w:rPr>
        <w:t>. Nothing contained in this Agreement shall be construed as giving the Participant any right to be retained, in any position, as an employee, consultant or director of the Company or its Affiliates or shall interfere with or restrict in any way the rights of the Company or its Affiliates, which are hereby expressly reserved, to remove, terminate or discharge the Participant at any time for any reason whatsoever.</w:t>
      </w:r>
    </w:p>
    <w:p>
      <w:pPr>
        <w:spacing w:after="0" w:line="134" w:lineRule="exact"/>
        <w:rPr>
          <w:rFonts w:ascii="Arial" w:cs="Arial" w:eastAsia="Arial" w:hAnsi="Arial"/>
          <w:sz w:val="16"/>
          <w:szCs w:val="16"/>
          <w:color w:val="auto"/>
        </w:rPr>
      </w:pPr>
    </w:p>
    <w:p>
      <w:pPr>
        <w:ind w:right="20" w:firstLine="563"/>
        <w:spacing w:after="0" w:line="225" w:lineRule="auto"/>
        <w:tabs>
          <w:tab w:leader="none" w:pos="944"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Fractional Shares</w:t>
      </w:r>
      <w:r>
        <w:rPr>
          <w:rFonts w:ascii="Arial" w:cs="Arial" w:eastAsia="Arial" w:hAnsi="Arial"/>
          <w:sz w:val="17"/>
          <w:szCs w:val="17"/>
          <w:color w:val="auto"/>
        </w:rPr>
        <w:t>. In lieu of issuing a fraction of a share of Class A Common Stock resulting from adjustment of the Shares or the RSUs pursuant to Section 12 of the Plan or otherwise, the Company shall be entitled to pay to the Participant an amount in cash equal to the Fair Market Value of such fractional share.</w:t>
      </w:r>
    </w:p>
    <w:p>
      <w:pPr>
        <w:spacing w:after="0" w:line="136" w:lineRule="exact"/>
        <w:rPr>
          <w:rFonts w:ascii="Arial" w:cs="Arial" w:eastAsia="Arial" w:hAnsi="Arial"/>
          <w:sz w:val="17"/>
          <w:szCs w:val="17"/>
          <w:color w:val="auto"/>
        </w:rPr>
      </w:pPr>
    </w:p>
    <w:p>
      <w:pPr>
        <w:ind w:right="780" w:firstLine="563"/>
        <w:spacing w:after="0" w:line="237" w:lineRule="auto"/>
        <w:tabs>
          <w:tab w:leader="none" w:pos="905"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Beneficiary</w:t>
      </w:r>
      <w:r>
        <w:rPr>
          <w:rFonts w:ascii="Arial" w:cs="Arial" w:eastAsia="Arial" w:hAnsi="Arial"/>
          <w:sz w:val="17"/>
          <w:szCs w:val="17"/>
          <w:color w:val="auto"/>
        </w:rPr>
        <w:t>. The Participant may file with the Committee a written designation of a beneficiary on such form as may be prescribed by the Committee and may, from time to time, amend or revoke such designation.</w:t>
      </w:r>
    </w:p>
    <w:p>
      <w:pPr>
        <w:spacing w:after="0" w:line="134" w:lineRule="exact"/>
        <w:rPr>
          <w:rFonts w:ascii="Arial" w:cs="Arial" w:eastAsia="Arial" w:hAnsi="Arial"/>
          <w:sz w:val="17"/>
          <w:szCs w:val="17"/>
          <w:color w:val="auto"/>
        </w:rPr>
      </w:pPr>
    </w:p>
    <w:p>
      <w:pPr>
        <w:ind w:right="240" w:firstLine="563"/>
        <w:spacing w:after="0" w:line="237" w:lineRule="auto"/>
        <w:tabs>
          <w:tab w:leader="none" w:pos="905"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Successors</w:t>
      </w:r>
      <w:r>
        <w:rPr>
          <w:rFonts w:ascii="Arial" w:cs="Arial" w:eastAsia="Arial" w:hAnsi="Arial"/>
          <w:sz w:val="17"/>
          <w:szCs w:val="17"/>
          <w:color w:val="auto"/>
        </w:rPr>
        <w:t>. The terms of this Agreement shall be binding upon and inure to the benefit of the Company and its successors and assigns, and of the Participant and the beneficiaries, executors, administrators, heirs and successors of the Participant.</w:t>
      </w:r>
    </w:p>
    <w:p>
      <w:pPr>
        <w:spacing w:after="0" w:line="134" w:lineRule="exact"/>
        <w:rPr>
          <w:rFonts w:ascii="Arial" w:cs="Arial" w:eastAsia="Arial" w:hAnsi="Arial"/>
          <w:sz w:val="17"/>
          <w:szCs w:val="17"/>
          <w:color w:val="auto"/>
        </w:rPr>
      </w:pPr>
    </w:p>
    <w:p>
      <w:pPr>
        <w:ind w:right="240" w:firstLine="563"/>
        <w:spacing w:after="0" w:line="220" w:lineRule="auto"/>
        <w:tabs>
          <w:tab w:leader="none" w:pos="944"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and the Plan contain the entire agreement and understanding of the parties hereto with respect to the subject matter contained herein and supersede all prior communications, representations and negotiations in respect thereto, except as set forth in Section 8 hereof. No change, modification or waiver of any provision of this Agreement shall be valid unless the same be in writing and signed by the parties hereto, except for any changes permitted without consent under Section 12 or 14 of the Plan.</w:t>
      </w:r>
    </w:p>
    <w:p>
      <w:pPr>
        <w:spacing w:after="0" w:line="135" w:lineRule="exact"/>
        <w:rPr>
          <w:rFonts w:ascii="Arial" w:cs="Arial" w:eastAsia="Arial" w:hAnsi="Arial"/>
          <w:sz w:val="17"/>
          <w:szCs w:val="17"/>
          <w:color w:val="auto"/>
        </w:rPr>
      </w:pPr>
    </w:p>
    <w:p>
      <w:pPr>
        <w:ind w:right="80" w:firstLine="563"/>
        <w:spacing w:after="0" w:line="225" w:lineRule="auto"/>
        <w:tabs>
          <w:tab w:leader="none" w:pos="905"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Governing Law and Venue</w:t>
      </w:r>
      <w:r>
        <w:rPr>
          <w:rFonts w:ascii="Arial" w:cs="Arial" w:eastAsia="Arial" w:hAnsi="Arial"/>
          <w:sz w:val="17"/>
          <w:szCs w:val="17"/>
          <w:color w:val="auto"/>
        </w:rPr>
        <w:t>. This Agreement shall be construed and interpreted in accordance with the laws of the State of Delaware, without regard to principles of conflicts of laws thereof, or principles of conflicts of laws of any other jurisdiction which could cause the application of the laws of any jurisdiction other than the State of Delaware.</w:t>
      </w:r>
    </w:p>
    <w:p>
      <w:pPr>
        <w:spacing w:after="0" w:line="136" w:lineRule="exact"/>
        <w:rPr>
          <w:rFonts w:ascii="Arial" w:cs="Arial" w:eastAsia="Arial" w:hAnsi="Arial"/>
          <w:sz w:val="17"/>
          <w:szCs w:val="17"/>
          <w:color w:val="auto"/>
        </w:rPr>
      </w:pPr>
    </w:p>
    <w:p>
      <w:pPr>
        <w:ind w:left="560" w:right="40" w:firstLine="571"/>
        <w:spacing w:after="0" w:line="225" w:lineRule="auto"/>
        <w:tabs>
          <w:tab w:leader="none" w:pos="1465" w:val="left"/>
        </w:tabs>
        <w:numPr>
          <w:ilvl w:val="1"/>
          <w:numId w:val="46"/>
        </w:numPr>
        <w:rPr>
          <w:rFonts w:ascii="Arial" w:cs="Arial" w:eastAsia="Arial" w:hAnsi="Arial"/>
          <w:sz w:val="16"/>
          <w:szCs w:val="16"/>
          <w:color w:val="auto"/>
        </w:rPr>
      </w:pPr>
      <w:r>
        <w:rPr>
          <w:rFonts w:ascii="Arial" w:cs="Arial" w:eastAsia="Arial" w:hAnsi="Arial"/>
          <w:sz w:val="16"/>
          <w:szCs w:val="16"/>
          <w:u w:val="single" w:color="auto"/>
          <w:color w:val="auto"/>
        </w:rPr>
        <w:t>Dispute Resolution; Consent to Jurisdiction</w:t>
      </w:r>
      <w:r>
        <w:rPr>
          <w:rFonts w:ascii="Arial" w:cs="Arial" w:eastAsia="Arial" w:hAnsi="Arial"/>
          <w:sz w:val="16"/>
          <w:szCs w:val="16"/>
          <w:color w:val="auto"/>
        </w:rPr>
        <w:t>. All disputes between or among any Persons arising out of or in any way connected with the Plan, this Agreement, the Shares or the RSUs shall be solely and finally settled by the Committee, acting in good faith, the determination of which shall be final. Any matters not covered by the preceding sentence shall be solely and finally settled in accordance with the Plan, and the Participant and the Company consent to the personal jurisdiction of the United States Federal and state courts sitting in Wilmington, Delaware as the exclusive jurisdiction with respect to matters arising out of or related to the enforcement of the Committee’s determinations and resolution of matters, if any, related to the Plan or this Agreement not required to be resolved by the Committee. Each such Person hereby irrevocably consents to the service of process of any of the aforementioned courts in any such suit, action or proceeding by the mailing of copies thereof by registered or certified mail, postage prepaid, to the last known address of such Person, such service to become effective ten (10) days after such mailing.</w:t>
      </w:r>
    </w:p>
    <w:p>
      <w:pPr>
        <w:spacing w:after="0" w:line="135" w:lineRule="exact"/>
        <w:rPr>
          <w:rFonts w:ascii="Arial" w:cs="Arial" w:eastAsia="Arial" w:hAnsi="Arial"/>
          <w:sz w:val="16"/>
          <w:szCs w:val="16"/>
          <w:color w:val="auto"/>
        </w:rPr>
      </w:pPr>
    </w:p>
    <w:p>
      <w:pPr>
        <w:ind w:left="560" w:firstLine="571"/>
        <w:spacing w:after="0" w:line="220" w:lineRule="auto"/>
        <w:tabs>
          <w:tab w:leader="none" w:pos="1514" w:val="left"/>
        </w:tabs>
        <w:numPr>
          <w:ilvl w:val="1"/>
          <w:numId w:val="46"/>
        </w:numPr>
        <w:rPr>
          <w:rFonts w:ascii="Arial" w:cs="Arial" w:eastAsia="Arial" w:hAnsi="Arial"/>
          <w:sz w:val="17"/>
          <w:szCs w:val="17"/>
          <w:color w:val="auto"/>
        </w:rPr>
      </w:pPr>
      <w:r>
        <w:rPr>
          <w:rFonts w:ascii="Arial" w:cs="Arial" w:eastAsia="Arial" w:hAnsi="Arial"/>
          <w:sz w:val="17"/>
          <w:szCs w:val="17"/>
          <w:u w:val="single" w:color="auto"/>
          <w:color w:val="auto"/>
        </w:rPr>
        <w:t>Waiver of Jury Trial</w:t>
      </w:r>
      <w:r>
        <w:rPr>
          <w:rFonts w:ascii="Arial" w:cs="Arial" w:eastAsia="Arial" w:hAnsi="Arial"/>
          <w:sz w:val="17"/>
          <w:szCs w:val="17"/>
          <w:color w:val="auto"/>
        </w:rPr>
        <w:t>. Each party hereto hereby waives, to the fullest extent permitted by applicable law, any right it may have to a trial by jury in any legal proceeding directly or indirectly arising out of or relating to this Agreement or the transactions contemplated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40"/>
          </w:cols>
          <w:pgMar w:left="320" w:top="1249" w:right="339" w:bottom="1440" w:gutter="0" w:footer="0" w:header="0"/>
        </w:sectPr>
      </w:pPr>
    </w:p>
    <w:bookmarkStart w:id="152" w:name="page153"/>
    <w:bookmarkEnd w:id="152"/>
    <w:p>
      <w:pPr>
        <w:ind w:left="540" w:right="360" w:firstLine="3"/>
        <w:spacing w:after="0" w:line="237" w:lineRule="auto"/>
        <w:tabs>
          <w:tab w:leader="none" w:pos="815" w:val="left"/>
        </w:tabs>
        <w:numPr>
          <w:ilvl w:val="0"/>
          <w:numId w:val="47"/>
        </w:numPr>
        <w:rPr>
          <w:rFonts w:ascii="Arial" w:cs="Arial" w:eastAsia="Arial" w:hAnsi="Arial"/>
          <w:sz w:val="17"/>
          <w:szCs w:val="17"/>
          <w:color w:val="auto"/>
        </w:rPr>
      </w:pPr>
      <w:r>
        <w:rPr>
          <w:rFonts w:ascii="Arial" w:cs="Arial" w:eastAsia="Arial" w:hAnsi="Arial"/>
          <w:sz w:val="17"/>
          <w:szCs w:val="17"/>
          <w:color w:val="auto"/>
        </w:rPr>
        <w:t>acknowledges that it and the other parties hereto have been induced to enter into this Agreement by, among other things, the mutual waivers and certifications in this section.</w:t>
      </w:r>
    </w:p>
    <w:p>
      <w:pPr>
        <w:spacing w:after="0" w:line="135" w:lineRule="exact"/>
        <w:rPr>
          <w:sz w:val="20"/>
          <w:szCs w:val="20"/>
          <w:color w:val="auto"/>
        </w:rPr>
      </w:pPr>
    </w:p>
    <w:p>
      <w:pPr>
        <w:ind w:left="-20" w:right="140" w:firstLine="563"/>
        <w:spacing w:after="0" w:line="225" w:lineRule="auto"/>
        <w:tabs>
          <w:tab w:leader="none" w:pos="972"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Headings; Gender</w:t>
      </w:r>
      <w:r>
        <w:rPr>
          <w:rFonts w:ascii="Arial" w:cs="Arial" w:eastAsia="Arial" w:hAnsi="Arial"/>
          <w:sz w:val="17"/>
          <w:szCs w:val="17"/>
          <w:color w:val="auto"/>
        </w:rPr>
        <w:t>. The headings of the Sections hereof are provided for convenience only and are not to serve as a basis for interpretation or construction, and shall not constitute a part, of this Agreement. Masculine pronouns and other words of masculine gender shall refer to both men and women as appropriate.</w:t>
      </w:r>
    </w:p>
    <w:p>
      <w:pPr>
        <w:spacing w:after="0" w:line="136" w:lineRule="exact"/>
        <w:rPr>
          <w:rFonts w:ascii="Arial" w:cs="Arial" w:eastAsia="Arial" w:hAnsi="Arial"/>
          <w:sz w:val="17"/>
          <w:szCs w:val="17"/>
          <w:color w:val="auto"/>
        </w:rPr>
      </w:pPr>
    </w:p>
    <w:p>
      <w:pPr>
        <w:ind w:left="-20" w:right="360" w:firstLine="563"/>
        <w:spacing w:after="0" w:line="225" w:lineRule="auto"/>
        <w:tabs>
          <w:tab w:leader="none" w:pos="924"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one or more counterparts (including via facsimile and electronic image scan (pdf)), each of which shall be deemed to be an original, but all of which together shall constitute one and the same instrument and shall become effective when one or more counterparts have been signed by each of the parties and delivered to the other parties.</w:t>
      </w:r>
    </w:p>
    <w:p>
      <w:pPr>
        <w:spacing w:after="0" w:line="136" w:lineRule="exact"/>
        <w:rPr>
          <w:rFonts w:ascii="Arial" w:cs="Arial" w:eastAsia="Arial" w:hAnsi="Arial"/>
          <w:sz w:val="17"/>
          <w:szCs w:val="17"/>
          <w:color w:val="auto"/>
        </w:rPr>
      </w:pPr>
    </w:p>
    <w:p>
      <w:pPr>
        <w:ind w:left="-20" w:right="200" w:firstLine="563"/>
        <w:spacing w:after="0" w:line="234" w:lineRule="auto"/>
        <w:tabs>
          <w:tab w:leader="none" w:pos="924"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Electronic Signature and Delivery</w:t>
      </w:r>
      <w:r>
        <w:rPr>
          <w:rFonts w:ascii="Arial" w:cs="Arial" w:eastAsia="Arial" w:hAnsi="Arial"/>
          <w:sz w:val="16"/>
          <w:szCs w:val="16"/>
          <w:color w:val="auto"/>
        </w:rPr>
        <w:t>. This Agreement may be accepted by return signature or by electronic confirmation. By accepting this Agreement, the Participant consents to the electronic delivery of prospectuses, annual reports and other information required to be delivered by U.S. Securities and Exchange Commission rules (which consent may be revoked in writing by the Participant at any time upon three business days’ notice to the Company, in which case subsequent prospectuses, annual reports and other information will be delivered in hard copy to the Participant).</w:t>
      </w:r>
    </w:p>
    <w:p>
      <w:pPr>
        <w:spacing w:after="0" w:line="134" w:lineRule="exact"/>
        <w:rPr>
          <w:rFonts w:ascii="Arial" w:cs="Arial" w:eastAsia="Arial" w:hAnsi="Arial"/>
          <w:sz w:val="16"/>
          <w:szCs w:val="16"/>
          <w:color w:val="auto"/>
        </w:rPr>
      </w:pPr>
    </w:p>
    <w:p>
      <w:pPr>
        <w:ind w:left="-20" w:firstLine="563"/>
        <w:spacing w:after="0"/>
        <w:tabs>
          <w:tab w:leader="none" w:pos="924"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Electronic Participation in Plan</w:t>
      </w:r>
      <w:r>
        <w:rPr>
          <w:rFonts w:ascii="Arial" w:cs="Arial" w:eastAsia="Arial" w:hAnsi="Arial"/>
          <w:sz w:val="16"/>
          <w:szCs w:val="16"/>
          <w:color w:val="auto"/>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200" w:lineRule="exact"/>
        <w:rPr>
          <w:sz w:val="20"/>
          <w:szCs w:val="20"/>
          <w:color w:val="auto"/>
        </w:rPr>
      </w:pPr>
    </w:p>
    <w:p>
      <w:pPr>
        <w:spacing w:after="0" w:line="331" w:lineRule="exact"/>
        <w:rPr>
          <w:sz w:val="20"/>
          <w:szCs w:val="20"/>
          <w:color w:val="auto"/>
        </w:rPr>
      </w:pPr>
    </w:p>
    <w:p>
      <w:pPr>
        <w:ind w:left="4260"/>
        <w:spacing w:after="0"/>
        <w:rPr>
          <w:sz w:val="20"/>
          <w:szCs w:val="20"/>
          <w:color w:val="auto"/>
        </w:rPr>
      </w:pPr>
      <w:r>
        <w:rPr>
          <w:rFonts w:ascii="Arial" w:cs="Arial" w:eastAsia="Arial" w:hAnsi="Arial"/>
          <w:sz w:val="17"/>
          <w:szCs w:val="17"/>
          <w:b w:val="1"/>
          <w:b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00"/>
          </w:cols>
          <w:pgMar w:left="340" w:top="1249" w:right="359" w:bottom="1440" w:gutter="0" w:footer="0" w:header="0"/>
        </w:sectPr>
      </w:pPr>
    </w:p>
    <w:bookmarkStart w:id="153" w:name="page154"/>
    <w:bookmarkEnd w:id="153"/>
    <w:p>
      <w:pPr>
        <w:spacing w:after="0"/>
        <w:rPr>
          <w:sz w:val="20"/>
          <w:szCs w:val="20"/>
          <w:color w:val="auto"/>
        </w:rPr>
      </w:pPr>
      <w:r>
        <w:rPr>
          <w:rFonts w:ascii="Arial" w:cs="Arial" w:eastAsia="Arial" w:hAnsi="Arial"/>
          <w:sz w:val="15"/>
          <w:szCs w:val="15"/>
          <w:color w:val="auto"/>
        </w:rPr>
        <w:t>IN WITNESS WHEREOF, this Agreement has been executed by the Company and the Participant as of the day first written above.</w:t>
      </w:r>
    </w:p>
    <w:p>
      <w:pPr>
        <w:sectPr>
          <w:pgSz w:w="11900" w:h="16838" w:orient="portrait"/>
          <w:cols w:equalWidth="0" w:num="1">
            <w:col w:w="9379"/>
          </w:cols>
          <w:pgMar w:left="1080" w:top="1249" w:right="1440" w:bottom="1440" w:gutter="0" w:footer="0" w:header="0"/>
        </w:sectPr>
      </w:pPr>
    </w:p>
    <w:p>
      <w:pPr>
        <w:spacing w:after="0" w:line="206" w:lineRule="exact"/>
        <w:rPr>
          <w:sz w:val="20"/>
          <w:szCs w:val="20"/>
          <w:color w:val="auto"/>
        </w:rPr>
      </w:pPr>
    </w:p>
    <w:p>
      <w:pPr>
        <w:ind w:left="2640"/>
        <w:spacing w:after="0"/>
        <w:rPr>
          <w:sz w:val="20"/>
          <w:szCs w:val="20"/>
          <w:color w:val="auto"/>
        </w:rPr>
      </w:pPr>
      <w:r>
        <w:rPr>
          <w:rFonts w:ascii="Arial" w:cs="Arial" w:eastAsia="Arial" w:hAnsi="Arial"/>
          <w:sz w:val="17"/>
          <w:szCs w:val="17"/>
          <w:color w:val="auto"/>
        </w:rPr>
        <w:t>VIRTU FINANCIAL, INC.</w:t>
      </w:r>
    </w:p>
    <w:p>
      <w:pPr>
        <w:spacing w:after="0" w:line="357" w:lineRule="exact"/>
        <w:rPr>
          <w:sz w:val="20"/>
          <w:szCs w:val="20"/>
          <w:color w:val="auto"/>
        </w:rPr>
      </w:pPr>
    </w:p>
    <w:p>
      <w:pPr>
        <w:ind w:left="264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Robert Greifeld</w:t>
      </w:r>
    </w:p>
    <w:p>
      <w:pPr>
        <w:ind w:left="2640"/>
        <w:spacing w:after="0" w:line="203" w:lineRule="auto"/>
        <w:rPr>
          <w:sz w:val="20"/>
          <w:szCs w:val="20"/>
          <w:color w:val="auto"/>
        </w:rPr>
      </w:pPr>
      <w:r>
        <w:rPr>
          <w:rFonts w:ascii="Arial" w:cs="Arial" w:eastAsia="Arial" w:hAnsi="Arial"/>
          <w:sz w:val="17"/>
          <w:szCs w:val="17"/>
          <w:color w:val="auto"/>
        </w:rPr>
        <w:t>Name: Robert Greifeld</w:t>
      </w:r>
    </w:p>
    <w:p>
      <w:pPr>
        <w:ind w:left="2640"/>
        <w:spacing w:after="0"/>
        <w:rPr>
          <w:sz w:val="20"/>
          <w:szCs w:val="20"/>
          <w:color w:val="auto"/>
        </w:rPr>
      </w:pPr>
      <w:r>
        <w:rPr>
          <w:rFonts w:ascii="Arial" w:cs="Arial" w:eastAsia="Arial" w:hAnsi="Arial"/>
          <w:sz w:val="17"/>
          <w:szCs w:val="17"/>
          <w:color w:val="auto"/>
        </w:rPr>
        <w:t>Title: Chairman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640"/>
        <w:spacing w:after="0"/>
        <w:rPr>
          <w:sz w:val="20"/>
          <w:szCs w:val="20"/>
          <w:color w:val="auto"/>
        </w:rPr>
      </w:pPr>
      <w:r>
        <w:rPr>
          <w:rFonts w:ascii="Arial" w:cs="Arial" w:eastAsia="Arial" w:hAnsi="Arial"/>
          <w:sz w:val="17"/>
          <w:szCs w:val="17"/>
          <w:u w:val="single" w:color="auto"/>
          <w:color w:val="auto"/>
        </w:rPr>
        <w:t>/s/ Douglas A. Cifu</w:t>
      </w:r>
    </w:p>
    <w:p>
      <w:pPr>
        <w:ind w:left="2640"/>
        <w:spacing w:after="0"/>
        <w:rPr>
          <w:sz w:val="20"/>
          <w:szCs w:val="20"/>
          <w:color w:val="auto"/>
        </w:rPr>
      </w:pPr>
      <w:r>
        <w:rPr>
          <w:rFonts w:ascii="Arial" w:cs="Arial" w:eastAsia="Arial" w:hAnsi="Arial"/>
          <w:sz w:val="17"/>
          <w:szCs w:val="17"/>
          <w:color w:val="auto"/>
        </w:rPr>
        <w:t>Douglas A. Cifu</w:t>
      </w:r>
    </w:p>
    <w:p>
      <w:pPr>
        <w:sectPr>
          <w:pgSz w:w="11900" w:h="16838" w:orient="portrait"/>
          <w:cols w:equalWidth="0" w:num="1">
            <w:col w:w="9379"/>
          </w:cols>
          <w:pgMar w:left="1080" w:top="1249" w:right="1440" w:bottom="1440" w:gutter="0" w:footer="0" w:header="0"/>
          <w:type w:val="continuous"/>
        </w:sectPr>
      </w:pPr>
    </w:p>
    <w:bookmarkStart w:id="154" w:name="page155"/>
    <w:bookmarkEnd w:id="154"/>
    <w:p>
      <w:pPr>
        <w:ind w:left="3386"/>
        <w:spacing w:after="0"/>
        <w:rPr>
          <w:sz w:val="20"/>
          <w:szCs w:val="20"/>
          <w:color w:val="auto"/>
        </w:rPr>
      </w:pPr>
      <w:r>
        <w:rPr>
          <w:rFonts w:ascii="Arial" w:cs="Arial" w:eastAsia="Arial" w:hAnsi="Arial"/>
          <w:sz w:val="17"/>
          <w:szCs w:val="17"/>
          <w:b w:val="1"/>
          <w:bCs w:val="1"/>
          <w:color w:val="auto"/>
        </w:rPr>
        <w:t>VIRTU FINANCIAL, INC. AMENDED AND RESTATED</w:t>
      </w:r>
    </w:p>
    <w:p>
      <w:pPr>
        <w:spacing w:after="0" w:line="8" w:lineRule="exact"/>
        <w:rPr>
          <w:sz w:val="20"/>
          <w:szCs w:val="20"/>
          <w:color w:val="auto"/>
        </w:rPr>
      </w:pPr>
    </w:p>
    <w:p>
      <w:pPr>
        <w:ind w:left="3926"/>
        <w:spacing w:after="0"/>
        <w:rPr>
          <w:sz w:val="20"/>
          <w:szCs w:val="20"/>
          <w:color w:val="auto"/>
        </w:rPr>
      </w:pPr>
      <w:r>
        <w:rPr>
          <w:rFonts w:ascii="Arial" w:cs="Arial" w:eastAsia="Arial" w:hAnsi="Arial"/>
          <w:sz w:val="17"/>
          <w:szCs w:val="17"/>
          <w:b w:val="1"/>
          <w:bCs w:val="1"/>
          <w:color w:val="auto"/>
        </w:rPr>
        <w:t>2015 MANAGEMENT INCENTIVE PLAN</w:t>
      </w:r>
    </w:p>
    <w:p>
      <w:pPr>
        <w:ind w:left="566" w:right="2460" w:firstLine="1945"/>
        <w:spacing w:after="0" w:line="283" w:lineRule="auto"/>
        <w:rPr>
          <w:sz w:val="20"/>
          <w:szCs w:val="20"/>
          <w:color w:val="auto"/>
        </w:rPr>
      </w:pPr>
      <w:r>
        <w:rPr>
          <w:rFonts w:ascii="Arial" w:cs="Arial" w:eastAsia="Arial" w:hAnsi="Arial"/>
          <w:sz w:val="17"/>
          <w:szCs w:val="17"/>
          <w:b w:val="1"/>
          <w:bCs w:val="1"/>
          <w:u w:val="single" w:color="auto"/>
          <w:color w:val="auto"/>
        </w:rPr>
        <w:t xml:space="preserve">RESTRICTED STOCK UNIT AND COMMON STOCK AWARD AGREEMENT </w:t>
      </w:r>
      <w:r>
        <w:rPr>
          <w:rFonts w:ascii="Arial" w:cs="Arial" w:eastAsia="Arial" w:hAnsi="Arial"/>
          <w:sz w:val="17"/>
          <w:szCs w:val="17"/>
          <w:color w:val="auto"/>
        </w:rPr>
        <w:t>THIS RESTRICTED STOCK UNIT AND COMMON STOCK AWARD AGREEMENT (the</w:t>
      </w:r>
    </w:p>
    <w:p>
      <w:pPr>
        <w:spacing w:after="0" w:line="1" w:lineRule="exact"/>
        <w:rPr>
          <w:sz w:val="20"/>
          <w:szCs w:val="20"/>
          <w:color w:val="auto"/>
        </w:rPr>
      </w:pPr>
    </w:p>
    <w:p>
      <w:pPr>
        <w:ind w:left="6" w:right="240"/>
        <w:spacing w:after="0" w:line="26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Agreement</w:t>
      </w:r>
      <w:r>
        <w:rPr>
          <w:rFonts w:ascii="Arial" w:cs="Arial" w:eastAsia="Arial" w:hAnsi="Arial"/>
          <w:sz w:val="17"/>
          <w:szCs w:val="17"/>
          <w:color w:val="auto"/>
        </w:rPr>
        <w:t>”), is entered into as of January 24, 2020 (the “</w:t>
      </w:r>
      <w:r>
        <w:rPr>
          <w:rFonts w:ascii="Arial" w:cs="Arial" w:eastAsia="Arial" w:hAnsi="Arial"/>
          <w:sz w:val="17"/>
          <w:szCs w:val="17"/>
          <w:u w:val="single" w:color="auto"/>
          <w:color w:val="auto"/>
        </w:rPr>
        <w:t>Date of Grant</w:t>
      </w:r>
      <w:r>
        <w:rPr>
          <w:rFonts w:ascii="Arial" w:cs="Arial" w:eastAsia="Arial" w:hAnsi="Arial"/>
          <w:sz w:val="17"/>
          <w:szCs w:val="17"/>
          <w:color w:val="auto"/>
        </w:rPr>
        <w:t>”), by and between Virtu Financial,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and Brett Fairclough (the “</w:t>
      </w:r>
      <w:r>
        <w:rPr>
          <w:rFonts w:ascii="Arial" w:cs="Arial" w:eastAsia="Arial" w:hAnsi="Arial"/>
          <w:sz w:val="17"/>
          <w:szCs w:val="17"/>
          <w:u w:val="single" w:color="auto"/>
          <w:color w:val="auto"/>
        </w:rPr>
        <w:t>Participant</w:t>
      </w:r>
      <w:r>
        <w:rPr>
          <w:rFonts w:ascii="Arial" w:cs="Arial" w:eastAsia="Arial" w:hAnsi="Arial"/>
          <w:sz w:val="17"/>
          <w:szCs w:val="17"/>
          <w:color w:val="auto"/>
        </w:rPr>
        <w:t>”).</w:t>
      </w:r>
    </w:p>
    <w:p>
      <w:pPr>
        <w:spacing w:after="0" w:line="107" w:lineRule="exact"/>
        <w:rPr>
          <w:sz w:val="20"/>
          <w:szCs w:val="20"/>
          <w:color w:val="auto"/>
        </w:rPr>
      </w:pPr>
    </w:p>
    <w:p>
      <w:pPr>
        <w:ind w:left="566"/>
        <w:spacing w:after="0"/>
        <w:rPr>
          <w:sz w:val="20"/>
          <w:szCs w:val="20"/>
          <w:color w:val="auto"/>
        </w:rPr>
      </w:pPr>
      <w:r>
        <w:rPr>
          <w:rFonts w:ascii="Arial" w:cs="Arial" w:eastAsia="Arial" w:hAnsi="Arial"/>
          <w:sz w:val="16"/>
          <w:szCs w:val="16"/>
          <w:color w:val="auto"/>
        </w:rPr>
        <w:t>WHEREAS, the Company has adopted the Virtu Financial, Inc. Amended and Restated 2015 Management Incentive Plan (the “</w:t>
      </w:r>
      <w:r>
        <w:rPr>
          <w:rFonts w:ascii="Arial" w:cs="Arial" w:eastAsia="Arial" w:hAnsi="Arial"/>
          <w:sz w:val="16"/>
          <w:szCs w:val="16"/>
          <w:u w:val="single" w:color="auto"/>
          <w:color w:val="auto"/>
        </w:rPr>
        <w:t>Plan</w:t>
      </w:r>
      <w:r>
        <w:rPr>
          <w:rFonts w:ascii="Arial" w:cs="Arial" w:eastAsia="Arial" w:hAnsi="Arial"/>
          <w:sz w:val="16"/>
          <w:szCs w:val="16"/>
          <w:color w:val="auto"/>
        </w:rPr>
        <w:t>”), pursuant to</w:t>
      </w:r>
    </w:p>
    <w:p>
      <w:pPr>
        <w:spacing w:after="0" w:line="31" w:lineRule="exact"/>
        <w:rPr>
          <w:sz w:val="20"/>
          <w:szCs w:val="20"/>
          <w:color w:val="auto"/>
        </w:rPr>
      </w:pPr>
    </w:p>
    <w:p>
      <w:pPr>
        <w:ind w:left="6"/>
        <w:spacing w:after="0"/>
        <w:rPr>
          <w:sz w:val="20"/>
          <w:szCs w:val="20"/>
          <w:color w:val="auto"/>
        </w:rPr>
      </w:pPr>
      <w:r>
        <w:rPr>
          <w:rFonts w:ascii="Arial" w:cs="Arial" w:eastAsia="Arial" w:hAnsi="Arial"/>
          <w:sz w:val="17"/>
          <w:szCs w:val="17"/>
          <w:color w:val="auto"/>
        </w:rPr>
        <w:t>which shares of Class A Common Stock and</w:t>
      </w:r>
    </w:p>
    <w:p>
      <w:pPr>
        <w:spacing w:after="0" w:line="6" w:lineRule="exact"/>
        <w:rPr>
          <w:sz w:val="20"/>
          <w:szCs w:val="20"/>
          <w:color w:val="auto"/>
        </w:rPr>
      </w:pPr>
    </w:p>
    <w:p>
      <w:pPr>
        <w:ind w:left="6"/>
        <w:spacing w:after="0"/>
        <w:rPr>
          <w:sz w:val="20"/>
          <w:szCs w:val="20"/>
          <w:color w:val="auto"/>
        </w:rPr>
      </w:pPr>
      <w:r>
        <w:rPr>
          <w:rFonts w:ascii="Arial" w:cs="Arial" w:eastAsia="Arial" w:hAnsi="Arial"/>
          <w:sz w:val="17"/>
          <w:szCs w:val="17"/>
          <w:color w:val="auto"/>
        </w:rPr>
        <w:t>Restricted Stock Units (“</w:t>
      </w:r>
      <w:r>
        <w:rPr>
          <w:rFonts w:ascii="Arial" w:cs="Arial" w:eastAsia="Arial" w:hAnsi="Arial"/>
          <w:sz w:val="17"/>
          <w:szCs w:val="17"/>
          <w:u w:val="single" w:color="auto"/>
          <w:color w:val="auto"/>
        </w:rPr>
        <w:t>RSUs</w:t>
      </w:r>
      <w:r>
        <w:rPr>
          <w:rFonts w:ascii="Arial" w:cs="Arial" w:eastAsia="Arial" w:hAnsi="Arial"/>
          <w:sz w:val="17"/>
          <w:szCs w:val="17"/>
          <w:color w:val="auto"/>
        </w:rPr>
        <w:t>”) may be granted; and</w:t>
      </w:r>
    </w:p>
    <w:p>
      <w:pPr>
        <w:spacing w:after="0" w:line="134" w:lineRule="exact"/>
        <w:rPr>
          <w:sz w:val="20"/>
          <w:szCs w:val="20"/>
          <w:color w:val="auto"/>
        </w:rPr>
      </w:pPr>
    </w:p>
    <w:p>
      <w:pPr>
        <w:jc w:val="both"/>
        <w:ind w:left="6" w:right="300" w:firstLine="568"/>
        <w:spacing w:after="0" w:line="270" w:lineRule="auto"/>
        <w:rPr>
          <w:sz w:val="20"/>
          <w:szCs w:val="20"/>
          <w:color w:val="auto"/>
        </w:rPr>
      </w:pPr>
      <w:r>
        <w:rPr>
          <w:rFonts w:ascii="Arial" w:cs="Arial" w:eastAsia="Arial" w:hAnsi="Arial"/>
          <w:sz w:val="16"/>
          <w:szCs w:val="16"/>
          <w:color w:val="auto"/>
        </w:rPr>
        <w:t>WHEREAS, the Compensation Committee of the Board of Directors of the Company has determined that it is in the best interests of the Company and its stockholders to grant the shares of Class A Common Stock in recognition of Participant’s service to the Company and its Affiliates from January 1, 2019 through December 31, 2019, and RSUs provided for herein to the Participant subject to the terms set forth herein.</w:t>
      </w:r>
    </w:p>
    <w:p>
      <w:pPr>
        <w:spacing w:after="0" w:line="89" w:lineRule="exact"/>
        <w:rPr>
          <w:sz w:val="20"/>
          <w:szCs w:val="20"/>
          <w:color w:val="auto"/>
        </w:rPr>
      </w:pPr>
    </w:p>
    <w:p>
      <w:pPr>
        <w:ind w:left="6" w:right="100" w:firstLine="568"/>
        <w:spacing w:after="0" w:line="347" w:lineRule="auto"/>
        <w:rPr>
          <w:sz w:val="20"/>
          <w:szCs w:val="20"/>
          <w:color w:val="auto"/>
        </w:rPr>
      </w:pPr>
      <w:r>
        <w:rPr>
          <w:rFonts w:ascii="Arial" w:cs="Arial" w:eastAsia="Arial" w:hAnsi="Arial"/>
          <w:sz w:val="15"/>
          <w:szCs w:val="15"/>
          <w:color w:val="auto"/>
        </w:rPr>
        <w:t>NOW, THEREFORE, for and in consideration of the premises and the covenants of the parties contained in this Agreement, and for other good and valuable consideration, the receipt of which is hereby acknowledged, the parties hereto, for themselves, their successors and assigns, hereby agree as follows:</w:t>
      </w:r>
    </w:p>
    <w:p>
      <w:pPr>
        <w:spacing w:after="0" w:line="99" w:lineRule="exact"/>
        <w:rPr>
          <w:sz w:val="20"/>
          <w:szCs w:val="20"/>
          <w:color w:val="auto"/>
        </w:rPr>
      </w:pPr>
    </w:p>
    <w:p>
      <w:pPr>
        <w:ind w:left="566" w:hanging="566"/>
        <w:spacing w:after="0"/>
        <w:tabs>
          <w:tab w:leader="none" w:pos="566" w:val="left"/>
        </w:tabs>
        <w:numPr>
          <w:ilvl w:val="0"/>
          <w:numId w:val="49"/>
        </w:numPr>
        <w:rPr>
          <w:rFonts w:ascii="Arial" w:cs="Arial" w:eastAsia="Arial" w:hAnsi="Arial"/>
          <w:sz w:val="17"/>
          <w:szCs w:val="17"/>
          <w:b w:val="1"/>
          <w:bCs w:val="1"/>
          <w:color w:val="auto"/>
        </w:rPr>
      </w:pPr>
      <w:r>
        <w:rPr>
          <w:rFonts w:ascii="Arial" w:cs="Arial" w:eastAsia="Arial" w:hAnsi="Arial"/>
          <w:sz w:val="17"/>
          <w:szCs w:val="17"/>
          <w:b w:val="1"/>
          <w:bCs w:val="1"/>
          <w:color w:val="auto"/>
        </w:rPr>
        <w:t>Grant of Common Stock and Restricted Stock Units.</w:t>
      </w:r>
    </w:p>
    <w:p>
      <w:pPr>
        <w:spacing w:after="0" w:line="142" w:lineRule="exact"/>
        <w:rPr>
          <w:rFonts w:ascii="Arial" w:cs="Arial" w:eastAsia="Arial" w:hAnsi="Arial"/>
          <w:sz w:val="17"/>
          <w:szCs w:val="17"/>
          <w:b w:val="1"/>
          <w:bCs w:val="1"/>
          <w:color w:val="auto"/>
        </w:rPr>
      </w:pPr>
    </w:p>
    <w:p>
      <w:pPr>
        <w:ind w:left="6" w:hanging="6"/>
        <w:spacing w:after="0" w:line="237" w:lineRule="auto"/>
        <w:tabs>
          <w:tab w:leader="none" w:pos="495" w:val="left"/>
        </w:tabs>
        <w:numPr>
          <w:ilvl w:val="1"/>
          <w:numId w:val="49"/>
        </w:numPr>
        <w:rPr>
          <w:rFonts w:ascii="Arial" w:cs="Arial" w:eastAsia="Arial" w:hAnsi="Arial"/>
          <w:sz w:val="15"/>
          <w:szCs w:val="15"/>
          <w:color w:val="auto"/>
        </w:rPr>
      </w:pPr>
      <w:r>
        <w:rPr>
          <w:rFonts w:ascii="Arial" w:cs="Arial" w:eastAsia="Arial" w:hAnsi="Arial"/>
          <w:sz w:val="15"/>
          <w:szCs w:val="15"/>
          <w:u w:val="single" w:color="auto"/>
          <w:color w:val="auto"/>
        </w:rPr>
        <w:t>Grant</w:t>
      </w:r>
      <w:r>
        <w:rPr>
          <w:rFonts w:ascii="Arial" w:cs="Arial" w:eastAsia="Arial" w:hAnsi="Arial"/>
          <w:sz w:val="15"/>
          <w:szCs w:val="15"/>
          <w:color w:val="auto"/>
        </w:rPr>
        <w:t>. The Company hereby grants to the Participant a total number of shares of Class A Common Stock equal to approximately $369,600.00 divided by the Issue Price (the “</w:t>
      </w:r>
      <w:r>
        <w:rPr>
          <w:rFonts w:ascii="Arial" w:cs="Arial" w:eastAsia="Arial" w:hAnsi="Arial"/>
          <w:sz w:val="15"/>
          <w:szCs w:val="15"/>
          <w:u w:val="single" w:color="auto"/>
          <w:color w:val="auto"/>
        </w:rPr>
        <w:t>Shares</w:t>
      </w:r>
      <w:r>
        <w:rPr>
          <w:rFonts w:ascii="Arial" w:cs="Arial" w:eastAsia="Arial" w:hAnsi="Arial"/>
          <w:sz w:val="15"/>
          <w:szCs w:val="15"/>
          <w:color w:val="auto"/>
        </w:rPr>
        <w:t>”), and a total number of RSUs equal to approximately $554,400.00 divided by the Issue Price, in each case on the terms and conditions set forth in this Agreement and as otherwise provided in the Plan. The RSUs shall be credited to a separate book-entry account maintained for the Participant on the books of the Company, which may be maintained by a third party. The “</w:t>
      </w:r>
      <w:r>
        <w:rPr>
          <w:rFonts w:ascii="Arial" w:cs="Arial" w:eastAsia="Arial" w:hAnsi="Arial"/>
          <w:sz w:val="15"/>
          <w:szCs w:val="15"/>
          <w:u w:val="single" w:color="auto"/>
          <w:color w:val="auto"/>
        </w:rPr>
        <w:t>Issue Price</w:t>
      </w:r>
      <w:r>
        <w:rPr>
          <w:rFonts w:ascii="Arial" w:cs="Arial" w:eastAsia="Arial" w:hAnsi="Arial"/>
          <w:sz w:val="15"/>
          <w:szCs w:val="15"/>
          <w:color w:val="auto"/>
        </w:rPr>
        <w:t>” shall mean the volume weighted average price of shares of the Company’s Class A Common Stock traded during the three days preceding the Date of Grant, as determined by the Company.</w:t>
      </w:r>
    </w:p>
    <w:p>
      <w:pPr>
        <w:spacing w:after="0" w:line="2" w:lineRule="exact"/>
        <w:rPr>
          <w:rFonts w:ascii="Arial" w:cs="Arial" w:eastAsia="Arial" w:hAnsi="Arial"/>
          <w:sz w:val="15"/>
          <w:szCs w:val="15"/>
          <w:color w:val="auto"/>
        </w:rPr>
      </w:pPr>
    </w:p>
    <w:p>
      <w:pPr>
        <w:ind w:left="6" w:right="60" w:firstLine="563"/>
        <w:spacing w:after="0" w:line="210" w:lineRule="auto"/>
        <w:tabs>
          <w:tab w:leader="none" w:pos="1061" w:val="left"/>
        </w:tabs>
        <w:numPr>
          <w:ilvl w:val="2"/>
          <w:numId w:val="49"/>
        </w:numPr>
        <w:rPr>
          <w:rFonts w:ascii="Arial" w:cs="Arial" w:eastAsia="Arial" w:hAnsi="Arial"/>
          <w:sz w:val="17"/>
          <w:szCs w:val="17"/>
          <w:color w:val="auto"/>
        </w:rPr>
      </w:pPr>
      <w:r>
        <w:rPr>
          <w:rFonts w:ascii="Arial" w:cs="Arial" w:eastAsia="Arial" w:hAnsi="Arial"/>
          <w:sz w:val="17"/>
          <w:szCs w:val="17"/>
          <w:u w:val="single" w:color="auto"/>
          <w:color w:val="auto"/>
        </w:rPr>
        <w:t>Incorporation by Reference</w:t>
      </w:r>
      <w:r>
        <w:rPr>
          <w:rFonts w:ascii="Arial" w:cs="Arial" w:eastAsia="Arial" w:hAnsi="Arial"/>
          <w:sz w:val="17"/>
          <w:szCs w:val="17"/>
          <w:color w:val="auto"/>
        </w:rPr>
        <w:t>. The provisions of the Plan are incorporated herein by reference. Except as otherwise expressly set forth herein, this Agreement shall be construed in accordance with the provisions of the Plan and any interpretations, amendments, rules and regulations promulgated by the Committee from time to time pursuant to the Plan. Any capitalized terms not otherwise defined in this Agreement shall have the definitions set forth in the Plan. The Committee shall have final authority to interpret and construe the Plan and this Agreement and to make any and all determinations under them, and its decision shall be binding and conclusive upon the Participant and his legal representative in respect of any questions arising under the Plan or this Agreement. The Participant acknowledges that he has received a copy of the Plan and has had an opportunity to review the Plan and agrees to be bound by all the terms and provisions of the Plan.</w:t>
      </w:r>
    </w:p>
    <w:p>
      <w:pPr>
        <w:spacing w:after="0" w:line="156" w:lineRule="exact"/>
        <w:rPr>
          <w:rFonts w:ascii="Arial" w:cs="Arial" w:eastAsia="Arial" w:hAnsi="Arial"/>
          <w:sz w:val="17"/>
          <w:szCs w:val="17"/>
          <w:color w:val="auto"/>
        </w:rPr>
      </w:pPr>
    </w:p>
    <w:p>
      <w:pPr>
        <w:ind w:left="566" w:hanging="566"/>
        <w:spacing w:after="0"/>
        <w:tabs>
          <w:tab w:leader="none" w:pos="566" w:val="left"/>
        </w:tabs>
        <w:numPr>
          <w:ilvl w:val="0"/>
          <w:numId w:val="49"/>
        </w:numPr>
        <w:rPr>
          <w:rFonts w:ascii="Arial" w:cs="Arial" w:eastAsia="Arial" w:hAnsi="Arial"/>
          <w:sz w:val="17"/>
          <w:szCs w:val="17"/>
          <w:b w:val="1"/>
          <w:bCs w:val="1"/>
          <w:color w:val="auto"/>
        </w:rPr>
      </w:pPr>
      <w:r>
        <w:rPr>
          <w:rFonts w:ascii="Arial" w:cs="Arial" w:eastAsia="Arial" w:hAnsi="Arial"/>
          <w:sz w:val="17"/>
          <w:szCs w:val="17"/>
          <w:b w:val="1"/>
          <w:bCs w:val="1"/>
          <w:color w:val="auto"/>
        </w:rPr>
        <w:t>Vesting and Settlement.</w:t>
      </w:r>
    </w:p>
    <w:p>
      <w:pPr>
        <w:spacing w:after="0" w:line="201" w:lineRule="exact"/>
        <w:rPr>
          <w:rFonts w:ascii="Arial" w:cs="Arial" w:eastAsia="Arial" w:hAnsi="Arial"/>
          <w:sz w:val="17"/>
          <w:szCs w:val="17"/>
          <w:b w:val="1"/>
          <w:bCs w:val="1"/>
          <w:color w:val="auto"/>
        </w:rPr>
      </w:pPr>
    </w:p>
    <w:p>
      <w:pPr>
        <w:ind w:left="1126" w:hanging="557"/>
        <w:spacing w:after="0"/>
        <w:tabs>
          <w:tab w:leader="none" w:pos="1126" w:val="left"/>
        </w:tabs>
        <w:numPr>
          <w:ilvl w:val="2"/>
          <w:numId w:val="50"/>
        </w:numPr>
        <w:rPr>
          <w:rFonts w:ascii="Arial" w:cs="Arial" w:eastAsia="Arial" w:hAnsi="Arial"/>
          <w:sz w:val="17"/>
          <w:szCs w:val="17"/>
          <w:color w:val="auto"/>
        </w:rPr>
      </w:pPr>
      <w:r>
        <w:rPr>
          <w:rFonts w:ascii="Arial" w:cs="Arial" w:eastAsia="Arial" w:hAnsi="Arial"/>
          <w:sz w:val="17"/>
          <w:szCs w:val="17"/>
          <w:color w:val="auto"/>
        </w:rPr>
        <w:t>The Shares shall be one hundred percent (100%) vested as of the Date of Grant.</w:t>
      </w:r>
    </w:p>
    <w:p>
      <w:pPr>
        <w:spacing w:after="0" w:line="195" w:lineRule="exact"/>
        <w:rPr>
          <w:rFonts w:ascii="Arial" w:cs="Arial" w:eastAsia="Arial" w:hAnsi="Arial"/>
          <w:sz w:val="17"/>
          <w:szCs w:val="17"/>
          <w:color w:val="auto"/>
        </w:rPr>
      </w:pPr>
    </w:p>
    <w:p>
      <w:pPr>
        <w:ind w:left="6" w:right="240" w:firstLine="563"/>
        <w:spacing w:after="0" w:line="248" w:lineRule="auto"/>
        <w:tabs>
          <w:tab w:leader="none" w:pos="1061" w:val="left"/>
        </w:tabs>
        <w:numPr>
          <w:ilvl w:val="2"/>
          <w:numId w:val="50"/>
        </w:numPr>
        <w:rPr>
          <w:rFonts w:ascii="Arial" w:cs="Arial" w:eastAsia="Arial" w:hAnsi="Arial"/>
          <w:sz w:val="17"/>
          <w:szCs w:val="17"/>
          <w:color w:val="auto"/>
        </w:rPr>
      </w:pPr>
      <w:r>
        <w:rPr>
          <w:rFonts w:ascii="Arial" w:cs="Arial" w:eastAsia="Arial" w:hAnsi="Arial"/>
          <w:sz w:val="17"/>
          <w:szCs w:val="17"/>
          <w:color w:val="auto"/>
        </w:rPr>
        <w:t>Except as may otherwise be provided herein, subject to the Participant’s continued employment or service with the Company or an Affiliate, the RSUs shall vest in equal installments on each of the first three (3) anniversaries of the Date of Grant (each such date, a “</w:t>
      </w:r>
      <w:r>
        <w:rPr>
          <w:rFonts w:ascii="Arial" w:cs="Arial" w:eastAsia="Arial" w:hAnsi="Arial"/>
          <w:sz w:val="17"/>
          <w:szCs w:val="17"/>
          <w:u w:val="single" w:color="auto"/>
          <w:color w:val="auto"/>
        </w:rPr>
        <w:t>Vesting Date</w:t>
      </w:r>
      <w:r>
        <w:rPr>
          <w:rFonts w:ascii="Arial" w:cs="Arial" w:eastAsia="Arial" w:hAnsi="Arial"/>
          <w:sz w:val="17"/>
          <w:szCs w:val="17"/>
          <w:color w:val="auto"/>
        </w:rPr>
        <w:t>”). Upon each Vesting Date, such portion of the RSUs that vest on such date shall no longer be subject to the</w:t>
      </w:r>
    </w:p>
    <w:p>
      <w:pPr>
        <w:sectPr>
          <w:pgSz w:w="11900" w:h="16838" w:orient="portrait"/>
          <w:cols w:equalWidth="0" w:num="1">
            <w:col w:w="11046"/>
          </w:cols>
          <w:pgMar w:left="394" w:top="1244" w:right="459" w:bottom="1440" w:gutter="0" w:footer="0" w:header="0"/>
        </w:sectPr>
      </w:pPr>
    </w:p>
    <w:bookmarkStart w:id="155" w:name="page156"/>
    <w:bookmarkEnd w:id="155"/>
    <w:p>
      <w:pPr>
        <w:ind w:left="6" w:right="340"/>
        <w:spacing w:after="0" w:line="277" w:lineRule="auto"/>
        <w:rPr>
          <w:sz w:val="20"/>
          <w:szCs w:val="20"/>
          <w:color w:val="auto"/>
        </w:rPr>
      </w:pPr>
      <w:r>
        <w:rPr>
          <w:rFonts w:ascii="Arial" w:cs="Arial" w:eastAsia="Arial" w:hAnsi="Arial"/>
          <w:sz w:val="17"/>
          <w:szCs w:val="17"/>
          <w:color w:val="auto"/>
        </w:rPr>
        <w:t>transfer restrictions pursuant to Section 9(a) hereof or cancellation pursuant to Section 4 hereof. Any fractional RSUs resulting from the application of the vesting schedule shall be aggregated and the RSUs resulting from such aggregation shall vest on the final Vesting Date.</w:t>
      </w:r>
    </w:p>
    <w:p>
      <w:pPr>
        <w:spacing w:after="0" w:line="176" w:lineRule="exact"/>
        <w:rPr>
          <w:sz w:val="20"/>
          <w:szCs w:val="20"/>
          <w:color w:val="auto"/>
        </w:rPr>
      </w:pPr>
    </w:p>
    <w:p>
      <w:pPr>
        <w:ind w:left="6" w:right="220" w:firstLine="563"/>
        <w:spacing w:after="0" w:line="263" w:lineRule="auto"/>
        <w:tabs>
          <w:tab w:leader="none" w:pos="1063" w:val="left"/>
        </w:tabs>
        <w:numPr>
          <w:ilvl w:val="1"/>
          <w:numId w:val="51"/>
        </w:numPr>
        <w:rPr>
          <w:rFonts w:ascii="Arial" w:cs="Arial" w:eastAsia="Arial" w:hAnsi="Arial"/>
          <w:sz w:val="17"/>
          <w:szCs w:val="17"/>
          <w:color w:val="auto"/>
        </w:rPr>
      </w:pPr>
      <w:r>
        <w:rPr>
          <w:rFonts w:ascii="Arial" w:cs="Arial" w:eastAsia="Arial" w:hAnsi="Arial"/>
          <w:sz w:val="17"/>
          <w:szCs w:val="17"/>
          <w:color w:val="auto"/>
        </w:rPr>
        <w:t>Vested RSUs shall be settled within ten (10) days following the Vesting Date for such RSUs in shares of Class A Common Stock, or cash, as determined by the Committee in its sole discretion.</w:t>
      </w:r>
    </w:p>
    <w:p>
      <w:pPr>
        <w:spacing w:after="0" w:line="157" w:lineRule="exact"/>
        <w:rPr>
          <w:rFonts w:ascii="Arial" w:cs="Arial" w:eastAsia="Arial" w:hAnsi="Arial"/>
          <w:sz w:val="17"/>
          <w:szCs w:val="17"/>
          <w:color w:val="auto"/>
        </w:rPr>
      </w:pPr>
    </w:p>
    <w:p>
      <w:pPr>
        <w:jc w:val="both"/>
        <w:ind w:left="6" w:right="220" w:hanging="6"/>
        <w:spacing w:after="0" w:line="290" w:lineRule="auto"/>
        <w:tabs>
          <w:tab w:leader="none" w:pos="492" w:val="left"/>
        </w:tabs>
        <w:numPr>
          <w:ilvl w:val="0"/>
          <w:numId w:val="5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Dividend Equivalents. </w:t>
      </w:r>
      <w:r>
        <w:rPr>
          <w:rFonts w:ascii="Arial" w:cs="Arial" w:eastAsia="Arial" w:hAnsi="Arial"/>
          <w:sz w:val="16"/>
          <w:szCs w:val="16"/>
          <w:color w:val="auto"/>
        </w:rPr>
        <w:t>In the event of any issuance of a cash dividend on the shares of Class A Common Stock (a “</w:t>
      </w:r>
      <w:r>
        <w:rPr>
          <w:rFonts w:ascii="Arial" w:cs="Arial" w:eastAsia="Arial" w:hAnsi="Arial"/>
          <w:sz w:val="16"/>
          <w:szCs w:val="16"/>
          <w:u w:val="single" w:color="auto"/>
          <w:color w:val="auto"/>
        </w:rPr>
        <w:t>Dividend</w:t>
      </w:r>
      <w:r>
        <w:rPr>
          <w:rFonts w:ascii="Arial" w:cs="Arial" w:eastAsia="Arial" w:hAnsi="Arial"/>
          <w:sz w:val="16"/>
          <w:szCs w:val="16"/>
          <w:color w:val="auto"/>
        </w:rPr>
        <w:t>”), the Participant shall</w:t>
      </w:r>
      <w:r>
        <w:rPr>
          <w:rFonts w:ascii="Arial" w:cs="Arial" w:eastAsia="Arial" w:hAnsi="Arial"/>
          <w:sz w:val="16"/>
          <w:szCs w:val="16"/>
          <w:b w:val="1"/>
          <w:bCs w:val="1"/>
          <w:color w:val="auto"/>
        </w:rPr>
        <w:t xml:space="preserve"> </w:t>
      </w:r>
      <w:r>
        <w:rPr>
          <w:rFonts w:ascii="Arial" w:cs="Arial" w:eastAsia="Arial" w:hAnsi="Arial"/>
          <w:sz w:val="16"/>
          <w:szCs w:val="16"/>
          <w:color w:val="auto"/>
        </w:rPr>
        <w:t>be entitled to receive, with respect to each RSU granted pursuant to this Agreement and outstanding as of the record date for such Dividend, payment of an amount equal to the Dividend at the same time as the Dividend is paid to holders of shares of Class A Common Stock generally.</w:t>
      </w:r>
    </w:p>
    <w:p>
      <w:pPr>
        <w:spacing w:after="0" w:line="149" w:lineRule="exact"/>
        <w:rPr>
          <w:rFonts w:ascii="Arial" w:cs="Arial" w:eastAsia="Arial" w:hAnsi="Arial"/>
          <w:sz w:val="16"/>
          <w:szCs w:val="16"/>
          <w:b w:val="1"/>
          <w:bCs w:val="1"/>
          <w:color w:val="auto"/>
        </w:rPr>
      </w:pPr>
    </w:p>
    <w:p>
      <w:pPr>
        <w:ind w:left="6" w:right="140" w:hanging="6"/>
        <w:spacing w:after="0" w:line="270" w:lineRule="auto"/>
        <w:tabs>
          <w:tab w:leader="none" w:pos="492" w:val="left"/>
        </w:tabs>
        <w:numPr>
          <w:ilvl w:val="0"/>
          <w:numId w:val="5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Termination of Employment or Service. </w:t>
      </w:r>
      <w:r>
        <w:rPr>
          <w:rFonts w:ascii="Arial" w:cs="Arial" w:eastAsia="Arial" w:hAnsi="Arial"/>
          <w:sz w:val="17"/>
          <w:szCs w:val="17"/>
          <w:color w:val="auto"/>
        </w:rPr>
        <w:t>If the Participant’s employment or service with the Company and its Affiliates terminates for any reason,</w:t>
      </w:r>
      <w:r>
        <w:rPr>
          <w:rFonts w:ascii="Arial" w:cs="Arial" w:eastAsia="Arial" w:hAnsi="Arial"/>
          <w:sz w:val="17"/>
          <w:szCs w:val="17"/>
          <w:b w:val="1"/>
          <w:bCs w:val="1"/>
          <w:color w:val="auto"/>
        </w:rPr>
        <w:t xml:space="preserve"> </w:t>
      </w:r>
      <w:r>
        <w:rPr>
          <w:rFonts w:ascii="Arial" w:cs="Arial" w:eastAsia="Arial" w:hAnsi="Arial"/>
          <w:sz w:val="17"/>
          <w:szCs w:val="17"/>
          <w:color w:val="auto"/>
        </w:rPr>
        <w:t>all unvested RSUs shall be cancelled immediately and the Participant shall not be entitled to receive any payments with respect thereto.</w:t>
      </w:r>
    </w:p>
    <w:p>
      <w:pPr>
        <w:spacing w:after="0" w:line="140" w:lineRule="exact"/>
        <w:rPr>
          <w:rFonts w:ascii="Arial" w:cs="Arial" w:eastAsia="Arial" w:hAnsi="Arial"/>
          <w:sz w:val="17"/>
          <w:szCs w:val="17"/>
          <w:b w:val="1"/>
          <w:bCs w:val="1"/>
          <w:color w:val="auto"/>
        </w:rPr>
      </w:pPr>
    </w:p>
    <w:p>
      <w:pPr>
        <w:ind w:left="6" w:hanging="6"/>
        <w:spacing w:after="0" w:line="232" w:lineRule="auto"/>
        <w:tabs>
          <w:tab w:leader="none" w:pos="492" w:val="left"/>
        </w:tabs>
        <w:numPr>
          <w:ilvl w:val="0"/>
          <w:numId w:val="5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Rights as a Stockholder. </w:t>
      </w:r>
      <w:r>
        <w:rPr>
          <w:rFonts w:ascii="Arial" w:cs="Arial" w:eastAsia="Arial" w:hAnsi="Arial"/>
          <w:sz w:val="16"/>
          <w:szCs w:val="16"/>
          <w:color w:val="auto"/>
        </w:rPr>
        <w:t>The Participant shall not be deemed for any purpose to be the owner of any shares of Class A Common Stock constituting the</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or underlying the RSUs unless, until and to the extent that (i) the Company shall have issued and delivered to the Participant the shares of Class A Common Stock constituting the Shares or underlying the RSUs and (ii) the Participant’s name shall have been entered as a stockholder of record with respect to such shares of Class A Common Stock on the books of the Company. The Company shall cause the actions described in clauses (i) and (ii) of the preceding sentence to occur promptly following settlement as contemplated by this Agreement, subject to compliance with applicable laws.</w:t>
      </w:r>
    </w:p>
    <w:p>
      <w:pPr>
        <w:spacing w:after="0" w:line="164" w:lineRule="exact"/>
        <w:rPr>
          <w:rFonts w:ascii="Arial" w:cs="Arial" w:eastAsia="Arial" w:hAnsi="Arial"/>
          <w:sz w:val="16"/>
          <w:szCs w:val="16"/>
          <w:b w:val="1"/>
          <w:bCs w:val="1"/>
          <w:color w:val="auto"/>
        </w:rPr>
      </w:pPr>
    </w:p>
    <w:p>
      <w:pPr>
        <w:ind w:left="566" w:hanging="566"/>
        <w:spacing w:after="0"/>
        <w:tabs>
          <w:tab w:leader="none" w:pos="566" w:val="left"/>
        </w:tabs>
        <w:numPr>
          <w:ilvl w:val="0"/>
          <w:numId w:val="52"/>
        </w:numPr>
        <w:rPr>
          <w:rFonts w:ascii="Arial" w:cs="Arial" w:eastAsia="Arial" w:hAnsi="Arial"/>
          <w:sz w:val="17"/>
          <w:szCs w:val="17"/>
          <w:b w:val="1"/>
          <w:bCs w:val="1"/>
          <w:color w:val="auto"/>
        </w:rPr>
      </w:pPr>
      <w:r>
        <w:rPr>
          <w:rFonts w:ascii="Arial" w:cs="Arial" w:eastAsia="Arial" w:hAnsi="Arial"/>
          <w:sz w:val="17"/>
          <w:szCs w:val="17"/>
          <w:b w:val="1"/>
          <w:bCs w:val="1"/>
          <w:color w:val="auto"/>
        </w:rPr>
        <w:t>Compliance with Legal Requirements.</w:t>
      </w:r>
    </w:p>
    <w:p>
      <w:pPr>
        <w:spacing w:after="0" w:line="189" w:lineRule="exact"/>
        <w:rPr>
          <w:rFonts w:ascii="Arial" w:cs="Arial" w:eastAsia="Arial" w:hAnsi="Arial"/>
          <w:sz w:val="17"/>
          <w:szCs w:val="17"/>
          <w:b w:val="1"/>
          <w:bCs w:val="1"/>
          <w:color w:val="auto"/>
        </w:rPr>
      </w:pPr>
    </w:p>
    <w:p>
      <w:pPr>
        <w:ind w:left="6" w:right="40" w:firstLine="563"/>
        <w:spacing w:after="0" w:line="216" w:lineRule="auto"/>
        <w:tabs>
          <w:tab w:leader="none" w:pos="1063" w:val="left"/>
        </w:tabs>
        <w:numPr>
          <w:ilvl w:val="1"/>
          <w:numId w:val="52"/>
        </w:numPr>
        <w:rPr>
          <w:rFonts w:ascii="Arial" w:cs="Arial" w:eastAsia="Arial" w:hAnsi="Arial"/>
          <w:sz w:val="17"/>
          <w:szCs w:val="17"/>
          <w:color w:val="auto"/>
        </w:rPr>
      </w:pPr>
      <w:r>
        <w:rPr>
          <w:rFonts w:ascii="Arial" w:cs="Arial" w:eastAsia="Arial" w:hAnsi="Arial"/>
          <w:sz w:val="17"/>
          <w:szCs w:val="17"/>
          <w:u w:val="single" w:color="auto"/>
          <w:color w:val="auto"/>
        </w:rPr>
        <w:t>Generally</w:t>
      </w:r>
      <w:r>
        <w:rPr>
          <w:rFonts w:ascii="Arial" w:cs="Arial" w:eastAsia="Arial" w:hAnsi="Arial"/>
          <w:sz w:val="17"/>
          <w:szCs w:val="17"/>
          <w:color w:val="auto"/>
        </w:rPr>
        <w:t>. The granting of the Shares and the granting and settlement of the RSUs, and any other obligations of the Company under this Agreement, shall be subject to all applicable U.S. federal, state and local laws, rules and regulations, all applicable non-U.S. laws, rules and regulations and to such approvals by any regulatory or governmental agency as may be required. The Participant agrees to take all steps the Committee or the Company determines are reasonably necessary to comply with all applicable provisions of U.S. federal and state securities law and non-U.S. securities law in exercising his rights under this Agreement.</w:t>
      </w:r>
    </w:p>
    <w:p>
      <w:pPr>
        <w:spacing w:after="0" w:line="174" w:lineRule="exact"/>
        <w:rPr>
          <w:rFonts w:ascii="Arial" w:cs="Arial" w:eastAsia="Arial" w:hAnsi="Arial"/>
          <w:sz w:val="17"/>
          <w:szCs w:val="17"/>
          <w:color w:val="auto"/>
        </w:rPr>
      </w:pPr>
    </w:p>
    <w:p>
      <w:pPr>
        <w:ind w:left="6" w:right="20" w:firstLine="563"/>
        <w:spacing w:after="0" w:line="224" w:lineRule="auto"/>
        <w:tabs>
          <w:tab w:leader="none" w:pos="1061" w:val="left"/>
        </w:tabs>
        <w:numPr>
          <w:ilvl w:val="1"/>
          <w:numId w:val="52"/>
        </w:numPr>
        <w:rPr>
          <w:rFonts w:ascii="Arial" w:cs="Arial" w:eastAsia="Arial" w:hAnsi="Arial"/>
          <w:sz w:val="16"/>
          <w:szCs w:val="16"/>
          <w:color w:val="auto"/>
        </w:rPr>
      </w:pPr>
      <w:r>
        <w:rPr>
          <w:rFonts w:ascii="Arial" w:cs="Arial" w:eastAsia="Arial" w:hAnsi="Arial"/>
          <w:sz w:val="16"/>
          <w:szCs w:val="16"/>
          <w:u w:val="single" w:color="auto"/>
          <w:color w:val="auto"/>
        </w:rPr>
        <w:t>Taxes and Withholding</w:t>
      </w:r>
      <w:r>
        <w:rPr>
          <w:rFonts w:ascii="Arial" w:cs="Arial" w:eastAsia="Arial" w:hAnsi="Arial"/>
          <w:sz w:val="16"/>
          <w:szCs w:val="16"/>
          <w:color w:val="auto"/>
        </w:rPr>
        <w:t>. The grant of the Shares and the vesting and settlement of the RSUs shall be subject to the Participant satisfying any applicable U.S. federal, state and local tax withholding obligations and non-U.S. tax withholding obligations. The Participant shall be required to pay to the Company, and the Company shall have the right and is hereby authorized to withhold any cash, shares of Class A Common Stock, other securities or other property or from any compensation or other amounts owing to the Participant, the amount (in cash, Class A Common Stock, other securities or other property) of any required withholding taxes in respect of the Shares or in respect of the RSUs, settlement of the RSUs or any payment or transfer of the RSUs, and to take any such other action as the Committee or the Company deem necessary to satisfy all obligations for the payment of such withholding taxes. In its sole discretion, the Company may permit the Participant to satisfy, in whole or in part, the tax obligations by (A) withholding shares of Class A Common Stock from the Shares having a Fair Market Value equal to such withholding liability and (B) withholding shares of Class A Common Stock that would otherwise be deliverable to the Participant upon settlement of the RSUs with a Fair Market Value equal to such withholding liability.</w:t>
      </w:r>
    </w:p>
    <w:p>
      <w:pPr>
        <w:sectPr>
          <w:pgSz w:w="11900" w:h="16838" w:orient="portrait"/>
          <w:cols w:equalWidth="0" w:num="1">
            <w:col w:w="11026"/>
          </w:cols>
          <w:pgMar w:left="394" w:top="1238" w:right="479" w:bottom="1440" w:gutter="0" w:footer="0" w:header="0"/>
        </w:sectPr>
      </w:pPr>
    </w:p>
    <w:bookmarkStart w:id="156" w:name="page157"/>
    <w:bookmarkEnd w:id="156"/>
    <w:p>
      <w:pPr>
        <w:ind w:left="6" w:right="60" w:hanging="6"/>
        <w:spacing w:after="0" w:line="222" w:lineRule="auto"/>
        <w:tabs>
          <w:tab w:leader="none" w:pos="492" w:val="left"/>
        </w:tabs>
        <w:numPr>
          <w:ilvl w:val="0"/>
          <w:numId w:val="5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Clawback. </w:t>
      </w:r>
      <w:r>
        <w:rPr>
          <w:rFonts w:ascii="Arial" w:cs="Arial" w:eastAsia="Arial" w:hAnsi="Arial"/>
          <w:sz w:val="16"/>
          <w:szCs w:val="16"/>
          <w:color w:val="auto"/>
        </w:rPr>
        <w:t>Notwithstanding anything to the contrary contained herein, the Committee may cancel the Shares and RSU award if the Participant, without</w:t>
      </w:r>
      <w:r>
        <w:rPr>
          <w:rFonts w:ascii="Arial" w:cs="Arial" w:eastAsia="Arial" w:hAnsi="Arial"/>
          <w:sz w:val="16"/>
          <w:szCs w:val="16"/>
          <w:b w:val="1"/>
          <w:bCs w:val="1"/>
          <w:color w:val="auto"/>
        </w:rPr>
        <w:t xml:space="preserve"> </w:t>
      </w:r>
      <w:r>
        <w:rPr>
          <w:rFonts w:ascii="Arial" w:cs="Arial" w:eastAsia="Arial" w:hAnsi="Arial"/>
          <w:sz w:val="16"/>
          <w:szCs w:val="16"/>
          <w:color w:val="auto"/>
        </w:rPr>
        <w:t>the consent of the Company, has engaged in or engages in activity that is in conflict with or adverse to the interest of the Company or any Affiliate while employed by or providing services to the Company or any Affiliate, including fraud or conduct contributing to any financial restatements or irregularities, or violates a non-competition, non-solicitation, non-disparagement, non-disclosure or confidentiality covenant or agreement with the Company or any Affiliate, as determined by the Committee. In such event, the Participant will forfeit any compensation, gain or other value realized previously or thereafter on the vesting or settlement of the RSUs, the sale or other transfer of the Shares and the RSUs, or the sale of shares of Class A Common Stock acquired in respect of the RSUs, and must promptly repay such amounts to the Company. If the Participant receives any amount in excess of what the Participant should have received with respect to the Shares or under the terms of the RSUs for any reason (including without limitation by reason of a financial restatement, mistake in calculations or other administrative error), all as determined by the Committee, then the Participant shall be required to promptly repay any such excess amount to the Company. To the extent required by applicable law and/or the rules and regulations of NASDAQ or any other securities exchange or inter-dealer quotation system on which the Class A Common Stock is listed or quoted, or if so required pursuant to a written policy adopted by the Company, the Shares and the RSUs shall be subject (including on a retroactive basis) to clawback, forfeiture or similar requirements (and such requirements shall be deemed incorporated by reference into this Agreement).</w:t>
      </w:r>
    </w:p>
    <w:p>
      <w:pPr>
        <w:spacing w:after="0" w:line="155" w:lineRule="exact"/>
        <w:rPr>
          <w:rFonts w:ascii="Arial" w:cs="Arial" w:eastAsia="Arial" w:hAnsi="Arial"/>
          <w:sz w:val="16"/>
          <w:szCs w:val="16"/>
          <w:b w:val="1"/>
          <w:bCs w:val="1"/>
          <w:color w:val="auto"/>
        </w:rPr>
      </w:pPr>
    </w:p>
    <w:p>
      <w:pPr>
        <w:ind w:left="566" w:hanging="566"/>
        <w:spacing w:after="0"/>
        <w:tabs>
          <w:tab w:leader="none" w:pos="566" w:val="left"/>
        </w:tabs>
        <w:numPr>
          <w:ilvl w:val="0"/>
          <w:numId w:val="53"/>
        </w:numPr>
        <w:rPr>
          <w:rFonts w:ascii="Arial" w:cs="Arial" w:eastAsia="Arial" w:hAnsi="Arial"/>
          <w:sz w:val="17"/>
          <w:szCs w:val="17"/>
          <w:b w:val="1"/>
          <w:bCs w:val="1"/>
          <w:color w:val="auto"/>
        </w:rPr>
      </w:pPr>
      <w:r>
        <w:rPr>
          <w:rFonts w:ascii="Arial" w:cs="Arial" w:eastAsia="Arial" w:hAnsi="Arial"/>
          <w:sz w:val="17"/>
          <w:szCs w:val="17"/>
          <w:b w:val="1"/>
          <w:bCs w:val="1"/>
          <w:color w:val="auto"/>
        </w:rPr>
        <w:t>Contractual Obligations.</w:t>
      </w:r>
    </w:p>
    <w:p>
      <w:pPr>
        <w:spacing w:after="0" w:line="213" w:lineRule="exact"/>
        <w:rPr>
          <w:rFonts w:ascii="Arial" w:cs="Arial" w:eastAsia="Arial" w:hAnsi="Arial"/>
          <w:sz w:val="17"/>
          <w:szCs w:val="17"/>
          <w:b w:val="1"/>
          <w:bCs w:val="1"/>
          <w:color w:val="auto"/>
        </w:rPr>
      </w:pPr>
    </w:p>
    <w:p>
      <w:pPr>
        <w:ind w:left="6" w:firstLine="563"/>
        <w:spacing w:after="0" w:line="262" w:lineRule="auto"/>
        <w:tabs>
          <w:tab w:leader="none" w:pos="1063" w:val="left"/>
        </w:tabs>
        <w:numPr>
          <w:ilvl w:val="1"/>
          <w:numId w:val="53"/>
        </w:numPr>
        <w:rPr>
          <w:rFonts w:ascii="Arial" w:cs="Arial" w:eastAsia="Arial" w:hAnsi="Arial"/>
          <w:sz w:val="17"/>
          <w:szCs w:val="17"/>
          <w:color w:val="auto"/>
        </w:rPr>
      </w:pPr>
      <w:r>
        <w:rPr>
          <w:rFonts w:ascii="Arial" w:cs="Arial" w:eastAsia="Arial" w:hAnsi="Arial"/>
          <w:sz w:val="17"/>
          <w:szCs w:val="17"/>
          <w:color w:val="auto"/>
        </w:rPr>
        <w:t xml:space="preserve">Nothing in this Agreement shall supersede, modify, replace or cancel any existing contractual obligations, including but not limited to restrictive covenants, applicable to you in </w:t>
      </w:r>
      <w:r>
        <w:rPr>
          <w:rFonts w:ascii="Arial" w:cs="Arial" w:eastAsia="Arial" w:hAnsi="Arial"/>
          <w:sz w:val="17"/>
          <w:szCs w:val="17"/>
          <w:i w:val="1"/>
          <w:iCs w:val="1"/>
          <w:u w:val="single" w:color="auto"/>
          <w:color w:val="auto"/>
        </w:rPr>
        <w:t>any</w:t>
      </w:r>
      <w:r>
        <w:rPr>
          <w:rFonts w:ascii="Arial" w:cs="Arial" w:eastAsia="Arial" w:hAnsi="Arial"/>
          <w:sz w:val="17"/>
          <w:szCs w:val="17"/>
          <w:color w:val="auto"/>
        </w:rPr>
        <w:t xml:space="preserve"> employment agreement, offer letter, prior equity award agreement or any other agreement or contract with the Company or its Affiliates.</w:t>
      </w:r>
    </w:p>
    <w:p>
      <w:pPr>
        <w:spacing w:after="0" w:line="176" w:lineRule="exact"/>
        <w:rPr>
          <w:rFonts w:ascii="Arial" w:cs="Arial" w:eastAsia="Arial" w:hAnsi="Arial"/>
          <w:sz w:val="17"/>
          <w:szCs w:val="17"/>
          <w:color w:val="auto"/>
        </w:rPr>
      </w:pPr>
    </w:p>
    <w:p>
      <w:pPr>
        <w:ind w:left="6" w:right="100" w:firstLine="563"/>
        <w:spacing w:after="0" w:line="216" w:lineRule="auto"/>
        <w:tabs>
          <w:tab w:leader="none" w:pos="1061" w:val="left"/>
        </w:tabs>
        <w:numPr>
          <w:ilvl w:val="1"/>
          <w:numId w:val="53"/>
        </w:numPr>
        <w:rPr>
          <w:rFonts w:ascii="Arial" w:cs="Arial" w:eastAsia="Arial" w:hAnsi="Arial"/>
          <w:sz w:val="17"/>
          <w:szCs w:val="17"/>
          <w:color w:val="auto"/>
        </w:rPr>
      </w:pPr>
      <w:r>
        <w:rPr>
          <w:rFonts w:ascii="Arial" w:cs="Arial" w:eastAsia="Arial" w:hAnsi="Arial"/>
          <w:sz w:val="17"/>
          <w:szCs w:val="17"/>
          <w:color w:val="auto"/>
        </w:rPr>
        <w:t>In the event that the Participant violates any of the contractual obligations referred to in this Section 8, in addition to any other remedy which may be available at law or in equity, the RSUs shall be automatically forfeited effective as of the date on which such violation first occurs. The foregoing rights and remedies are in addition to any other rights and remedies that may be available to the Company and shall not prevent (and the Participant shall not assert that they shall prevent) the Company from bringing one or more actions in any applicable jurisdiction to recover damages as a result of the Participant’s breach of such restrictive covenants.</w:t>
      </w:r>
    </w:p>
    <w:p>
      <w:pPr>
        <w:spacing w:after="0" w:line="156" w:lineRule="exact"/>
        <w:rPr>
          <w:rFonts w:ascii="Arial" w:cs="Arial" w:eastAsia="Arial" w:hAnsi="Arial"/>
          <w:sz w:val="17"/>
          <w:szCs w:val="17"/>
          <w:color w:val="auto"/>
        </w:rPr>
      </w:pPr>
    </w:p>
    <w:p>
      <w:pPr>
        <w:ind w:left="566" w:hanging="566"/>
        <w:spacing w:after="0"/>
        <w:tabs>
          <w:tab w:leader="none" w:pos="566" w:val="left"/>
        </w:tabs>
        <w:numPr>
          <w:ilvl w:val="0"/>
          <w:numId w:val="53"/>
        </w:numPr>
        <w:rPr>
          <w:rFonts w:ascii="Arial" w:cs="Arial" w:eastAsia="Arial" w:hAnsi="Arial"/>
          <w:sz w:val="17"/>
          <w:szCs w:val="17"/>
          <w:b w:val="1"/>
          <w:bCs w:val="1"/>
          <w:color w:val="auto"/>
        </w:rPr>
      </w:pPr>
      <w:r>
        <w:rPr>
          <w:rFonts w:ascii="Arial" w:cs="Arial" w:eastAsia="Arial" w:hAnsi="Arial"/>
          <w:sz w:val="17"/>
          <w:szCs w:val="17"/>
          <w:b w:val="1"/>
          <w:bCs w:val="1"/>
          <w:color w:val="auto"/>
        </w:rPr>
        <w:t>Miscellaneous.</w:t>
      </w:r>
    </w:p>
    <w:p>
      <w:pPr>
        <w:spacing w:after="0" w:line="189" w:lineRule="exact"/>
        <w:rPr>
          <w:rFonts w:ascii="Arial" w:cs="Arial" w:eastAsia="Arial" w:hAnsi="Arial"/>
          <w:sz w:val="17"/>
          <w:szCs w:val="17"/>
          <w:b w:val="1"/>
          <w:bCs w:val="1"/>
          <w:color w:val="auto"/>
        </w:rPr>
      </w:pPr>
    </w:p>
    <w:p>
      <w:pPr>
        <w:ind w:left="6" w:right="80" w:firstLine="563"/>
        <w:spacing w:after="0" w:line="220" w:lineRule="auto"/>
        <w:tabs>
          <w:tab w:leader="none" w:pos="1063" w:val="left"/>
        </w:tabs>
        <w:numPr>
          <w:ilvl w:val="1"/>
          <w:numId w:val="53"/>
        </w:numPr>
        <w:rPr>
          <w:rFonts w:ascii="Arial" w:cs="Arial" w:eastAsia="Arial" w:hAnsi="Arial"/>
          <w:sz w:val="17"/>
          <w:szCs w:val="17"/>
          <w:color w:val="auto"/>
        </w:rPr>
      </w:pPr>
      <w:r>
        <w:rPr>
          <w:rFonts w:ascii="Arial" w:cs="Arial" w:eastAsia="Arial" w:hAnsi="Arial"/>
          <w:sz w:val="17"/>
          <w:szCs w:val="17"/>
          <w:u w:val="single" w:color="auto"/>
          <w:color w:val="auto"/>
        </w:rPr>
        <w:t>Transferability</w:t>
      </w:r>
      <w:r>
        <w:rPr>
          <w:rFonts w:ascii="Arial" w:cs="Arial" w:eastAsia="Arial" w:hAnsi="Arial"/>
          <w:sz w:val="17"/>
          <w:szCs w:val="17"/>
          <w:color w:val="auto"/>
        </w:rPr>
        <w:t>. The RSUs may not be assigned, alienated, pledged, attached, sold or otherwise transferred or encumbered (a “</w:t>
      </w:r>
      <w:r>
        <w:rPr>
          <w:rFonts w:ascii="Arial" w:cs="Arial" w:eastAsia="Arial" w:hAnsi="Arial"/>
          <w:sz w:val="17"/>
          <w:szCs w:val="17"/>
          <w:u w:val="single" w:color="auto"/>
          <w:color w:val="auto"/>
        </w:rPr>
        <w:t>Transfer</w:t>
      </w:r>
      <w:r>
        <w:rPr>
          <w:rFonts w:ascii="Arial" w:cs="Arial" w:eastAsia="Arial" w:hAnsi="Arial"/>
          <w:sz w:val="17"/>
          <w:szCs w:val="17"/>
          <w:color w:val="auto"/>
        </w:rPr>
        <w:t>”) by the Participant other than by will or by the laws of descent and distribution, pursuant to a qualified domestic relations order or as otherwise permitted under Section 15(b) of the Plan. Any attempted Transfer of the RSUs contrary to the provisions hereof, and the levy of any execution, attachment or similar process upon the RSUs, shall be null and void and without effect.</w:t>
      </w:r>
    </w:p>
    <w:p>
      <w:pPr>
        <w:spacing w:after="0" w:line="254" w:lineRule="exact"/>
        <w:rPr>
          <w:rFonts w:ascii="Arial" w:cs="Arial" w:eastAsia="Arial" w:hAnsi="Arial"/>
          <w:sz w:val="17"/>
          <w:szCs w:val="17"/>
          <w:color w:val="auto"/>
        </w:rPr>
      </w:pPr>
    </w:p>
    <w:p>
      <w:pPr>
        <w:ind w:left="6" w:firstLine="563"/>
        <w:spacing w:after="0" w:line="242" w:lineRule="auto"/>
        <w:tabs>
          <w:tab w:leader="none" w:pos="1061" w:val="left"/>
        </w:tabs>
        <w:numPr>
          <w:ilvl w:val="1"/>
          <w:numId w:val="53"/>
        </w:numPr>
        <w:rPr>
          <w:rFonts w:ascii="Arial" w:cs="Arial" w:eastAsia="Arial" w:hAnsi="Arial"/>
          <w:sz w:val="17"/>
          <w:szCs w:val="17"/>
          <w:color w:val="auto"/>
        </w:rPr>
      </w:pPr>
      <w:r>
        <w:rPr>
          <w:rFonts w:ascii="Arial" w:cs="Arial" w:eastAsia="Arial" w:hAnsi="Arial"/>
          <w:sz w:val="17"/>
          <w:szCs w:val="17"/>
          <w:u w:val="single" w:color="auto"/>
          <w:color w:val="auto"/>
        </w:rPr>
        <w:t>Waiver</w:t>
      </w:r>
      <w:r>
        <w:rPr>
          <w:rFonts w:ascii="Arial" w:cs="Arial" w:eastAsia="Arial" w:hAnsi="Arial"/>
          <w:sz w:val="17"/>
          <w:szCs w:val="17"/>
          <w:color w:val="auto"/>
        </w:rPr>
        <w:t>. Any right of the Company contained in this Agreement may be waived in writing by the Committee. No waiver of any right hereunder by any party shall operate as a waiver of any other right, or as a waiver of the same right with respect to any subsequent occasion for its exercise, or as a waiver of any right to damages. No waiver by any party of any breach of this Agreement shall be held to constitute a waiver of any other breach or a waiver of the continuation of the same breach.</w:t>
      </w:r>
    </w:p>
    <w:p>
      <w:pPr>
        <w:sectPr>
          <w:pgSz w:w="11900" w:h="16838" w:orient="portrait"/>
          <w:cols w:equalWidth="0" w:num="1">
            <w:col w:w="11086"/>
          </w:cols>
          <w:pgMar w:left="394" w:top="1433" w:right="419" w:bottom="1440" w:gutter="0" w:footer="0" w:header="0"/>
        </w:sectPr>
      </w:pPr>
    </w:p>
    <w:bookmarkStart w:id="157" w:name="page158"/>
    <w:bookmarkEnd w:id="157"/>
    <w:p>
      <w:pPr>
        <w:ind w:left="1120" w:hanging="557"/>
        <w:spacing w:after="0"/>
        <w:tabs>
          <w:tab w:leader="none" w:pos="1120"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Section 409A</w:t>
      </w:r>
      <w:r>
        <w:rPr>
          <w:rFonts w:ascii="Arial" w:cs="Arial" w:eastAsia="Arial" w:hAnsi="Arial"/>
          <w:sz w:val="17"/>
          <w:szCs w:val="17"/>
          <w:color w:val="auto"/>
        </w:rPr>
        <w:t>. The RSUs are intended to be exempt from, or compliant with,</w:t>
      </w:r>
    </w:p>
    <w:p>
      <w:pPr>
        <w:ind w:right="160"/>
        <w:spacing w:after="0" w:line="223" w:lineRule="auto"/>
        <w:rPr>
          <w:sz w:val="20"/>
          <w:szCs w:val="20"/>
          <w:color w:val="auto"/>
        </w:rPr>
      </w:pPr>
      <w:r>
        <w:rPr>
          <w:rFonts w:ascii="Arial" w:cs="Arial" w:eastAsia="Arial" w:hAnsi="Arial"/>
          <w:sz w:val="16"/>
          <w:szCs w:val="16"/>
          <w:color w:val="auto"/>
        </w:rPr>
        <w:t>Section 409A of the Internal Revenue Code (“Code”). Notwithstanding the foregoing or any provision of the Plan or this Agreement, if any provision of the Plan or this Agreement contravenes Section 409A of the Code or could cause the Participant to incur any tax, interest or penalties under Section 409A of the Code, the Committee may, in its sole discretion and without the Participant’s consent, modify such provision to (i) comply with, or avoid being subject to, Section 409A of the Code, or to avoid the incurrence of taxes, interest and penalties under Section 409A of the Code, and/or (ii) maintain, to the maximum extent practicable, the original intent and economic benefit to the Participant of the applicable provision without materially increasing the cost to the Company or contravening the provisions of Section 409A of the Code. This Section 9(c) does not create an obligation on the part of the Company to modify the Plan or this Agreement and does not guarantee that the RSUs will not be subject to interest and penalties under Section 409A.</w:t>
      </w:r>
    </w:p>
    <w:p>
      <w:pPr>
        <w:spacing w:after="0" w:line="186" w:lineRule="exact"/>
        <w:rPr>
          <w:sz w:val="20"/>
          <w:szCs w:val="20"/>
          <w:color w:val="auto"/>
        </w:rPr>
      </w:pPr>
    </w:p>
    <w:p>
      <w:pPr>
        <w:ind w:right="100" w:firstLine="563"/>
        <w:spacing w:after="0" w:line="262" w:lineRule="auto"/>
        <w:tabs>
          <w:tab w:leader="none" w:pos="1055" w:val="left"/>
        </w:tabs>
        <w:numPr>
          <w:ilvl w:val="0"/>
          <w:numId w:val="55"/>
        </w:numPr>
        <w:rPr>
          <w:rFonts w:ascii="Arial" w:cs="Arial" w:eastAsia="Arial" w:hAnsi="Arial"/>
          <w:sz w:val="17"/>
          <w:szCs w:val="17"/>
          <w:color w:val="auto"/>
        </w:rPr>
      </w:pPr>
      <w:r>
        <w:rPr>
          <w:rFonts w:ascii="Arial" w:cs="Arial" w:eastAsia="Arial" w:hAnsi="Arial"/>
          <w:sz w:val="17"/>
          <w:szCs w:val="17"/>
          <w:u w:val="single" w:color="auto"/>
          <w:color w:val="auto"/>
        </w:rPr>
        <w:t>General Assets</w:t>
      </w:r>
      <w:r>
        <w:rPr>
          <w:rFonts w:ascii="Arial" w:cs="Arial" w:eastAsia="Arial" w:hAnsi="Arial"/>
          <w:sz w:val="17"/>
          <w:szCs w:val="17"/>
          <w:color w:val="auto"/>
        </w:rPr>
        <w:t>. All amounts credited in respect of the RSUs to the book-entry account under this Agreement shall continue for all purposes to be part of the general assets of the Company. The Participant’s interest in such account shall make the Participant only a general, unsecured creditor of the Company.</w:t>
      </w:r>
    </w:p>
    <w:p>
      <w:pPr>
        <w:spacing w:after="0" w:line="164" w:lineRule="exact"/>
        <w:rPr>
          <w:rFonts w:ascii="Arial" w:cs="Arial" w:eastAsia="Arial" w:hAnsi="Arial"/>
          <w:sz w:val="17"/>
          <w:szCs w:val="17"/>
          <w:color w:val="auto"/>
        </w:rPr>
      </w:pPr>
    </w:p>
    <w:p>
      <w:pPr>
        <w:ind w:right="200" w:firstLine="563"/>
        <w:spacing w:after="0" w:line="234" w:lineRule="auto"/>
        <w:tabs>
          <w:tab w:leader="none" w:pos="1057"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notices provided for in this Agreement or the Plan shall be in writing and shall be deemed sufficiently given if either hand delivered or if sent by fax, pdf/email or overnight courier, or by postage paid first class mail. Notices sent by mail shall be deemed received three business days after mailing but in no event later than the date of actual receipt. Notices shall be directed, if to the Participant, at the Participant’s address indicated by the Company’s records, or if to the Company, to the attention of the General Counsel at the Company’s principal executive office.</w:t>
      </w:r>
    </w:p>
    <w:p>
      <w:pPr>
        <w:spacing w:after="0" w:line="182" w:lineRule="exact"/>
        <w:rPr>
          <w:rFonts w:ascii="Arial" w:cs="Arial" w:eastAsia="Arial" w:hAnsi="Arial"/>
          <w:sz w:val="16"/>
          <w:szCs w:val="16"/>
          <w:color w:val="auto"/>
        </w:rPr>
      </w:pPr>
    </w:p>
    <w:p>
      <w:pPr>
        <w:ind w:firstLine="563"/>
        <w:spacing w:after="0" w:line="277" w:lineRule="auto"/>
        <w:tabs>
          <w:tab w:leader="none" w:pos="1049" w:val="left"/>
        </w:tabs>
        <w:numPr>
          <w:ilvl w:val="0"/>
          <w:numId w:val="55"/>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64" w:lineRule="exact"/>
        <w:rPr>
          <w:rFonts w:ascii="Arial" w:cs="Arial" w:eastAsia="Arial" w:hAnsi="Arial"/>
          <w:sz w:val="17"/>
          <w:szCs w:val="17"/>
          <w:color w:val="auto"/>
        </w:rPr>
      </w:pPr>
    </w:p>
    <w:p>
      <w:pPr>
        <w:ind w:right="20" w:firstLine="563"/>
        <w:spacing w:after="0" w:line="270" w:lineRule="auto"/>
        <w:tabs>
          <w:tab w:leader="none" w:pos="1055"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No Rights to Employment or Service</w:t>
      </w:r>
      <w:r>
        <w:rPr>
          <w:rFonts w:ascii="Arial" w:cs="Arial" w:eastAsia="Arial" w:hAnsi="Arial"/>
          <w:sz w:val="16"/>
          <w:szCs w:val="16"/>
          <w:color w:val="auto"/>
        </w:rPr>
        <w:t>. Nothing contained in this Agreement shall be construed as giving the Participant any right to be retained, in any position, as an employee, consultant or director of the Company or its Affiliates or shall interfere with or restrict in any way the rights of the Company or its Affiliates, which are hereby expressly reserved, to remove, terminate or discharge the Participant at any time for any reason whatsoever.</w:t>
      </w:r>
    </w:p>
    <w:p>
      <w:pPr>
        <w:spacing w:after="0" w:line="160" w:lineRule="exact"/>
        <w:rPr>
          <w:rFonts w:ascii="Arial" w:cs="Arial" w:eastAsia="Arial" w:hAnsi="Arial"/>
          <w:sz w:val="16"/>
          <w:szCs w:val="16"/>
          <w:color w:val="auto"/>
        </w:rPr>
      </w:pPr>
    </w:p>
    <w:p>
      <w:pPr>
        <w:ind w:right="260" w:firstLine="563"/>
        <w:spacing w:after="0" w:line="262" w:lineRule="auto"/>
        <w:tabs>
          <w:tab w:leader="none" w:pos="1055" w:val="left"/>
        </w:tabs>
        <w:numPr>
          <w:ilvl w:val="0"/>
          <w:numId w:val="55"/>
        </w:numPr>
        <w:rPr>
          <w:rFonts w:ascii="Arial" w:cs="Arial" w:eastAsia="Arial" w:hAnsi="Arial"/>
          <w:sz w:val="17"/>
          <w:szCs w:val="17"/>
          <w:color w:val="auto"/>
        </w:rPr>
      </w:pPr>
      <w:r>
        <w:rPr>
          <w:rFonts w:ascii="Arial" w:cs="Arial" w:eastAsia="Arial" w:hAnsi="Arial"/>
          <w:sz w:val="17"/>
          <w:szCs w:val="17"/>
          <w:u w:val="single" w:color="auto"/>
          <w:color w:val="auto"/>
        </w:rPr>
        <w:t>Fractional Shares</w:t>
      </w:r>
      <w:r>
        <w:rPr>
          <w:rFonts w:ascii="Arial" w:cs="Arial" w:eastAsia="Arial" w:hAnsi="Arial"/>
          <w:sz w:val="17"/>
          <w:szCs w:val="17"/>
          <w:color w:val="auto"/>
        </w:rPr>
        <w:t>. In lieu of issuing a fraction of a share of Class A Common Stock resulting from adjustment of the Shares or the RSUs pursuant to Section 12 of the Plan or otherwise, the Company shall be entitled to pay to the Participant an amount in cash equal to the Fair Market Value of such fractional share.</w:t>
      </w:r>
    </w:p>
    <w:p>
      <w:pPr>
        <w:spacing w:after="0" w:line="188" w:lineRule="exact"/>
        <w:rPr>
          <w:rFonts w:ascii="Arial" w:cs="Arial" w:eastAsia="Arial" w:hAnsi="Arial"/>
          <w:sz w:val="17"/>
          <w:szCs w:val="17"/>
          <w:color w:val="auto"/>
        </w:rPr>
      </w:pPr>
    </w:p>
    <w:p>
      <w:pPr>
        <w:ind w:right="420" w:firstLine="563"/>
        <w:spacing w:after="0" w:line="277" w:lineRule="auto"/>
        <w:tabs>
          <w:tab w:leader="none" w:pos="1052" w:val="left"/>
        </w:tabs>
        <w:numPr>
          <w:ilvl w:val="0"/>
          <w:numId w:val="55"/>
        </w:numPr>
        <w:rPr>
          <w:rFonts w:ascii="Arial" w:cs="Arial" w:eastAsia="Arial" w:hAnsi="Arial"/>
          <w:sz w:val="17"/>
          <w:szCs w:val="17"/>
          <w:color w:val="auto"/>
        </w:rPr>
      </w:pPr>
      <w:r>
        <w:rPr>
          <w:rFonts w:ascii="Arial" w:cs="Arial" w:eastAsia="Arial" w:hAnsi="Arial"/>
          <w:sz w:val="17"/>
          <w:szCs w:val="17"/>
          <w:u w:val="single" w:color="auto"/>
          <w:color w:val="auto"/>
        </w:rPr>
        <w:t>Beneficiary</w:t>
      </w:r>
      <w:r>
        <w:rPr>
          <w:rFonts w:ascii="Arial" w:cs="Arial" w:eastAsia="Arial" w:hAnsi="Arial"/>
          <w:sz w:val="17"/>
          <w:szCs w:val="17"/>
          <w:color w:val="auto"/>
        </w:rPr>
        <w:t>. The Participant may file with the Committee a written designation of a beneficiary on such form as may be prescribed by the Committee and may, from time to time, amend or revoke such designation.</w:t>
      </w:r>
    </w:p>
    <w:p>
      <w:pPr>
        <w:spacing w:after="0" w:line="164" w:lineRule="exact"/>
        <w:rPr>
          <w:rFonts w:ascii="Arial" w:cs="Arial" w:eastAsia="Arial" w:hAnsi="Arial"/>
          <w:sz w:val="17"/>
          <w:szCs w:val="17"/>
          <w:color w:val="auto"/>
        </w:rPr>
      </w:pPr>
    </w:p>
    <w:p>
      <w:pPr>
        <w:ind w:right="140" w:firstLine="563"/>
        <w:spacing w:after="0" w:line="277" w:lineRule="auto"/>
        <w:tabs>
          <w:tab w:leader="none" w:pos="1052" w:val="left"/>
        </w:tabs>
        <w:numPr>
          <w:ilvl w:val="0"/>
          <w:numId w:val="55"/>
        </w:numPr>
        <w:rPr>
          <w:rFonts w:ascii="Arial" w:cs="Arial" w:eastAsia="Arial" w:hAnsi="Arial"/>
          <w:sz w:val="17"/>
          <w:szCs w:val="17"/>
          <w:color w:val="auto"/>
        </w:rPr>
      </w:pPr>
      <w:r>
        <w:rPr>
          <w:rFonts w:ascii="Arial" w:cs="Arial" w:eastAsia="Arial" w:hAnsi="Arial"/>
          <w:sz w:val="17"/>
          <w:szCs w:val="17"/>
          <w:u w:val="single" w:color="auto"/>
          <w:color w:val="auto"/>
        </w:rPr>
        <w:t>Successors</w:t>
      </w:r>
      <w:r>
        <w:rPr>
          <w:rFonts w:ascii="Arial" w:cs="Arial" w:eastAsia="Arial" w:hAnsi="Arial"/>
          <w:sz w:val="17"/>
          <w:szCs w:val="17"/>
          <w:color w:val="auto"/>
        </w:rPr>
        <w:t>. The terms of this Agreement shall be binding upon and inure to the benefit of the Company and its successors and assigns, and of the Participant and the beneficiaries, executors, administrators, heirs and successors of the Participant.</w:t>
      </w:r>
    </w:p>
    <w:p>
      <w:pPr>
        <w:sectPr>
          <w:pgSz w:w="11900" w:h="16838" w:orient="portrait"/>
          <w:cols w:equalWidth="0" w:num="1">
            <w:col w:w="11020"/>
          </w:cols>
          <w:pgMar w:left="400" w:top="1423" w:right="479" w:bottom="1440" w:gutter="0" w:footer="0" w:header="0"/>
        </w:sectPr>
      </w:pPr>
    </w:p>
    <w:bookmarkStart w:id="158" w:name="page159"/>
    <w:bookmarkEnd w:id="158"/>
    <w:p>
      <w:pPr>
        <w:ind w:left="-560" w:right="300" w:firstLine="563"/>
        <w:spacing w:after="0" w:line="220" w:lineRule="auto"/>
        <w:tabs>
          <w:tab w:leader="none" w:pos="495"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and the Plan contain the entire agreement and understanding of the parties hereto with respect to the subject matter contained herein and supersede all prior communications, representations and negotiations in respect thereto, except as set forth in Section 8 hereof. No change, modification or waiver of any provision of this Agreement shall be valid unless the same be in writing and signed by the parties hereto, except for any changes permitted without consent under Section 12 or 14 of the Plan.</w:t>
      </w:r>
    </w:p>
    <w:p>
      <w:pPr>
        <w:spacing w:after="0" w:line="183" w:lineRule="exact"/>
        <w:rPr>
          <w:rFonts w:ascii="Arial" w:cs="Arial" w:eastAsia="Arial" w:hAnsi="Arial"/>
          <w:sz w:val="17"/>
          <w:szCs w:val="17"/>
          <w:color w:val="auto"/>
        </w:rPr>
      </w:pPr>
    </w:p>
    <w:p>
      <w:pPr>
        <w:ind w:left="-560" w:right="80" w:firstLine="563"/>
        <w:spacing w:after="0" w:line="262" w:lineRule="auto"/>
        <w:tabs>
          <w:tab w:leader="none" w:pos="492"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Governing Law and Venue</w:t>
      </w:r>
      <w:r>
        <w:rPr>
          <w:rFonts w:ascii="Arial" w:cs="Arial" w:eastAsia="Arial" w:hAnsi="Arial"/>
          <w:sz w:val="17"/>
          <w:szCs w:val="17"/>
          <w:color w:val="auto"/>
        </w:rPr>
        <w:t>. This Agreement shall be construed and interpreted in accordance with the laws of the State of Delaware, without regard to principles of conflicts of laws thereof, or principles of conflicts of laws of any other jurisdiction which could cause the application of the laws of any jurisdiction other than the State of Delaware.</w:t>
      </w:r>
    </w:p>
    <w:p>
      <w:pPr>
        <w:spacing w:after="0" w:line="176" w:lineRule="exact"/>
        <w:rPr>
          <w:rFonts w:ascii="Arial" w:cs="Arial" w:eastAsia="Arial" w:hAnsi="Arial"/>
          <w:sz w:val="17"/>
          <w:szCs w:val="17"/>
          <w:color w:val="auto"/>
        </w:rPr>
      </w:pPr>
    </w:p>
    <w:p>
      <w:pPr>
        <w:ind w:firstLine="572"/>
        <w:spacing w:after="0" w:line="225" w:lineRule="auto"/>
        <w:tabs>
          <w:tab w:leader="none" w:pos="1052" w:val="left"/>
        </w:tabs>
        <w:numPr>
          <w:ilvl w:val="2"/>
          <w:numId w:val="56"/>
        </w:numPr>
        <w:rPr>
          <w:rFonts w:ascii="Arial" w:cs="Arial" w:eastAsia="Arial" w:hAnsi="Arial"/>
          <w:sz w:val="16"/>
          <w:szCs w:val="16"/>
          <w:color w:val="auto"/>
        </w:rPr>
      </w:pPr>
      <w:r>
        <w:rPr>
          <w:rFonts w:ascii="Arial" w:cs="Arial" w:eastAsia="Arial" w:hAnsi="Arial"/>
          <w:sz w:val="16"/>
          <w:szCs w:val="16"/>
          <w:u w:val="single" w:color="auto"/>
          <w:color w:val="auto"/>
        </w:rPr>
        <w:t>Dispute Resolution; Consent to Jurisdiction</w:t>
      </w:r>
      <w:r>
        <w:rPr>
          <w:rFonts w:ascii="Arial" w:cs="Arial" w:eastAsia="Arial" w:hAnsi="Arial"/>
          <w:sz w:val="16"/>
          <w:szCs w:val="16"/>
          <w:color w:val="auto"/>
        </w:rPr>
        <w:t>. All disputes between or among any Persons arising out of or in any way connected with the Plan, this Agreement, the Shares or the RSUs shall be solely and finally settled by the Committee, acting in good faith, the determination of which shall be final. Any matters not covered by the preceding sentence shall be solely and finally settled in accordance with the Plan, and the Participant and the Company consent to the personal jurisdiction of the United States Federal and state courts sitting in Wilmington, Delaware as the exclusive jurisdiction with respect to matters arising out of or related to the enforcement of the Committee’s determinations and resolution of matters, if any, related to the Plan or this Agreement not required to be resolved by the Committee. Each such Person hereby irrevocably consents to the service of process of any of the aforementioned courts in any such suit, action or proceeding by the mailing of copies thereof by registered or certified mail, postage prepaid, to the last known address of such Person, such service to become effective ten (10) days after such mailing.</w:t>
      </w:r>
    </w:p>
    <w:p>
      <w:pPr>
        <w:spacing w:after="0" w:line="230" w:lineRule="exact"/>
        <w:rPr>
          <w:rFonts w:ascii="Arial" w:cs="Arial" w:eastAsia="Arial" w:hAnsi="Arial"/>
          <w:sz w:val="16"/>
          <w:szCs w:val="16"/>
          <w:color w:val="auto"/>
        </w:rPr>
      </w:pPr>
    </w:p>
    <w:p>
      <w:pPr>
        <w:ind w:right="120" w:firstLine="572"/>
        <w:spacing w:after="0" w:line="224" w:lineRule="auto"/>
        <w:tabs>
          <w:tab w:leader="none" w:pos="1053" w:val="left"/>
        </w:tabs>
        <w:numPr>
          <w:ilvl w:val="2"/>
          <w:numId w:val="56"/>
        </w:numPr>
        <w:rPr>
          <w:rFonts w:ascii="Arial" w:cs="Arial" w:eastAsia="Arial" w:hAnsi="Arial"/>
          <w:sz w:val="16"/>
          <w:szCs w:val="16"/>
          <w:color w:val="auto"/>
        </w:rPr>
      </w:pPr>
      <w:r>
        <w:rPr>
          <w:rFonts w:ascii="Arial" w:cs="Arial" w:eastAsia="Arial" w:hAnsi="Arial"/>
          <w:sz w:val="16"/>
          <w:szCs w:val="16"/>
          <w:u w:val="single" w:color="auto"/>
          <w:color w:val="auto"/>
        </w:rPr>
        <w:t>Waiver of Jury Trial</w:t>
      </w:r>
      <w:r>
        <w:rPr>
          <w:rFonts w:ascii="Arial" w:cs="Arial" w:eastAsia="Arial" w:hAnsi="Arial"/>
          <w:sz w:val="16"/>
          <w:szCs w:val="16"/>
          <w:color w:val="auto"/>
        </w:rPr>
        <w:t>. Each party hereto hereby waives, to the fullest extent permitted by applicable law, any right it may have to a trial by jury in any legal proceeding directly or indirectly arising out of or relating to this Agreement or the transactions contemplated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w:t>
      </w:r>
    </w:p>
    <w:p>
      <w:pPr>
        <w:spacing w:after="0" w:line="1" w:lineRule="exact"/>
        <w:rPr>
          <w:rFonts w:ascii="Arial" w:cs="Arial" w:eastAsia="Arial" w:hAnsi="Arial"/>
          <w:sz w:val="16"/>
          <w:szCs w:val="16"/>
          <w:color w:val="auto"/>
        </w:rPr>
      </w:pPr>
    </w:p>
    <w:p>
      <w:pPr>
        <w:ind w:left="280" w:hanging="277"/>
        <w:spacing w:after="0"/>
        <w:tabs>
          <w:tab w:leader="none" w:pos="280" w:val="left"/>
        </w:tabs>
        <w:numPr>
          <w:ilvl w:val="1"/>
          <w:numId w:val="56"/>
        </w:numPr>
        <w:rPr>
          <w:rFonts w:ascii="Arial" w:cs="Arial" w:eastAsia="Arial" w:hAnsi="Arial"/>
          <w:sz w:val="15"/>
          <w:szCs w:val="15"/>
          <w:color w:val="auto"/>
        </w:rPr>
      </w:pPr>
      <w:r>
        <w:rPr>
          <w:rFonts w:ascii="Arial" w:cs="Arial" w:eastAsia="Arial" w:hAnsi="Arial"/>
          <w:sz w:val="15"/>
          <w:szCs w:val="15"/>
          <w:color w:val="auto"/>
        </w:rPr>
        <w:t>acknowledges that it and the other parties hereto have been induced to enter into this Agreement by, among other things, the mutual waivers and</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certifications in this section.</w:t>
      </w:r>
    </w:p>
    <w:p>
      <w:pPr>
        <w:spacing w:after="0" w:line="217" w:lineRule="exact"/>
        <w:rPr>
          <w:sz w:val="20"/>
          <w:szCs w:val="20"/>
          <w:color w:val="auto"/>
        </w:rPr>
      </w:pPr>
    </w:p>
    <w:p>
      <w:pPr>
        <w:ind w:left="-560" w:right="180" w:firstLine="563"/>
        <w:spacing w:after="0" w:line="248" w:lineRule="auto"/>
        <w:tabs>
          <w:tab w:leader="none" w:pos="496" w:val="left"/>
        </w:tabs>
        <w:numPr>
          <w:ilvl w:val="0"/>
          <w:numId w:val="57"/>
        </w:numPr>
        <w:rPr>
          <w:rFonts w:ascii="Arial" w:cs="Arial" w:eastAsia="Arial" w:hAnsi="Arial"/>
          <w:sz w:val="17"/>
          <w:szCs w:val="17"/>
          <w:color w:val="auto"/>
        </w:rPr>
      </w:pPr>
      <w:r>
        <w:rPr>
          <w:rFonts w:ascii="Arial" w:cs="Arial" w:eastAsia="Arial" w:hAnsi="Arial"/>
          <w:sz w:val="17"/>
          <w:szCs w:val="17"/>
          <w:u w:val="single" w:color="auto"/>
          <w:color w:val="auto"/>
        </w:rPr>
        <w:t>Headings; Gender</w:t>
      </w:r>
      <w:r>
        <w:rPr>
          <w:rFonts w:ascii="Arial" w:cs="Arial" w:eastAsia="Arial" w:hAnsi="Arial"/>
          <w:sz w:val="17"/>
          <w:szCs w:val="17"/>
          <w:color w:val="auto"/>
        </w:rPr>
        <w:t>. The headings of the Sections hereof are provided for convenience only and are not to serve as a basis for interpretation or construction, and shall not constitute a part, of this Agreement. Masculine pronouns and other words of masculine gender shall refer to both men and women as appropriate.</w:t>
      </w:r>
    </w:p>
    <w:p>
      <w:pPr>
        <w:spacing w:after="0" w:line="175" w:lineRule="exact"/>
        <w:rPr>
          <w:rFonts w:ascii="Arial" w:cs="Arial" w:eastAsia="Arial" w:hAnsi="Arial"/>
          <w:sz w:val="17"/>
          <w:szCs w:val="17"/>
          <w:color w:val="auto"/>
        </w:rPr>
      </w:pPr>
    </w:p>
    <w:p>
      <w:pPr>
        <w:jc w:val="both"/>
        <w:ind w:left="-560" w:right="160" w:firstLine="563"/>
        <w:spacing w:after="0" w:line="262" w:lineRule="auto"/>
        <w:tabs>
          <w:tab w:leader="none" w:pos="495" w:val="left"/>
        </w:tabs>
        <w:numPr>
          <w:ilvl w:val="0"/>
          <w:numId w:val="57"/>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one or more counterparts (including via facsimile and electronic image scan (pdf)), each of which shall be deemed to be an original, but all of which together shall constitute one and the same instrument and shall become effective when one or more counterparts have been signed by each of the parties and delivered to the other parties.</w:t>
      </w:r>
    </w:p>
    <w:p>
      <w:pPr>
        <w:spacing w:after="0" w:line="176" w:lineRule="exact"/>
        <w:rPr>
          <w:rFonts w:ascii="Arial" w:cs="Arial" w:eastAsia="Arial" w:hAnsi="Arial"/>
          <w:sz w:val="17"/>
          <w:szCs w:val="17"/>
          <w:color w:val="auto"/>
        </w:rPr>
      </w:pPr>
    </w:p>
    <w:p>
      <w:pPr>
        <w:ind w:left="-560" w:right="40" w:firstLine="563"/>
        <w:spacing w:after="0" w:line="234" w:lineRule="auto"/>
        <w:tabs>
          <w:tab w:leader="none" w:pos="495"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Electronic Signature and Delivery</w:t>
      </w:r>
      <w:r>
        <w:rPr>
          <w:rFonts w:ascii="Arial" w:cs="Arial" w:eastAsia="Arial" w:hAnsi="Arial"/>
          <w:sz w:val="16"/>
          <w:szCs w:val="16"/>
          <w:color w:val="auto"/>
        </w:rPr>
        <w:t>. This Agreement may be accepted by return signature or by electronic confirmation. By accepting this Agreement, the Participant consents to the electronic delivery of prospectuses, annual reports and other information required to be delivered by U.S. Securities and Exchange Commission rules (which consent may be revoked in writing by the Participant at any time upon three business days’ notice to the Company, in which case subsequent prospectuses, annual reports and other information will be delivered in hard copy to the Participant).</w:t>
      </w:r>
    </w:p>
    <w:p>
      <w:pPr>
        <w:sectPr>
          <w:pgSz w:w="11900" w:h="16838" w:orient="portrait"/>
          <w:cols w:equalWidth="0" w:num="1">
            <w:col w:w="10500"/>
          </w:cols>
          <w:pgMar w:left="960" w:top="1439" w:right="439" w:bottom="1440" w:gutter="0" w:footer="0" w:header="0"/>
        </w:sectPr>
      </w:pPr>
    </w:p>
    <w:bookmarkStart w:id="159" w:name="page160"/>
    <w:bookmarkEnd w:id="159"/>
    <w:p>
      <w:pPr>
        <w:spacing w:after="0" w:line="11" w:lineRule="exact"/>
        <w:rPr>
          <w:sz w:val="20"/>
          <w:szCs w:val="20"/>
          <w:color w:val="auto"/>
        </w:rPr>
      </w:pPr>
    </w:p>
    <w:p>
      <w:pPr>
        <w:ind w:left="-563" w:firstLine="563"/>
        <w:spacing w:after="0" w:line="270" w:lineRule="auto"/>
        <w:tabs>
          <w:tab w:leader="none" w:pos="492"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Electronic Participation in Plan</w:t>
      </w:r>
      <w:r>
        <w:rPr>
          <w:rFonts w:ascii="Arial" w:cs="Arial" w:eastAsia="Arial" w:hAnsi="Arial"/>
          <w:sz w:val="16"/>
          <w:szCs w:val="16"/>
          <w:color w:val="auto"/>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200" w:lineRule="exact"/>
        <w:rPr>
          <w:sz w:val="20"/>
          <w:szCs w:val="20"/>
          <w:color w:val="auto"/>
        </w:rPr>
      </w:pPr>
    </w:p>
    <w:p>
      <w:pPr>
        <w:spacing w:after="0" w:line="321" w:lineRule="exact"/>
        <w:rPr>
          <w:sz w:val="20"/>
          <w:szCs w:val="20"/>
          <w:color w:val="auto"/>
        </w:rPr>
      </w:pPr>
    </w:p>
    <w:p>
      <w:pPr>
        <w:ind w:left="1737"/>
        <w:spacing w:after="0"/>
        <w:rPr>
          <w:sz w:val="20"/>
          <w:szCs w:val="20"/>
          <w:color w:val="auto"/>
        </w:rPr>
      </w:pPr>
      <w:r>
        <w:rPr>
          <w:rFonts w:ascii="Arial" w:cs="Arial" w:eastAsia="Arial" w:hAnsi="Arial"/>
          <w:sz w:val="17"/>
          <w:szCs w:val="17"/>
          <w:b w:val="1"/>
          <w:bCs w:val="1"/>
          <w:color w:val="auto"/>
        </w:rPr>
        <w:t>[Remainder of page intentionally left blank]</w:t>
      </w:r>
    </w:p>
    <w:p>
      <w:pPr>
        <w:sectPr>
          <w:pgSz w:w="11900" w:h="16838" w:orient="portrait"/>
          <w:cols w:equalWidth="0" w:num="1">
            <w:col w:w="10177"/>
          </w:cols>
          <w:pgMar w:left="963" w:top="1440" w:right="759" w:bottom="1440" w:gutter="0" w:footer="0" w:header="0"/>
        </w:sectPr>
      </w:pPr>
    </w:p>
    <w:bookmarkStart w:id="160" w:name="page161"/>
    <w:bookmarkEnd w:id="160"/>
    <w:p>
      <w:pPr>
        <w:spacing w:after="0" w:line="220" w:lineRule="auto"/>
        <w:rPr>
          <w:sz w:val="20"/>
          <w:szCs w:val="20"/>
          <w:color w:val="auto"/>
        </w:rPr>
      </w:pPr>
      <w:r>
        <w:rPr>
          <w:rFonts w:ascii="Arial" w:cs="Arial" w:eastAsia="Arial" w:hAnsi="Arial"/>
          <w:sz w:val="19"/>
          <w:szCs w:val="19"/>
          <w:b w:val="1"/>
          <w:bCs w:val="1"/>
          <w:color w:val="auto"/>
        </w:rPr>
        <w:t xml:space="preserve">To accept or reject your Restricted Stock award, please complete the on-line form (“Accept or Reject Your Grant”) as promptly as possible, but, in any case, within thirty (30) days after the Grant Date. If you accept your award you will be deemed to have agreed to the terms and conditions set forth in this Agreement and the terms and conditions of the Plan, all of which are made part of this Agreement. Your Agreement is available to you online in your Schwab Equity Award Center (EAC) account via this link </w:t>
      </w:r>
      <w:r>
        <w:rPr>
          <w:rFonts w:ascii="Arial" w:cs="Arial" w:eastAsia="Arial" w:hAnsi="Arial"/>
          <w:sz w:val="19"/>
          <w:szCs w:val="19"/>
          <w:b w:val="1"/>
          <w:bCs w:val="1"/>
          <w:u w:val="single" w:color="auto"/>
          <w:color w:val="0000FF"/>
        </w:rPr>
        <w:t>https://www.schwab.com/public/eac/home</w:t>
      </w:r>
      <w:r>
        <w:rPr>
          <w:rFonts w:ascii="Arial" w:cs="Arial" w:eastAsia="Arial" w:hAnsi="Arial"/>
          <w:sz w:val="19"/>
          <w:szCs w:val="19"/>
          <w:b w:val="1"/>
          <w:bCs w:val="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400"/>
        <w:spacing w:after="0"/>
        <w:rPr>
          <w:sz w:val="20"/>
          <w:szCs w:val="20"/>
          <w:color w:val="auto"/>
        </w:rPr>
      </w:pPr>
      <w:r>
        <w:rPr>
          <w:rFonts w:ascii="Arial" w:cs="Arial" w:eastAsia="Arial" w:hAnsi="Arial"/>
          <w:sz w:val="17"/>
          <w:szCs w:val="17"/>
          <w:color w:val="auto"/>
        </w:rPr>
        <w:t>VIRTU FINANCIAL, INC.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400"/>
        <w:spacing w:after="0"/>
        <w:tabs>
          <w:tab w:leader="none" w:pos="5240" w:val="left"/>
        </w:tabs>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Douglas A. Cifu</w:t>
      </w:r>
      <w:r>
        <w:rPr>
          <w:sz w:val="20"/>
          <w:szCs w:val="20"/>
          <w:color w:val="auto"/>
        </w:rPr>
        <w:tab/>
      </w:r>
      <w:r>
        <w:rPr>
          <w:rFonts w:ascii="Arial" w:cs="Arial" w:eastAsia="Arial" w:hAnsi="Arial"/>
          <w:sz w:val="16"/>
          <w:szCs w:val="16"/>
          <w:color w:val="auto"/>
        </w:rPr>
        <w:t>Name: Douglas A. Cifu</w:t>
      </w:r>
    </w:p>
    <w:p>
      <w:pPr>
        <w:spacing w:after="0" w:line="8" w:lineRule="exact"/>
        <w:rPr>
          <w:sz w:val="20"/>
          <w:szCs w:val="20"/>
          <w:color w:val="auto"/>
        </w:rPr>
      </w:pPr>
    </w:p>
    <w:p>
      <w:pPr>
        <w:ind w:left="3620"/>
        <w:spacing w:after="0"/>
        <w:rPr>
          <w:sz w:val="20"/>
          <w:szCs w:val="20"/>
          <w:color w:val="auto"/>
        </w:rPr>
      </w:pPr>
      <w:r>
        <w:rPr>
          <w:rFonts w:ascii="Arial" w:cs="Arial" w:eastAsia="Arial" w:hAnsi="Arial"/>
          <w:sz w:val="17"/>
          <w:szCs w:val="17"/>
          <w:color w:val="auto"/>
        </w:rPr>
        <w:t>Title: Chief Executive Officer</w:t>
      </w:r>
    </w:p>
    <w:p>
      <w:pPr>
        <w:sectPr>
          <w:pgSz w:w="11900" w:h="16838" w:orient="portrait"/>
          <w:cols w:equalWidth="0" w:num="1">
            <w:col w:w="10720"/>
          </w:cols>
          <w:pgMar w:left="400" w:top="1227" w:right="779" w:bottom="1440" w:gutter="0" w:footer="0" w:header="0"/>
        </w:sectPr>
      </w:pPr>
    </w:p>
    <w:bookmarkStart w:id="161" w:name="page162"/>
    <w:bookmarkEnd w:id="161"/>
    <w:p>
      <w:pPr>
        <w:ind w:left="3386"/>
        <w:spacing w:after="0"/>
        <w:rPr>
          <w:sz w:val="20"/>
          <w:szCs w:val="20"/>
          <w:color w:val="auto"/>
        </w:rPr>
      </w:pPr>
      <w:r>
        <w:rPr>
          <w:rFonts w:ascii="Arial" w:cs="Arial" w:eastAsia="Arial" w:hAnsi="Arial"/>
          <w:sz w:val="17"/>
          <w:szCs w:val="17"/>
          <w:b w:val="1"/>
          <w:bCs w:val="1"/>
          <w:color w:val="auto"/>
        </w:rPr>
        <w:t>VIRTU FINANCIAL, INC. AMENDED AND RESTATED</w:t>
      </w:r>
    </w:p>
    <w:p>
      <w:pPr>
        <w:spacing w:after="0" w:line="8" w:lineRule="exact"/>
        <w:rPr>
          <w:sz w:val="20"/>
          <w:szCs w:val="20"/>
          <w:color w:val="auto"/>
        </w:rPr>
      </w:pPr>
    </w:p>
    <w:p>
      <w:pPr>
        <w:ind w:left="3926"/>
        <w:spacing w:after="0"/>
        <w:rPr>
          <w:sz w:val="20"/>
          <w:szCs w:val="20"/>
          <w:color w:val="auto"/>
        </w:rPr>
      </w:pPr>
      <w:r>
        <w:rPr>
          <w:rFonts w:ascii="Arial" w:cs="Arial" w:eastAsia="Arial" w:hAnsi="Arial"/>
          <w:sz w:val="17"/>
          <w:szCs w:val="17"/>
          <w:b w:val="1"/>
          <w:bCs w:val="1"/>
          <w:color w:val="auto"/>
        </w:rPr>
        <w:t>2015 MANAGEMENT INCENTIVE PLAN</w:t>
      </w:r>
    </w:p>
    <w:p>
      <w:pPr>
        <w:ind w:left="566" w:right="2460" w:firstLine="1945"/>
        <w:spacing w:after="0" w:line="283" w:lineRule="auto"/>
        <w:rPr>
          <w:sz w:val="20"/>
          <w:szCs w:val="20"/>
          <w:color w:val="auto"/>
        </w:rPr>
      </w:pPr>
      <w:r>
        <w:rPr>
          <w:rFonts w:ascii="Arial" w:cs="Arial" w:eastAsia="Arial" w:hAnsi="Arial"/>
          <w:sz w:val="17"/>
          <w:szCs w:val="17"/>
          <w:b w:val="1"/>
          <w:bCs w:val="1"/>
          <w:u w:val="single" w:color="auto"/>
          <w:color w:val="auto"/>
        </w:rPr>
        <w:t xml:space="preserve">RESTRICTED STOCK UNIT AND COMMON STOCK AWARD AGREEMENT </w:t>
      </w:r>
      <w:r>
        <w:rPr>
          <w:rFonts w:ascii="Arial" w:cs="Arial" w:eastAsia="Arial" w:hAnsi="Arial"/>
          <w:sz w:val="17"/>
          <w:szCs w:val="17"/>
          <w:color w:val="auto"/>
        </w:rPr>
        <w:t>THIS RESTRICTED STOCK UNIT AND COMMON STOCK AWARD AGREEMENT (the</w:t>
      </w:r>
    </w:p>
    <w:p>
      <w:pPr>
        <w:spacing w:after="0" w:line="1" w:lineRule="exact"/>
        <w:rPr>
          <w:sz w:val="20"/>
          <w:szCs w:val="20"/>
          <w:color w:val="auto"/>
        </w:rPr>
      </w:pPr>
    </w:p>
    <w:p>
      <w:pPr>
        <w:ind w:left="6" w:right="240"/>
        <w:spacing w:after="0" w:line="26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Agreement</w:t>
      </w:r>
      <w:r>
        <w:rPr>
          <w:rFonts w:ascii="Arial" w:cs="Arial" w:eastAsia="Arial" w:hAnsi="Arial"/>
          <w:sz w:val="17"/>
          <w:szCs w:val="17"/>
          <w:color w:val="auto"/>
        </w:rPr>
        <w:t>”), is entered into as of January 24, 2020 (the “</w:t>
      </w:r>
      <w:r>
        <w:rPr>
          <w:rFonts w:ascii="Arial" w:cs="Arial" w:eastAsia="Arial" w:hAnsi="Arial"/>
          <w:sz w:val="17"/>
          <w:szCs w:val="17"/>
          <w:u w:val="single" w:color="auto"/>
          <w:color w:val="auto"/>
        </w:rPr>
        <w:t>Date of Grant</w:t>
      </w:r>
      <w:r>
        <w:rPr>
          <w:rFonts w:ascii="Arial" w:cs="Arial" w:eastAsia="Arial" w:hAnsi="Arial"/>
          <w:sz w:val="17"/>
          <w:szCs w:val="17"/>
          <w:color w:val="auto"/>
        </w:rPr>
        <w:t>”), by and between Virtu Financial,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and Stephen Cavoli (the “</w:t>
      </w:r>
      <w:r>
        <w:rPr>
          <w:rFonts w:ascii="Arial" w:cs="Arial" w:eastAsia="Arial" w:hAnsi="Arial"/>
          <w:sz w:val="17"/>
          <w:szCs w:val="17"/>
          <w:u w:val="single" w:color="auto"/>
          <w:color w:val="auto"/>
        </w:rPr>
        <w:t>Participant</w:t>
      </w:r>
      <w:r>
        <w:rPr>
          <w:rFonts w:ascii="Arial" w:cs="Arial" w:eastAsia="Arial" w:hAnsi="Arial"/>
          <w:sz w:val="17"/>
          <w:szCs w:val="17"/>
          <w:color w:val="auto"/>
        </w:rPr>
        <w:t>”).</w:t>
      </w:r>
    </w:p>
    <w:p>
      <w:pPr>
        <w:spacing w:after="0" w:line="107" w:lineRule="exact"/>
        <w:rPr>
          <w:sz w:val="20"/>
          <w:szCs w:val="20"/>
          <w:color w:val="auto"/>
        </w:rPr>
      </w:pPr>
    </w:p>
    <w:p>
      <w:pPr>
        <w:ind w:left="566"/>
        <w:spacing w:after="0"/>
        <w:rPr>
          <w:sz w:val="20"/>
          <w:szCs w:val="20"/>
          <w:color w:val="auto"/>
        </w:rPr>
      </w:pPr>
      <w:r>
        <w:rPr>
          <w:rFonts w:ascii="Arial" w:cs="Arial" w:eastAsia="Arial" w:hAnsi="Arial"/>
          <w:sz w:val="16"/>
          <w:szCs w:val="16"/>
          <w:color w:val="auto"/>
        </w:rPr>
        <w:t>WHEREAS, the Company has adopted the Virtu Financial, Inc. Amended and Restated 2015 Management Incentive Plan (the “</w:t>
      </w:r>
      <w:r>
        <w:rPr>
          <w:rFonts w:ascii="Arial" w:cs="Arial" w:eastAsia="Arial" w:hAnsi="Arial"/>
          <w:sz w:val="16"/>
          <w:szCs w:val="16"/>
          <w:u w:val="single" w:color="auto"/>
          <w:color w:val="auto"/>
        </w:rPr>
        <w:t>Plan</w:t>
      </w:r>
      <w:r>
        <w:rPr>
          <w:rFonts w:ascii="Arial" w:cs="Arial" w:eastAsia="Arial" w:hAnsi="Arial"/>
          <w:sz w:val="16"/>
          <w:szCs w:val="16"/>
          <w:color w:val="auto"/>
        </w:rPr>
        <w:t>”), pursuant to</w:t>
      </w:r>
    </w:p>
    <w:p>
      <w:pPr>
        <w:spacing w:after="0" w:line="31" w:lineRule="exact"/>
        <w:rPr>
          <w:sz w:val="20"/>
          <w:szCs w:val="20"/>
          <w:color w:val="auto"/>
        </w:rPr>
      </w:pPr>
    </w:p>
    <w:p>
      <w:pPr>
        <w:ind w:left="6"/>
        <w:spacing w:after="0"/>
        <w:rPr>
          <w:sz w:val="20"/>
          <w:szCs w:val="20"/>
          <w:color w:val="auto"/>
        </w:rPr>
      </w:pPr>
      <w:r>
        <w:rPr>
          <w:rFonts w:ascii="Arial" w:cs="Arial" w:eastAsia="Arial" w:hAnsi="Arial"/>
          <w:sz w:val="17"/>
          <w:szCs w:val="17"/>
          <w:color w:val="auto"/>
        </w:rPr>
        <w:t>which shares of Class A Common Stock and</w:t>
      </w:r>
    </w:p>
    <w:p>
      <w:pPr>
        <w:spacing w:after="0" w:line="6" w:lineRule="exact"/>
        <w:rPr>
          <w:sz w:val="20"/>
          <w:szCs w:val="20"/>
          <w:color w:val="auto"/>
        </w:rPr>
      </w:pPr>
    </w:p>
    <w:p>
      <w:pPr>
        <w:ind w:left="6"/>
        <w:spacing w:after="0"/>
        <w:rPr>
          <w:sz w:val="20"/>
          <w:szCs w:val="20"/>
          <w:color w:val="auto"/>
        </w:rPr>
      </w:pPr>
      <w:r>
        <w:rPr>
          <w:rFonts w:ascii="Arial" w:cs="Arial" w:eastAsia="Arial" w:hAnsi="Arial"/>
          <w:sz w:val="17"/>
          <w:szCs w:val="17"/>
          <w:color w:val="auto"/>
        </w:rPr>
        <w:t>Restricted Stock Units (“</w:t>
      </w:r>
      <w:r>
        <w:rPr>
          <w:rFonts w:ascii="Arial" w:cs="Arial" w:eastAsia="Arial" w:hAnsi="Arial"/>
          <w:sz w:val="17"/>
          <w:szCs w:val="17"/>
          <w:u w:val="single" w:color="auto"/>
          <w:color w:val="auto"/>
        </w:rPr>
        <w:t>RSUs</w:t>
      </w:r>
      <w:r>
        <w:rPr>
          <w:rFonts w:ascii="Arial" w:cs="Arial" w:eastAsia="Arial" w:hAnsi="Arial"/>
          <w:sz w:val="17"/>
          <w:szCs w:val="17"/>
          <w:color w:val="auto"/>
        </w:rPr>
        <w:t>”) may be granted; and</w:t>
      </w:r>
    </w:p>
    <w:p>
      <w:pPr>
        <w:spacing w:after="0" w:line="134" w:lineRule="exact"/>
        <w:rPr>
          <w:sz w:val="20"/>
          <w:szCs w:val="20"/>
          <w:color w:val="auto"/>
        </w:rPr>
      </w:pPr>
    </w:p>
    <w:p>
      <w:pPr>
        <w:jc w:val="both"/>
        <w:ind w:left="6" w:right="300" w:firstLine="568"/>
        <w:spacing w:after="0" w:line="270" w:lineRule="auto"/>
        <w:rPr>
          <w:sz w:val="20"/>
          <w:szCs w:val="20"/>
          <w:color w:val="auto"/>
        </w:rPr>
      </w:pPr>
      <w:r>
        <w:rPr>
          <w:rFonts w:ascii="Arial" w:cs="Arial" w:eastAsia="Arial" w:hAnsi="Arial"/>
          <w:sz w:val="16"/>
          <w:szCs w:val="16"/>
          <w:color w:val="auto"/>
        </w:rPr>
        <w:t>WHEREAS, the Compensation Committee of the Board of Directors of the Company has determined that it is in the best interests of the Company and its stockholders to grant the shares of Class A Common Stock in recognition of Participant’s service to the Company and its Affiliates from January 1, 2019 through December 31, 2019, and RSUs provided for herein to the Participant subject to the terms set forth herein.</w:t>
      </w:r>
    </w:p>
    <w:p>
      <w:pPr>
        <w:spacing w:after="0" w:line="89" w:lineRule="exact"/>
        <w:rPr>
          <w:sz w:val="20"/>
          <w:szCs w:val="20"/>
          <w:color w:val="auto"/>
        </w:rPr>
      </w:pPr>
    </w:p>
    <w:p>
      <w:pPr>
        <w:ind w:left="6" w:right="100" w:firstLine="568"/>
        <w:spacing w:after="0" w:line="347" w:lineRule="auto"/>
        <w:rPr>
          <w:sz w:val="20"/>
          <w:szCs w:val="20"/>
          <w:color w:val="auto"/>
        </w:rPr>
      </w:pPr>
      <w:r>
        <w:rPr>
          <w:rFonts w:ascii="Arial" w:cs="Arial" w:eastAsia="Arial" w:hAnsi="Arial"/>
          <w:sz w:val="15"/>
          <w:szCs w:val="15"/>
          <w:color w:val="auto"/>
        </w:rPr>
        <w:t>NOW, THEREFORE, for and in consideration of the premises and the covenants of the parties contained in this Agreement, and for other good and valuable consideration, the receipt of which is hereby acknowledged, the parties hereto, for themselves, their successors and assigns, hereby agree as follows:</w:t>
      </w:r>
    </w:p>
    <w:p>
      <w:pPr>
        <w:spacing w:after="0" w:line="99" w:lineRule="exact"/>
        <w:rPr>
          <w:sz w:val="20"/>
          <w:szCs w:val="20"/>
          <w:color w:val="auto"/>
        </w:rPr>
      </w:pPr>
    </w:p>
    <w:p>
      <w:pPr>
        <w:ind w:left="566" w:hanging="566"/>
        <w:spacing w:after="0"/>
        <w:tabs>
          <w:tab w:leader="none" w:pos="566" w:val="left"/>
        </w:tabs>
        <w:numPr>
          <w:ilvl w:val="0"/>
          <w:numId w:val="59"/>
        </w:numPr>
        <w:rPr>
          <w:rFonts w:ascii="Arial" w:cs="Arial" w:eastAsia="Arial" w:hAnsi="Arial"/>
          <w:sz w:val="17"/>
          <w:szCs w:val="17"/>
          <w:b w:val="1"/>
          <w:bCs w:val="1"/>
          <w:color w:val="auto"/>
        </w:rPr>
      </w:pPr>
      <w:r>
        <w:rPr>
          <w:rFonts w:ascii="Arial" w:cs="Arial" w:eastAsia="Arial" w:hAnsi="Arial"/>
          <w:sz w:val="17"/>
          <w:szCs w:val="17"/>
          <w:b w:val="1"/>
          <w:bCs w:val="1"/>
          <w:color w:val="auto"/>
        </w:rPr>
        <w:t>Grant of Common Stock and Restricted Stock Units.</w:t>
      </w:r>
    </w:p>
    <w:p>
      <w:pPr>
        <w:spacing w:after="0" w:line="142" w:lineRule="exact"/>
        <w:rPr>
          <w:rFonts w:ascii="Arial" w:cs="Arial" w:eastAsia="Arial" w:hAnsi="Arial"/>
          <w:sz w:val="17"/>
          <w:szCs w:val="17"/>
          <w:b w:val="1"/>
          <w:bCs w:val="1"/>
          <w:color w:val="auto"/>
        </w:rPr>
      </w:pPr>
    </w:p>
    <w:p>
      <w:pPr>
        <w:ind w:left="6" w:hanging="6"/>
        <w:spacing w:after="0" w:line="237" w:lineRule="auto"/>
        <w:tabs>
          <w:tab w:leader="none" w:pos="495" w:val="left"/>
        </w:tabs>
        <w:numPr>
          <w:ilvl w:val="1"/>
          <w:numId w:val="59"/>
        </w:numPr>
        <w:rPr>
          <w:rFonts w:ascii="Arial" w:cs="Arial" w:eastAsia="Arial" w:hAnsi="Arial"/>
          <w:sz w:val="15"/>
          <w:szCs w:val="15"/>
          <w:color w:val="auto"/>
        </w:rPr>
      </w:pPr>
      <w:r>
        <w:rPr>
          <w:rFonts w:ascii="Arial" w:cs="Arial" w:eastAsia="Arial" w:hAnsi="Arial"/>
          <w:sz w:val="15"/>
          <w:szCs w:val="15"/>
          <w:u w:val="single" w:color="auto"/>
          <w:color w:val="auto"/>
        </w:rPr>
        <w:t>Grant</w:t>
      </w:r>
      <w:r>
        <w:rPr>
          <w:rFonts w:ascii="Arial" w:cs="Arial" w:eastAsia="Arial" w:hAnsi="Arial"/>
          <w:sz w:val="15"/>
          <w:szCs w:val="15"/>
          <w:color w:val="auto"/>
        </w:rPr>
        <w:t>. The Company hereby grants to the Participant a total number of shares of Class A Common Stock equal to approximately $312,000.00 divided by the Issue Price (the “</w:t>
      </w:r>
      <w:r>
        <w:rPr>
          <w:rFonts w:ascii="Arial" w:cs="Arial" w:eastAsia="Arial" w:hAnsi="Arial"/>
          <w:sz w:val="15"/>
          <w:szCs w:val="15"/>
          <w:u w:val="single" w:color="auto"/>
          <w:color w:val="auto"/>
        </w:rPr>
        <w:t>Shares</w:t>
      </w:r>
      <w:r>
        <w:rPr>
          <w:rFonts w:ascii="Arial" w:cs="Arial" w:eastAsia="Arial" w:hAnsi="Arial"/>
          <w:sz w:val="15"/>
          <w:szCs w:val="15"/>
          <w:color w:val="auto"/>
        </w:rPr>
        <w:t>”), and a total number of RSUs equal to approximately $468,000.00 divided by the Issue Price, in each case on the terms and conditions set forth in this Agreement and as otherwise provided in the Plan. The RSUs shall be credited to a separate book-entry account maintained for the Participant on the books of the Company, which may be maintained by a third party. The “</w:t>
      </w:r>
      <w:r>
        <w:rPr>
          <w:rFonts w:ascii="Arial" w:cs="Arial" w:eastAsia="Arial" w:hAnsi="Arial"/>
          <w:sz w:val="15"/>
          <w:szCs w:val="15"/>
          <w:u w:val="single" w:color="auto"/>
          <w:color w:val="auto"/>
        </w:rPr>
        <w:t>Issue Price</w:t>
      </w:r>
      <w:r>
        <w:rPr>
          <w:rFonts w:ascii="Arial" w:cs="Arial" w:eastAsia="Arial" w:hAnsi="Arial"/>
          <w:sz w:val="15"/>
          <w:szCs w:val="15"/>
          <w:color w:val="auto"/>
        </w:rPr>
        <w:t>” shall mean the volume weighted average price of shares of the Company’s Class A Common Stock traded during the three days preceding the Date of Grant, as determined by the Company.</w:t>
      </w:r>
    </w:p>
    <w:p>
      <w:pPr>
        <w:spacing w:after="0" w:line="2" w:lineRule="exact"/>
        <w:rPr>
          <w:rFonts w:ascii="Arial" w:cs="Arial" w:eastAsia="Arial" w:hAnsi="Arial"/>
          <w:sz w:val="15"/>
          <w:szCs w:val="15"/>
          <w:color w:val="auto"/>
        </w:rPr>
      </w:pPr>
    </w:p>
    <w:p>
      <w:pPr>
        <w:ind w:left="6" w:right="60" w:firstLine="563"/>
        <w:spacing w:after="0" w:line="210" w:lineRule="auto"/>
        <w:tabs>
          <w:tab w:leader="none" w:pos="1061" w:val="left"/>
        </w:tabs>
        <w:numPr>
          <w:ilvl w:val="2"/>
          <w:numId w:val="59"/>
        </w:numPr>
        <w:rPr>
          <w:rFonts w:ascii="Arial" w:cs="Arial" w:eastAsia="Arial" w:hAnsi="Arial"/>
          <w:sz w:val="17"/>
          <w:szCs w:val="17"/>
          <w:color w:val="auto"/>
        </w:rPr>
      </w:pPr>
      <w:r>
        <w:rPr>
          <w:rFonts w:ascii="Arial" w:cs="Arial" w:eastAsia="Arial" w:hAnsi="Arial"/>
          <w:sz w:val="17"/>
          <w:szCs w:val="17"/>
          <w:u w:val="single" w:color="auto"/>
          <w:color w:val="auto"/>
        </w:rPr>
        <w:t>Incorporation by Reference</w:t>
      </w:r>
      <w:r>
        <w:rPr>
          <w:rFonts w:ascii="Arial" w:cs="Arial" w:eastAsia="Arial" w:hAnsi="Arial"/>
          <w:sz w:val="17"/>
          <w:szCs w:val="17"/>
          <w:color w:val="auto"/>
        </w:rPr>
        <w:t>. The provisions of the Plan are incorporated herein by reference. Except as otherwise expressly set forth herein, this Agreement shall be construed in accordance with the provisions of the Plan and any interpretations, amendments, rules and regulations promulgated by the Committee from time to time pursuant to the Plan. Any capitalized terms not otherwise defined in this Agreement shall have the definitions set forth in the Plan. The Committee shall have final authority to interpret and construe the Plan and this Agreement and to make any and all determinations under them, and its decision shall be binding and conclusive upon the Participant and his legal representative in respect of any questions arising under the Plan or this Agreement. The Participant acknowledges that he has received a copy of the Plan and has had an opportunity to review the Plan and agrees to be bound by all the terms and provisions of the Plan.</w:t>
      </w:r>
    </w:p>
    <w:p>
      <w:pPr>
        <w:spacing w:after="0" w:line="156" w:lineRule="exact"/>
        <w:rPr>
          <w:rFonts w:ascii="Arial" w:cs="Arial" w:eastAsia="Arial" w:hAnsi="Arial"/>
          <w:sz w:val="17"/>
          <w:szCs w:val="17"/>
          <w:color w:val="auto"/>
        </w:rPr>
      </w:pPr>
    </w:p>
    <w:p>
      <w:pPr>
        <w:ind w:left="566" w:hanging="566"/>
        <w:spacing w:after="0"/>
        <w:tabs>
          <w:tab w:leader="none" w:pos="566" w:val="left"/>
        </w:tabs>
        <w:numPr>
          <w:ilvl w:val="0"/>
          <w:numId w:val="59"/>
        </w:numPr>
        <w:rPr>
          <w:rFonts w:ascii="Arial" w:cs="Arial" w:eastAsia="Arial" w:hAnsi="Arial"/>
          <w:sz w:val="17"/>
          <w:szCs w:val="17"/>
          <w:b w:val="1"/>
          <w:bCs w:val="1"/>
          <w:color w:val="auto"/>
        </w:rPr>
      </w:pPr>
      <w:r>
        <w:rPr>
          <w:rFonts w:ascii="Arial" w:cs="Arial" w:eastAsia="Arial" w:hAnsi="Arial"/>
          <w:sz w:val="17"/>
          <w:szCs w:val="17"/>
          <w:b w:val="1"/>
          <w:bCs w:val="1"/>
          <w:color w:val="auto"/>
        </w:rPr>
        <w:t>Vesting and Settlement.</w:t>
      </w:r>
    </w:p>
    <w:p>
      <w:pPr>
        <w:spacing w:after="0" w:line="201" w:lineRule="exact"/>
        <w:rPr>
          <w:rFonts w:ascii="Arial" w:cs="Arial" w:eastAsia="Arial" w:hAnsi="Arial"/>
          <w:sz w:val="17"/>
          <w:szCs w:val="17"/>
          <w:b w:val="1"/>
          <w:bCs w:val="1"/>
          <w:color w:val="auto"/>
        </w:rPr>
      </w:pPr>
    </w:p>
    <w:p>
      <w:pPr>
        <w:ind w:left="1126" w:hanging="557"/>
        <w:spacing w:after="0"/>
        <w:tabs>
          <w:tab w:leader="none" w:pos="1126" w:val="left"/>
        </w:tabs>
        <w:numPr>
          <w:ilvl w:val="2"/>
          <w:numId w:val="60"/>
        </w:numPr>
        <w:rPr>
          <w:rFonts w:ascii="Arial" w:cs="Arial" w:eastAsia="Arial" w:hAnsi="Arial"/>
          <w:sz w:val="17"/>
          <w:szCs w:val="17"/>
          <w:color w:val="auto"/>
        </w:rPr>
      </w:pPr>
      <w:r>
        <w:rPr>
          <w:rFonts w:ascii="Arial" w:cs="Arial" w:eastAsia="Arial" w:hAnsi="Arial"/>
          <w:sz w:val="17"/>
          <w:szCs w:val="17"/>
          <w:color w:val="auto"/>
        </w:rPr>
        <w:t>The Shares shall be one hundred percent (100%) vested as of the Date of Grant.</w:t>
      </w:r>
    </w:p>
    <w:p>
      <w:pPr>
        <w:spacing w:after="0" w:line="195" w:lineRule="exact"/>
        <w:rPr>
          <w:rFonts w:ascii="Arial" w:cs="Arial" w:eastAsia="Arial" w:hAnsi="Arial"/>
          <w:sz w:val="17"/>
          <w:szCs w:val="17"/>
          <w:color w:val="auto"/>
        </w:rPr>
      </w:pPr>
    </w:p>
    <w:p>
      <w:pPr>
        <w:ind w:left="6" w:right="240" w:firstLine="563"/>
        <w:spacing w:after="0" w:line="248" w:lineRule="auto"/>
        <w:tabs>
          <w:tab w:leader="none" w:pos="1061" w:val="left"/>
        </w:tabs>
        <w:numPr>
          <w:ilvl w:val="2"/>
          <w:numId w:val="60"/>
        </w:numPr>
        <w:rPr>
          <w:rFonts w:ascii="Arial" w:cs="Arial" w:eastAsia="Arial" w:hAnsi="Arial"/>
          <w:sz w:val="17"/>
          <w:szCs w:val="17"/>
          <w:color w:val="auto"/>
        </w:rPr>
      </w:pPr>
      <w:r>
        <w:rPr>
          <w:rFonts w:ascii="Arial" w:cs="Arial" w:eastAsia="Arial" w:hAnsi="Arial"/>
          <w:sz w:val="17"/>
          <w:szCs w:val="17"/>
          <w:color w:val="auto"/>
        </w:rPr>
        <w:t>Except as may otherwise be provided herein, subject to the Participant’s continued employment or service with the Company or an Affiliate, the RSUs shall vest in equal installments on each of the first three (3) anniversaries of the Date of Grant (each such date, a “</w:t>
      </w:r>
      <w:r>
        <w:rPr>
          <w:rFonts w:ascii="Arial" w:cs="Arial" w:eastAsia="Arial" w:hAnsi="Arial"/>
          <w:sz w:val="17"/>
          <w:szCs w:val="17"/>
          <w:u w:val="single" w:color="auto"/>
          <w:color w:val="auto"/>
        </w:rPr>
        <w:t>Vesting Date</w:t>
      </w:r>
      <w:r>
        <w:rPr>
          <w:rFonts w:ascii="Arial" w:cs="Arial" w:eastAsia="Arial" w:hAnsi="Arial"/>
          <w:sz w:val="17"/>
          <w:szCs w:val="17"/>
          <w:color w:val="auto"/>
        </w:rPr>
        <w:t>”). Upon each Vesting Date, such portion of the RSUs that vest on such date shall no longer be subject to the</w:t>
      </w:r>
    </w:p>
    <w:p>
      <w:pPr>
        <w:sectPr>
          <w:pgSz w:w="11900" w:h="16838" w:orient="portrait"/>
          <w:cols w:equalWidth="0" w:num="1">
            <w:col w:w="11046"/>
          </w:cols>
          <w:pgMar w:left="394" w:top="1244" w:right="459" w:bottom="1440" w:gutter="0" w:footer="0" w:header="0"/>
        </w:sectPr>
      </w:pPr>
    </w:p>
    <w:bookmarkStart w:id="162" w:name="page163"/>
    <w:bookmarkEnd w:id="162"/>
    <w:p>
      <w:pPr>
        <w:ind w:left="6" w:right="340"/>
        <w:spacing w:after="0" w:line="277" w:lineRule="auto"/>
        <w:rPr>
          <w:sz w:val="20"/>
          <w:szCs w:val="20"/>
          <w:color w:val="auto"/>
        </w:rPr>
      </w:pPr>
      <w:r>
        <w:rPr>
          <w:rFonts w:ascii="Arial" w:cs="Arial" w:eastAsia="Arial" w:hAnsi="Arial"/>
          <w:sz w:val="17"/>
          <w:szCs w:val="17"/>
          <w:color w:val="auto"/>
        </w:rPr>
        <w:t>transfer restrictions pursuant to Section 9(a) hereof or cancellation pursuant to Section 4 hereof. Any fractional RSUs resulting from the application of the vesting schedule shall be aggregated and the RSUs resulting from such aggregation shall vest on the final Vesting Date.</w:t>
      </w:r>
    </w:p>
    <w:p>
      <w:pPr>
        <w:spacing w:after="0" w:line="176" w:lineRule="exact"/>
        <w:rPr>
          <w:sz w:val="20"/>
          <w:szCs w:val="20"/>
          <w:color w:val="auto"/>
        </w:rPr>
      </w:pPr>
    </w:p>
    <w:p>
      <w:pPr>
        <w:ind w:left="6" w:right="220" w:firstLine="563"/>
        <w:spacing w:after="0" w:line="263" w:lineRule="auto"/>
        <w:tabs>
          <w:tab w:leader="none" w:pos="1063" w:val="left"/>
        </w:tabs>
        <w:numPr>
          <w:ilvl w:val="1"/>
          <w:numId w:val="61"/>
        </w:numPr>
        <w:rPr>
          <w:rFonts w:ascii="Arial" w:cs="Arial" w:eastAsia="Arial" w:hAnsi="Arial"/>
          <w:sz w:val="17"/>
          <w:szCs w:val="17"/>
          <w:color w:val="auto"/>
        </w:rPr>
      </w:pPr>
      <w:r>
        <w:rPr>
          <w:rFonts w:ascii="Arial" w:cs="Arial" w:eastAsia="Arial" w:hAnsi="Arial"/>
          <w:sz w:val="17"/>
          <w:szCs w:val="17"/>
          <w:color w:val="auto"/>
        </w:rPr>
        <w:t>Vested RSUs shall be settled within ten (10) days following the Vesting Date for such RSUs in shares of Class A Common Stock, or cash, as determined by the Committee in its sole discretion.</w:t>
      </w:r>
    </w:p>
    <w:p>
      <w:pPr>
        <w:spacing w:after="0" w:line="157" w:lineRule="exact"/>
        <w:rPr>
          <w:rFonts w:ascii="Arial" w:cs="Arial" w:eastAsia="Arial" w:hAnsi="Arial"/>
          <w:sz w:val="17"/>
          <w:szCs w:val="17"/>
          <w:color w:val="auto"/>
        </w:rPr>
      </w:pPr>
    </w:p>
    <w:p>
      <w:pPr>
        <w:jc w:val="both"/>
        <w:ind w:left="6" w:right="220" w:hanging="6"/>
        <w:spacing w:after="0" w:line="290" w:lineRule="auto"/>
        <w:tabs>
          <w:tab w:leader="none" w:pos="492" w:val="left"/>
        </w:tabs>
        <w:numPr>
          <w:ilvl w:val="0"/>
          <w:numId w:val="6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Dividend Equivalents. </w:t>
      </w:r>
      <w:r>
        <w:rPr>
          <w:rFonts w:ascii="Arial" w:cs="Arial" w:eastAsia="Arial" w:hAnsi="Arial"/>
          <w:sz w:val="16"/>
          <w:szCs w:val="16"/>
          <w:color w:val="auto"/>
        </w:rPr>
        <w:t>In the event of any issuance of a cash dividend on the shares of Class A Common Stock (a “</w:t>
      </w:r>
      <w:r>
        <w:rPr>
          <w:rFonts w:ascii="Arial" w:cs="Arial" w:eastAsia="Arial" w:hAnsi="Arial"/>
          <w:sz w:val="16"/>
          <w:szCs w:val="16"/>
          <w:u w:val="single" w:color="auto"/>
          <w:color w:val="auto"/>
        </w:rPr>
        <w:t>Dividend</w:t>
      </w:r>
      <w:r>
        <w:rPr>
          <w:rFonts w:ascii="Arial" w:cs="Arial" w:eastAsia="Arial" w:hAnsi="Arial"/>
          <w:sz w:val="16"/>
          <w:szCs w:val="16"/>
          <w:color w:val="auto"/>
        </w:rPr>
        <w:t>”), the Participant shall</w:t>
      </w:r>
      <w:r>
        <w:rPr>
          <w:rFonts w:ascii="Arial" w:cs="Arial" w:eastAsia="Arial" w:hAnsi="Arial"/>
          <w:sz w:val="16"/>
          <w:szCs w:val="16"/>
          <w:b w:val="1"/>
          <w:bCs w:val="1"/>
          <w:color w:val="auto"/>
        </w:rPr>
        <w:t xml:space="preserve"> </w:t>
      </w:r>
      <w:r>
        <w:rPr>
          <w:rFonts w:ascii="Arial" w:cs="Arial" w:eastAsia="Arial" w:hAnsi="Arial"/>
          <w:sz w:val="16"/>
          <w:szCs w:val="16"/>
          <w:color w:val="auto"/>
        </w:rPr>
        <w:t>be entitled to receive, with respect to each RSU granted pursuant to this Agreement and outstanding as of the record date for such Dividend, payment of an amount equal to the Dividend at the same time as the Dividend is paid to holders of shares of Class A Common Stock generally.</w:t>
      </w:r>
    </w:p>
    <w:p>
      <w:pPr>
        <w:spacing w:after="0" w:line="149" w:lineRule="exact"/>
        <w:rPr>
          <w:rFonts w:ascii="Arial" w:cs="Arial" w:eastAsia="Arial" w:hAnsi="Arial"/>
          <w:sz w:val="16"/>
          <w:szCs w:val="16"/>
          <w:b w:val="1"/>
          <w:bCs w:val="1"/>
          <w:color w:val="auto"/>
        </w:rPr>
      </w:pPr>
    </w:p>
    <w:p>
      <w:pPr>
        <w:ind w:left="6" w:right="140" w:hanging="6"/>
        <w:spacing w:after="0" w:line="270" w:lineRule="auto"/>
        <w:tabs>
          <w:tab w:leader="none" w:pos="492" w:val="left"/>
        </w:tabs>
        <w:numPr>
          <w:ilvl w:val="0"/>
          <w:numId w:val="6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Termination of Employment or Service. </w:t>
      </w:r>
      <w:r>
        <w:rPr>
          <w:rFonts w:ascii="Arial" w:cs="Arial" w:eastAsia="Arial" w:hAnsi="Arial"/>
          <w:sz w:val="17"/>
          <w:szCs w:val="17"/>
          <w:color w:val="auto"/>
        </w:rPr>
        <w:t>If the Participant’s employment or service with the Company and its Affiliates terminates for any reason,</w:t>
      </w:r>
      <w:r>
        <w:rPr>
          <w:rFonts w:ascii="Arial" w:cs="Arial" w:eastAsia="Arial" w:hAnsi="Arial"/>
          <w:sz w:val="17"/>
          <w:szCs w:val="17"/>
          <w:b w:val="1"/>
          <w:bCs w:val="1"/>
          <w:color w:val="auto"/>
        </w:rPr>
        <w:t xml:space="preserve"> </w:t>
      </w:r>
      <w:r>
        <w:rPr>
          <w:rFonts w:ascii="Arial" w:cs="Arial" w:eastAsia="Arial" w:hAnsi="Arial"/>
          <w:sz w:val="17"/>
          <w:szCs w:val="17"/>
          <w:color w:val="auto"/>
        </w:rPr>
        <w:t>all unvested RSUs shall be cancelled immediately and the Participant shall not be entitled to receive any payments with respect thereto.</w:t>
      </w:r>
    </w:p>
    <w:p>
      <w:pPr>
        <w:spacing w:after="0" w:line="140" w:lineRule="exact"/>
        <w:rPr>
          <w:rFonts w:ascii="Arial" w:cs="Arial" w:eastAsia="Arial" w:hAnsi="Arial"/>
          <w:sz w:val="17"/>
          <w:szCs w:val="17"/>
          <w:b w:val="1"/>
          <w:bCs w:val="1"/>
          <w:color w:val="auto"/>
        </w:rPr>
      </w:pPr>
    </w:p>
    <w:p>
      <w:pPr>
        <w:ind w:left="6" w:hanging="6"/>
        <w:spacing w:after="0" w:line="232" w:lineRule="auto"/>
        <w:tabs>
          <w:tab w:leader="none" w:pos="492" w:val="left"/>
        </w:tabs>
        <w:numPr>
          <w:ilvl w:val="0"/>
          <w:numId w:val="6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Rights as a Stockholder. </w:t>
      </w:r>
      <w:r>
        <w:rPr>
          <w:rFonts w:ascii="Arial" w:cs="Arial" w:eastAsia="Arial" w:hAnsi="Arial"/>
          <w:sz w:val="16"/>
          <w:szCs w:val="16"/>
          <w:color w:val="auto"/>
        </w:rPr>
        <w:t>The Participant shall not be deemed for any purpose to be the owner of any shares of Class A Common Stock constituting the</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or underlying the RSUs unless, until and to the extent that (i) the Company shall have issued and delivered to the Participant the shares of Class A Common Stock constituting the Shares or underlying the RSUs and (ii) the Participant’s name shall have been entered as a stockholder of record with respect to such shares of Class A Common Stock on the books of the Company. The Company shall cause the actions described in clauses (i) and (ii) of the preceding sentence to occur promptly following settlement as contemplated by this Agreement, subject to compliance with applicable laws.</w:t>
      </w:r>
    </w:p>
    <w:p>
      <w:pPr>
        <w:spacing w:after="0" w:line="164" w:lineRule="exact"/>
        <w:rPr>
          <w:rFonts w:ascii="Arial" w:cs="Arial" w:eastAsia="Arial" w:hAnsi="Arial"/>
          <w:sz w:val="16"/>
          <w:szCs w:val="16"/>
          <w:b w:val="1"/>
          <w:bCs w:val="1"/>
          <w:color w:val="auto"/>
        </w:rPr>
      </w:pPr>
    </w:p>
    <w:p>
      <w:pPr>
        <w:ind w:left="566" w:hanging="566"/>
        <w:spacing w:after="0"/>
        <w:tabs>
          <w:tab w:leader="none" w:pos="566" w:val="left"/>
        </w:tabs>
        <w:numPr>
          <w:ilvl w:val="0"/>
          <w:numId w:val="62"/>
        </w:numPr>
        <w:rPr>
          <w:rFonts w:ascii="Arial" w:cs="Arial" w:eastAsia="Arial" w:hAnsi="Arial"/>
          <w:sz w:val="17"/>
          <w:szCs w:val="17"/>
          <w:b w:val="1"/>
          <w:bCs w:val="1"/>
          <w:color w:val="auto"/>
        </w:rPr>
      </w:pPr>
      <w:r>
        <w:rPr>
          <w:rFonts w:ascii="Arial" w:cs="Arial" w:eastAsia="Arial" w:hAnsi="Arial"/>
          <w:sz w:val="17"/>
          <w:szCs w:val="17"/>
          <w:b w:val="1"/>
          <w:bCs w:val="1"/>
          <w:color w:val="auto"/>
        </w:rPr>
        <w:t>Compliance with Legal Requirements.</w:t>
      </w:r>
    </w:p>
    <w:p>
      <w:pPr>
        <w:spacing w:after="0" w:line="189" w:lineRule="exact"/>
        <w:rPr>
          <w:rFonts w:ascii="Arial" w:cs="Arial" w:eastAsia="Arial" w:hAnsi="Arial"/>
          <w:sz w:val="17"/>
          <w:szCs w:val="17"/>
          <w:b w:val="1"/>
          <w:bCs w:val="1"/>
          <w:color w:val="auto"/>
        </w:rPr>
      </w:pPr>
    </w:p>
    <w:p>
      <w:pPr>
        <w:ind w:left="6" w:right="40" w:firstLine="563"/>
        <w:spacing w:after="0" w:line="216" w:lineRule="auto"/>
        <w:tabs>
          <w:tab w:leader="none" w:pos="1063" w:val="left"/>
        </w:tabs>
        <w:numPr>
          <w:ilvl w:val="1"/>
          <w:numId w:val="62"/>
        </w:numPr>
        <w:rPr>
          <w:rFonts w:ascii="Arial" w:cs="Arial" w:eastAsia="Arial" w:hAnsi="Arial"/>
          <w:sz w:val="17"/>
          <w:szCs w:val="17"/>
          <w:color w:val="auto"/>
        </w:rPr>
      </w:pPr>
      <w:r>
        <w:rPr>
          <w:rFonts w:ascii="Arial" w:cs="Arial" w:eastAsia="Arial" w:hAnsi="Arial"/>
          <w:sz w:val="17"/>
          <w:szCs w:val="17"/>
          <w:u w:val="single" w:color="auto"/>
          <w:color w:val="auto"/>
        </w:rPr>
        <w:t>Generally</w:t>
      </w:r>
      <w:r>
        <w:rPr>
          <w:rFonts w:ascii="Arial" w:cs="Arial" w:eastAsia="Arial" w:hAnsi="Arial"/>
          <w:sz w:val="17"/>
          <w:szCs w:val="17"/>
          <w:color w:val="auto"/>
        </w:rPr>
        <w:t>. The granting of the Shares and the granting and settlement of the RSUs, and any other obligations of the Company under this Agreement, shall be subject to all applicable U.S. federal, state and local laws, rules and regulations, all applicable non-U.S. laws, rules and regulations and to such approvals by any regulatory or governmental agency as may be required. The Participant agrees to take all steps the Committee or the Company determines are reasonably necessary to comply with all applicable provisions of U.S. federal and state securities law and non-U.S. securities law in exercising his rights under this Agreement.</w:t>
      </w:r>
    </w:p>
    <w:p>
      <w:pPr>
        <w:spacing w:after="0" w:line="174" w:lineRule="exact"/>
        <w:rPr>
          <w:rFonts w:ascii="Arial" w:cs="Arial" w:eastAsia="Arial" w:hAnsi="Arial"/>
          <w:sz w:val="17"/>
          <w:szCs w:val="17"/>
          <w:color w:val="auto"/>
        </w:rPr>
      </w:pPr>
    </w:p>
    <w:p>
      <w:pPr>
        <w:ind w:left="6" w:right="20" w:firstLine="563"/>
        <w:spacing w:after="0" w:line="224" w:lineRule="auto"/>
        <w:tabs>
          <w:tab w:leader="none" w:pos="1061" w:val="left"/>
        </w:tabs>
        <w:numPr>
          <w:ilvl w:val="1"/>
          <w:numId w:val="62"/>
        </w:numPr>
        <w:rPr>
          <w:rFonts w:ascii="Arial" w:cs="Arial" w:eastAsia="Arial" w:hAnsi="Arial"/>
          <w:sz w:val="16"/>
          <w:szCs w:val="16"/>
          <w:color w:val="auto"/>
        </w:rPr>
      </w:pPr>
      <w:r>
        <w:rPr>
          <w:rFonts w:ascii="Arial" w:cs="Arial" w:eastAsia="Arial" w:hAnsi="Arial"/>
          <w:sz w:val="16"/>
          <w:szCs w:val="16"/>
          <w:u w:val="single" w:color="auto"/>
          <w:color w:val="auto"/>
        </w:rPr>
        <w:t>Taxes and Withholding</w:t>
      </w:r>
      <w:r>
        <w:rPr>
          <w:rFonts w:ascii="Arial" w:cs="Arial" w:eastAsia="Arial" w:hAnsi="Arial"/>
          <w:sz w:val="16"/>
          <w:szCs w:val="16"/>
          <w:color w:val="auto"/>
        </w:rPr>
        <w:t>. The grant of the Shares and the vesting and settlement of the RSUs shall be subject to the Participant satisfying any applicable U.S. federal, state and local tax withholding obligations and non-U.S. tax withholding obligations. The Participant shall be required to pay to the Company, and the Company shall have the right and is hereby authorized to withhold any cash, shares of Class A Common Stock, other securities or other property or from any compensation or other amounts owing to the Participant, the amount (in cash, Class A Common Stock, other securities or other property) of any required withholding taxes in respect of the Shares or in respect of the RSUs, settlement of the RSUs or any payment or transfer of the RSUs, and to take any such other action as the Committee or the Company deem necessary to satisfy all obligations for the payment of such withholding taxes. In its sole discretion, the Company may permit the Participant to satisfy, in whole or in part, the tax obligations by (A) withholding shares of Class A Common Stock from the Shares having a Fair Market Value equal to such withholding liability and (B) withholding shares of Class A Common Stock that would otherwise be deliverable to the Participant upon settlement of the RSUs with a Fair Market Value equal to such withholding liability.</w:t>
      </w:r>
    </w:p>
    <w:p>
      <w:pPr>
        <w:sectPr>
          <w:pgSz w:w="11900" w:h="16838" w:orient="portrait"/>
          <w:cols w:equalWidth="0" w:num="1">
            <w:col w:w="11026"/>
          </w:cols>
          <w:pgMar w:left="394" w:top="1238" w:right="479" w:bottom="1440" w:gutter="0" w:footer="0" w:header="0"/>
        </w:sectPr>
      </w:pPr>
    </w:p>
    <w:bookmarkStart w:id="163" w:name="page164"/>
    <w:bookmarkEnd w:id="163"/>
    <w:p>
      <w:pPr>
        <w:ind w:left="6" w:right="60" w:hanging="6"/>
        <w:spacing w:after="0" w:line="222" w:lineRule="auto"/>
        <w:tabs>
          <w:tab w:leader="none" w:pos="492" w:val="left"/>
        </w:tabs>
        <w:numPr>
          <w:ilvl w:val="0"/>
          <w:numId w:val="6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Clawback. </w:t>
      </w:r>
      <w:r>
        <w:rPr>
          <w:rFonts w:ascii="Arial" w:cs="Arial" w:eastAsia="Arial" w:hAnsi="Arial"/>
          <w:sz w:val="16"/>
          <w:szCs w:val="16"/>
          <w:color w:val="auto"/>
        </w:rPr>
        <w:t>Notwithstanding anything to the contrary contained herein, the Committee may cancel the Shares and RSU award if the Participant, without</w:t>
      </w:r>
      <w:r>
        <w:rPr>
          <w:rFonts w:ascii="Arial" w:cs="Arial" w:eastAsia="Arial" w:hAnsi="Arial"/>
          <w:sz w:val="16"/>
          <w:szCs w:val="16"/>
          <w:b w:val="1"/>
          <w:bCs w:val="1"/>
          <w:color w:val="auto"/>
        </w:rPr>
        <w:t xml:space="preserve"> </w:t>
      </w:r>
      <w:r>
        <w:rPr>
          <w:rFonts w:ascii="Arial" w:cs="Arial" w:eastAsia="Arial" w:hAnsi="Arial"/>
          <w:sz w:val="16"/>
          <w:szCs w:val="16"/>
          <w:color w:val="auto"/>
        </w:rPr>
        <w:t>the consent of the Company, has engaged in or engages in activity that is in conflict with or adverse to the interest of the Company or any Affiliate while employed by or providing services to the Company or any Affiliate, including fraud or conduct contributing to any financial restatements or irregularities, or violates a non-competition, non-solicitation, non-disparagement, non-disclosure or confidentiality covenant or agreement with the Company or any Affiliate, as determined by the Committee. In such event, the Participant will forfeit any compensation, gain or other value realized previously or thereafter on the vesting or settlement of the RSUs, the sale or other transfer of the Shares and the RSUs, or the sale of shares of Class A Common Stock acquired in respect of the RSUs, and must promptly repay such amounts to the Company. If the Participant receives any amount in excess of what the Participant should have received with respect to the Shares or under the terms of the RSUs for any reason (including without limitation by reason of a financial restatement, mistake in calculations or other administrative error), all as determined by the Committee, then the Participant shall be required to promptly repay any such excess amount to the Company. To the extent required by applicable law and/or the rules and regulations of NASDAQ or any other securities exchange or inter-dealer quotation system on which the Class A Common Stock is listed or quoted, or if so required pursuant to a written policy adopted by the Company, the Shares and the RSUs shall be subject (including on a retroactive basis) to clawback, forfeiture or similar requirements (and such requirements shall be deemed incorporated by reference into this Agreement).</w:t>
      </w:r>
    </w:p>
    <w:p>
      <w:pPr>
        <w:spacing w:after="0" w:line="155" w:lineRule="exact"/>
        <w:rPr>
          <w:rFonts w:ascii="Arial" w:cs="Arial" w:eastAsia="Arial" w:hAnsi="Arial"/>
          <w:sz w:val="16"/>
          <w:szCs w:val="16"/>
          <w:b w:val="1"/>
          <w:bCs w:val="1"/>
          <w:color w:val="auto"/>
        </w:rPr>
      </w:pPr>
    </w:p>
    <w:p>
      <w:pPr>
        <w:ind w:left="566" w:hanging="566"/>
        <w:spacing w:after="0"/>
        <w:tabs>
          <w:tab w:leader="none" w:pos="566" w:val="left"/>
        </w:tabs>
        <w:numPr>
          <w:ilvl w:val="0"/>
          <w:numId w:val="63"/>
        </w:numPr>
        <w:rPr>
          <w:rFonts w:ascii="Arial" w:cs="Arial" w:eastAsia="Arial" w:hAnsi="Arial"/>
          <w:sz w:val="17"/>
          <w:szCs w:val="17"/>
          <w:b w:val="1"/>
          <w:bCs w:val="1"/>
          <w:color w:val="auto"/>
        </w:rPr>
      </w:pPr>
      <w:r>
        <w:rPr>
          <w:rFonts w:ascii="Arial" w:cs="Arial" w:eastAsia="Arial" w:hAnsi="Arial"/>
          <w:sz w:val="17"/>
          <w:szCs w:val="17"/>
          <w:b w:val="1"/>
          <w:bCs w:val="1"/>
          <w:color w:val="auto"/>
        </w:rPr>
        <w:t>Contractual Obligations.</w:t>
      </w:r>
    </w:p>
    <w:p>
      <w:pPr>
        <w:spacing w:after="0" w:line="213" w:lineRule="exact"/>
        <w:rPr>
          <w:rFonts w:ascii="Arial" w:cs="Arial" w:eastAsia="Arial" w:hAnsi="Arial"/>
          <w:sz w:val="17"/>
          <w:szCs w:val="17"/>
          <w:b w:val="1"/>
          <w:bCs w:val="1"/>
          <w:color w:val="auto"/>
        </w:rPr>
      </w:pPr>
    </w:p>
    <w:p>
      <w:pPr>
        <w:ind w:left="6" w:firstLine="563"/>
        <w:spacing w:after="0" w:line="262" w:lineRule="auto"/>
        <w:tabs>
          <w:tab w:leader="none" w:pos="1063" w:val="left"/>
        </w:tabs>
        <w:numPr>
          <w:ilvl w:val="1"/>
          <w:numId w:val="63"/>
        </w:numPr>
        <w:rPr>
          <w:rFonts w:ascii="Arial" w:cs="Arial" w:eastAsia="Arial" w:hAnsi="Arial"/>
          <w:sz w:val="17"/>
          <w:szCs w:val="17"/>
          <w:color w:val="auto"/>
        </w:rPr>
      </w:pPr>
      <w:r>
        <w:rPr>
          <w:rFonts w:ascii="Arial" w:cs="Arial" w:eastAsia="Arial" w:hAnsi="Arial"/>
          <w:sz w:val="17"/>
          <w:szCs w:val="17"/>
          <w:color w:val="auto"/>
        </w:rPr>
        <w:t xml:space="preserve">Nothing in this Agreement shall supersede, modify, replace or cancel any existing contractual obligations, including but not limited to restrictive covenants, applicable to you in </w:t>
      </w:r>
      <w:r>
        <w:rPr>
          <w:rFonts w:ascii="Arial" w:cs="Arial" w:eastAsia="Arial" w:hAnsi="Arial"/>
          <w:sz w:val="17"/>
          <w:szCs w:val="17"/>
          <w:i w:val="1"/>
          <w:iCs w:val="1"/>
          <w:u w:val="single" w:color="auto"/>
          <w:color w:val="auto"/>
        </w:rPr>
        <w:t>any</w:t>
      </w:r>
      <w:r>
        <w:rPr>
          <w:rFonts w:ascii="Arial" w:cs="Arial" w:eastAsia="Arial" w:hAnsi="Arial"/>
          <w:sz w:val="17"/>
          <w:szCs w:val="17"/>
          <w:color w:val="auto"/>
        </w:rPr>
        <w:t xml:space="preserve"> employment agreement, offer letter, prior equity award agreement or any other agreement or contract with the Company or its Affiliates.</w:t>
      </w:r>
    </w:p>
    <w:p>
      <w:pPr>
        <w:spacing w:after="0" w:line="176" w:lineRule="exact"/>
        <w:rPr>
          <w:rFonts w:ascii="Arial" w:cs="Arial" w:eastAsia="Arial" w:hAnsi="Arial"/>
          <w:sz w:val="17"/>
          <w:szCs w:val="17"/>
          <w:color w:val="auto"/>
        </w:rPr>
      </w:pPr>
    </w:p>
    <w:p>
      <w:pPr>
        <w:ind w:left="6" w:right="100" w:firstLine="563"/>
        <w:spacing w:after="0" w:line="216" w:lineRule="auto"/>
        <w:tabs>
          <w:tab w:leader="none" w:pos="1061" w:val="left"/>
        </w:tabs>
        <w:numPr>
          <w:ilvl w:val="1"/>
          <w:numId w:val="63"/>
        </w:numPr>
        <w:rPr>
          <w:rFonts w:ascii="Arial" w:cs="Arial" w:eastAsia="Arial" w:hAnsi="Arial"/>
          <w:sz w:val="17"/>
          <w:szCs w:val="17"/>
          <w:color w:val="auto"/>
        </w:rPr>
      </w:pPr>
      <w:r>
        <w:rPr>
          <w:rFonts w:ascii="Arial" w:cs="Arial" w:eastAsia="Arial" w:hAnsi="Arial"/>
          <w:sz w:val="17"/>
          <w:szCs w:val="17"/>
          <w:color w:val="auto"/>
        </w:rPr>
        <w:t>In the event that the Participant violates any of the contractual obligations referred to in this Section 8, in addition to any other remedy which may be available at law or in equity, the RSUs shall be automatically forfeited effective as of the date on which such violation first occurs. The foregoing rights and remedies are in addition to any other rights and remedies that may be available to the Company and shall not prevent (and the Participant shall not assert that they shall prevent) the Company from bringing one or more actions in any applicable jurisdiction to recover damages as a result of the Participant’s breach of such restrictive covenants.</w:t>
      </w:r>
    </w:p>
    <w:p>
      <w:pPr>
        <w:spacing w:after="0" w:line="156" w:lineRule="exact"/>
        <w:rPr>
          <w:rFonts w:ascii="Arial" w:cs="Arial" w:eastAsia="Arial" w:hAnsi="Arial"/>
          <w:sz w:val="17"/>
          <w:szCs w:val="17"/>
          <w:color w:val="auto"/>
        </w:rPr>
      </w:pPr>
    </w:p>
    <w:p>
      <w:pPr>
        <w:ind w:left="566" w:hanging="566"/>
        <w:spacing w:after="0"/>
        <w:tabs>
          <w:tab w:leader="none" w:pos="566" w:val="left"/>
        </w:tabs>
        <w:numPr>
          <w:ilvl w:val="0"/>
          <w:numId w:val="63"/>
        </w:numPr>
        <w:rPr>
          <w:rFonts w:ascii="Arial" w:cs="Arial" w:eastAsia="Arial" w:hAnsi="Arial"/>
          <w:sz w:val="17"/>
          <w:szCs w:val="17"/>
          <w:b w:val="1"/>
          <w:bCs w:val="1"/>
          <w:color w:val="auto"/>
        </w:rPr>
      </w:pPr>
      <w:r>
        <w:rPr>
          <w:rFonts w:ascii="Arial" w:cs="Arial" w:eastAsia="Arial" w:hAnsi="Arial"/>
          <w:sz w:val="17"/>
          <w:szCs w:val="17"/>
          <w:b w:val="1"/>
          <w:bCs w:val="1"/>
          <w:color w:val="auto"/>
        </w:rPr>
        <w:t>Miscellaneous.</w:t>
      </w:r>
    </w:p>
    <w:p>
      <w:pPr>
        <w:spacing w:after="0" w:line="189" w:lineRule="exact"/>
        <w:rPr>
          <w:rFonts w:ascii="Arial" w:cs="Arial" w:eastAsia="Arial" w:hAnsi="Arial"/>
          <w:sz w:val="17"/>
          <w:szCs w:val="17"/>
          <w:b w:val="1"/>
          <w:bCs w:val="1"/>
          <w:color w:val="auto"/>
        </w:rPr>
      </w:pPr>
    </w:p>
    <w:p>
      <w:pPr>
        <w:ind w:left="6" w:right="80" w:firstLine="563"/>
        <w:spacing w:after="0" w:line="220" w:lineRule="auto"/>
        <w:tabs>
          <w:tab w:leader="none" w:pos="1063" w:val="left"/>
        </w:tabs>
        <w:numPr>
          <w:ilvl w:val="1"/>
          <w:numId w:val="63"/>
        </w:numPr>
        <w:rPr>
          <w:rFonts w:ascii="Arial" w:cs="Arial" w:eastAsia="Arial" w:hAnsi="Arial"/>
          <w:sz w:val="17"/>
          <w:szCs w:val="17"/>
          <w:color w:val="auto"/>
        </w:rPr>
      </w:pPr>
      <w:r>
        <w:rPr>
          <w:rFonts w:ascii="Arial" w:cs="Arial" w:eastAsia="Arial" w:hAnsi="Arial"/>
          <w:sz w:val="17"/>
          <w:szCs w:val="17"/>
          <w:u w:val="single" w:color="auto"/>
          <w:color w:val="auto"/>
        </w:rPr>
        <w:t>Transferability</w:t>
      </w:r>
      <w:r>
        <w:rPr>
          <w:rFonts w:ascii="Arial" w:cs="Arial" w:eastAsia="Arial" w:hAnsi="Arial"/>
          <w:sz w:val="17"/>
          <w:szCs w:val="17"/>
          <w:color w:val="auto"/>
        </w:rPr>
        <w:t>. The RSUs may not be assigned, alienated, pledged, attached, sold or otherwise transferred or encumbered (a “</w:t>
      </w:r>
      <w:r>
        <w:rPr>
          <w:rFonts w:ascii="Arial" w:cs="Arial" w:eastAsia="Arial" w:hAnsi="Arial"/>
          <w:sz w:val="17"/>
          <w:szCs w:val="17"/>
          <w:u w:val="single" w:color="auto"/>
          <w:color w:val="auto"/>
        </w:rPr>
        <w:t>Transfer</w:t>
      </w:r>
      <w:r>
        <w:rPr>
          <w:rFonts w:ascii="Arial" w:cs="Arial" w:eastAsia="Arial" w:hAnsi="Arial"/>
          <w:sz w:val="17"/>
          <w:szCs w:val="17"/>
          <w:color w:val="auto"/>
        </w:rPr>
        <w:t>”) by the Participant other than by will or by the laws of descent and distribution, pursuant to a qualified domestic relations order or as otherwise permitted under Section 15(b) of the Plan. Any attempted Transfer of the RSUs contrary to the provisions hereof, and the levy of any execution, attachment or similar process upon the RSUs, shall be null and void and without effect.</w:t>
      </w:r>
    </w:p>
    <w:p>
      <w:pPr>
        <w:spacing w:after="0" w:line="254" w:lineRule="exact"/>
        <w:rPr>
          <w:rFonts w:ascii="Arial" w:cs="Arial" w:eastAsia="Arial" w:hAnsi="Arial"/>
          <w:sz w:val="17"/>
          <w:szCs w:val="17"/>
          <w:color w:val="auto"/>
        </w:rPr>
      </w:pPr>
    </w:p>
    <w:p>
      <w:pPr>
        <w:ind w:left="6" w:firstLine="563"/>
        <w:spacing w:after="0" w:line="242" w:lineRule="auto"/>
        <w:tabs>
          <w:tab w:leader="none" w:pos="1061" w:val="left"/>
        </w:tabs>
        <w:numPr>
          <w:ilvl w:val="1"/>
          <w:numId w:val="63"/>
        </w:numPr>
        <w:rPr>
          <w:rFonts w:ascii="Arial" w:cs="Arial" w:eastAsia="Arial" w:hAnsi="Arial"/>
          <w:sz w:val="17"/>
          <w:szCs w:val="17"/>
          <w:color w:val="auto"/>
        </w:rPr>
      </w:pPr>
      <w:r>
        <w:rPr>
          <w:rFonts w:ascii="Arial" w:cs="Arial" w:eastAsia="Arial" w:hAnsi="Arial"/>
          <w:sz w:val="17"/>
          <w:szCs w:val="17"/>
          <w:u w:val="single" w:color="auto"/>
          <w:color w:val="auto"/>
        </w:rPr>
        <w:t>Waiver</w:t>
      </w:r>
      <w:r>
        <w:rPr>
          <w:rFonts w:ascii="Arial" w:cs="Arial" w:eastAsia="Arial" w:hAnsi="Arial"/>
          <w:sz w:val="17"/>
          <w:szCs w:val="17"/>
          <w:color w:val="auto"/>
        </w:rPr>
        <w:t>. Any right of the Company contained in this Agreement may be waived in writing by the Committee. No waiver of any right hereunder by any party shall operate as a waiver of any other right, or as a waiver of the same right with respect to any subsequent occasion for its exercise, or as a waiver of any right to damages. No waiver by any party of any breach of this Agreement shall be held to constitute a waiver of any other breach or a waiver of the continuation of the same breach.</w:t>
      </w:r>
    </w:p>
    <w:p>
      <w:pPr>
        <w:sectPr>
          <w:pgSz w:w="11900" w:h="16838" w:orient="portrait"/>
          <w:cols w:equalWidth="0" w:num="1">
            <w:col w:w="11086"/>
          </w:cols>
          <w:pgMar w:left="394" w:top="1433" w:right="419" w:bottom="1440" w:gutter="0" w:footer="0" w:header="0"/>
        </w:sectPr>
      </w:pPr>
    </w:p>
    <w:bookmarkStart w:id="164" w:name="page165"/>
    <w:bookmarkEnd w:id="164"/>
    <w:p>
      <w:pPr>
        <w:ind w:left="1120" w:hanging="557"/>
        <w:spacing w:after="0"/>
        <w:tabs>
          <w:tab w:leader="none" w:pos="1120" w:val="left"/>
        </w:tabs>
        <w:numPr>
          <w:ilvl w:val="0"/>
          <w:numId w:val="64"/>
        </w:numPr>
        <w:rPr>
          <w:rFonts w:ascii="Arial" w:cs="Arial" w:eastAsia="Arial" w:hAnsi="Arial"/>
          <w:sz w:val="17"/>
          <w:szCs w:val="17"/>
          <w:color w:val="auto"/>
        </w:rPr>
      </w:pPr>
      <w:r>
        <w:rPr>
          <w:rFonts w:ascii="Arial" w:cs="Arial" w:eastAsia="Arial" w:hAnsi="Arial"/>
          <w:sz w:val="17"/>
          <w:szCs w:val="17"/>
          <w:u w:val="single" w:color="auto"/>
          <w:color w:val="auto"/>
        </w:rPr>
        <w:t>Section 409A</w:t>
      </w:r>
      <w:r>
        <w:rPr>
          <w:rFonts w:ascii="Arial" w:cs="Arial" w:eastAsia="Arial" w:hAnsi="Arial"/>
          <w:sz w:val="17"/>
          <w:szCs w:val="17"/>
          <w:color w:val="auto"/>
        </w:rPr>
        <w:t>. The RSUs are intended to be exempt from, or compliant with,</w:t>
      </w:r>
    </w:p>
    <w:p>
      <w:pPr>
        <w:ind w:right="160"/>
        <w:spacing w:after="0" w:line="223" w:lineRule="auto"/>
        <w:rPr>
          <w:sz w:val="20"/>
          <w:szCs w:val="20"/>
          <w:color w:val="auto"/>
        </w:rPr>
      </w:pPr>
      <w:r>
        <w:rPr>
          <w:rFonts w:ascii="Arial" w:cs="Arial" w:eastAsia="Arial" w:hAnsi="Arial"/>
          <w:sz w:val="16"/>
          <w:szCs w:val="16"/>
          <w:color w:val="auto"/>
        </w:rPr>
        <w:t>Section 409A of the Internal Revenue Code (“Code”). Notwithstanding the foregoing or any provision of the Plan or this Agreement, if any provision of the Plan or this Agreement contravenes Section 409A of the Code or could cause the Participant to incur any tax, interest or penalties under Section 409A of the Code, the Committee may, in its sole discretion and without the Participant’s consent, modify such provision to (i) comply with, or avoid being subject to, Section 409A of the Code, or to avoid the incurrence of taxes, interest and penalties under Section 409A of the Code, and/or (ii) maintain, to the maximum extent practicable, the original intent and economic benefit to the Participant of the applicable provision without materially increasing the cost to the Company or contravening the provisions of Section 409A of the Code. This Section 9(c) does not create an obligation on the part of the Company to modify the Plan or this Agreement and does not guarantee that the RSUs will not be subject to interest and penalties under Section 409A.</w:t>
      </w:r>
    </w:p>
    <w:p>
      <w:pPr>
        <w:spacing w:after="0" w:line="186" w:lineRule="exact"/>
        <w:rPr>
          <w:sz w:val="20"/>
          <w:szCs w:val="20"/>
          <w:color w:val="auto"/>
        </w:rPr>
      </w:pPr>
    </w:p>
    <w:p>
      <w:pPr>
        <w:ind w:right="100" w:firstLine="563"/>
        <w:spacing w:after="0" w:line="262" w:lineRule="auto"/>
        <w:tabs>
          <w:tab w:leader="none" w:pos="1055" w:val="left"/>
        </w:tabs>
        <w:numPr>
          <w:ilvl w:val="0"/>
          <w:numId w:val="65"/>
        </w:numPr>
        <w:rPr>
          <w:rFonts w:ascii="Arial" w:cs="Arial" w:eastAsia="Arial" w:hAnsi="Arial"/>
          <w:sz w:val="17"/>
          <w:szCs w:val="17"/>
          <w:color w:val="auto"/>
        </w:rPr>
      </w:pPr>
      <w:r>
        <w:rPr>
          <w:rFonts w:ascii="Arial" w:cs="Arial" w:eastAsia="Arial" w:hAnsi="Arial"/>
          <w:sz w:val="17"/>
          <w:szCs w:val="17"/>
          <w:u w:val="single" w:color="auto"/>
          <w:color w:val="auto"/>
        </w:rPr>
        <w:t>General Assets</w:t>
      </w:r>
      <w:r>
        <w:rPr>
          <w:rFonts w:ascii="Arial" w:cs="Arial" w:eastAsia="Arial" w:hAnsi="Arial"/>
          <w:sz w:val="17"/>
          <w:szCs w:val="17"/>
          <w:color w:val="auto"/>
        </w:rPr>
        <w:t>. All amounts credited in respect of the RSUs to the book-entry account under this Agreement shall continue for all purposes to be part of the general assets of the Company. The Participant’s interest in such account shall make the Participant only a general, unsecured creditor of the Company.</w:t>
      </w:r>
    </w:p>
    <w:p>
      <w:pPr>
        <w:spacing w:after="0" w:line="164" w:lineRule="exact"/>
        <w:rPr>
          <w:rFonts w:ascii="Arial" w:cs="Arial" w:eastAsia="Arial" w:hAnsi="Arial"/>
          <w:sz w:val="17"/>
          <w:szCs w:val="17"/>
          <w:color w:val="auto"/>
        </w:rPr>
      </w:pPr>
    </w:p>
    <w:p>
      <w:pPr>
        <w:ind w:right="200" w:firstLine="563"/>
        <w:spacing w:after="0" w:line="234" w:lineRule="auto"/>
        <w:tabs>
          <w:tab w:leader="none" w:pos="1057"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notices provided for in this Agreement or the Plan shall be in writing and shall be deemed sufficiently given if either hand delivered or if sent by fax, pdf/email or overnight courier, or by postage paid first class mail. Notices sent by mail shall be deemed received three business days after mailing but in no event later than the date of actual receipt. Notices shall be directed, if to the Participant, at the Participant’s address indicated by the Company’s records, or if to the Company, to the attention of the General Counsel at the Company’s principal executive office.</w:t>
      </w:r>
    </w:p>
    <w:p>
      <w:pPr>
        <w:spacing w:after="0" w:line="182" w:lineRule="exact"/>
        <w:rPr>
          <w:rFonts w:ascii="Arial" w:cs="Arial" w:eastAsia="Arial" w:hAnsi="Arial"/>
          <w:sz w:val="16"/>
          <w:szCs w:val="16"/>
          <w:color w:val="auto"/>
        </w:rPr>
      </w:pPr>
    </w:p>
    <w:p>
      <w:pPr>
        <w:ind w:firstLine="563"/>
        <w:spacing w:after="0" w:line="277" w:lineRule="auto"/>
        <w:tabs>
          <w:tab w:leader="none" w:pos="1049" w:val="left"/>
        </w:tabs>
        <w:numPr>
          <w:ilvl w:val="0"/>
          <w:numId w:val="65"/>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64" w:lineRule="exact"/>
        <w:rPr>
          <w:rFonts w:ascii="Arial" w:cs="Arial" w:eastAsia="Arial" w:hAnsi="Arial"/>
          <w:sz w:val="17"/>
          <w:szCs w:val="17"/>
          <w:color w:val="auto"/>
        </w:rPr>
      </w:pPr>
    </w:p>
    <w:p>
      <w:pPr>
        <w:ind w:right="20" w:firstLine="563"/>
        <w:spacing w:after="0" w:line="270" w:lineRule="auto"/>
        <w:tabs>
          <w:tab w:leader="none" w:pos="1055"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No Rights to Employment or Service</w:t>
      </w:r>
      <w:r>
        <w:rPr>
          <w:rFonts w:ascii="Arial" w:cs="Arial" w:eastAsia="Arial" w:hAnsi="Arial"/>
          <w:sz w:val="16"/>
          <w:szCs w:val="16"/>
          <w:color w:val="auto"/>
        </w:rPr>
        <w:t>. Nothing contained in this Agreement shall be construed as giving the Participant any right to be retained, in any position, as an employee, consultant or director of the Company or its Affiliates or shall interfere with or restrict in any way the rights of the Company or its Affiliates, which are hereby expressly reserved, to remove, terminate or discharge the Participant at any time for any reason whatsoever.</w:t>
      </w:r>
    </w:p>
    <w:p>
      <w:pPr>
        <w:spacing w:after="0" w:line="160" w:lineRule="exact"/>
        <w:rPr>
          <w:rFonts w:ascii="Arial" w:cs="Arial" w:eastAsia="Arial" w:hAnsi="Arial"/>
          <w:sz w:val="16"/>
          <w:szCs w:val="16"/>
          <w:color w:val="auto"/>
        </w:rPr>
      </w:pPr>
    </w:p>
    <w:p>
      <w:pPr>
        <w:ind w:right="260" w:firstLine="563"/>
        <w:spacing w:after="0" w:line="262" w:lineRule="auto"/>
        <w:tabs>
          <w:tab w:leader="none" w:pos="1055" w:val="left"/>
        </w:tabs>
        <w:numPr>
          <w:ilvl w:val="0"/>
          <w:numId w:val="65"/>
        </w:numPr>
        <w:rPr>
          <w:rFonts w:ascii="Arial" w:cs="Arial" w:eastAsia="Arial" w:hAnsi="Arial"/>
          <w:sz w:val="17"/>
          <w:szCs w:val="17"/>
          <w:color w:val="auto"/>
        </w:rPr>
      </w:pPr>
      <w:r>
        <w:rPr>
          <w:rFonts w:ascii="Arial" w:cs="Arial" w:eastAsia="Arial" w:hAnsi="Arial"/>
          <w:sz w:val="17"/>
          <w:szCs w:val="17"/>
          <w:u w:val="single" w:color="auto"/>
          <w:color w:val="auto"/>
        </w:rPr>
        <w:t>Fractional Shares</w:t>
      </w:r>
      <w:r>
        <w:rPr>
          <w:rFonts w:ascii="Arial" w:cs="Arial" w:eastAsia="Arial" w:hAnsi="Arial"/>
          <w:sz w:val="17"/>
          <w:szCs w:val="17"/>
          <w:color w:val="auto"/>
        </w:rPr>
        <w:t>. In lieu of issuing a fraction of a share of Class A Common Stock resulting from adjustment of the Shares or the RSUs pursuant to Section 12 of the Plan or otherwise, the Company shall be entitled to pay to the Participant an amount in cash equal to the Fair Market Value of such fractional share.</w:t>
      </w:r>
    </w:p>
    <w:p>
      <w:pPr>
        <w:spacing w:after="0" w:line="188" w:lineRule="exact"/>
        <w:rPr>
          <w:rFonts w:ascii="Arial" w:cs="Arial" w:eastAsia="Arial" w:hAnsi="Arial"/>
          <w:sz w:val="17"/>
          <w:szCs w:val="17"/>
          <w:color w:val="auto"/>
        </w:rPr>
      </w:pPr>
    </w:p>
    <w:p>
      <w:pPr>
        <w:ind w:right="420" w:firstLine="563"/>
        <w:spacing w:after="0" w:line="277" w:lineRule="auto"/>
        <w:tabs>
          <w:tab w:leader="none" w:pos="1052" w:val="left"/>
        </w:tabs>
        <w:numPr>
          <w:ilvl w:val="0"/>
          <w:numId w:val="65"/>
        </w:numPr>
        <w:rPr>
          <w:rFonts w:ascii="Arial" w:cs="Arial" w:eastAsia="Arial" w:hAnsi="Arial"/>
          <w:sz w:val="17"/>
          <w:szCs w:val="17"/>
          <w:color w:val="auto"/>
        </w:rPr>
      </w:pPr>
      <w:r>
        <w:rPr>
          <w:rFonts w:ascii="Arial" w:cs="Arial" w:eastAsia="Arial" w:hAnsi="Arial"/>
          <w:sz w:val="17"/>
          <w:szCs w:val="17"/>
          <w:u w:val="single" w:color="auto"/>
          <w:color w:val="auto"/>
        </w:rPr>
        <w:t>Beneficiary</w:t>
      </w:r>
      <w:r>
        <w:rPr>
          <w:rFonts w:ascii="Arial" w:cs="Arial" w:eastAsia="Arial" w:hAnsi="Arial"/>
          <w:sz w:val="17"/>
          <w:szCs w:val="17"/>
          <w:color w:val="auto"/>
        </w:rPr>
        <w:t>. The Participant may file with the Committee a written designation of a beneficiary on such form as may be prescribed by the Committee and may, from time to time, amend or revoke such designation.</w:t>
      </w:r>
    </w:p>
    <w:p>
      <w:pPr>
        <w:spacing w:after="0" w:line="164" w:lineRule="exact"/>
        <w:rPr>
          <w:rFonts w:ascii="Arial" w:cs="Arial" w:eastAsia="Arial" w:hAnsi="Arial"/>
          <w:sz w:val="17"/>
          <w:szCs w:val="17"/>
          <w:color w:val="auto"/>
        </w:rPr>
      </w:pPr>
    </w:p>
    <w:p>
      <w:pPr>
        <w:ind w:right="140" w:firstLine="563"/>
        <w:spacing w:after="0" w:line="277" w:lineRule="auto"/>
        <w:tabs>
          <w:tab w:leader="none" w:pos="1052" w:val="left"/>
        </w:tabs>
        <w:numPr>
          <w:ilvl w:val="0"/>
          <w:numId w:val="65"/>
        </w:numPr>
        <w:rPr>
          <w:rFonts w:ascii="Arial" w:cs="Arial" w:eastAsia="Arial" w:hAnsi="Arial"/>
          <w:sz w:val="17"/>
          <w:szCs w:val="17"/>
          <w:color w:val="auto"/>
        </w:rPr>
      </w:pPr>
      <w:r>
        <w:rPr>
          <w:rFonts w:ascii="Arial" w:cs="Arial" w:eastAsia="Arial" w:hAnsi="Arial"/>
          <w:sz w:val="17"/>
          <w:szCs w:val="17"/>
          <w:u w:val="single" w:color="auto"/>
          <w:color w:val="auto"/>
        </w:rPr>
        <w:t>Successors</w:t>
      </w:r>
      <w:r>
        <w:rPr>
          <w:rFonts w:ascii="Arial" w:cs="Arial" w:eastAsia="Arial" w:hAnsi="Arial"/>
          <w:sz w:val="17"/>
          <w:szCs w:val="17"/>
          <w:color w:val="auto"/>
        </w:rPr>
        <w:t>. The terms of this Agreement shall be binding upon and inure to the benefit of the Company and its successors and assigns, and of the Participant and the beneficiaries, executors, administrators, heirs and successors of the Participant.</w:t>
      </w:r>
    </w:p>
    <w:p>
      <w:pPr>
        <w:sectPr>
          <w:pgSz w:w="11900" w:h="16838" w:orient="portrait"/>
          <w:cols w:equalWidth="0" w:num="1">
            <w:col w:w="11020"/>
          </w:cols>
          <w:pgMar w:left="400" w:top="1423" w:right="479" w:bottom="1440" w:gutter="0" w:footer="0" w:header="0"/>
        </w:sectPr>
      </w:pPr>
    </w:p>
    <w:bookmarkStart w:id="165" w:name="page166"/>
    <w:bookmarkEnd w:id="165"/>
    <w:p>
      <w:pPr>
        <w:ind w:left="-560" w:right="300" w:firstLine="563"/>
        <w:spacing w:after="0" w:line="220" w:lineRule="auto"/>
        <w:tabs>
          <w:tab w:leader="none" w:pos="495" w:val="left"/>
        </w:tabs>
        <w:numPr>
          <w:ilvl w:val="0"/>
          <w:numId w:val="66"/>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and the Plan contain the entire agreement and understanding of the parties hereto with respect to the subject matter contained herein and supersede all prior communications, representations and negotiations in respect thereto, except as set forth in Section 8 hereof. No change, modification or waiver of any provision of this Agreement shall be valid unless the same be in writing and signed by the parties hereto, except for any changes permitted without consent under Section 12 or 14 of the Plan.</w:t>
      </w:r>
    </w:p>
    <w:p>
      <w:pPr>
        <w:spacing w:after="0" w:line="183" w:lineRule="exact"/>
        <w:rPr>
          <w:rFonts w:ascii="Arial" w:cs="Arial" w:eastAsia="Arial" w:hAnsi="Arial"/>
          <w:sz w:val="17"/>
          <w:szCs w:val="17"/>
          <w:color w:val="auto"/>
        </w:rPr>
      </w:pPr>
    </w:p>
    <w:p>
      <w:pPr>
        <w:ind w:left="-560" w:right="80" w:firstLine="563"/>
        <w:spacing w:after="0" w:line="262" w:lineRule="auto"/>
        <w:tabs>
          <w:tab w:leader="none" w:pos="492" w:val="left"/>
        </w:tabs>
        <w:numPr>
          <w:ilvl w:val="0"/>
          <w:numId w:val="66"/>
        </w:numPr>
        <w:rPr>
          <w:rFonts w:ascii="Arial" w:cs="Arial" w:eastAsia="Arial" w:hAnsi="Arial"/>
          <w:sz w:val="17"/>
          <w:szCs w:val="17"/>
          <w:color w:val="auto"/>
        </w:rPr>
      </w:pPr>
      <w:r>
        <w:rPr>
          <w:rFonts w:ascii="Arial" w:cs="Arial" w:eastAsia="Arial" w:hAnsi="Arial"/>
          <w:sz w:val="17"/>
          <w:szCs w:val="17"/>
          <w:u w:val="single" w:color="auto"/>
          <w:color w:val="auto"/>
        </w:rPr>
        <w:t>Governing Law and Venue</w:t>
      </w:r>
      <w:r>
        <w:rPr>
          <w:rFonts w:ascii="Arial" w:cs="Arial" w:eastAsia="Arial" w:hAnsi="Arial"/>
          <w:sz w:val="17"/>
          <w:szCs w:val="17"/>
          <w:color w:val="auto"/>
        </w:rPr>
        <w:t>. This Agreement shall be construed and interpreted in accordance with the laws of the State of Delaware, without regard to principles of conflicts of laws thereof, or principles of conflicts of laws of any other jurisdiction which could cause the application of the laws of any jurisdiction other than the State of Delaware.</w:t>
      </w:r>
    </w:p>
    <w:p>
      <w:pPr>
        <w:spacing w:after="0" w:line="176" w:lineRule="exact"/>
        <w:rPr>
          <w:rFonts w:ascii="Arial" w:cs="Arial" w:eastAsia="Arial" w:hAnsi="Arial"/>
          <w:sz w:val="17"/>
          <w:szCs w:val="17"/>
          <w:color w:val="auto"/>
        </w:rPr>
      </w:pPr>
    </w:p>
    <w:p>
      <w:pPr>
        <w:ind w:firstLine="572"/>
        <w:spacing w:after="0" w:line="225" w:lineRule="auto"/>
        <w:tabs>
          <w:tab w:leader="none" w:pos="1052" w:val="left"/>
        </w:tabs>
        <w:numPr>
          <w:ilvl w:val="2"/>
          <w:numId w:val="66"/>
        </w:numPr>
        <w:rPr>
          <w:rFonts w:ascii="Arial" w:cs="Arial" w:eastAsia="Arial" w:hAnsi="Arial"/>
          <w:sz w:val="16"/>
          <w:szCs w:val="16"/>
          <w:color w:val="auto"/>
        </w:rPr>
      </w:pPr>
      <w:r>
        <w:rPr>
          <w:rFonts w:ascii="Arial" w:cs="Arial" w:eastAsia="Arial" w:hAnsi="Arial"/>
          <w:sz w:val="16"/>
          <w:szCs w:val="16"/>
          <w:u w:val="single" w:color="auto"/>
          <w:color w:val="auto"/>
        </w:rPr>
        <w:t>Dispute Resolution; Consent to Jurisdiction</w:t>
      </w:r>
      <w:r>
        <w:rPr>
          <w:rFonts w:ascii="Arial" w:cs="Arial" w:eastAsia="Arial" w:hAnsi="Arial"/>
          <w:sz w:val="16"/>
          <w:szCs w:val="16"/>
          <w:color w:val="auto"/>
        </w:rPr>
        <w:t>. All disputes between or among any Persons arising out of or in any way connected with the Plan, this Agreement, the Shares or the RSUs shall be solely and finally settled by the Committee, acting in good faith, the determination of which shall be final. Any matters not covered by the preceding sentence shall be solely and finally settled in accordance with the Plan, and the Participant and the Company consent to the personal jurisdiction of the United States Federal and state courts sitting in Wilmington, Delaware as the exclusive jurisdiction with respect to matters arising out of or related to the enforcement of the Committee’s determinations and resolution of matters, if any, related to the Plan or this Agreement not required to be resolved by the Committee. Each such Person hereby irrevocably consents to the service of process of any of the aforementioned courts in any such suit, action or proceeding by the mailing of copies thereof by registered or certified mail, postage prepaid, to the last known address of such Person, such service to become effective ten (10) days after such mailing.</w:t>
      </w:r>
    </w:p>
    <w:p>
      <w:pPr>
        <w:spacing w:after="0" w:line="230" w:lineRule="exact"/>
        <w:rPr>
          <w:rFonts w:ascii="Arial" w:cs="Arial" w:eastAsia="Arial" w:hAnsi="Arial"/>
          <w:sz w:val="16"/>
          <w:szCs w:val="16"/>
          <w:color w:val="auto"/>
        </w:rPr>
      </w:pPr>
    </w:p>
    <w:p>
      <w:pPr>
        <w:ind w:right="120" w:firstLine="572"/>
        <w:spacing w:after="0" w:line="224" w:lineRule="auto"/>
        <w:tabs>
          <w:tab w:leader="none" w:pos="1053" w:val="left"/>
        </w:tabs>
        <w:numPr>
          <w:ilvl w:val="2"/>
          <w:numId w:val="66"/>
        </w:numPr>
        <w:rPr>
          <w:rFonts w:ascii="Arial" w:cs="Arial" w:eastAsia="Arial" w:hAnsi="Arial"/>
          <w:sz w:val="16"/>
          <w:szCs w:val="16"/>
          <w:color w:val="auto"/>
        </w:rPr>
      </w:pPr>
      <w:r>
        <w:rPr>
          <w:rFonts w:ascii="Arial" w:cs="Arial" w:eastAsia="Arial" w:hAnsi="Arial"/>
          <w:sz w:val="16"/>
          <w:szCs w:val="16"/>
          <w:u w:val="single" w:color="auto"/>
          <w:color w:val="auto"/>
        </w:rPr>
        <w:t>Waiver of Jury Trial</w:t>
      </w:r>
      <w:r>
        <w:rPr>
          <w:rFonts w:ascii="Arial" w:cs="Arial" w:eastAsia="Arial" w:hAnsi="Arial"/>
          <w:sz w:val="16"/>
          <w:szCs w:val="16"/>
          <w:color w:val="auto"/>
        </w:rPr>
        <w:t>. Each party hereto hereby waives, to the fullest extent permitted by applicable law, any right it may have to a trial by jury in any legal proceeding directly or indirectly arising out of or relating to this Agreement or the transactions contemplated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w:t>
      </w:r>
    </w:p>
    <w:p>
      <w:pPr>
        <w:spacing w:after="0" w:line="1" w:lineRule="exact"/>
        <w:rPr>
          <w:rFonts w:ascii="Arial" w:cs="Arial" w:eastAsia="Arial" w:hAnsi="Arial"/>
          <w:sz w:val="16"/>
          <w:szCs w:val="16"/>
          <w:color w:val="auto"/>
        </w:rPr>
      </w:pPr>
    </w:p>
    <w:p>
      <w:pPr>
        <w:ind w:left="280" w:hanging="277"/>
        <w:spacing w:after="0"/>
        <w:tabs>
          <w:tab w:leader="none" w:pos="280" w:val="left"/>
        </w:tabs>
        <w:numPr>
          <w:ilvl w:val="1"/>
          <w:numId w:val="66"/>
        </w:numPr>
        <w:rPr>
          <w:rFonts w:ascii="Arial" w:cs="Arial" w:eastAsia="Arial" w:hAnsi="Arial"/>
          <w:sz w:val="15"/>
          <w:szCs w:val="15"/>
          <w:color w:val="auto"/>
        </w:rPr>
      </w:pPr>
      <w:r>
        <w:rPr>
          <w:rFonts w:ascii="Arial" w:cs="Arial" w:eastAsia="Arial" w:hAnsi="Arial"/>
          <w:sz w:val="15"/>
          <w:szCs w:val="15"/>
          <w:color w:val="auto"/>
        </w:rPr>
        <w:t>acknowledges that it and the other parties hereto have been induced to enter into this Agreement by, among other things, the mutual waivers and</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certifications in this section.</w:t>
      </w:r>
    </w:p>
    <w:p>
      <w:pPr>
        <w:spacing w:after="0" w:line="217" w:lineRule="exact"/>
        <w:rPr>
          <w:sz w:val="20"/>
          <w:szCs w:val="20"/>
          <w:color w:val="auto"/>
        </w:rPr>
      </w:pPr>
    </w:p>
    <w:p>
      <w:pPr>
        <w:ind w:left="-560" w:right="180" w:firstLine="563"/>
        <w:spacing w:after="0" w:line="248" w:lineRule="auto"/>
        <w:tabs>
          <w:tab w:leader="none" w:pos="496"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Headings; Gender</w:t>
      </w:r>
      <w:r>
        <w:rPr>
          <w:rFonts w:ascii="Arial" w:cs="Arial" w:eastAsia="Arial" w:hAnsi="Arial"/>
          <w:sz w:val="17"/>
          <w:szCs w:val="17"/>
          <w:color w:val="auto"/>
        </w:rPr>
        <w:t>. The headings of the Sections hereof are provided for convenience only and are not to serve as a basis for interpretation or construction, and shall not constitute a part, of this Agreement. Masculine pronouns and other words of masculine gender shall refer to both men and women as appropriate.</w:t>
      </w:r>
    </w:p>
    <w:p>
      <w:pPr>
        <w:spacing w:after="0" w:line="175" w:lineRule="exact"/>
        <w:rPr>
          <w:rFonts w:ascii="Arial" w:cs="Arial" w:eastAsia="Arial" w:hAnsi="Arial"/>
          <w:sz w:val="17"/>
          <w:szCs w:val="17"/>
          <w:color w:val="auto"/>
        </w:rPr>
      </w:pPr>
    </w:p>
    <w:p>
      <w:pPr>
        <w:jc w:val="both"/>
        <w:ind w:left="-560" w:right="160" w:firstLine="563"/>
        <w:spacing w:after="0" w:line="262" w:lineRule="auto"/>
        <w:tabs>
          <w:tab w:leader="none" w:pos="495"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one or more counterparts (including via facsimile and electronic image scan (pdf)), each of which shall be deemed to be an original, but all of which together shall constitute one and the same instrument and shall become effective when one or more counterparts have been signed by each of the parties and delivered to the other parties.</w:t>
      </w:r>
    </w:p>
    <w:p>
      <w:pPr>
        <w:spacing w:after="0" w:line="176" w:lineRule="exact"/>
        <w:rPr>
          <w:rFonts w:ascii="Arial" w:cs="Arial" w:eastAsia="Arial" w:hAnsi="Arial"/>
          <w:sz w:val="17"/>
          <w:szCs w:val="17"/>
          <w:color w:val="auto"/>
        </w:rPr>
      </w:pPr>
    </w:p>
    <w:p>
      <w:pPr>
        <w:ind w:left="-560" w:right="40" w:firstLine="563"/>
        <w:spacing w:after="0" w:line="234" w:lineRule="auto"/>
        <w:tabs>
          <w:tab w:leader="none" w:pos="495"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Electronic Signature and Delivery</w:t>
      </w:r>
      <w:r>
        <w:rPr>
          <w:rFonts w:ascii="Arial" w:cs="Arial" w:eastAsia="Arial" w:hAnsi="Arial"/>
          <w:sz w:val="16"/>
          <w:szCs w:val="16"/>
          <w:color w:val="auto"/>
        </w:rPr>
        <w:t>. This Agreement may be accepted by return signature or by electronic confirmation. By accepting this Agreement, the Participant consents to the electronic delivery of prospectuses, annual reports and other information required to be delivered by U.S. Securities and Exchange Commission rules (which consent may be revoked in writing by the Participant at any time upon three business days’ notice to the Company, in which case subsequent prospectuses, annual reports and other information will be delivered in hard copy to the Participant).</w:t>
      </w:r>
    </w:p>
    <w:p>
      <w:pPr>
        <w:sectPr>
          <w:pgSz w:w="11900" w:h="16838" w:orient="portrait"/>
          <w:cols w:equalWidth="0" w:num="1">
            <w:col w:w="10500"/>
          </w:cols>
          <w:pgMar w:left="960" w:top="1439" w:right="439" w:bottom="1440" w:gutter="0" w:footer="0" w:header="0"/>
        </w:sectPr>
      </w:pPr>
    </w:p>
    <w:bookmarkStart w:id="166" w:name="page167"/>
    <w:bookmarkEnd w:id="166"/>
    <w:p>
      <w:pPr>
        <w:spacing w:after="0" w:line="11" w:lineRule="exact"/>
        <w:rPr>
          <w:sz w:val="20"/>
          <w:szCs w:val="20"/>
          <w:color w:val="auto"/>
        </w:rPr>
      </w:pPr>
    </w:p>
    <w:p>
      <w:pPr>
        <w:ind w:left="-563" w:firstLine="563"/>
        <w:spacing w:after="0" w:line="270" w:lineRule="auto"/>
        <w:tabs>
          <w:tab w:leader="none" w:pos="492"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Electronic Participation in Plan</w:t>
      </w:r>
      <w:r>
        <w:rPr>
          <w:rFonts w:ascii="Arial" w:cs="Arial" w:eastAsia="Arial" w:hAnsi="Arial"/>
          <w:sz w:val="16"/>
          <w:szCs w:val="16"/>
          <w:color w:val="auto"/>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200" w:lineRule="exact"/>
        <w:rPr>
          <w:sz w:val="20"/>
          <w:szCs w:val="20"/>
          <w:color w:val="auto"/>
        </w:rPr>
      </w:pPr>
    </w:p>
    <w:p>
      <w:pPr>
        <w:spacing w:after="0" w:line="321" w:lineRule="exact"/>
        <w:rPr>
          <w:sz w:val="20"/>
          <w:szCs w:val="20"/>
          <w:color w:val="auto"/>
        </w:rPr>
      </w:pPr>
    </w:p>
    <w:p>
      <w:pPr>
        <w:ind w:left="1737"/>
        <w:spacing w:after="0"/>
        <w:rPr>
          <w:sz w:val="20"/>
          <w:szCs w:val="20"/>
          <w:color w:val="auto"/>
        </w:rPr>
      </w:pPr>
      <w:r>
        <w:rPr>
          <w:rFonts w:ascii="Arial" w:cs="Arial" w:eastAsia="Arial" w:hAnsi="Arial"/>
          <w:sz w:val="17"/>
          <w:szCs w:val="17"/>
          <w:b w:val="1"/>
          <w:bCs w:val="1"/>
          <w:color w:val="auto"/>
        </w:rPr>
        <w:t>[Remainder of page intentionally left blank]</w:t>
      </w:r>
    </w:p>
    <w:p>
      <w:pPr>
        <w:sectPr>
          <w:pgSz w:w="11900" w:h="16838" w:orient="portrait"/>
          <w:cols w:equalWidth="0" w:num="1">
            <w:col w:w="10177"/>
          </w:cols>
          <w:pgMar w:left="963" w:top="1440" w:right="759" w:bottom="1440" w:gutter="0" w:footer="0" w:header="0"/>
        </w:sectPr>
      </w:pPr>
    </w:p>
    <w:bookmarkStart w:id="167" w:name="page168"/>
    <w:bookmarkEnd w:id="167"/>
    <w:p>
      <w:pPr>
        <w:spacing w:after="0" w:line="220" w:lineRule="auto"/>
        <w:rPr>
          <w:sz w:val="20"/>
          <w:szCs w:val="20"/>
          <w:color w:val="auto"/>
        </w:rPr>
      </w:pPr>
      <w:r>
        <w:rPr>
          <w:rFonts w:ascii="Arial" w:cs="Arial" w:eastAsia="Arial" w:hAnsi="Arial"/>
          <w:sz w:val="19"/>
          <w:szCs w:val="19"/>
          <w:b w:val="1"/>
          <w:bCs w:val="1"/>
          <w:color w:val="auto"/>
        </w:rPr>
        <w:t xml:space="preserve">To accept or reject your Restricted Stock award, please complete the on-line form (“Accept or Reject Your Grant”) as promptly as possible, but, in any case, within thirty (30) days after the Grant Date. If you accept your award you will be deemed to have agreed to the terms and conditions set forth in this Agreement and the terms and conditions of the Plan, all of which are made part of this Agreement. Your Agreement is available to you online in your Schwab Equity Award Center (EAC) account via this link </w:t>
      </w:r>
      <w:r>
        <w:rPr>
          <w:rFonts w:ascii="Arial" w:cs="Arial" w:eastAsia="Arial" w:hAnsi="Arial"/>
          <w:sz w:val="19"/>
          <w:szCs w:val="19"/>
          <w:b w:val="1"/>
          <w:bCs w:val="1"/>
          <w:u w:val="single" w:color="auto"/>
          <w:color w:val="0000FF"/>
        </w:rPr>
        <w:t>https://www.schwab.com/public/eac/home</w:t>
      </w:r>
      <w:r>
        <w:rPr>
          <w:rFonts w:ascii="Arial" w:cs="Arial" w:eastAsia="Arial" w:hAnsi="Arial"/>
          <w:sz w:val="19"/>
          <w:szCs w:val="19"/>
          <w:b w:val="1"/>
          <w:bCs w:val="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400"/>
        <w:spacing w:after="0"/>
        <w:rPr>
          <w:sz w:val="20"/>
          <w:szCs w:val="20"/>
          <w:color w:val="auto"/>
        </w:rPr>
      </w:pPr>
      <w:r>
        <w:rPr>
          <w:rFonts w:ascii="Arial" w:cs="Arial" w:eastAsia="Arial" w:hAnsi="Arial"/>
          <w:sz w:val="17"/>
          <w:szCs w:val="17"/>
          <w:color w:val="auto"/>
        </w:rPr>
        <w:t>VIRTU FINANCIAL, INC.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400"/>
        <w:spacing w:after="0"/>
        <w:tabs>
          <w:tab w:leader="none" w:pos="5240" w:val="left"/>
        </w:tabs>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Douglas A. Cifu</w:t>
      </w:r>
      <w:r>
        <w:rPr>
          <w:sz w:val="20"/>
          <w:szCs w:val="20"/>
          <w:color w:val="auto"/>
        </w:rPr>
        <w:tab/>
      </w:r>
      <w:r>
        <w:rPr>
          <w:rFonts w:ascii="Arial" w:cs="Arial" w:eastAsia="Arial" w:hAnsi="Arial"/>
          <w:sz w:val="16"/>
          <w:szCs w:val="16"/>
          <w:color w:val="auto"/>
        </w:rPr>
        <w:t>Name: Douglas A. Cifu</w:t>
      </w:r>
    </w:p>
    <w:p>
      <w:pPr>
        <w:spacing w:after="0" w:line="8" w:lineRule="exact"/>
        <w:rPr>
          <w:sz w:val="20"/>
          <w:szCs w:val="20"/>
          <w:color w:val="auto"/>
        </w:rPr>
      </w:pPr>
    </w:p>
    <w:p>
      <w:pPr>
        <w:ind w:left="3620"/>
        <w:spacing w:after="0"/>
        <w:rPr>
          <w:sz w:val="20"/>
          <w:szCs w:val="20"/>
          <w:color w:val="auto"/>
        </w:rPr>
      </w:pPr>
      <w:r>
        <w:rPr>
          <w:rFonts w:ascii="Arial" w:cs="Arial" w:eastAsia="Arial" w:hAnsi="Arial"/>
          <w:sz w:val="17"/>
          <w:szCs w:val="17"/>
          <w:color w:val="auto"/>
        </w:rPr>
        <w:t>Title: Chief Executive Officer</w:t>
      </w:r>
    </w:p>
    <w:p>
      <w:pPr>
        <w:sectPr>
          <w:pgSz w:w="11900" w:h="16838" w:orient="portrait"/>
          <w:cols w:equalWidth="0" w:num="1">
            <w:col w:w="10720"/>
          </w:cols>
          <w:pgMar w:left="400" w:top="1227" w:right="779" w:bottom="1440" w:gutter="0" w:footer="0" w:header="0"/>
        </w:sectPr>
      </w:pPr>
    </w:p>
    <w:bookmarkStart w:id="168" w:name="page169"/>
    <w:bookmarkEnd w:id="168"/>
    <w:p>
      <w:pPr>
        <w:jc w:val="right"/>
        <w:spacing w:after="0"/>
        <w:rPr>
          <w:sz w:val="20"/>
          <w:szCs w:val="20"/>
          <w:color w:val="auto"/>
        </w:rPr>
      </w:pPr>
      <w:r>
        <w:rPr>
          <w:rFonts w:ascii="Arial" w:cs="Arial" w:eastAsia="Arial" w:hAnsi="Arial"/>
          <w:sz w:val="17"/>
          <w:szCs w:val="17"/>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765"/>
        <w:spacing w:after="0"/>
        <w:rPr>
          <w:sz w:val="20"/>
          <w:szCs w:val="20"/>
          <w:color w:val="auto"/>
        </w:rPr>
      </w:pPr>
      <w:r>
        <w:rPr>
          <w:rFonts w:ascii="Arial" w:cs="Arial" w:eastAsia="Arial" w:hAnsi="Arial"/>
          <w:sz w:val="17"/>
          <w:szCs w:val="17"/>
          <w:color w:val="auto"/>
        </w:rPr>
        <w:t>CREDIT AGREEMENT</w:t>
      </w:r>
    </w:p>
    <w:p>
      <w:pPr>
        <w:spacing w:after="0" w:line="136" w:lineRule="exact"/>
        <w:rPr>
          <w:sz w:val="20"/>
          <w:szCs w:val="20"/>
          <w:color w:val="auto"/>
        </w:rPr>
      </w:pPr>
    </w:p>
    <w:p>
      <w:pPr>
        <w:ind w:left="4605"/>
        <w:spacing w:after="0"/>
        <w:rPr>
          <w:sz w:val="20"/>
          <w:szCs w:val="20"/>
          <w:color w:val="auto"/>
        </w:rPr>
      </w:pPr>
      <w:r>
        <w:rPr>
          <w:rFonts w:ascii="Arial" w:cs="Arial" w:eastAsia="Arial" w:hAnsi="Arial"/>
          <w:sz w:val="17"/>
          <w:szCs w:val="17"/>
          <w:color w:val="auto"/>
        </w:rPr>
        <w:t>dated as of January 13, 2022,</w:t>
      </w:r>
    </w:p>
    <w:p>
      <w:pPr>
        <w:spacing w:after="0" w:line="136" w:lineRule="exact"/>
        <w:rPr>
          <w:sz w:val="20"/>
          <w:szCs w:val="20"/>
          <w:color w:val="auto"/>
        </w:rPr>
      </w:pPr>
    </w:p>
    <w:p>
      <w:pPr>
        <w:ind w:left="5385"/>
        <w:spacing w:after="0"/>
        <w:rPr>
          <w:sz w:val="20"/>
          <w:szCs w:val="20"/>
          <w:color w:val="auto"/>
        </w:rPr>
      </w:pPr>
      <w:r>
        <w:rPr>
          <w:rFonts w:ascii="Arial" w:cs="Arial" w:eastAsia="Arial" w:hAnsi="Arial"/>
          <w:sz w:val="17"/>
          <w:szCs w:val="17"/>
          <w:color w:val="auto"/>
        </w:rPr>
        <w:t>among</w:t>
      </w:r>
    </w:p>
    <w:p>
      <w:pPr>
        <w:spacing w:after="0" w:line="120" w:lineRule="exact"/>
        <w:rPr>
          <w:sz w:val="20"/>
          <w:szCs w:val="20"/>
          <w:color w:val="auto"/>
        </w:rPr>
      </w:pPr>
    </w:p>
    <w:p>
      <w:pPr>
        <w:ind w:left="4665"/>
        <w:spacing w:after="0"/>
        <w:rPr>
          <w:sz w:val="20"/>
          <w:szCs w:val="20"/>
          <w:color w:val="auto"/>
        </w:rPr>
      </w:pPr>
      <w:r>
        <w:rPr>
          <w:rFonts w:ascii="Arial" w:cs="Arial" w:eastAsia="Arial" w:hAnsi="Arial"/>
          <w:sz w:val="17"/>
          <w:szCs w:val="17"/>
          <w:color w:val="auto"/>
        </w:rPr>
        <w:t>VIRTU FINANCIAL LLC,</w:t>
      </w:r>
    </w:p>
    <w:p>
      <w:pPr>
        <w:ind w:left="5205"/>
        <w:spacing w:after="0"/>
        <w:rPr>
          <w:sz w:val="20"/>
          <w:szCs w:val="20"/>
          <w:color w:val="auto"/>
        </w:rPr>
      </w:pPr>
      <w:r>
        <w:rPr>
          <w:rFonts w:ascii="Arial" w:cs="Arial" w:eastAsia="Arial" w:hAnsi="Arial"/>
          <w:sz w:val="17"/>
          <w:szCs w:val="17"/>
          <w:color w:val="auto"/>
        </w:rPr>
        <w:t>as Holdings,</w:t>
      </w:r>
    </w:p>
    <w:p>
      <w:pPr>
        <w:spacing w:after="0" w:line="106" w:lineRule="exact"/>
        <w:rPr>
          <w:sz w:val="20"/>
          <w:szCs w:val="20"/>
          <w:color w:val="auto"/>
        </w:rPr>
      </w:pPr>
    </w:p>
    <w:p>
      <w:pPr>
        <w:ind w:left="4905"/>
        <w:spacing w:after="0"/>
        <w:rPr>
          <w:sz w:val="20"/>
          <w:szCs w:val="20"/>
          <w:color w:val="auto"/>
        </w:rPr>
      </w:pPr>
      <w:r>
        <w:rPr>
          <w:rFonts w:ascii="Arial" w:cs="Arial" w:eastAsia="Arial" w:hAnsi="Arial"/>
          <w:sz w:val="17"/>
          <w:szCs w:val="17"/>
          <w:color w:val="auto"/>
        </w:rPr>
        <w:t>VFH PARENT LLC,</w:t>
      </w:r>
    </w:p>
    <w:p>
      <w:pPr>
        <w:ind w:left="5185"/>
        <w:spacing w:after="0"/>
        <w:rPr>
          <w:sz w:val="20"/>
          <w:szCs w:val="20"/>
          <w:color w:val="auto"/>
        </w:rPr>
      </w:pPr>
      <w:r>
        <w:rPr>
          <w:rFonts w:ascii="Arial" w:cs="Arial" w:eastAsia="Arial" w:hAnsi="Arial"/>
          <w:sz w:val="17"/>
          <w:szCs w:val="17"/>
          <w:color w:val="auto"/>
        </w:rPr>
        <w:t>as Borrower,</w:t>
      </w:r>
    </w:p>
    <w:p>
      <w:pPr>
        <w:spacing w:after="0" w:line="122" w:lineRule="exact"/>
        <w:rPr>
          <w:sz w:val="20"/>
          <w:szCs w:val="20"/>
          <w:color w:val="auto"/>
        </w:rPr>
      </w:pPr>
    </w:p>
    <w:p>
      <w:pPr>
        <w:ind w:left="3385"/>
        <w:spacing w:after="0"/>
        <w:rPr>
          <w:sz w:val="20"/>
          <w:szCs w:val="20"/>
          <w:color w:val="auto"/>
        </w:rPr>
      </w:pPr>
      <w:r>
        <w:rPr>
          <w:rFonts w:ascii="Arial" w:cs="Arial" w:eastAsia="Arial" w:hAnsi="Arial"/>
          <w:sz w:val="17"/>
          <w:szCs w:val="17"/>
          <w:color w:val="auto"/>
        </w:rPr>
        <w:t>The Lenders, Issuing Banks and Swingline Lender Party Hereto,</w:t>
      </w:r>
    </w:p>
    <w:p>
      <w:pPr>
        <w:spacing w:after="0" w:line="136" w:lineRule="exact"/>
        <w:rPr>
          <w:sz w:val="20"/>
          <w:szCs w:val="20"/>
          <w:color w:val="auto"/>
        </w:rPr>
      </w:pPr>
    </w:p>
    <w:p>
      <w:pPr>
        <w:ind w:left="5505"/>
        <w:spacing w:after="0"/>
        <w:rPr>
          <w:sz w:val="20"/>
          <w:szCs w:val="20"/>
          <w:color w:val="auto"/>
        </w:rPr>
      </w:pPr>
      <w:r>
        <w:rPr>
          <w:rFonts w:ascii="Arial" w:cs="Arial" w:eastAsia="Arial" w:hAnsi="Arial"/>
          <w:sz w:val="17"/>
          <w:szCs w:val="17"/>
          <w:color w:val="auto"/>
        </w:rPr>
        <w:t>and</w:t>
      </w:r>
    </w:p>
    <w:p>
      <w:pPr>
        <w:spacing w:after="0" w:line="120" w:lineRule="exact"/>
        <w:rPr>
          <w:sz w:val="20"/>
          <w:szCs w:val="20"/>
          <w:color w:val="auto"/>
        </w:rPr>
      </w:pPr>
    </w:p>
    <w:p>
      <w:pPr>
        <w:ind w:left="4345"/>
        <w:spacing w:after="0"/>
        <w:rPr>
          <w:sz w:val="20"/>
          <w:szCs w:val="20"/>
          <w:color w:val="auto"/>
        </w:rPr>
      </w:pPr>
      <w:r>
        <w:rPr>
          <w:rFonts w:ascii="Arial" w:cs="Arial" w:eastAsia="Arial" w:hAnsi="Arial"/>
          <w:sz w:val="17"/>
          <w:szCs w:val="17"/>
          <w:color w:val="auto"/>
        </w:rPr>
        <w:t>JPMORGAN CHASE BANK, N.A.,</w:t>
      </w:r>
    </w:p>
    <w:p>
      <w:pPr>
        <w:jc w:val="center"/>
        <w:ind w:right="-4"/>
        <w:spacing w:after="0"/>
        <w:rPr>
          <w:sz w:val="20"/>
          <w:szCs w:val="20"/>
          <w:color w:val="auto"/>
        </w:rPr>
      </w:pPr>
      <w:r>
        <w:rPr>
          <w:rFonts w:ascii="Arial" w:cs="Arial" w:eastAsia="Arial" w:hAnsi="Arial"/>
          <w:sz w:val="17"/>
          <w:szCs w:val="17"/>
          <w:color w:val="auto"/>
        </w:rPr>
        <w:t>as Administrative Agent</w:t>
      </w:r>
    </w:p>
    <w:p>
      <w:pPr>
        <w:spacing w:after="0" w:line="154" w:lineRule="exact"/>
        <w:rPr>
          <w:sz w:val="20"/>
          <w:szCs w:val="20"/>
          <w:color w:val="auto"/>
        </w:rPr>
      </w:pPr>
    </w:p>
    <w:p>
      <w:pPr>
        <w:jc w:val="center"/>
        <w:ind w:right="-4"/>
        <w:spacing w:after="0"/>
        <w:rPr>
          <w:sz w:val="20"/>
          <w:szCs w:val="20"/>
          <w:color w:val="auto"/>
        </w:rPr>
      </w:pPr>
      <w:r>
        <w:rPr>
          <w:rFonts w:ascii="Arial" w:cs="Arial" w:eastAsia="Arial" w:hAnsi="Arial"/>
          <w:sz w:val="17"/>
          <w:szCs w:val="17"/>
          <w:color w:val="auto"/>
        </w:rPr>
        <w:t>JPMORGAN CHASE BANK, N.A.,</w:t>
      </w:r>
    </w:p>
    <w:p>
      <w:pPr>
        <w:jc w:val="center"/>
        <w:ind w:right="-4"/>
        <w:spacing w:after="0" w:line="203" w:lineRule="auto"/>
        <w:rPr>
          <w:sz w:val="20"/>
          <w:szCs w:val="20"/>
          <w:color w:val="auto"/>
        </w:rPr>
      </w:pPr>
      <w:r>
        <w:rPr>
          <w:rFonts w:ascii="Arial" w:cs="Arial" w:eastAsia="Arial" w:hAnsi="Arial"/>
          <w:sz w:val="17"/>
          <w:szCs w:val="17"/>
          <w:color w:val="auto"/>
        </w:rPr>
        <w:t>GOLDMAN SACHS BANK USA,</w:t>
      </w:r>
    </w:p>
    <w:p>
      <w:pPr>
        <w:jc w:val="center"/>
        <w:ind w:right="-4"/>
        <w:spacing w:after="0" w:line="182" w:lineRule="auto"/>
        <w:rPr>
          <w:sz w:val="20"/>
          <w:szCs w:val="20"/>
          <w:color w:val="auto"/>
        </w:rPr>
      </w:pPr>
      <w:r>
        <w:rPr>
          <w:rFonts w:ascii="Arial" w:cs="Arial" w:eastAsia="Arial" w:hAnsi="Arial"/>
          <w:sz w:val="17"/>
          <w:szCs w:val="17"/>
          <w:color w:val="auto"/>
        </w:rPr>
        <w:t>RBC CAPITAL MARKETS</w:t>
      </w:r>
      <w:r>
        <w:rPr>
          <w:rFonts w:ascii="Arial" w:cs="Arial" w:eastAsia="Arial" w:hAnsi="Arial"/>
          <w:sz w:val="19"/>
          <w:szCs w:val="19"/>
          <w:color w:val="auto"/>
          <w:vertAlign w:val="superscript"/>
        </w:rPr>
        <w:t>1</w:t>
      </w:r>
      <w:r>
        <w:rPr>
          <w:rFonts w:ascii="Arial" w:cs="Arial" w:eastAsia="Arial" w:hAnsi="Arial"/>
          <w:sz w:val="17"/>
          <w:szCs w:val="17"/>
          <w:color w:val="auto"/>
        </w:rPr>
        <w:t>,</w:t>
      </w:r>
    </w:p>
    <w:p>
      <w:pPr>
        <w:jc w:val="center"/>
        <w:ind w:right="-4"/>
        <w:spacing w:after="0" w:line="204" w:lineRule="auto"/>
        <w:rPr>
          <w:sz w:val="20"/>
          <w:szCs w:val="20"/>
          <w:color w:val="auto"/>
        </w:rPr>
      </w:pPr>
      <w:r>
        <w:rPr>
          <w:rFonts w:ascii="Arial" w:cs="Arial" w:eastAsia="Arial" w:hAnsi="Arial"/>
          <w:sz w:val="17"/>
          <w:szCs w:val="17"/>
          <w:color w:val="auto"/>
        </w:rPr>
        <w:t>BARCLAYS BANK PLC,</w:t>
      </w:r>
    </w:p>
    <w:p>
      <w:pPr>
        <w:jc w:val="center"/>
        <w:ind w:right="-4"/>
        <w:spacing w:after="0" w:line="203" w:lineRule="auto"/>
        <w:rPr>
          <w:sz w:val="20"/>
          <w:szCs w:val="20"/>
          <w:color w:val="auto"/>
        </w:rPr>
      </w:pPr>
      <w:r>
        <w:rPr>
          <w:rFonts w:ascii="Arial" w:cs="Arial" w:eastAsia="Arial" w:hAnsi="Arial"/>
          <w:sz w:val="17"/>
          <w:szCs w:val="17"/>
          <w:color w:val="auto"/>
        </w:rPr>
        <w:t>JEFFERIES FINANCE LLC,</w:t>
      </w:r>
    </w:p>
    <w:p>
      <w:pPr>
        <w:jc w:val="center"/>
        <w:ind w:right="-4"/>
        <w:spacing w:after="0" w:line="204" w:lineRule="auto"/>
        <w:rPr>
          <w:sz w:val="20"/>
          <w:szCs w:val="20"/>
          <w:color w:val="auto"/>
        </w:rPr>
      </w:pPr>
      <w:r>
        <w:rPr>
          <w:rFonts w:ascii="Arial" w:cs="Arial" w:eastAsia="Arial" w:hAnsi="Arial"/>
          <w:sz w:val="17"/>
          <w:szCs w:val="17"/>
          <w:color w:val="auto"/>
        </w:rPr>
        <w:t>BMO CAPITAL MARKETS CORP.</w:t>
      </w:r>
    </w:p>
    <w:p>
      <w:pPr>
        <w:jc w:val="center"/>
        <w:ind w:right="-4"/>
        <w:spacing w:after="0" w:line="203" w:lineRule="auto"/>
        <w:rPr>
          <w:sz w:val="20"/>
          <w:szCs w:val="20"/>
          <w:color w:val="auto"/>
        </w:rPr>
      </w:pPr>
      <w:r>
        <w:rPr>
          <w:rFonts w:ascii="Arial" w:cs="Arial" w:eastAsia="Arial" w:hAnsi="Arial"/>
          <w:sz w:val="17"/>
          <w:szCs w:val="17"/>
          <w:color w:val="auto"/>
        </w:rPr>
        <w:t>and</w:t>
      </w:r>
    </w:p>
    <w:p>
      <w:pPr>
        <w:jc w:val="center"/>
        <w:ind w:right="-4"/>
        <w:spacing w:after="0" w:line="204" w:lineRule="auto"/>
        <w:rPr>
          <w:sz w:val="20"/>
          <w:szCs w:val="20"/>
          <w:color w:val="auto"/>
        </w:rPr>
      </w:pPr>
      <w:r>
        <w:rPr>
          <w:rFonts w:ascii="Arial" w:cs="Arial" w:eastAsia="Arial" w:hAnsi="Arial"/>
          <w:sz w:val="17"/>
          <w:szCs w:val="17"/>
          <w:color w:val="auto"/>
        </w:rPr>
        <w:t>CIBC WORLD MARKETS CORP.,</w:t>
      </w:r>
    </w:p>
    <w:p>
      <w:pPr>
        <w:jc w:val="center"/>
        <w:ind w:right="-4"/>
        <w:spacing w:after="0"/>
        <w:rPr>
          <w:sz w:val="20"/>
          <w:szCs w:val="20"/>
          <w:color w:val="auto"/>
        </w:rPr>
      </w:pPr>
      <w:r>
        <w:rPr>
          <w:rFonts w:ascii="Arial" w:cs="Arial" w:eastAsia="Arial" w:hAnsi="Arial"/>
          <w:sz w:val="17"/>
          <w:szCs w:val="17"/>
          <w:color w:val="auto"/>
        </w:rPr>
        <w:t>as Joint Lead Arrangers and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477520</wp:posOffset>
            </wp:positionV>
            <wp:extent cx="1503680" cy="76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8">
                      <a:extLst>
                        <a:ext uri="{28A0092B-C50C-407E-A947-70E740481C1C}"/>
                      </a:extLst>
                    </a:blip>
                    <a:srcRect/>
                    <a:stretch>
                      <a:fillRect/>
                    </a:stretch>
                  </pic:blipFill>
                  <pic:spPr bwMode="auto">
                    <a:xfrm>
                      <a:off x="0" y="0"/>
                      <a:ext cx="150368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85" w:hanging="85"/>
        <w:spacing w:after="0"/>
        <w:tabs>
          <w:tab w:leader="none" w:pos="85" w:val="left"/>
        </w:tabs>
        <w:numPr>
          <w:ilvl w:val="0"/>
          <w:numId w:val="69"/>
        </w:numPr>
        <w:rPr>
          <w:rFonts w:ascii="Arial" w:cs="Arial" w:eastAsia="Arial" w:hAnsi="Arial"/>
          <w:sz w:val="21"/>
          <w:szCs w:val="21"/>
          <w:color w:val="auto"/>
          <w:vertAlign w:val="superscript"/>
        </w:rPr>
      </w:pPr>
      <w:r>
        <w:rPr>
          <w:rFonts w:ascii="Arial" w:cs="Arial" w:eastAsia="Arial" w:hAnsi="Arial"/>
          <w:sz w:val="16"/>
          <w:szCs w:val="16"/>
          <w:color w:val="auto"/>
        </w:rPr>
        <w:t>RBC Capital Markets is a brand name for the capital markets activities of Royal Bank of Canada and its affiliates.</w:t>
      </w:r>
    </w:p>
    <w:p>
      <w:pPr>
        <w:sectPr>
          <w:pgSz w:w="11900" w:h="16838" w:orient="portrait"/>
          <w:cols w:equalWidth="0" w:num="1">
            <w:col w:w="11265"/>
          </w:cols>
          <w:pgMar w:left="315" w:top="112" w:right="319" w:bottom="1440" w:gutter="0" w:footer="0" w:header="0"/>
        </w:sectPr>
      </w:pPr>
    </w:p>
    <w:bookmarkStart w:id="169" w:name="page170"/>
    <w:bookmarkEnd w:id="169"/>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0" w:type="dxa"/>
            <w:vAlign w:val="bottom"/>
          </w:tcPr>
          <w:p>
            <w:pPr>
              <w:spacing w:after="0"/>
              <w:rPr>
                <w:sz w:val="16"/>
                <w:szCs w:val="16"/>
                <w:color w:val="auto"/>
              </w:rPr>
            </w:pPr>
          </w:p>
        </w:tc>
        <w:tc>
          <w:tcPr>
            <w:tcW w:w="9340" w:type="dxa"/>
            <w:vAlign w:val="bottom"/>
            <w:gridSpan w:val="3"/>
          </w:tcPr>
          <w:p>
            <w:pPr>
              <w:ind w:left="3640"/>
              <w:spacing w:after="0"/>
              <w:rPr>
                <w:sz w:val="20"/>
                <w:szCs w:val="20"/>
                <w:color w:val="auto"/>
              </w:rPr>
            </w:pPr>
            <w:r>
              <w:rPr>
                <w:rFonts w:ascii="Arial" w:cs="Arial" w:eastAsia="Arial" w:hAnsi="Arial"/>
                <w:sz w:val="17"/>
                <w:szCs w:val="17"/>
                <w:b w:val="1"/>
                <w:bCs w:val="1"/>
                <w:color w:val="auto"/>
              </w:rPr>
              <w:t>TABLE OF CONTENTS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5"/>
        </w:trPr>
        <w:tc>
          <w:tcPr>
            <w:tcW w:w="4640" w:type="dxa"/>
            <w:vAlign w:val="bottom"/>
            <w:gridSpan w:val="2"/>
            <w:vMerge w:val="restart"/>
          </w:tcPr>
          <w:p>
            <w:pPr>
              <w:spacing w:after="0"/>
              <w:rPr>
                <w:sz w:val="20"/>
                <w:szCs w:val="20"/>
                <w:color w:val="auto"/>
              </w:rPr>
            </w:pPr>
            <w:r>
              <w:rPr>
                <w:rFonts w:ascii="Arial" w:cs="Arial" w:eastAsia="Arial" w:hAnsi="Arial"/>
                <w:sz w:val="17"/>
                <w:szCs w:val="17"/>
                <w:color w:val="auto"/>
              </w:rPr>
              <w:t>ARTICLE 1 Definitions</w:t>
            </w:r>
          </w:p>
        </w:tc>
        <w:tc>
          <w:tcPr>
            <w:tcW w:w="1860" w:type="dxa"/>
            <w:vAlign w:val="bottom"/>
            <w:tcBorders>
              <w:top w:val="single" w:sz="8" w:color="auto"/>
            </w:tcBorders>
            <w:vMerge w:val="restart"/>
          </w:tcPr>
          <w:p>
            <w:pPr>
              <w:spacing w:after="0"/>
              <w:rPr>
                <w:sz w:val="24"/>
                <w:szCs w:val="24"/>
                <w:color w:val="auto"/>
              </w:rPr>
            </w:pPr>
          </w:p>
        </w:tc>
        <w:tc>
          <w:tcPr>
            <w:tcW w:w="3840" w:type="dxa"/>
            <w:vAlign w:val="bottom"/>
            <w:vMerge w:val="restart"/>
          </w:tcPr>
          <w:p>
            <w:pPr>
              <w:spacing w:after="0"/>
              <w:rPr>
                <w:sz w:val="24"/>
                <w:szCs w:val="24"/>
                <w:color w:val="auto"/>
              </w:rPr>
            </w:pPr>
          </w:p>
        </w:tc>
        <w:tc>
          <w:tcPr>
            <w:tcW w:w="80" w:type="dxa"/>
            <w:vAlign w:val="bottom"/>
            <w:vMerge w:val="restart"/>
          </w:tcPr>
          <w:p>
            <w:pPr>
              <w:spacing w:after="0"/>
              <w:rPr>
                <w:rFonts w:ascii="Arial" w:cs="Arial" w:eastAsia="Arial" w:hAnsi="Arial"/>
                <w:sz w:val="15"/>
                <w:szCs w:val="15"/>
                <w:color w:val="auto"/>
                <w:w w:val="71"/>
              </w:rPr>
            </w:pPr>
            <w:hyperlink w:anchor="page174">
              <w:r>
                <w:rPr>
                  <w:rFonts w:ascii="Arial" w:cs="Arial" w:eastAsia="Arial" w:hAnsi="Arial"/>
                  <w:sz w:val="15"/>
                  <w:szCs w:val="15"/>
                  <w:color w:val="auto"/>
                  <w:w w:val="71"/>
                </w:rPr>
                <w:t>1</w:t>
              </w:r>
            </w:hyperlink>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60"/>
              <w:spacing w:after="0"/>
              <w:rPr>
                <w:sz w:val="20"/>
                <w:szCs w:val="20"/>
                <w:color w:val="auto"/>
              </w:rPr>
            </w:pPr>
            <w:r>
              <w:rPr>
                <w:rFonts w:ascii="Arial" w:cs="Arial" w:eastAsia="Arial" w:hAnsi="Arial"/>
                <w:sz w:val="17"/>
                <w:szCs w:val="17"/>
                <w:color w:val="auto"/>
                <w:w w:val="80"/>
              </w:rPr>
              <w:t>Page</w:t>
            </w:r>
          </w:p>
        </w:tc>
        <w:tc>
          <w:tcPr>
            <w:tcW w:w="0" w:type="dxa"/>
            <w:vAlign w:val="bottom"/>
          </w:tcPr>
          <w:p>
            <w:pPr>
              <w:spacing w:after="0"/>
              <w:rPr>
                <w:sz w:val="1"/>
                <w:szCs w:val="1"/>
                <w:color w:val="auto"/>
              </w:rPr>
            </w:pPr>
          </w:p>
        </w:tc>
      </w:tr>
      <w:tr>
        <w:trPr>
          <w:trHeight w:val="198"/>
        </w:trPr>
        <w:tc>
          <w:tcPr>
            <w:tcW w:w="4640" w:type="dxa"/>
            <w:vAlign w:val="bottom"/>
            <w:gridSpan w:val="2"/>
            <w:vMerge w:val="continue"/>
          </w:tcPr>
          <w:p>
            <w:pPr>
              <w:spacing w:after="0"/>
              <w:rPr>
                <w:sz w:val="16"/>
                <w:szCs w:val="16"/>
                <w:color w:val="auto"/>
              </w:rPr>
            </w:pPr>
          </w:p>
        </w:tc>
        <w:tc>
          <w:tcPr>
            <w:tcW w:w="1860" w:type="dxa"/>
            <w:vAlign w:val="bottom"/>
            <w:tcBorders>
              <w:top w:val="single" w:sz="8" w:color="auto"/>
            </w:tcBorders>
            <w:vMerge w:val="continue"/>
          </w:tcPr>
          <w:p>
            <w:pPr>
              <w:spacing w:after="0"/>
              <w:rPr>
                <w:sz w:val="16"/>
                <w:szCs w:val="16"/>
                <w:color w:val="auto"/>
              </w:rPr>
            </w:pPr>
          </w:p>
        </w:tc>
        <w:tc>
          <w:tcPr>
            <w:tcW w:w="3840" w:type="dxa"/>
            <w:vAlign w:val="bottom"/>
            <w:vMerge w:val="continue"/>
          </w:tcPr>
          <w:p>
            <w:pPr>
              <w:spacing w:after="0"/>
              <w:rPr>
                <w:sz w:val="16"/>
                <w:szCs w:val="16"/>
                <w:color w:val="auto"/>
              </w:rPr>
            </w:pPr>
          </w:p>
        </w:tc>
        <w:tc>
          <w:tcPr>
            <w:tcW w:w="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000" w:type="dxa"/>
            <w:vAlign w:val="bottom"/>
          </w:tcPr>
          <w:p>
            <w:pPr>
              <w:spacing w:after="0" w:line="194" w:lineRule="exact"/>
              <w:rPr>
                <w:sz w:val="20"/>
                <w:szCs w:val="20"/>
                <w:color w:val="auto"/>
              </w:rPr>
            </w:pPr>
            <w:r>
              <w:rPr>
                <w:rFonts w:ascii="Arial" w:cs="Arial" w:eastAsia="Arial" w:hAnsi="Arial"/>
                <w:sz w:val="17"/>
                <w:szCs w:val="17"/>
                <w:color w:val="auto"/>
                <w:w w:val="98"/>
              </w:rPr>
              <w:t>Section 1.01.</w:t>
            </w:r>
          </w:p>
        </w:tc>
        <w:tc>
          <w:tcPr>
            <w:tcW w:w="9340" w:type="dxa"/>
            <w:vAlign w:val="bottom"/>
            <w:gridSpan w:val="3"/>
          </w:tcPr>
          <w:p>
            <w:pPr>
              <w:ind w:left="100"/>
              <w:spacing w:after="0" w:line="194" w:lineRule="exact"/>
              <w:rPr>
                <w:sz w:val="20"/>
                <w:szCs w:val="20"/>
                <w:color w:val="auto"/>
              </w:rPr>
            </w:pPr>
            <w:r>
              <w:rPr>
                <w:rFonts w:ascii="Arial" w:cs="Arial" w:eastAsia="Arial" w:hAnsi="Arial"/>
                <w:sz w:val="17"/>
                <w:szCs w:val="17"/>
                <w:color w:val="auto"/>
              </w:rPr>
              <w:t>Defined Terms</w:t>
            </w:r>
          </w:p>
        </w:tc>
        <w:tc>
          <w:tcPr>
            <w:tcW w:w="80" w:type="dxa"/>
            <w:vAlign w:val="bottom"/>
            <w:tcBorders>
              <w:bottom w:val="single" w:sz="8" w:color="auto"/>
            </w:tcBorders>
          </w:tcPr>
          <w:p>
            <w:pPr>
              <w:spacing w:after="0"/>
              <w:rPr>
                <w:rFonts w:ascii="Arial" w:cs="Arial" w:eastAsia="Arial" w:hAnsi="Arial"/>
                <w:sz w:val="15"/>
                <w:szCs w:val="15"/>
                <w:color w:val="auto"/>
                <w:w w:val="71"/>
              </w:rPr>
            </w:pPr>
            <w:hyperlink w:anchor="page174">
              <w:r>
                <w:rPr>
                  <w:rFonts w:ascii="Arial" w:cs="Arial" w:eastAsia="Arial" w:hAnsi="Arial"/>
                  <w:sz w:val="15"/>
                  <w:szCs w:val="15"/>
                  <w:color w:val="auto"/>
                  <w:w w:val="71"/>
                </w:rPr>
                <w:t>1</w:t>
              </w:r>
            </w:hyperlink>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0340" w:type="dxa"/>
            <w:vAlign w:val="bottom"/>
            <w:gridSpan w:val="4"/>
          </w:tcPr>
          <w:p>
            <w:pPr>
              <w:spacing w:after="0" w:line="194" w:lineRule="exact"/>
              <w:rPr>
                <w:sz w:val="20"/>
                <w:szCs w:val="20"/>
                <w:color w:val="auto"/>
              </w:rPr>
            </w:pPr>
            <w:r>
              <w:rPr>
                <w:rFonts w:ascii="Arial" w:cs="Arial" w:eastAsia="Arial" w:hAnsi="Arial"/>
                <w:sz w:val="17"/>
                <w:szCs w:val="17"/>
                <w:color w:val="auto"/>
              </w:rPr>
              <w:t>Section 1.02.  Classification of Loans and Borrowings</w:t>
            </w:r>
          </w:p>
        </w:tc>
        <w:tc>
          <w:tcPr>
            <w:tcW w:w="180" w:type="dxa"/>
            <w:vAlign w:val="bottom"/>
            <w:tcBorders>
              <w:bottom w:val="single" w:sz="8" w:color="auto"/>
            </w:tcBorders>
            <w:gridSpan w:val="2"/>
          </w:tcPr>
          <w:p>
            <w:pPr>
              <w:spacing w:after="0" w:line="194" w:lineRule="exact"/>
              <w:rPr>
                <w:rFonts w:ascii="Arial" w:cs="Arial" w:eastAsia="Arial" w:hAnsi="Arial"/>
                <w:sz w:val="17"/>
                <w:szCs w:val="17"/>
                <w:color w:val="auto"/>
                <w:w w:val="84"/>
              </w:rPr>
            </w:pPr>
            <w:hyperlink w:anchor="page174">
              <w:r>
                <w:rPr>
                  <w:rFonts w:ascii="Arial" w:cs="Arial" w:eastAsia="Arial" w:hAnsi="Arial"/>
                  <w:sz w:val="17"/>
                  <w:szCs w:val="17"/>
                  <w:color w:val="auto"/>
                  <w:w w:val="84"/>
                </w:rPr>
                <w:t>76</w:t>
              </w:r>
            </w:hyperlink>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000" w:type="dxa"/>
            <w:vAlign w:val="bottom"/>
          </w:tcPr>
          <w:p>
            <w:pPr>
              <w:spacing w:after="0" w:line="194" w:lineRule="exact"/>
              <w:rPr>
                <w:sz w:val="20"/>
                <w:szCs w:val="20"/>
                <w:color w:val="auto"/>
              </w:rPr>
            </w:pPr>
            <w:r>
              <w:rPr>
                <w:rFonts w:ascii="Arial" w:cs="Arial" w:eastAsia="Arial" w:hAnsi="Arial"/>
                <w:sz w:val="17"/>
                <w:szCs w:val="17"/>
                <w:color w:val="auto"/>
                <w:w w:val="98"/>
              </w:rPr>
              <w:t>Section 1.03.</w:t>
            </w:r>
          </w:p>
        </w:tc>
        <w:tc>
          <w:tcPr>
            <w:tcW w:w="9340" w:type="dxa"/>
            <w:vAlign w:val="bottom"/>
            <w:gridSpan w:val="3"/>
          </w:tcPr>
          <w:p>
            <w:pPr>
              <w:ind w:left="100"/>
              <w:spacing w:after="0" w:line="194" w:lineRule="exact"/>
              <w:rPr>
                <w:sz w:val="20"/>
                <w:szCs w:val="20"/>
                <w:color w:val="auto"/>
              </w:rPr>
            </w:pPr>
            <w:r>
              <w:rPr>
                <w:rFonts w:ascii="Arial" w:cs="Arial" w:eastAsia="Arial" w:hAnsi="Arial"/>
                <w:sz w:val="17"/>
                <w:szCs w:val="17"/>
                <w:color w:val="auto"/>
              </w:rPr>
              <w:t>Terms Generally</w:t>
            </w:r>
          </w:p>
        </w:tc>
        <w:tc>
          <w:tcPr>
            <w:tcW w:w="180" w:type="dxa"/>
            <w:vAlign w:val="bottom"/>
            <w:tcBorders>
              <w:bottom w:val="single" w:sz="8" w:color="auto"/>
            </w:tcBorders>
            <w:gridSpan w:val="2"/>
          </w:tcPr>
          <w:p>
            <w:pPr>
              <w:spacing w:after="0" w:line="194" w:lineRule="exact"/>
              <w:rPr>
                <w:rFonts w:ascii="Arial" w:cs="Arial" w:eastAsia="Arial" w:hAnsi="Arial"/>
                <w:sz w:val="17"/>
                <w:szCs w:val="17"/>
                <w:color w:val="auto"/>
                <w:w w:val="84"/>
              </w:rPr>
            </w:pPr>
            <w:hyperlink w:anchor="page174">
              <w:r>
                <w:rPr>
                  <w:rFonts w:ascii="Arial" w:cs="Arial" w:eastAsia="Arial" w:hAnsi="Arial"/>
                  <w:sz w:val="17"/>
                  <w:szCs w:val="17"/>
                  <w:color w:val="auto"/>
                  <w:w w:val="84"/>
                </w:rPr>
                <w:t>76</w:t>
              </w:r>
            </w:hyperlink>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0340" w:type="dxa"/>
            <w:vAlign w:val="bottom"/>
            <w:gridSpan w:val="4"/>
          </w:tcPr>
          <w:p>
            <w:pPr>
              <w:spacing w:after="0" w:line="194" w:lineRule="exact"/>
              <w:rPr>
                <w:sz w:val="20"/>
                <w:szCs w:val="20"/>
                <w:color w:val="auto"/>
              </w:rPr>
            </w:pPr>
            <w:r>
              <w:rPr>
                <w:rFonts w:ascii="Arial" w:cs="Arial" w:eastAsia="Arial" w:hAnsi="Arial"/>
                <w:sz w:val="17"/>
                <w:szCs w:val="17"/>
                <w:color w:val="auto"/>
              </w:rPr>
              <w:t>Section 1.04.  Accounting Terms; GAAP</w:t>
            </w:r>
          </w:p>
        </w:tc>
        <w:tc>
          <w:tcPr>
            <w:tcW w:w="180" w:type="dxa"/>
            <w:vAlign w:val="bottom"/>
            <w:tcBorders>
              <w:bottom w:val="single" w:sz="8" w:color="auto"/>
            </w:tcBorders>
            <w:gridSpan w:val="2"/>
          </w:tcPr>
          <w:p>
            <w:pPr>
              <w:spacing w:after="0" w:line="194" w:lineRule="exact"/>
              <w:rPr>
                <w:rFonts w:ascii="Arial" w:cs="Arial" w:eastAsia="Arial" w:hAnsi="Arial"/>
                <w:sz w:val="17"/>
                <w:szCs w:val="17"/>
                <w:color w:val="auto"/>
                <w:w w:val="84"/>
              </w:rPr>
            </w:pPr>
            <w:hyperlink w:anchor="page174">
              <w:r>
                <w:rPr>
                  <w:rFonts w:ascii="Arial" w:cs="Arial" w:eastAsia="Arial" w:hAnsi="Arial"/>
                  <w:sz w:val="17"/>
                  <w:szCs w:val="17"/>
                  <w:color w:val="auto"/>
                  <w:w w:val="84"/>
                </w:rPr>
                <w:t>77</w:t>
              </w:r>
            </w:hyperlink>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0340" w:type="dxa"/>
            <w:vAlign w:val="bottom"/>
            <w:gridSpan w:val="4"/>
          </w:tcPr>
          <w:p>
            <w:pPr>
              <w:spacing w:after="0" w:line="194" w:lineRule="exact"/>
              <w:rPr>
                <w:sz w:val="20"/>
                <w:szCs w:val="20"/>
                <w:color w:val="auto"/>
              </w:rPr>
            </w:pPr>
            <w:r>
              <w:rPr>
                <w:rFonts w:ascii="Arial" w:cs="Arial" w:eastAsia="Arial" w:hAnsi="Arial"/>
                <w:sz w:val="17"/>
                <w:szCs w:val="17"/>
                <w:color w:val="auto"/>
              </w:rPr>
              <w:t>Section 1.05.  Effectuation of Transactions</w:t>
            </w:r>
          </w:p>
        </w:tc>
        <w:tc>
          <w:tcPr>
            <w:tcW w:w="180" w:type="dxa"/>
            <w:vAlign w:val="bottom"/>
            <w:tcBorders>
              <w:bottom w:val="single" w:sz="8" w:color="auto"/>
            </w:tcBorders>
            <w:gridSpan w:val="2"/>
          </w:tcPr>
          <w:p>
            <w:pPr>
              <w:spacing w:after="0" w:line="194" w:lineRule="exact"/>
              <w:rPr>
                <w:rFonts w:ascii="Arial" w:cs="Arial" w:eastAsia="Arial" w:hAnsi="Arial"/>
                <w:sz w:val="17"/>
                <w:szCs w:val="17"/>
                <w:color w:val="auto"/>
                <w:w w:val="84"/>
              </w:rPr>
            </w:pPr>
            <w:hyperlink w:anchor="page174">
              <w:r>
                <w:rPr>
                  <w:rFonts w:ascii="Arial" w:cs="Arial" w:eastAsia="Arial" w:hAnsi="Arial"/>
                  <w:sz w:val="17"/>
                  <w:szCs w:val="17"/>
                  <w:color w:val="auto"/>
                  <w:w w:val="84"/>
                </w:rPr>
                <w:t>77</w:t>
              </w:r>
            </w:hyperlink>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000" w:type="dxa"/>
            <w:vAlign w:val="bottom"/>
          </w:tcPr>
          <w:p>
            <w:pPr>
              <w:spacing w:after="0" w:line="194" w:lineRule="exact"/>
              <w:rPr>
                <w:sz w:val="20"/>
                <w:szCs w:val="20"/>
                <w:color w:val="auto"/>
              </w:rPr>
            </w:pPr>
            <w:r>
              <w:rPr>
                <w:rFonts w:ascii="Arial" w:cs="Arial" w:eastAsia="Arial" w:hAnsi="Arial"/>
                <w:sz w:val="17"/>
                <w:szCs w:val="17"/>
                <w:color w:val="auto"/>
                <w:w w:val="98"/>
              </w:rPr>
              <w:t>Section 1.06.</w:t>
            </w:r>
          </w:p>
        </w:tc>
        <w:tc>
          <w:tcPr>
            <w:tcW w:w="9340" w:type="dxa"/>
            <w:vAlign w:val="bottom"/>
            <w:gridSpan w:val="3"/>
          </w:tcPr>
          <w:p>
            <w:pPr>
              <w:ind w:left="100"/>
              <w:spacing w:after="0" w:line="194" w:lineRule="exact"/>
              <w:rPr>
                <w:sz w:val="20"/>
                <w:szCs w:val="20"/>
                <w:color w:val="auto"/>
              </w:rPr>
            </w:pPr>
            <w:r>
              <w:rPr>
                <w:rFonts w:ascii="Arial" w:cs="Arial" w:eastAsia="Arial" w:hAnsi="Arial"/>
                <w:sz w:val="17"/>
                <w:szCs w:val="17"/>
                <w:color w:val="auto"/>
              </w:rPr>
              <w:t>Currency Translation</w:t>
            </w:r>
          </w:p>
        </w:tc>
        <w:tc>
          <w:tcPr>
            <w:tcW w:w="180" w:type="dxa"/>
            <w:vAlign w:val="bottom"/>
            <w:tcBorders>
              <w:bottom w:val="single" w:sz="8" w:color="auto"/>
            </w:tcBorders>
            <w:gridSpan w:val="2"/>
          </w:tcPr>
          <w:p>
            <w:pPr>
              <w:spacing w:after="0" w:line="194" w:lineRule="exact"/>
              <w:rPr>
                <w:rFonts w:ascii="Arial" w:cs="Arial" w:eastAsia="Arial" w:hAnsi="Arial"/>
                <w:sz w:val="17"/>
                <w:szCs w:val="17"/>
                <w:color w:val="auto"/>
                <w:w w:val="84"/>
              </w:rPr>
            </w:pPr>
            <w:hyperlink w:anchor="page174">
              <w:r>
                <w:rPr>
                  <w:rFonts w:ascii="Arial" w:cs="Arial" w:eastAsia="Arial" w:hAnsi="Arial"/>
                  <w:sz w:val="17"/>
                  <w:szCs w:val="17"/>
                  <w:color w:val="auto"/>
                  <w:w w:val="84"/>
                </w:rPr>
                <w:t>77</w:t>
              </w:r>
            </w:hyperlink>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000" w:type="dxa"/>
            <w:vAlign w:val="bottom"/>
          </w:tcPr>
          <w:p>
            <w:pPr>
              <w:spacing w:after="0" w:line="194" w:lineRule="exact"/>
              <w:rPr>
                <w:sz w:val="20"/>
                <w:szCs w:val="20"/>
                <w:color w:val="auto"/>
              </w:rPr>
            </w:pPr>
            <w:r>
              <w:rPr>
                <w:rFonts w:ascii="Arial" w:cs="Arial" w:eastAsia="Arial" w:hAnsi="Arial"/>
                <w:sz w:val="17"/>
                <w:szCs w:val="17"/>
                <w:color w:val="auto"/>
                <w:w w:val="98"/>
              </w:rPr>
              <w:t>Section 1.07.</w:t>
            </w:r>
          </w:p>
        </w:tc>
        <w:tc>
          <w:tcPr>
            <w:tcW w:w="9340" w:type="dxa"/>
            <w:vAlign w:val="bottom"/>
            <w:gridSpan w:val="3"/>
          </w:tcPr>
          <w:p>
            <w:pPr>
              <w:ind w:left="100"/>
              <w:spacing w:after="0" w:line="194" w:lineRule="exact"/>
              <w:rPr>
                <w:sz w:val="20"/>
                <w:szCs w:val="20"/>
                <w:color w:val="auto"/>
              </w:rPr>
            </w:pPr>
            <w:r>
              <w:rPr>
                <w:rFonts w:ascii="Arial" w:cs="Arial" w:eastAsia="Arial" w:hAnsi="Arial"/>
                <w:sz w:val="17"/>
                <w:szCs w:val="17"/>
                <w:color w:val="auto"/>
              </w:rPr>
              <w:t>Divisions</w:t>
            </w:r>
          </w:p>
        </w:tc>
        <w:tc>
          <w:tcPr>
            <w:tcW w:w="180" w:type="dxa"/>
            <w:vAlign w:val="bottom"/>
            <w:tcBorders>
              <w:bottom w:val="single" w:sz="8" w:color="auto"/>
            </w:tcBorders>
            <w:gridSpan w:val="2"/>
          </w:tcPr>
          <w:p>
            <w:pPr>
              <w:spacing w:after="0" w:line="194" w:lineRule="exact"/>
              <w:rPr>
                <w:rFonts w:ascii="Arial" w:cs="Arial" w:eastAsia="Arial" w:hAnsi="Arial"/>
                <w:sz w:val="17"/>
                <w:szCs w:val="17"/>
                <w:color w:val="auto"/>
                <w:w w:val="84"/>
              </w:rPr>
            </w:pPr>
            <w:hyperlink w:anchor="page174">
              <w:r>
                <w:rPr>
                  <w:rFonts w:ascii="Arial" w:cs="Arial" w:eastAsia="Arial" w:hAnsi="Arial"/>
                  <w:sz w:val="17"/>
                  <w:szCs w:val="17"/>
                  <w:color w:val="auto"/>
                  <w:w w:val="84"/>
                </w:rPr>
                <w:t>78</w:t>
              </w:r>
            </w:hyperlink>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0340" w:type="dxa"/>
            <w:vAlign w:val="bottom"/>
            <w:gridSpan w:val="4"/>
          </w:tcPr>
          <w:p>
            <w:pPr>
              <w:spacing w:after="0" w:line="194" w:lineRule="exact"/>
              <w:rPr>
                <w:sz w:val="20"/>
                <w:szCs w:val="20"/>
                <w:color w:val="auto"/>
              </w:rPr>
            </w:pPr>
            <w:r>
              <w:rPr>
                <w:rFonts w:ascii="Arial" w:cs="Arial" w:eastAsia="Arial" w:hAnsi="Arial"/>
                <w:sz w:val="17"/>
                <w:szCs w:val="17"/>
                <w:color w:val="auto"/>
              </w:rPr>
              <w:t>Section 1.08.  Limited Condition Transactions</w:t>
            </w:r>
          </w:p>
        </w:tc>
        <w:tc>
          <w:tcPr>
            <w:tcW w:w="180" w:type="dxa"/>
            <w:vAlign w:val="bottom"/>
            <w:tcBorders>
              <w:bottom w:val="single" w:sz="8" w:color="auto"/>
            </w:tcBorders>
            <w:gridSpan w:val="2"/>
          </w:tcPr>
          <w:p>
            <w:pPr>
              <w:spacing w:after="0" w:line="194" w:lineRule="exact"/>
              <w:rPr>
                <w:rFonts w:ascii="Arial" w:cs="Arial" w:eastAsia="Arial" w:hAnsi="Arial"/>
                <w:sz w:val="17"/>
                <w:szCs w:val="17"/>
                <w:color w:val="auto"/>
                <w:w w:val="84"/>
              </w:rPr>
            </w:pPr>
            <w:hyperlink w:anchor="page174">
              <w:r>
                <w:rPr>
                  <w:rFonts w:ascii="Arial" w:cs="Arial" w:eastAsia="Arial" w:hAnsi="Arial"/>
                  <w:sz w:val="17"/>
                  <w:szCs w:val="17"/>
                  <w:color w:val="auto"/>
                  <w:w w:val="84"/>
                </w:rPr>
                <w:t>78</w:t>
              </w:r>
            </w:hyperlink>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0340" w:type="dxa"/>
            <w:vAlign w:val="bottom"/>
            <w:gridSpan w:val="4"/>
          </w:tcPr>
          <w:p>
            <w:pPr>
              <w:spacing w:after="0" w:line="194" w:lineRule="exact"/>
              <w:rPr>
                <w:sz w:val="20"/>
                <w:szCs w:val="20"/>
                <w:color w:val="auto"/>
              </w:rPr>
            </w:pPr>
            <w:r>
              <w:rPr>
                <w:rFonts w:ascii="Arial" w:cs="Arial" w:eastAsia="Arial" w:hAnsi="Arial"/>
                <w:sz w:val="17"/>
                <w:szCs w:val="17"/>
                <w:color w:val="auto"/>
              </w:rPr>
              <w:t>Section 1.09.  Interest Rates; Benchmark Notification</w:t>
            </w:r>
          </w:p>
        </w:tc>
        <w:tc>
          <w:tcPr>
            <w:tcW w:w="180" w:type="dxa"/>
            <w:vAlign w:val="bottom"/>
            <w:tcBorders>
              <w:bottom w:val="single" w:sz="8" w:color="auto"/>
            </w:tcBorders>
            <w:gridSpan w:val="2"/>
          </w:tcPr>
          <w:p>
            <w:pPr>
              <w:spacing w:after="0" w:line="194" w:lineRule="exact"/>
              <w:rPr>
                <w:rFonts w:ascii="Arial" w:cs="Arial" w:eastAsia="Arial" w:hAnsi="Arial"/>
                <w:sz w:val="17"/>
                <w:szCs w:val="17"/>
                <w:color w:val="auto"/>
                <w:w w:val="84"/>
              </w:rPr>
            </w:pPr>
            <w:hyperlink w:anchor="page174">
              <w:r>
                <w:rPr>
                  <w:rFonts w:ascii="Arial" w:cs="Arial" w:eastAsia="Arial" w:hAnsi="Arial"/>
                  <w:sz w:val="17"/>
                  <w:szCs w:val="17"/>
                  <w:color w:val="auto"/>
                  <w:w w:val="84"/>
                </w:rPr>
                <w:t>79</w:t>
              </w:r>
            </w:hyperlink>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0340" w:type="dxa"/>
            <w:vAlign w:val="bottom"/>
            <w:gridSpan w:val="4"/>
          </w:tcPr>
          <w:p>
            <w:pPr>
              <w:spacing w:after="0" w:line="194" w:lineRule="exact"/>
              <w:rPr>
                <w:sz w:val="20"/>
                <w:szCs w:val="20"/>
                <w:color w:val="auto"/>
              </w:rPr>
            </w:pPr>
            <w:r>
              <w:rPr>
                <w:rFonts w:ascii="Arial" w:cs="Arial" w:eastAsia="Arial" w:hAnsi="Arial"/>
                <w:sz w:val="17"/>
                <w:szCs w:val="17"/>
                <w:color w:val="auto"/>
              </w:rPr>
              <w:t>Section 1.10.  Letter of Credit Amounts</w:t>
            </w:r>
          </w:p>
        </w:tc>
        <w:tc>
          <w:tcPr>
            <w:tcW w:w="180" w:type="dxa"/>
            <w:vAlign w:val="bottom"/>
            <w:tcBorders>
              <w:bottom w:val="single" w:sz="8" w:color="auto"/>
            </w:tcBorders>
            <w:gridSpan w:val="2"/>
          </w:tcPr>
          <w:p>
            <w:pPr>
              <w:spacing w:after="0" w:line="194" w:lineRule="exact"/>
              <w:rPr>
                <w:rFonts w:ascii="Arial" w:cs="Arial" w:eastAsia="Arial" w:hAnsi="Arial"/>
                <w:sz w:val="17"/>
                <w:szCs w:val="17"/>
                <w:color w:val="auto"/>
                <w:w w:val="84"/>
              </w:rPr>
            </w:pPr>
            <w:hyperlink w:anchor="page174">
              <w:r>
                <w:rPr>
                  <w:rFonts w:ascii="Arial" w:cs="Arial" w:eastAsia="Arial" w:hAnsi="Arial"/>
                  <w:sz w:val="17"/>
                  <w:szCs w:val="17"/>
                  <w:color w:val="auto"/>
                  <w:w w:val="84"/>
                </w:rPr>
                <w:t>79</w:t>
              </w:r>
            </w:hyperlink>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0340" w:type="dxa"/>
            <w:vAlign w:val="bottom"/>
            <w:gridSpan w:val="4"/>
          </w:tcPr>
          <w:p>
            <w:pPr>
              <w:spacing w:after="0" w:line="194" w:lineRule="exact"/>
              <w:rPr>
                <w:sz w:val="20"/>
                <w:szCs w:val="20"/>
                <w:color w:val="auto"/>
              </w:rPr>
            </w:pPr>
            <w:r>
              <w:rPr>
                <w:rFonts w:ascii="Arial" w:cs="Arial" w:eastAsia="Arial" w:hAnsi="Arial"/>
                <w:sz w:val="17"/>
                <w:szCs w:val="17"/>
                <w:color w:val="auto"/>
              </w:rPr>
              <w:t>ARTICLE 2 The Credits</w:t>
            </w:r>
          </w:p>
        </w:tc>
        <w:tc>
          <w:tcPr>
            <w:tcW w:w="180" w:type="dxa"/>
            <w:vAlign w:val="bottom"/>
            <w:tcBorders>
              <w:bottom w:val="single" w:sz="8" w:color="auto"/>
            </w:tcBorders>
            <w:gridSpan w:val="2"/>
          </w:tcPr>
          <w:p>
            <w:pPr>
              <w:spacing w:after="0" w:line="194" w:lineRule="exact"/>
              <w:rPr>
                <w:rFonts w:ascii="Arial" w:cs="Arial" w:eastAsia="Arial" w:hAnsi="Arial"/>
                <w:sz w:val="17"/>
                <w:szCs w:val="17"/>
                <w:color w:val="auto"/>
                <w:w w:val="84"/>
              </w:rPr>
            </w:pPr>
            <w:hyperlink w:anchor="page174">
              <w:r>
                <w:rPr>
                  <w:rFonts w:ascii="Arial" w:cs="Arial" w:eastAsia="Arial" w:hAnsi="Arial"/>
                  <w:sz w:val="17"/>
                  <w:szCs w:val="17"/>
                  <w:color w:val="auto"/>
                  <w:w w:val="84"/>
                </w:rPr>
                <w:t>80</w:t>
              </w:r>
            </w:hyperlink>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000" w:type="dxa"/>
            <w:vAlign w:val="bottom"/>
          </w:tcPr>
          <w:p>
            <w:pPr>
              <w:spacing w:after="0" w:line="194" w:lineRule="exact"/>
              <w:rPr>
                <w:sz w:val="20"/>
                <w:szCs w:val="20"/>
                <w:color w:val="auto"/>
              </w:rPr>
            </w:pPr>
            <w:r>
              <w:rPr>
                <w:rFonts w:ascii="Arial" w:cs="Arial" w:eastAsia="Arial" w:hAnsi="Arial"/>
                <w:sz w:val="17"/>
                <w:szCs w:val="17"/>
                <w:color w:val="auto"/>
                <w:w w:val="98"/>
              </w:rPr>
              <w:t>Section 2.01.</w:t>
            </w:r>
          </w:p>
        </w:tc>
        <w:tc>
          <w:tcPr>
            <w:tcW w:w="9340" w:type="dxa"/>
            <w:vAlign w:val="bottom"/>
            <w:gridSpan w:val="3"/>
          </w:tcPr>
          <w:p>
            <w:pPr>
              <w:ind w:left="100"/>
              <w:spacing w:after="0" w:line="194" w:lineRule="exact"/>
              <w:rPr>
                <w:sz w:val="20"/>
                <w:szCs w:val="20"/>
                <w:color w:val="auto"/>
              </w:rPr>
            </w:pPr>
            <w:r>
              <w:rPr>
                <w:rFonts w:ascii="Arial" w:cs="Arial" w:eastAsia="Arial" w:hAnsi="Arial"/>
                <w:sz w:val="17"/>
                <w:szCs w:val="17"/>
                <w:color w:val="auto"/>
              </w:rPr>
              <w:t>Commitments</w:t>
            </w:r>
          </w:p>
        </w:tc>
        <w:tc>
          <w:tcPr>
            <w:tcW w:w="180" w:type="dxa"/>
            <w:vAlign w:val="bottom"/>
            <w:tcBorders>
              <w:bottom w:val="single" w:sz="8" w:color="auto"/>
            </w:tcBorders>
            <w:gridSpan w:val="2"/>
          </w:tcPr>
          <w:p>
            <w:pPr>
              <w:spacing w:after="0" w:line="194" w:lineRule="exact"/>
              <w:rPr>
                <w:rFonts w:ascii="Arial" w:cs="Arial" w:eastAsia="Arial" w:hAnsi="Arial"/>
                <w:sz w:val="17"/>
                <w:szCs w:val="17"/>
                <w:color w:val="auto"/>
                <w:w w:val="84"/>
              </w:rPr>
            </w:pPr>
            <w:hyperlink w:anchor="page174">
              <w:r>
                <w:rPr>
                  <w:rFonts w:ascii="Arial" w:cs="Arial" w:eastAsia="Arial" w:hAnsi="Arial"/>
                  <w:sz w:val="17"/>
                  <w:szCs w:val="17"/>
                  <w:color w:val="auto"/>
                  <w:w w:val="84"/>
                </w:rPr>
                <w:t>80</w:t>
              </w:r>
            </w:hyperlink>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0340" w:type="dxa"/>
            <w:vAlign w:val="bottom"/>
            <w:gridSpan w:val="4"/>
          </w:tcPr>
          <w:p>
            <w:pPr>
              <w:spacing w:after="0" w:line="194" w:lineRule="exact"/>
              <w:rPr>
                <w:sz w:val="20"/>
                <w:szCs w:val="20"/>
                <w:color w:val="auto"/>
              </w:rPr>
            </w:pPr>
            <w:r>
              <w:rPr>
                <w:rFonts w:ascii="Arial" w:cs="Arial" w:eastAsia="Arial" w:hAnsi="Arial"/>
                <w:sz w:val="17"/>
                <w:szCs w:val="17"/>
                <w:color w:val="auto"/>
              </w:rPr>
              <w:t>Section 2.02.  Loans and Borrowings</w:t>
            </w:r>
          </w:p>
        </w:tc>
        <w:tc>
          <w:tcPr>
            <w:tcW w:w="180" w:type="dxa"/>
            <w:vAlign w:val="bottom"/>
            <w:tcBorders>
              <w:bottom w:val="single" w:sz="8" w:color="auto"/>
            </w:tcBorders>
            <w:gridSpan w:val="2"/>
          </w:tcPr>
          <w:p>
            <w:pPr>
              <w:spacing w:after="0" w:line="194" w:lineRule="exact"/>
              <w:rPr>
                <w:rFonts w:ascii="Arial" w:cs="Arial" w:eastAsia="Arial" w:hAnsi="Arial"/>
                <w:sz w:val="17"/>
                <w:szCs w:val="17"/>
                <w:color w:val="auto"/>
                <w:w w:val="84"/>
              </w:rPr>
            </w:pPr>
            <w:hyperlink w:anchor="page174">
              <w:r>
                <w:rPr>
                  <w:rFonts w:ascii="Arial" w:cs="Arial" w:eastAsia="Arial" w:hAnsi="Arial"/>
                  <w:sz w:val="17"/>
                  <w:szCs w:val="17"/>
                  <w:color w:val="auto"/>
                  <w:w w:val="84"/>
                </w:rPr>
                <w:t>80</w:t>
              </w:r>
            </w:hyperlink>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0340" w:type="dxa"/>
            <w:vAlign w:val="bottom"/>
            <w:gridSpan w:val="4"/>
          </w:tcPr>
          <w:p>
            <w:pPr>
              <w:spacing w:after="0" w:line="194" w:lineRule="exact"/>
              <w:rPr>
                <w:sz w:val="20"/>
                <w:szCs w:val="20"/>
                <w:color w:val="auto"/>
              </w:rPr>
            </w:pPr>
            <w:r>
              <w:rPr>
                <w:rFonts w:ascii="Arial" w:cs="Arial" w:eastAsia="Arial" w:hAnsi="Arial"/>
                <w:sz w:val="17"/>
                <w:szCs w:val="17"/>
                <w:color w:val="auto"/>
              </w:rPr>
              <w:t>Section 2.03.  Requests for Borrowings</w:t>
            </w:r>
          </w:p>
        </w:tc>
        <w:tc>
          <w:tcPr>
            <w:tcW w:w="180" w:type="dxa"/>
            <w:vAlign w:val="bottom"/>
            <w:tcBorders>
              <w:bottom w:val="single" w:sz="8" w:color="auto"/>
            </w:tcBorders>
            <w:gridSpan w:val="2"/>
          </w:tcPr>
          <w:p>
            <w:pPr>
              <w:spacing w:after="0" w:line="194" w:lineRule="exact"/>
              <w:rPr>
                <w:rFonts w:ascii="Arial" w:cs="Arial" w:eastAsia="Arial" w:hAnsi="Arial"/>
                <w:sz w:val="17"/>
                <w:szCs w:val="17"/>
                <w:color w:val="auto"/>
                <w:w w:val="84"/>
              </w:rPr>
            </w:pPr>
            <w:hyperlink w:anchor="page174">
              <w:r>
                <w:rPr>
                  <w:rFonts w:ascii="Arial" w:cs="Arial" w:eastAsia="Arial" w:hAnsi="Arial"/>
                  <w:sz w:val="17"/>
                  <w:szCs w:val="17"/>
                  <w:color w:val="auto"/>
                  <w:w w:val="84"/>
                </w:rPr>
                <w:t>81</w:t>
              </w:r>
            </w:hyperlink>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0340" w:type="dxa"/>
            <w:vAlign w:val="bottom"/>
            <w:gridSpan w:val="4"/>
          </w:tcPr>
          <w:p>
            <w:pPr>
              <w:spacing w:after="0" w:line="194" w:lineRule="exact"/>
              <w:rPr>
                <w:sz w:val="20"/>
                <w:szCs w:val="20"/>
                <w:color w:val="auto"/>
              </w:rPr>
            </w:pPr>
            <w:r>
              <w:rPr>
                <w:rFonts w:ascii="Arial" w:cs="Arial" w:eastAsia="Arial" w:hAnsi="Arial"/>
                <w:sz w:val="17"/>
                <w:szCs w:val="17"/>
                <w:color w:val="auto"/>
              </w:rPr>
              <w:t>Section 2.04.  Funding of Borrowings</w:t>
            </w:r>
          </w:p>
        </w:tc>
        <w:tc>
          <w:tcPr>
            <w:tcW w:w="180" w:type="dxa"/>
            <w:vAlign w:val="bottom"/>
            <w:tcBorders>
              <w:bottom w:val="single" w:sz="8" w:color="auto"/>
            </w:tcBorders>
            <w:gridSpan w:val="2"/>
          </w:tcPr>
          <w:p>
            <w:pPr>
              <w:spacing w:after="0" w:line="194" w:lineRule="exact"/>
              <w:rPr>
                <w:rFonts w:ascii="Arial" w:cs="Arial" w:eastAsia="Arial" w:hAnsi="Arial"/>
                <w:sz w:val="17"/>
                <w:szCs w:val="17"/>
                <w:color w:val="auto"/>
                <w:w w:val="84"/>
              </w:rPr>
            </w:pPr>
            <w:hyperlink w:anchor="page174">
              <w:r>
                <w:rPr>
                  <w:rFonts w:ascii="Arial" w:cs="Arial" w:eastAsia="Arial" w:hAnsi="Arial"/>
                  <w:sz w:val="17"/>
                  <w:szCs w:val="17"/>
                  <w:color w:val="auto"/>
                  <w:w w:val="84"/>
                </w:rPr>
                <w:t>82</w:t>
              </w:r>
            </w:hyperlink>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000" w:type="dxa"/>
            <w:vAlign w:val="bottom"/>
          </w:tcPr>
          <w:p>
            <w:pPr>
              <w:spacing w:after="0" w:line="194" w:lineRule="exact"/>
              <w:rPr>
                <w:sz w:val="20"/>
                <w:szCs w:val="20"/>
                <w:color w:val="auto"/>
              </w:rPr>
            </w:pPr>
            <w:r>
              <w:rPr>
                <w:rFonts w:ascii="Arial" w:cs="Arial" w:eastAsia="Arial" w:hAnsi="Arial"/>
                <w:sz w:val="17"/>
                <w:szCs w:val="17"/>
                <w:color w:val="auto"/>
                <w:w w:val="98"/>
              </w:rPr>
              <w:t>Section 2.05.</w:t>
            </w:r>
          </w:p>
        </w:tc>
        <w:tc>
          <w:tcPr>
            <w:tcW w:w="9340" w:type="dxa"/>
            <w:vAlign w:val="bottom"/>
            <w:gridSpan w:val="3"/>
          </w:tcPr>
          <w:p>
            <w:pPr>
              <w:ind w:left="100"/>
              <w:spacing w:after="0" w:line="194" w:lineRule="exact"/>
              <w:rPr>
                <w:sz w:val="20"/>
                <w:szCs w:val="20"/>
                <w:color w:val="auto"/>
              </w:rPr>
            </w:pPr>
            <w:r>
              <w:rPr>
                <w:rFonts w:ascii="Arial" w:cs="Arial" w:eastAsia="Arial" w:hAnsi="Arial"/>
                <w:sz w:val="17"/>
                <w:szCs w:val="17"/>
                <w:color w:val="auto"/>
              </w:rPr>
              <w:t>Interest Elections</w:t>
            </w:r>
          </w:p>
        </w:tc>
        <w:tc>
          <w:tcPr>
            <w:tcW w:w="180" w:type="dxa"/>
            <w:vAlign w:val="bottom"/>
            <w:tcBorders>
              <w:bottom w:val="single" w:sz="8" w:color="auto"/>
            </w:tcBorders>
            <w:gridSpan w:val="2"/>
          </w:tcPr>
          <w:p>
            <w:pPr>
              <w:spacing w:after="0" w:line="194" w:lineRule="exact"/>
              <w:rPr>
                <w:rFonts w:ascii="Arial" w:cs="Arial" w:eastAsia="Arial" w:hAnsi="Arial"/>
                <w:sz w:val="17"/>
                <w:szCs w:val="17"/>
                <w:color w:val="auto"/>
                <w:w w:val="84"/>
              </w:rPr>
            </w:pPr>
            <w:hyperlink w:anchor="page174">
              <w:r>
                <w:rPr>
                  <w:rFonts w:ascii="Arial" w:cs="Arial" w:eastAsia="Arial" w:hAnsi="Arial"/>
                  <w:sz w:val="17"/>
                  <w:szCs w:val="17"/>
                  <w:color w:val="auto"/>
                  <w:w w:val="84"/>
                </w:rPr>
                <w:t>83</w:t>
              </w:r>
            </w:hyperlink>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0340" w:type="dxa"/>
            <w:vAlign w:val="bottom"/>
            <w:gridSpan w:val="4"/>
          </w:tcPr>
          <w:p>
            <w:pPr>
              <w:spacing w:after="0" w:line="194" w:lineRule="exact"/>
              <w:rPr>
                <w:sz w:val="20"/>
                <w:szCs w:val="20"/>
                <w:color w:val="auto"/>
              </w:rPr>
            </w:pPr>
            <w:r>
              <w:rPr>
                <w:rFonts w:ascii="Arial" w:cs="Arial" w:eastAsia="Arial" w:hAnsi="Arial"/>
                <w:sz w:val="17"/>
                <w:szCs w:val="17"/>
                <w:color w:val="auto"/>
              </w:rPr>
              <w:t>Section 2.06.  Termination and Reduction of Commitments</w:t>
            </w:r>
          </w:p>
        </w:tc>
        <w:tc>
          <w:tcPr>
            <w:tcW w:w="180" w:type="dxa"/>
            <w:vAlign w:val="bottom"/>
            <w:tcBorders>
              <w:bottom w:val="single" w:sz="8" w:color="auto"/>
            </w:tcBorders>
            <w:gridSpan w:val="2"/>
          </w:tcPr>
          <w:p>
            <w:pPr>
              <w:spacing w:after="0" w:line="194" w:lineRule="exact"/>
              <w:rPr>
                <w:rFonts w:ascii="Arial" w:cs="Arial" w:eastAsia="Arial" w:hAnsi="Arial"/>
                <w:sz w:val="17"/>
                <w:szCs w:val="17"/>
                <w:color w:val="auto"/>
                <w:w w:val="84"/>
              </w:rPr>
            </w:pPr>
            <w:hyperlink w:anchor="page174">
              <w:r>
                <w:rPr>
                  <w:rFonts w:ascii="Arial" w:cs="Arial" w:eastAsia="Arial" w:hAnsi="Arial"/>
                  <w:sz w:val="17"/>
                  <w:szCs w:val="17"/>
                  <w:color w:val="auto"/>
                  <w:w w:val="84"/>
                </w:rPr>
                <w:t>84</w:t>
              </w:r>
            </w:hyperlink>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0340" w:type="dxa"/>
            <w:vAlign w:val="bottom"/>
            <w:gridSpan w:val="4"/>
          </w:tcPr>
          <w:p>
            <w:pPr>
              <w:spacing w:after="0" w:line="194" w:lineRule="exact"/>
              <w:rPr>
                <w:sz w:val="20"/>
                <w:szCs w:val="20"/>
                <w:color w:val="auto"/>
              </w:rPr>
            </w:pPr>
            <w:r>
              <w:rPr>
                <w:rFonts w:ascii="Arial" w:cs="Arial" w:eastAsia="Arial" w:hAnsi="Arial"/>
                <w:sz w:val="17"/>
                <w:szCs w:val="17"/>
                <w:color w:val="auto"/>
              </w:rPr>
              <w:t>Section 2.07.  Repayment of Loans; Evidence of Debt</w:t>
            </w:r>
          </w:p>
        </w:tc>
        <w:tc>
          <w:tcPr>
            <w:tcW w:w="180" w:type="dxa"/>
            <w:vAlign w:val="bottom"/>
            <w:tcBorders>
              <w:bottom w:val="single" w:sz="8" w:color="auto"/>
            </w:tcBorders>
            <w:gridSpan w:val="2"/>
          </w:tcPr>
          <w:p>
            <w:pPr>
              <w:spacing w:after="0" w:line="194" w:lineRule="exact"/>
              <w:rPr>
                <w:rFonts w:ascii="Arial" w:cs="Arial" w:eastAsia="Arial" w:hAnsi="Arial"/>
                <w:sz w:val="17"/>
                <w:szCs w:val="17"/>
                <w:color w:val="auto"/>
                <w:w w:val="84"/>
              </w:rPr>
            </w:pPr>
            <w:hyperlink w:anchor="page174">
              <w:r>
                <w:rPr>
                  <w:rFonts w:ascii="Arial" w:cs="Arial" w:eastAsia="Arial" w:hAnsi="Arial"/>
                  <w:sz w:val="17"/>
                  <w:szCs w:val="17"/>
                  <w:color w:val="auto"/>
                  <w:w w:val="84"/>
                </w:rPr>
                <w:t>84</w:t>
              </w:r>
            </w:hyperlink>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0340" w:type="dxa"/>
            <w:vAlign w:val="bottom"/>
            <w:gridSpan w:val="4"/>
          </w:tcPr>
          <w:p>
            <w:pPr>
              <w:spacing w:after="0" w:line="194" w:lineRule="exact"/>
              <w:rPr>
                <w:sz w:val="20"/>
                <w:szCs w:val="20"/>
                <w:color w:val="auto"/>
              </w:rPr>
            </w:pPr>
            <w:r>
              <w:rPr>
                <w:rFonts w:ascii="Arial" w:cs="Arial" w:eastAsia="Arial" w:hAnsi="Arial"/>
                <w:sz w:val="17"/>
                <w:szCs w:val="17"/>
                <w:color w:val="auto"/>
              </w:rPr>
              <w:t>Section 2.08.  Amortization of Term Loans</w:t>
            </w:r>
          </w:p>
        </w:tc>
        <w:tc>
          <w:tcPr>
            <w:tcW w:w="180" w:type="dxa"/>
            <w:vAlign w:val="bottom"/>
            <w:tcBorders>
              <w:bottom w:val="single" w:sz="8" w:color="auto"/>
            </w:tcBorders>
            <w:gridSpan w:val="2"/>
          </w:tcPr>
          <w:p>
            <w:pPr>
              <w:spacing w:after="0" w:line="194" w:lineRule="exact"/>
              <w:rPr>
                <w:rFonts w:ascii="Arial" w:cs="Arial" w:eastAsia="Arial" w:hAnsi="Arial"/>
                <w:sz w:val="17"/>
                <w:szCs w:val="17"/>
                <w:color w:val="auto"/>
                <w:w w:val="84"/>
              </w:rPr>
            </w:pPr>
            <w:hyperlink w:anchor="page174">
              <w:r>
                <w:rPr>
                  <w:rFonts w:ascii="Arial" w:cs="Arial" w:eastAsia="Arial" w:hAnsi="Arial"/>
                  <w:sz w:val="17"/>
                  <w:szCs w:val="17"/>
                  <w:color w:val="auto"/>
                  <w:w w:val="84"/>
                </w:rPr>
                <w:t>85</w:t>
              </w:r>
            </w:hyperlink>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0340" w:type="dxa"/>
            <w:vAlign w:val="bottom"/>
            <w:gridSpan w:val="4"/>
          </w:tcPr>
          <w:p>
            <w:pPr>
              <w:spacing w:after="0" w:line="194" w:lineRule="exact"/>
              <w:rPr>
                <w:sz w:val="20"/>
                <w:szCs w:val="20"/>
                <w:color w:val="auto"/>
              </w:rPr>
            </w:pPr>
            <w:r>
              <w:rPr>
                <w:rFonts w:ascii="Arial" w:cs="Arial" w:eastAsia="Arial" w:hAnsi="Arial"/>
                <w:sz w:val="17"/>
                <w:szCs w:val="17"/>
                <w:color w:val="auto"/>
              </w:rPr>
              <w:t>Section 2.09.  Prepayment of Loans</w:t>
            </w:r>
          </w:p>
        </w:tc>
        <w:tc>
          <w:tcPr>
            <w:tcW w:w="180" w:type="dxa"/>
            <w:vAlign w:val="bottom"/>
            <w:tcBorders>
              <w:bottom w:val="single" w:sz="8" w:color="auto"/>
            </w:tcBorders>
            <w:gridSpan w:val="2"/>
          </w:tcPr>
          <w:p>
            <w:pPr>
              <w:spacing w:after="0" w:line="194" w:lineRule="exact"/>
              <w:rPr>
                <w:rFonts w:ascii="Arial" w:cs="Arial" w:eastAsia="Arial" w:hAnsi="Arial"/>
                <w:sz w:val="17"/>
                <w:szCs w:val="17"/>
                <w:color w:val="auto"/>
                <w:w w:val="84"/>
              </w:rPr>
            </w:pPr>
            <w:hyperlink w:anchor="page174">
              <w:r>
                <w:rPr>
                  <w:rFonts w:ascii="Arial" w:cs="Arial" w:eastAsia="Arial" w:hAnsi="Arial"/>
                  <w:sz w:val="17"/>
                  <w:szCs w:val="17"/>
                  <w:color w:val="auto"/>
                  <w:w w:val="84"/>
                </w:rPr>
                <w:t>86</w:t>
              </w:r>
            </w:hyperlink>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000" w:type="dxa"/>
            <w:vAlign w:val="bottom"/>
          </w:tcPr>
          <w:p>
            <w:pPr>
              <w:spacing w:after="0" w:line="194" w:lineRule="exact"/>
              <w:rPr>
                <w:sz w:val="20"/>
                <w:szCs w:val="20"/>
                <w:color w:val="auto"/>
              </w:rPr>
            </w:pPr>
            <w:r>
              <w:rPr>
                <w:rFonts w:ascii="Arial" w:cs="Arial" w:eastAsia="Arial" w:hAnsi="Arial"/>
                <w:sz w:val="17"/>
                <w:szCs w:val="17"/>
                <w:color w:val="auto"/>
                <w:w w:val="98"/>
              </w:rPr>
              <w:t>Section 2.10.</w:t>
            </w:r>
          </w:p>
        </w:tc>
        <w:tc>
          <w:tcPr>
            <w:tcW w:w="9340" w:type="dxa"/>
            <w:vAlign w:val="bottom"/>
            <w:gridSpan w:val="3"/>
          </w:tcPr>
          <w:p>
            <w:pPr>
              <w:ind w:left="100"/>
              <w:spacing w:after="0" w:line="194" w:lineRule="exact"/>
              <w:rPr>
                <w:sz w:val="20"/>
                <w:szCs w:val="20"/>
                <w:color w:val="auto"/>
              </w:rPr>
            </w:pPr>
            <w:r>
              <w:rPr>
                <w:rFonts w:ascii="Arial" w:cs="Arial" w:eastAsia="Arial" w:hAnsi="Arial"/>
                <w:sz w:val="17"/>
                <w:szCs w:val="17"/>
                <w:color w:val="auto"/>
              </w:rPr>
              <w:t>Fees</w:t>
            </w:r>
          </w:p>
        </w:tc>
        <w:tc>
          <w:tcPr>
            <w:tcW w:w="180" w:type="dxa"/>
            <w:vAlign w:val="bottom"/>
            <w:tcBorders>
              <w:bottom w:val="single" w:sz="8" w:color="auto"/>
            </w:tcBorders>
            <w:gridSpan w:val="2"/>
          </w:tcPr>
          <w:p>
            <w:pPr>
              <w:spacing w:after="0" w:line="194" w:lineRule="exact"/>
              <w:rPr>
                <w:rFonts w:ascii="Arial" w:cs="Arial" w:eastAsia="Arial" w:hAnsi="Arial"/>
                <w:sz w:val="17"/>
                <w:szCs w:val="17"/>
                <w:color w:val="auto"/>
                <w:w w:val="84"/>
              </w:rPr>
            </w:pPr>
            <w:hyperlink w:anchor="page174">
              <w:r>
                <w:rPr>
                  <w:rFonts w:ascii="Arial" w:cs="Arial" w:eastAsia="Arial" w:hAnsi="Arial"/>
                  <w:sz w:val="17"/>
                  <w:szCs w:val="17"/>
                  <w:color w:val="auto"/>
                  <w:w w:val="84"/>
                </w:rPr>
                <w:t>97</w:t>
              </w:r>
            </w:hyperlink>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000" w:type="dxa"/>
            <w:vAlign w:val="bottom"/>
          </w:tcPr>
          <w:p>
            <w:pPr>
              <w:spacing w:after="0" w:line="194" w:lineRule="exact"/>
              <w:rPr>
                <w:sz w:val="20"/>
                <w:szCs w:val="20"/>
                <w:color w:val="auto"/>
              </w:rPr>
            </w:pPr>
            <w:r>
              <w:rPr>
                <w:rFonts w:ascii="Arial" w:cs="Arial" w:eastAsia="Arial" w:hAnsi="Arial"/>
                <w:sz w:val="17"/>
                <w:szCs w:val="17"/>
                <w:color w:val="auto"/>
                <w:w w:val="98"/>
              </w:rPr>
              <w:t>Section 2.11.</w:t>
            </w:r>
          </w:p>
        </w:tc>
        <w:tc>
          <w:tcPr>
            <w:tcW w:w="9340" w:type="dxa"/>
            <w:vAlign w:val="bottom"/>
            <w:gridSpan w:val="3"/>
          </w:tcPr>
          <w:p>
            <w:pPr>
              <w:ind w:left="100"/>
              <w:spacing w:after="0" w:line="194" w:lineRule="exact"/>
              <w:rPr>
                <w:sz w:val="20"/>
                <w:szCs w:val="20"/>
                <w:color w:val="auto"/>
              </w:rPr>
            </w:pPr>
            <w:r>
              <w:rPr>
                <w:rFonts w:ascii="Arial" w:cs="Arial" w:eastAsia="Arial" w:hAnsi="Arial"/>
                <w:sz w:val="17"/>
                <w:szCs w:val="17"/>
                <w:color w:val="auto"/>
              </w:rPr>
              <w:t>Interest</w:t>
            </w:r>
          </w:p>
        </w:tc>
        <w:tc>
          <w:tcPr>
            <w:tcW w:w="180" w:type="dxa"/>
            <w:vAlign w:val="bottom"/>
            <w:tcBorders>
              <w:bottom w:val="single" w:sz="8" w:color="auto"/>
            </w:tcBorders>
            <w:gridSpan w:val="2"/>
          </w:tcPr>
          <w:p>
            <w:pPr>
              <w:spacing w:after="0" w:line="194" w:lineRule="exact"/>
              <w:rPr>
                <w:rFonts w:ascii="Arial" w:cs="Arial" w:eastAsia="Arial" w:hAnsi="Arial"/>
                <w:sz w:val="17"/>
                <w:szCs w:val="17"/>
                <w:color w:val="auto"/>
                <w:w w:val="84"/>
              </w:rPr>
            </w:pPr>
            <w:hyperlink w:anchor="page174">
              <w:r>
                <w:rPr>
                  <w:rFonts w:ascii="Arial" w:cs="Arial" w:eastAsia="Arial" w:hAnsi="Arial"/>
                  <w:sz w:val="17"/>
                  <w:szCs w:val="17"/>
                  <w:color w:val="auto"/>
                  <w:w w:val="84"/>
                </w:rPr>
                <w:t>98</w:t>
              </w:r>
            </w:hyperlink>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0340" w:type="dxa"/>
            <w:vAlign w:val="bottom"/>
            <w:gridSpan w:val="4"/>
          </w:tcPr>
          <w:p>
            <w:pPr>
              <w:spacing w:after="0" w:line="194" w:lineRule="exact"/>
              <w:rPr>
                <w:sz w:val="20"/>
                <w:szCs w:val="20"/>
                <w:color w:val="auto"/>
              </w:rPr>
            </w:pPr>
            <w:r>
              <w:rPr>
                <w:rFonts w:ascii="Arial" w:cs="Arial" w:eastAsia="Arial" w:hAnsi="Arial"/>
                <w:sz w:val="17"/>
                <w:szCs w:val="17"/>
                <w:color w:val="auto"/>
              </w:rPr>
              <w:t>Section 2.12.  Alternate Rate of Interest</w:t>
            </w:r>
          </w:p>
        </w:tc>
        <w:tc>
          <w:tcPr>
            <w:tcW w:w="180" w:type="dxa"/>
            <w:vAlign w:val="bottom"/>
            <w:tcBorders>
              <w:bottom w:val="single" w:sz="8" w:color="auto"/>
            </w:tcBorders>
            <w:gridSpan w:val="2"/>
          </w:tcPr>
          <w:p>
            <w:pPr>
              <w:spacing w:after="0" w:line="194" w:lineRule="exact"/>
              <w:rPr>
                <w:rFonts w:ascii="Arial" w:cs="Arial" w:eastAsia="Arial" w:hAnsi="Arial"/>
                <w:sz w:val="17"/>
                <w:szCs w:val="17"/>
                <w:color w:val="auto"/>
                <w:w w:val="84"/>
              </w:rPr>
            </w:pPr>
            <w:hyperlink w:anchor="page174">
              <w:r>
                <w:rPr>
                  <w:rFonts w:ascii="Arial" w:cs="Arial" w:eastAsia="Arial" w:hAnsi="Arial"/>
                  <w:sz w:val="17"/>
                  <w:szCs w:val="17"/>
                  <w:color w:val="auto"/>
                  <w:w w:val="84"/>
                </w:rPr>
                <w:t>99</w:t>
              </w:r>
            </w:hyperlink>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000" w:type="dxa"/>
            <w:vAlign w:val="bottom"/>
          </w:tcPr>
          <w:p>
            <w:pPr>
              <w:spacing w:after="0" w:line="194" w:lineRule="exact"/>
              <w:rPr>
                <w:sz w:val="20"/>
                <w:szCs w:val="20"/>
                <w:color w:val="auto"/>
              </w:rPr>
            </w:pPr>
            <w:r>
              <w:rPr>
                <w:rFonts w:ascii="Arial" w:cs="Arial" w:eastAsia="Arial" w:hAnsi="Arial"/>
                <w:sz w:val="17"/>
                <w:szCs w:val="17"/>
                <w:color w:val="auto"/>
                <w:w w:val="98"/>
              </w:rPr>
              <w:t>Section 2.13.</w:t>
            </w:r>
          </w:p>
        </w:tc>
        <w:tc>
          <w:tcPr>
            <w:tcW w:w="9340" w:type="dxa"/>
            <w:vAlign w:val="bottom"/>
            <w:gridSpan w:val="3"/>
          </w:tcPr>
          <w:p>
            <w:pPr>
              <w:ind w:left="100"/>
              <w:spacing w:after="0" w:line="194" w:lineRule="exact"/>
              <w:rPr>
                <w:sz w:val="20"/>
                <w:szCs w:val="20"/>
                <w:color w:val="auto"/>
              </w:rPr>
            </w:pPr>
            <w:r>
              <w:rPr>
                <w:rFonts w:ascii="Arial" w:cs="Arial" w:eastAsia="Arial" w:hAnsi="Arial"/>
                <w:sz w:val="17"/>
                <w:szCs w:val="17"/>
                <w:color w:val="auto"/>
              </w:rPr>
              <w:t>Increased Costs</w:t>
            </w:r>
          </w:p>
        </w:tc>
        <w:tc>
          <w:tcPr>
            <w:tcW w:w="260" w:type="dxa"/>
            <w:vAlign w:val="bottom"/>
            <w:tcBorders>
              <w:bottom w:val="single" w:sz="8" w:color="auto"/>
            </w:tcBorders>
            <w:gridSpan w:val="3"/>
          </w:tcPr>
          <w:p>
            <w:pPr>
              <w:spacing w:after="0" w:line="194" w:lineRule="exact"/>
              <w:rPr>
                <w:rFonts w:ascii="Arial" w:cs="Arial" w:eastAsia="Arial" w:hAnsi="Arial"/>
                <w:sz w:val="17"/>
                <w:szCs w:val="17"/>
                <w:color w:val="auto"/>
                <w:w w:val="84"/>
              </w:rPr>
            </w:pPr>
            <w:hyperlink w:anchor="page174">
              <w:r>
                <w:rPr>
                  <w:rFonts w:ascii="Arial" w:cs="Arial" w:eastAsia="Arial" w:hAnsi="Arial"/>
                  <w:sz w:val="17"/>
                  <w:szCs w:val="17"/>
                  <w:color w:val="auto"/>
                  <w:w w:val="84"/>
                </w:rPr>
                <w:t>102</w:t>
              </w:r>
            </w:hyperlink>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0340" w:type="dxa"/>
            <w:vAlign w:val="bottom"/>
            <w:gridSpan w:val="4"/>
          </w:tcPr>
          <w:p>
            <w:pPr>
              <w:spacing w:after="0" w:line="194" w:lineRule="exact"/>
              <w:rPr>
                <w:sz w:val="20"/>
                <w:szCs w:val="20"/>
                <w:color w:val="auto"/>
              </w:rPr>
            </w:pPr>
            <w:r>
              <w:rPr>
                <w:rFonts w:ascii="Arial" w:cs="Arial" w:eastAsia="Arial" w:hAnsi="Arial"/>
                <w:sz w:val="17"/>
                <w:szCs w:val="17"/>
                <w:color w:val="auto"/>
              </w:rPr>
              <w:t>Section 2.14.  Break Funding Payments</w:t>
            </w:r>
          </w:p>
        </w:tc>
        <w:tc>
          <w:tcPr>
            <w:tcW w:w="260" w:type="dxa"/>
            <w:vAlign w:val="bottom"/>
            <w:tcBorders>
              <w:bottom w:val="single" w:sz="8" w:color="auto"/>
            </w:tcBorders>
            <w:gridSpan w:val="3"/>
          </w:tcPr>
          <w:p>
            <w:pPr>
              <w:spacing w:after="0" w:line="194" w:lineRule="exact"/>
              <w:rPr>
                <w:rFonts w:ascii="Arial" w:cs="Arial" w:eastAsia="Arial" w:hAnsi="Arial"/>
                <w:sz w:val="17"/>
                <w:szCs w:val="17"/>
                <w:color w:val="auto"/>
                <w:w w:val="84"/>
              </w:rPr>
            </w:pPr>
            <w:hyperlink w:anchor="page174">
              <w:r>
                <w:rPr>
                  <w:rFonts w:ascii="Arial" w:cs="Arial" w:eastAsia="Arial" w:hAnsi="Arial"/>
                  <w:sz w:val="17"/>
                  <w:szCs w:val="17"/>
                  <w:color w:val="auto"/>
                  <w:w w:val="84"/>
                </w:rPr>
                <w:t>103</w:t>
              </w:r>
            </w:hyperlink>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000" w:type="dxa"/>
            <w:vAlign w:val="bottom"/>
          </w:tcPr>
          <w:p>
            <w:pPr>
              <w:spacing w:after="0" w:line="194" w:lineRule="exact"/>
              <w:rPr>
                <w:sz w:val="20"/>
                <w:szCs w:val="20"/>
                <w:color w:val="auto"/>
              </w:rPr>
            </w:pPr>
            <w:r>
              <w:rPr>
                <w:rFonts w:ascii="Arial" w:cs="Arial" w:eastAsia="Arial" w:hAnsi="Arial"/>
                <w:sz w:val="17"/>
                <w:szCs w:val="17"/>
                <w:color w:val="auto"/>
                <w:w w:val="98"/>
              </w:rPr>
              <w:t>Section 2.15.</w:t>
            </w:r>
          </w:p>
        </w:tc>
        <w:tc>
          <w:tcPr>
            <w:tcW w:w="9340" w:type="dxa"/>
            <w:vAlign w:val="bottom"/>
            <w:gridSpan w:val="3"/>
          </w:tcPr>
          <w:p>
            <w:pPr>
              <w:ind w:left="100"/>
              <w:spacing w:after="0" w:line="194" w:lineRule="exact"/>
              <w:rPr>
                <w:sz w:val="20"/>
                <w:szCs w:val="20"/>
                <w:color w:val="auto"/>
              </w:rPr>
            </w:pPr>
            <w:r>
              <w:rPr>
                <w:rFonts w:ascii="Arial" w:cs="Arial" w:eastAsia="Arial" w:hAnsi="Arial"/>
                <w:sz w:val="17"/>
                <w:szCs w:val="17"/>
                <w:color w:val="auto"/>
              </w:rPr>
              <w:t>Taxes</w:t>
            </w:r>
          </w:p>
        </w:tc>
        <w:tc>
          <w:tcPr>
            <w:tcW w:w="260" w:type="dxa"/>
            <w:vAlign w:val="bottom"/>
            <w:tcBorders>
              <w:bottom w:val="single" w:sz="8" w:color="auto"/>
            </w:tcBorders>
            <w:gridSpan w:val="3"/>
          </w:tcPr>
          <w:p>
            <w:pPr>
              <w:spacing w:after="0" w:line="194" w:lineRule="exact"/>
              <w:rPr>
                <w:rFonts w:ascii="Arial" w:cs="Arial" w:eastAsia="Arial" w:hAnsi="Arial"/>
                <w:sz w:val="17"/>
                <w:szCs w:val="17"/>
                <w:color w:val="auto"/>
                <w:w w:val="84"/>
              </w:rPr>
            </w:pPr>
            <w:hyperlink w:anchor="page174">
              <w:r>
                <w:rPr>
                  <w:rFonts w:ascii="Arial" w:cs="Arial" w:eastAsia="Arial" w:hAnsi="Arial"/>
                  <w:sz w:val="17"/>
                  <w:szCs w:val="17"/>
                  <w:color w:val="auto"/>
                  <w:w w:val="84"/>
                </w:rPr>
                <w:t>103</w:t>
              </w:r>
            </w:hyperlink>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0340" w:type="dxa"/>
            <w:vAlign w:val="bottom"/>
            <w:gridSpan w:val="4"/>
          </w:tcPr>
          <w:p>
            <w:pPr>
              <w:spacing w:after="0" w:line="194" w:lineRule="exact"/>
              <w:rPr>
                <w:sz w:val="20"/>
                <w:szCs w:val="20"/>
                <w:color w:val="auto"/>
              </w:rPr>
            </w:pPr>
            <w:r>
              <w:rPr>
                <w:rFonts w:ascii="Arial" w:cs="Arial" w:eastAsia="Arial" w:hAnsi="Arial"/>
                <w:sz w:val="17"/>
                <w:szCs w:val="17"/>
                <w:color w:val="auto"/>
              </w:rPr>
              <w:t>Section 2.16.  Payments Generally; Pro Rata Treatment; Sharing of Setoffs</w:t>
            </w:r>
          </w:p>
        </w:tc>
        <w:tc>
          <w:tcPr>
            <w:tcW w:w="260" w:type="dxa"/>
            <w:vAlign w:val="bottom"/>
            <w:tcBorders>
              <w:bottom w:val="single" w:sz="8" w:color="auto"/>
            </w:tcBorders>
            <w:gridSpan w:val="3"/>
          </w:tcPr>
          <w:p>
            <w:pPr>
              <w:spacing w:after="0" w:line="194" w:lineRule="exact"/>
              <w:rPr>
                <w:rFonts w:ascii="Arial" w:cs="Arial" w:eastAsia="Arial" w:hAnsi="Arial"/>
                <w:sz w:val="17"/>
                <w:szCs w:val="17"/>
                <w:color w:val="auto"/>
                <w:w w:val="84"/>
              </w:rPr>
            </w:pPr>
            <w:hyperlink w:anchor="page174">
              <w:r>
                <w:rPr>
                  <w:rFonts w:ascii="Arial" w:cs="Arial" w:eastAsia="Arial" w:hAnsi="Arial"/>
                  <w:sz w:val="17"/>
                  <w:szCs w:val="17"/>
                  <w:color w:val="auto"/>
                  <w:w w:val="84"/>
                </w:rPr>
                <w:t>107</w:t>
              </w:r>
            </w:hyperlink>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0340" w:type="dxa"/>
            <w:vAlign w:val="bottom"/>
            <w:gridSpan w:val="4"/>
          </w:tcPr>
          <w:p>
            <w:pPr>
              <w:spacing w:after="0" w:line="194" w:lineRule="exact"/>
              <w:rPr>
                <w:sz w:val="20"/>
                <w:szCs w:val="20"/>
                <w:color w:val="auto"/>
              </w:rPr>
            </w:pPr>
            <w:r>
              <w:rPr>
                <w:rFonts w:ascii="Arial" w:cs="Arial" w:eastAsia="Arial" w:hAnsi="Arial"/>
                <w:sz w:val="17"/>
                <w:szCs w:val="17"/>
                <w:color w:val="auto"/>
              </w:rPr>
              <w:t>Section 2.17.  Mitigation Obligations; Replacement of Lenders</w:t>
            </w:r>
          </w:p>
        </w:tc>
        <w:tc>
          <w:tcPr>
            <w:tcW w:w="260" w:type="dxa"/>
            <w:vAlign w:val="bottom"/>
            <w:tcBorders>
              <w:bottom w:val="single" w:sz="8" w:color="auto"/>
            </w:tcBorders>
            <w:gridSpan w:val="3"/>
          </w:tcPr>
          <w:p>
            <w:pPr>
              <w:spacing w:after="0" w:line="194" w:lineRule="exact"/>
              <w:rPr>
                <w:rFonts w:ascii="Arial" w:cs="Arial" w:eastAsia="Arial" w:hAnsi="Arial"/>
                <w:sz w:val="17"/>
                <w:szCs w:val="17"/>
                <w:color w:val="auto"/>
                <w:w w:val="84"/>
              </w:rPr>
            </w:pPr>
            <w:hyperlink w:anchor="page174">
              <w:r>
                <w:rPr>
                  <w:rFonts w:ascii="Arial" w:cs="Arial" w:eastAsia="Arial" w:hAnsi="Arial"/>
                  <w:sz w:val="17"/>
                  <w:szCs w:val="17"/>
                  <w:color w:val="auto"/>
                  <w:w w:val="84"/>
                </w:rPr>
                <w:t>108</w:t>
              </w:r>
            </w:hyperlink>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0340" w:type="dxa"/>
            <w:vAlign w:val="bottom"/>
            <w:gridSpan w:val="4"/>
          </w:tcPr>
          <w:p>
            <w:pPr>
              <w:spacing w:after="0" w:line="194" w:lineRule="exact"/>
              <w:rPr>
                <w:sz w:val="20"/>
                <w:szCs w:val="20"/>
                <w:color w:val="auto"/>
              </w:rPr>
            </w:pPr>
            <w:r>
              <w:rPr>
                <w:rFonts w:ascii="Arial" w:cs="Arial" w:eastAsia="Arial" w:hAnsi="Arial"/>
                <w:sz w:val="17"/>
                <w:szCs w:val="17"/>
                <w:color w:val="auto"/>
              </w:rPr>
              <w:t>Section 2.18.  Incremental Credit Extensions</w:t>
            </w:r>
          </w:p>
        </w:tc>
        <w:tc>
          <w:tcPr>
            <w:tcW w:w="260" w:type="dxa"/>
            <w:vAlign w:val="bottom"/>
            <w:tcBorders>
              <w:bottom w:val="single" w:sz="8" w:color="auto"/>
            </w:tcBorders>
            <w:gridSpan w:val="3"/>
          </w:tcPr>
          <w:p>
            <w:pPr>
              <w:spacing w:after="0" w:line="194" w:lineRule="exact"/>
              <w:rPr>
                <w:rFonts w:ascii="Arial" w:cs="Arial" w:eastAsia="Arial" w:hAnsi="Arial"/>
                <w:sz w:val="17"/>
                <w:szCs w:val="17"/>
                <w:color w:val="auto"/>
                <w:w w:val="84"/>
              </w:rPr>
            </w:pPr>
            <w:hyperlink w:anchor="page174">
              <w:r>
                <w:rPr>
                  <w:rFonts w:ascii="Arial" w:cs="Arial" w:eastAsia="Arial" w:hAnsi="Arial"/>
                  <w:sz w:val="17"/>
                  <w:szCs w:val="17"/>
                  <w:color w:val="auto"/>
                  <w:w w:val="84"/>
                </w:rPr>
                <w:t>110</w:t>
              </w:r>
            </w:hyperlink>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0340" w:type="dxa"/>
            <w:vAlign w:val="bottom"/>
            <w:gridSpan w:val="4"/>
          </w:tcPr>
          <w:p>
            <w:pPr>
              <w:spacing w:after="0" w:line="194" w:lineRule="exact"/>
              <w:rPr>
                <w:sz w:val="20"/>
                <w:szCs w:val="20"/>
                <w:color w:val="auto"/>
              </w:rPr>
            </w:pPr>
            <w:r>
              <w:rPr>
                <w:rFonts w:ascii="Arial" w:cs="Arial" w:eastAsia="Arial" w:hAnsi="Arial"/>
                <w:sz w:val="17"/>
                <w:szCs w:val="17"/>
                <w:color w:val="auto"/>
              </w:rPr>
              <w:t>Section 2.19.  Refinancing Amendments; Maturity Extension</w:t>
            </w:r>
          </w:p>
        </w:tc>
        <w:tc>
          <w:tcPr>
            <w:tcW w:w="260" w:type="dxa"/>
            <w:vAlign w:val="bottom"/>
            <w:tcBorders>
              <w:bottom w:val="single" w:sz="8" w:color="auto"/>
            </w:tcBorders>
            <w:gridSpan w:val="3"/>
          </w:tcPr>
          <w:p>
            <w:pPr>
              <w:spacing w:after="0" w:line="194" w:lineRule="exact"/>
              <w:rPr>
                <w:rFonts w:ascii="Arial" w:cs="Arial" w:eastAsia="Arial" w:hAnsi="Arial"/>
                <w:sz w:val="17"/>
                <w:szCs w:val="17"/>
                <w:color w:val="auto"/>
                <w:w w:val="84"/>
              </w:rPr>
            </w:pPr>
            <w:hyperlink w:anchor="page174">
              <w:r>
                <w:rPr>
                  <w:rFonts w:ascii="Arial" w:cs="Arial" w:eastAsia="Arial" w:hAnsi="Arial"/>
                  <w:sz w:val="17"/>
                  <w:szCs w:val="17"/>
                  <w:color w:val="auto"/>
                  <w:w w:val="84"/>
                </w:rPr>
                <w:t>115</w:t>
              </w:r>
            </w:hyperlink>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000" w:type="dxa"/>
            <w:vAlign w:val="bottom"/>
          </w:tcPr>
          <w:p>
            <w:pPr>
              <w:spacing w:after="0" w:line="194" w:lineRule="exact"/>
              <w:rPr>
                <w:sz w:val="20"/>
                <w:szCs w:val="20"/>
                <w:color w:val="auto"/>
              </w:rPr>
            </w:pPr>
            <w:r>
              <w:rPr>
                <w:rFonts w:ascii="Arial" w:cs="Arial" w:eastAsia="Arial" w:hAnsi="Arial"/>
                <w:sz w:val="17"/>
                <w:szCs w:val="17"/>
                <w:color w:val="auto"/>
                <w:w w:val="98"/>
              </w:rPr>
              <w:t>Section 2.20.</w:t>
            </w:r>
          </w:p>
        </w:tc>
        <w:tc>
          <w:tcPr>
            <w:tcW w:w="9340" w:type="dxa"/>
            <w:vAlign w:val="bottom"/>
            <w:gridSpan w:val="3"/>
          </w:tcPr>
          <w:p>
            <w:pPr>
              <w:ind w:left="100"/>
              <w:spacing w:after="0" w:line="194" w:lineRule="exact"/>
              <w:rPr>
                <w:sz w:val="20"/>
                <w:szCs w:val="20"/>
                <w:color w:val="auto"/>
              </w:rPr>
            </w:pPr>
            <w:r>
              <w:rPr>
                <w:rFonts w:ascii="Arial" w:cs="Arial" w:eastAsia="Arial" w:hAnsi="Arial"/>
                <w:sz w:val="17"/>
                <w:szCs w:val="17"/>
                <w:color w:val="auto"/>
              </w:rPr>
              <w:t>[Reserved]</w:t>
            </w:r>
          </w:p>
        </w:tc>
        <w:tc>
          <w:tcPr>
            <w:tcW w:w="260" w:type="dxa"/>
            <w:vAlign w:val="bottom"/>
            <w:tcBorders>
              <w:bottom w:val="single" w:sz="8" w:color="auto"/>
            </w:tcBorders>
            <w:gridSpan w:val="3"/>
          </w:tcPr>
          <w:p>
            <w:pPr>
              <w:spacing w:after="0" w:line="194" w:lineRule="exact"/>
              <w:rPr>
                <w:rFonts w:ascii="Arial" w:cs="Arial" w:eastAsia="Arial" w:hAnsi="Arial"/>
                <w:sz w:val="17"/>
                <w:szCs w:val="17"/>
                <w:color w:val="auto"/>
                <w:w w:val="84"/>
              </w:rPr>
            </w:pPr>
            <w:hyperlink w:anchor="page174">
              <w:r>
                <w:rPr>
                  <w:rFonts w:ascii="Arial" w:cs="Arial" w:eastAsia="Arial" w:hAnsi="Arial"/>
                  <w:sz w:val="17"/>
                  <w:szCs w:val="17"/>
                  <w:color w:val="auto"/>
                  <w:w w:val="84"/>
                </w:rPr>
                <w:t>116</w:t>
              </w:r>
            </w:hyperlink>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000" w:type="dxa"/>
            <w:vAlign w:val="bottom"/>
          </w:tcPr>
          <w:p>
            <w:pPr>
              <w:spacing w:after="0" w:line="194" w:lineRule="exact"/>
              <w:rPr>
                <w:sz w:val="20"/>
                <w:szCs w:val="20"/>
                <w:color w:val="auto"/>
              </w:rPr>
            </w:pPr>
            <w:r>
              <w:rPr>
                <w:rFonts w:ascii="Arial" w:cs="Arial" w:eastAsia="Arial" w:hAnsi="Arial"/>
                <w:sz w:val="17"/>
                <w:szCs w:val="17"/>
                <w:color w:val="auto"/>
                <w:w w:val="98"/>
              </w:rPr>
              <w:t>Section 2.21.</w:t>
            </w:r>
          </w:p>
        </w:tc>
        <w:tc>
          <w:tcPr>
            <w:tcW w:w="9340" w:type="dxa"/>
            <w:vAlign w:val="bottom"/>
            <w:gridSpan w:val="3"/>
          </w:tcPr>
          <w:p>
            <w:pPr>
              <w:ind w:left="100"/>
              <w:spacing w:after="0" w:line="194" w:lineRule="exact"/>
              <w:rPr>
                <w:sz w:val="20"/>
                <w:szCs w:val="20"/>
                <w:color w:val="auto"/>
              </w:rPr>
            </w:pPr>
            <w:r>
              <w:rPr>
                <w:rFonts w:ascii="Arial" w:cs="Arial" w:eastAsia="Arial" w:hAnsi="Arial"/>
                <w:sz w:val="17"/>
                <w:szCs w:val="17"/>
                <w:color w:val="auto"/>
              </w:rPr>
              <w:t>Defaulting Lenders</w:t>
            </w:r>
          </w:p>
        </w:tc>
        <w:tc>
          <w:tcPr>
            <w:tcW w:w="260" w:type="dxa"/>
            <w:vAlign w:val="bottom"/>
            <w:tcBorders>
              <w:bottom w:val="single" w:sz="8" w:color="auto"/>
            </w:tcBorders>
            <w:gridSpan w:val="3"/>
          </w:tcPr>
          <w:p>
            <w:pPr>
              <w:spacing w:after="0" w:line="194" w:lineRule="exact"/>
              <w:rPr>
                <w:rFonts w:ascii="Arial" w:cs="Arial" w:eastAsia="Arial" w:hAnsi="Arial"/>
                <w:sz w:val="17"/>
                <w:szCs w:val="17"/>
                <w:color w:val="auto"/>
                <w:w w:val="84"/>
              </w:rPr>
            </w:pPr>
            <w:hyperlink w:anchor="page174">
              <w:r>
                <w:rPr>
                  <w:rFonts w:ascii="Arial" w:cs="Arial" w:eastAsia="Arial" w:hAnsi="Arial"/>
                  <w:sz w:val="17"/>
                  <w:szCs w:val="17"/>
                  <w:color w:val="auto"/>
                  <w:w w:val="84"/>
                </w:rPr>
                <w:t>116</w:t>
              </w:r>
            </w:hyperlink>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0340" w:type="dxa"/>
            <w:vAlign w:val="bottom"/>
            <w:gridSpan w:val="4"/>
          </w:tcPr>
          <w:p>
            <w:pPr>
              <w:spacing w:after="0" w:line="194" w:lineRule="exact"/>
              <w:rPr>
                <w:sz w:val="20"/>
                <w:szCs w:val="20"/>
                <w:color w:val="auto"/>
              </w:rPr>
            </w:pPr>
            <w:r>
              <w:rPr>
                <w:rFonts w:ascii="Arial" w:cs="Arial" w:eastAsia="Arial" w:hAnsi="Arial"/>
                <w:sz w:val="17"/>
                <w:szCs w:val="17"/>
                <w:color w:val="auto"/>
              </w:rPr>
              <w:t>Section 2.22.  Letters of Credit.</w:t>
            </w:r>
          </w:p>
        </w:tc>
        <w:tc>
          <w:tcPr>
            <w:tcW w:w="260" w:type="dxa"/>
            <w:vAlign w:val="bottom"/>
            <w:tcBorders>
              <w:bottom w:val="single" w:sz="8" w:color="auto"/>
            </w:tcBorders>
            <w:gridSpan w:val="3"/>
          </w:tcPr>
          <w:p>
            <w:pPr>
              <w:spacing w:after="0" w:line="194" w:lineRule="exact"/>
              <w:rPr>
                <w:rFonts w:ascii="Arial" w:cs="Arial" w:eastAsia="Arial" w:hAnsi="Arial"/>
                <w:sz w:val="17"/>
                <w:szCs w:val="17"/>
                <w:color w:val="auto"/>
                <w:w w:val="84"/>
              </w:rPr>
            </w:pPr>
            <w:hyperlink w:anchor="page174">
              <w:r>
                <w:rPr>
                  <w:rFonts w:ascii="Arial" w:cs="Arial" w:eastAsia="Arial" w:hAnsi="Arial"/>
                  <w:sz w:val="17"/>
                  <w:szCs w:val="17"/>
                  <w:color w:val="auto"/>
                  <w:w w:val="84"/>
                </w:rPr>
                <w:t>119</w:t>
              </w:r>
            </w:hyperlink>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000" w:type="dxa"/>
            <w:vAlign w:val="bottom"/>
          </w:tcPr>
          <w:p>
            <w:pPr>
              <w:spacing w:after="0" w:line="194" w:lineRule="exact"/>
              <w:rPr>
                <w:sz w:val="20"/>
                <w:szCs w:val="20"/>
                <w:color w:val="auto"/>
              </w:rPr>
            </w:pPr>
            <w:r>
              <w:rPr>
                <w:rFonts w:ascii="Arial" w:cs="Arial" w:eastAsia="Arial" w:hAnsi="Arial"/>
                <w:sz w:val="17"/>
                <w:szCs w:val="17"/>
                <w:color w:val="auto"/>
                <w:w w:val="98"/>
              </w:rPr>
              <w:t>Section 2.23.</w:t>
            </w:r>
          </w:p>
        </w:tc>
        <w:tc>
          <w:tcPr>
            <w:tcW w:w="9340" w:type="dxa"/>
            <w:vAlign w:val="bottom"/>
            <w:gridSpan w:val="3"/>
          </w:tcPr>
          <w:p>
            <w:pPr>
              <w:ind w:left="100"/>
              <w:spacing w:after="0" w:line="194" w:lineRule="exact"/>
              <w:rPr>
                <w:sz w:val="20"/>
                <w:szCs w:val="20"/>
                <w:color w:val="auto"/>
              </w:rPr>
            </w:pPr>
            <w:r>
              <w:rPr>
                <w:rFonts w:ascii="Arial" w:cs="Arial" w:eastAsia="Arial" w:hAnsi="Arial"/>
                <w:sz w:val="17"/>
                <w:szCs w:val="17"/>
                <w:color w:val="auto"/>
              </w:rPr>
              <w:t>Swingline Loans</w:t>
            </w:r>
          </w:p>
        </w:tc>
        <w:tc>
          <w:tcPr>
            <w:tcW w:w="260" w:type="dxa"/>
            <w:vAlign w:val="bottom"/>
            <w:tcBorders>
              <w:bottom w:val="single" w:sz="8" w:color="auto"/>
            </w:tcBorders>
            <w:gridSpan w:val="3"/>
          </w:tcPr>
          <w:p>
            <w:pPr>
              <w:spacing w:after="0" w:line="194" w:lineRule="exact"/>
              <w:rPr>
                <w:rFonts w:ascii="Arial" w:cs="Arial" w:eastAsia="Arial" w:hAnsi="Arial"/>
                <w:sz w:val="17"/>
                <w:szCs w:val="17"/>
                <w:color w:val="auto"/>
                <w:w w:val="84"/>
              </w:rPr>
            </w:pPr>
            <w:hyperlink w:anchor="page174">
              <w:r>
                <w:rPr>
                  <w:rFonts w:ascii="Arial" w:cs="Arial" w:eastAsia="Arial" w:hAnsi="Arial"/>
                  <w:sz w:val="17"/>
                  <w:szCs w:val="17"/>
                  <w:color w:val="auto"/>
                  <w:w w:val="84"/>
                </w:rPr>
                <w:t>124</w:t>
              </w:r>
            </w:hyperlink>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0340" w:type="dxa"/>
            <w:vAlign w:val="bottom"/>
            <w:gridSpan w:val="4"/>
          </w:tcPr>
          <w:p>
            <w:pPr>
              <w:spacing w:after="0" w:line="194" w:lineRule="exact"/>
              <w:rPr>
                <w:sz w:val="20"/>
                <w:szCs w:val="20"/>
                <w:color w:val="auto"/>
              </w:rPr>
            </w:pPr>
            <w:r>
              <w:rPr>
                <w:rFonts w:ascii="Arial" w:cs="Arial" w:eastAsia="Arial" w:hAnsi="Arial"/>
                <w:sz w:val="17"/>
                <w:szCs w:val="17"/>
                <w:color w:val="auto"/>
              </w:rPr>
              <w:t>ARTICLE 3 Representations and Warranties</w:t>
            </w:r>
          </w:p>
        </w:tc>
        <w:tc>
          <w:tcPr>
            <w:tcW w:w="260" w:type="dxa"/>
            <w:vAlign w:val="bottom"/>
            <w:tcBorders>
              <w:bottom w:val="single" w:sz="8" w:color="auto"/>
            </w:tcBorders>
            <w:gridSpan w:val="3"/>
          </w:tcPr>
          <w:p>
            <w:pPr>
              <w:spacing w:after="0" w:line="194" w:lineRule="exact"/>
              <w:rPr>
                <w:rFonts w:ascii="Arial" w:cs="Arial" w:eastAsia="Arial" w:hAnsi="Arial"/>
                <w:sz w:val="17"/>
                <w:szCs w:val="17"/>
                <w:color w:val="auto"/>
                <w:w w:val="84"/>
              </w:rPr>
            </w:pPr>
            <w:hyperlink w:anchor="page174">
              <w:r>
                <w:rPr>
                  <w:rFonts w:ascii="Arial" w:cs="Arial" w:eastAsia="Arial" w:hAnsi="Arial"/>
                  <w:sz w:val="17"/>
                  <w:szCs w:val="17"/>
                  <w:color w:val="auto"/>
                  <w:w w:val="84"/>
                </w:rPr>
                <w:t>127</w:t>
              </w:r>
            </w:hyperlink>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000" w:type="dxa"/>
            <w:vAlign w:val="bottom"/>
          </w:tcPr>
          <w:p>
            <w:pPr>
              <w:spacing w:after="0" w:line="194" w:lineRule="exact"/>
              <w:rPr>
                <w:sz w:val="20"/>
                <w:szCs w:val="20"/>
                <w:color w:val="auto"/>
              </w:rPr>
            </w:pPr>
            <w:r>
              <w:rPr>
                <w:rFonts w:ascii="Arial" w:cs="Arial" w:eastAsia="Arial" w:hAnsi="Arial"/>
                <w:sz w:val="17"/>
                <w:szCs w:val="17"/>
                <w:color w:val="auto"/>
                <w:w w:val="98"/>
              </w:rPr>
              <w:t>Section 3.01.</w:t>
            </w:r>
          </w:p>
        </w:tc>
        <w:tc>
          <w:tcPr>
            <w:tcW w:w="9340" w:type="dxa"/>
            <w:vAlign w:val="bottom"/>
            <w:gridSpan w:val="3"/>
          </w:tcPr>
          <w:p>
            <w:pPr>
              <w:ind w:left="100"/>
              <w:spacing w:after="0" w:line="194" w:lineRule="exact"/>
              <w:rPr>
                <w:sz w:val="20"/>
                <w:szCs w:val="20"/>
                <w:color w:val="auto"/>
              </w:rPr>
            </w:pPr>
            <w:r>
              <w:rPr>
                <w:rFonts w:ascii="Arial" w:cs="Arial" w:eastAsia="Arial" w:hAnsi="Arial"/>
                <w:sz w:val="17"/>
                <w:szCs w:val="17"/>
                <w:color w:val="auto"/>
              </w:rPr>
              <w:t>Organization; Powers</w:t>
            </w:r>
          </w:p>
        </w:tc>
        <w:tc>
          <w:tcPr>
            <w:tcW w:w="260" w:type="dxa"/>
            <w:vAlign w:val="bottom"/>
            <w:tcBorders>
              <w:bottom w:val="single" w:sz="8" w:color="auto"/>
            </w:tcBorders>
            <w:gridSpan w:val="3"/>
          </w:tcPr>
          <w:p>
            <w:pPr>
              <w:spacing w:after="0" w:line="194" w:lineRule="exact"/>
              <w:rPr>
                <w:rFonts w:ascii="Arial" w:cs="Arial" w:eastAsia="Arial" w:hAnsi="Arial"/>
                <w:sz w:val="17"/>
                <w:szCs w:val="17"/>
                <w:color w:val="auto"/>
                <w:w w:val="84"/>
              </w:rPr>
            </w:pPr>
            <w:hyperlink w:anchor="page174">
              <w:r>
                <w:rPr>
                  <w:rFonts w:ascii="Arial" w:cs="Arial" w:eastAsia="Arial" w:hAnsi="Arial"/>
                  <w:sz w:val="17"/>
                  <w:szCs w:val="17"/>
                  <w:color w:val="auto"/>
                  <w:w w:val="84"/>
                </w:rPr>
                <w:t>127</w:t>
              </w:r>
            </w:hyperlink>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i</w:t>
      </w:r>
    </w:p>
    <w:p>
      <w:pPr>
        <w:sectPr>
          <w:pgSz w:w="11900" w:h="16838" w:orient="portrait"/>
          <w:cols w:equalWidth="0" w:num="1">
            <w:col w:w="11200"/>
          </w:cols>
          <w:pgMar w:left="380" w:top="1440" w:right="319" w:bottom="1440" w:gutter="0" w:footer="0" w:header="0"/>
        </w:sectPr>
      </w:pPr>
    </w:p>
    <w:bookmarkStart w:id="170" w:name="page171"/>
    <w:bookmarkEnd w:id="170"/>
    <w:p>
      <w:pPr>
        <w:spacing w:after="0" w:line="200" w:lineRule="exact"/>
        <w:rPr>
          <w:sz w:val="20"/>
          <w:szCs w:val="20"/>
          <w:color w:val="auto"/>
        </w:rPr>
      </w:pPr>
    </w:p>
    <w:p>
      <w:pPr>
        <w:spacing w:after="0" w:line="222"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1000" w:type="dxa"/>
            <w:vAlign w:val="bottom"/>
          </w:tcPr>
          <w:p>
            <w:pPr>
              <w:spacing w:after="0"/>
              <w:rPr>
                <w:sz w:val="20"/>
                <w:szCs w:val="20"/>
                <w:color w:val="auto"/>
              </w:rPr>
            </w:pPr>
            <w:r>
              <w:rPr>
                <w:rFonts w:ascii="Arial" w:cs="Arial" w:eastAsia="Arial" w:hAnsi="Arial"/>
                <w:sz w:val="17"/>
                <w:szCs w:val="17"/>
                <w:color w:val="auto"/>
                <w:w w:val="98"/>
              </w:rPr>
              <w:t>Section 3.02.</w:t>
            </w:r>
          </w:p>
        </w:tc>
        <w:tc>
          <w:tcPr>
            <w:tcW w:w="9340" w:type="dxa"/>
            <w:vAlign w:val="bottom"/>
          </w:tcPr>
          <w:p>
            <w:pPr>
              <w:ind w:left="100"/>
              <w:spacing w:after="0"/>
              <w:rPr>
                <w:sz w:val="20"/>
                <w:szCs w:val="20"/>
                <w:color w:val="auto"/>
              </w:rPr>
            </w:pPr>
            <w:r>
              <w:rPr>
                <w:rFonts w:ascii="Arial" w:cs="Arial" w:eastAsia="Arial" w:hAnsi="Arial"/>
                <w:sz w:val="17"/>
                <w:szCs w:val="17"/>
                <w:color w:val="auto"/>
              </w:rPr>
              <w:t>Authorization; Enforceability</w:t>
            </w:r>
          </w:p>
        </w:tc>
        <w:tc>
          <w:tcPr>
            <w:tcW w:w="260" w:type="dxa"/>
            <w:vAlign w:val="bottom"/>
            <w:tcBorders>
              <w:bottom w:val="single" w:sz="8" w:color="auto"/>
            </w:tcBorders>
          </w:tcPr>
          <w:p>
            <w:pPr>
              <w:jc w:val="right"/>
              <w:spacing w:after="0"/>
              <w:rPr>
                <w:rFonts w:ascii="Arial" w:cs="Arial" w:eastAsia="Arial" w:hAnsi="Arial"/>
                <w:sz w:val="17"/>
                <w:szCs w:val="17"/>
                <w:color w:val="auto"/>
                <w:w w:val="84"/>
              </w:rPr>
            </w:pPr>
            <w:hyperlink w:anchor="page174">
              <w:r>
                <w:rPr>
                  <w:rFonts w:ascii="Arial" w:cs="Arial" w:eastAsia="Arial" w:hAnsi="Arial"/>
                  <w:sz w:val="17"/>
                  <w:szCs w:val="17"/>
                  <w:color w:val="auto"/>
                  <w:w w:val="84"/>
                </w:rPr>
                <w:t>127</w:t>
              </w:r>
            </w:hyperlink>
          </w:p>
        </w:tc>
      </w:tr>
      <w:tr>
        <w:trPr>
          <w:trHeight w:val="193"/>
        </w:trPr>
        <w:tc>
          <w:tcPr>
            <w:tcW w:w="10340" w:type="dxa"/>
            <w:vAlign w:val="bottom"/>
            <w:gridSpan w:val="2"/>
          </w:tcPr>
          <w:p>
            <w:pPr>
              <w:spacing w:after="0" w:line="194" w:lineRule="exact"/>
              <w:rPr>
                <w:sz w:val="20"/>
                <w:szCs w:val="20"/>
                <w:color w:val="auto"/>
              </w:rPr>
            </w:pPr>
            <w:r>
              <w:rPr>
                <w:rFonts w:ascii="Arial" w:cs="Arial" w:eastAsia="Arial" w:hAnsi="Arial"/>
                <w:sz w:val="17"/>
                <w:szCs w:val="17"/>
                <w:color w:val="auto"/>
              </w:rPr>
              <w:t>Section 3.03.  Governmental Approvals; No Conflicts</w:t>
            </w:r>
          </w:p>
        </w:tc>
        <w:tc>
          <w:tcPr>
            <w:tcW w:w="260" w:type="dxa"/>
            <w:vAlign w:val="bottom"/>
            <w:tcBorders>
              <w:bottom w:val="single" w:sz="8" w:color="auto"/>
            </w:tcBorders>
          </w:tcPr>
          <w:p>
            <w:pPr>
              <w:jc w:val="right"/>
              <w:spacing w:after="0" w:line="194" w:lineRule="exact"/>
              <w:rPr>
                <w:rFonts w:ascii="Arial" w:cs="Arial" w:eastAsia="Arial" w:hAnsi="Arial"/>
                <w:sz w:val="17"/>
                <w:szCs w:val="17"/>
                <w:color w:val="auto"/>
                <w:w w:val="84"/>
              </w:rPr>
            </w:pPr>
            <w:hyperlink w:anchor="page174">
              <w:r>
                <w:rPr>
                  <w:rFonts w:ascii="Arial" w:cs="Arial" w:eastAsia="Arial" w:hAnsi="Arial"/>
                  <w:sz w:val="17"/>
                  <w:szCs w:val="17"/>
                  <w:color w:val="auto"/>
                  <w:w w:val="84"/>
                </w:rPr>
                <w:t>127</w:t>
              </w:r>
            </w:hyperlink>
          </w:p>
        </w:tc>
      </w:tr>
      <w:tr>
        <w:trPr>
          <w:trHeight w:val="193"/>
        </w:trPr>
        <w:tc>
          <w:tcPr>
            <w:tcW w:w="10340" w:type="dxa"/>
            <w:vAlign w:val="bottom"/>
            <w:gridSpan w:val="2"/>
          </w:tcPr>
          <w:p>
            <w:pPr>
              <w:spacing w:after="0" w:line="194" w:lineRule="exact"/>
              <w:rPr>
                <w:sz w:val="20"/>
                <w:szCs w:val="20"/>
                <w:color w:val="auto"/>
              </w:rPr>
            </w:pPr>
            <w:r>
              <w:rPr>
                <w:rFonts w:ascii="Arial" w:cs="Arial" w:eastAsia="Arial" w:hAnsi="Arial"/>
                <w:sz w:val="17"/>
                <w:szCs w:val="17"/>
                <w:color w:val="auto"/>
              </w:rPr>
              <w:t>Section 3.04.  Financial Condition; No Material Adverse Effect</w:t>
            </w:r>
          </w:p>
        </w:tc>
        <w:tc>
          <w:tcPr>
            <w:tcW w:w="260" w:type="dxa"/>
            <w:vAlign w:val="bottom"/>
            <w:tcBorders>
              <w:bottom w:val="single" w:sz="8" w:color="auto"/>
            </w:tcBorders>
          </w:tcPr>
          <w:p>
            <w:pPr>
              <w:jc w:val="right"/>
              <w:spacing w:after="0" w:line="194" w:lineRule="exact"/>
              <w:rPr>
                <w:rFonts w:ascii="Arial" w:cs="Arial" w:eastAsia="Arial" w:hAnsi="Arial"/>
                <w:sz w:val="17"/>
                <w:szCs w:val="17"/>
                <w:color w:val="auto"/>
                <w:w w:val="84"/>
              </w:rPr>
            </w:pPr>
            <w:hyperlink w:anchor="page174">
              <w:r>
                <w:rPr>
                  <w:rFonts w:ascii="Arial" w:cs="Arial" w:eastAsia="Arial" w:hAnsi="Arial"/>
                  <w:sz w:val="17"/>
                  <w:szCs w:val="17"/>
                  <w:color w:val="auto"/>
                  <w:w w:val="84"/>
                </w:rPr>
                <w:t>128</w:t>
              </w:r>
            </w:hyperlink>
          </w:p>
        </w:tc>
      </w:tr>
      <w:tr>
        <w:trPr>
          <w:trHeight w:val="193"/>
        </w:trPr>
        <w:tc>
          <w:tcPr>
            <w:tcW w:w="1000" w:type="dxa"/>
            <w:vAlign w:val="bottom"/>
          </w:tcPr>
          <w:p>
            <w:pPr>
              <w:spacing w:after="0" w:line="194" w:lineRule="exact"/>
              <w:rPr>
                <w:sz w:val="20"/>
                <w:szCs w:val="20"/>
                <w:color w:val="auto"/>
              </w:rPr>
            </w:pPr>
            <w:r>
              <w:rPr>
                <w:rFonts w:ascii="Arial" w:cs="Arial" w:eastAsia="Arial" w:hAnsi="Arial"/>
                <w:sz w:val="17"/>
                <w:szCs w:val="17"/>
                <w:color w:val="auto"/>
                <w:w w:val="98"/>
              </w:rPr>
              <w:t>Section 3.05.</w:t>
            </w:r>
          </w:p>
        </w:tc>
        <w:tc>
          <w:tcPr>
            <w:tcW w:w="9340" w:type="dxa"/>
            <w:vAlign w:val="bottom"/>
          </w:tcPr>
          <w:p>
            <w:pPr>
              <w:ind w:left="100"/>
              <w:spacing w:after="0" w:line="194" w:lineRule="exact"/>
              <w:rPr>
                <w:sz w:val="20"/>
                <w:szCs w:val="20"/>
                <w:color w:val="auto"/>
              </w:rPr>
            </w:pPr>
            <w:r>
              <w:rPr>
                <w:rFonts w:ascii="Arial" w:cs="Arial" w:eastAsia="Arial" w:hAnsi="Arial"/>
                <w:sz w:val="17"/>
                <w:szCs w:val="17"/>
                <w:color w:val="auto"/>
              </w:rPr>
              <w:t>Properties</w:t>
            </w:r>
          </w:p>
        </w:tc>
        <w:tc>
          <w:tcPr>
            <w:tcW w:w="260" w:type="dxa"/>
            <w:vAlign w:val="bottom"/>
            <w:tcBorders>
              <w:bottom w:val="single" w:sz="8" w:color="auto"/>
            </w:tcBorders>
          </w:tcPr>
          <w:p>
            <w:pPr>
              <w:jc w:val="right"/>
              <w:spacing w:after="0" w:line="194" w:lineRule="exact"/>
              <w:rPr>
                <w:rFonts w:ascii="Arial" w:cs="Arial" w:eastAsia="Arial" w:hAnsi="Arial"/>
                <w:sz w:val="17"/>
                <w:szCs w:val="17"/>
                <w:color w:val="auto"/>
                <w:w w:val="84"/>
              </w:rPr>
            </w:pPr>
            <w:hyperlink w:anchor="page174">
              <w:r>
                <w:rPr>
                  <w:rFonts w:ascii="Arial" w:cs="Arial" w:eastAsia="Arial" w:hAnsi="Arial"/>
                  <w:sz w:val="17"/>
                  <w:szCs w:val="17"/>
                  <w:color w:val="auto"/>
                  <w:w w:val="84"/>
                </w:rPr>
                <w:t>128</w:t>
              </w:r>
            </w:hyperlink>
          </w:p>
        </w:tc>
      </w:tr>
      <w:tr>
        <w:trPr>
          <w:trHeight w:val="193"/>
        </w:trPr>
        <w:tc>
          <w:tcPr>
            <w:tcW w:w="10340" w:type="dxa"/>
            <w:vAlign w:val="bottom"/>
            <w:gridSpan w:val="2"/>
          </w:tcPr>
          <w:p>
            <w:pPr>
              <w:spacing w:after="0" w:line="194" w:lineRule="exact"/>
              <w:rPr>
                <w:sz w:val="20"/>
                <w:szCs w:val="20"/>
                <w:color w:val="auto"/>
              </w:rPr>
            </w:pPr>
            <w:r>
              <w:rPr>
                <w:rFonts w:ascii="Arial" w:cs="Arial" w:eastAsia="Arial" w:hAnsi="Arial"/>
                <w:sz w:val="17"/>
                <w:szCs w:val="17"/>
                <w:color w:val="auto"/>
              </w:rPr>
              <w:t>Section 3.06.  Litigation and Environmental Matters</w:t>
            </w:r>
          </w:p>
        </w:tc>
        <w:tc>
          <w:tcPr>
            <w:tcW w:w="260" w:type="dxa"/>
            <w:vAlign w:val="bottom"/>
            <w:tcBorders>
              <w:bottom w:val="single" w:sz="8" w:color="auto"/>
            </w:tcBorders>
          </w:tcPr>
          <w:p>
            <w:pPr>
              <w:jc w:val="right"/>
              <w:spacing w:after="0" w:line="194" w:lineRule="exact"/>
              <w:rPr>
                <w:rFonts w:ascii="Arial" w:cs="Arial" w:eastAsia="Arial" w:hAnsi="Arial"/>
                <w:sz w:val="17"/>
                <w:szCs w:val="17"/>
                <w:color w:val="auto"/>
                <w:w w:val="84"/>
              </w:rPr>
            </w:pPr>
            <w:hyperlink w:anchor="page174">
              <w:r>
                <w:rPr>
                  <w:rFonts w:ascii="Arial" w:cs="Arial" w:eastAsia="Arial" w:hAnsi="Arial"/>
                  <w:sz w:val="17"/>
                  <w:szCs w:val="17"/>
                  <w:color w:val="auto"/>
                  <w:w w:val="84"/>
                </w:rPr>
                <w:t>128</w:t>
              </w:r>
            </w:hyperlink>
          </w:p>
        </w:tc>
      </w:tr>
      <w:tr>
        <w:trPr>
          <w:trHeight w:val="193"/>
        </w:trPr>
        <w:tc>
          <w:tcPr>
            <w:tcW w:w="10340" w:type="dxa"/>
            <w:vAlign w:val="bottom"/>
            <w:gridSpan w:val="2"/>
          </w:tcPr>
          <w:p>
            <w:pPr>
              <w:spacing w:after="0" w:line="194" w:lineRule="exact"/>
              <w:rPr>
                <w:sz w:val="20"/>
                <w:szCs w:val="20"/>
                <w:color w:val="auto"/>
              </w:rPr>
            </w:pPr>
            <w:r>
              <w:rPr>
                <w:rFonts w:ascii="Arial" w:cs="Arial" w:eastAsia="Arial" w:hAnsi="Arial"/>
                <w:sz w:val="17"/>
                <w:szCs w:val="17"/>
                <w:color w:val="auto"/>
              </w:rPr>
              <w:t>Section 3.07.  Compliance with Laws and Agreements</w:t>
            </w:r>
          </w:p>
        </w:tc>
        <w:tc>
          <w:tcPr>
            <w:tcW w:w="260" w:type="dxa"/>
            <w:vAlign w:val="bottom"/>
            <w:tcBorders>
              <w:bottom w:val="single" w:sz="8" w:color="auto"/>
            </w:tcBorders>
          </w:tcPr>
          <w:p>
            <w:pPr>
              <w:jc w:val="right"/>
              <w:spacing w:after="0" w:line="194" w:lineRule="exact"/>
              <w:rPr>
                <w:rFonts w:ascii="Arial" w:cs="Arial" w:eastAsia="Arial" w:hAnsi="Arial"/>
                <w:sz w:val="17"/>
                <w:szCs w:val="17"/>
                <w:color w:val="auto"/>
                <w:w w:val="84"/>
              </w:rPr>
            </w:pPr>
            <w:hyperlink w:anchor="page174">
              <w:r>
                <w:rPr>
                  <w:rFonts w:ascii="Arial" w:cs="Arial" w:eastAsia="Arial" w:hAnsi="Arial"/>
                  <w:sz w:val="17"/>
                  <w:szCs w:val="17"/>
                  <w:color w:val="auto"/>
                  <w:w w:val="84"/>
                </w:rPr>
                <w:t>129</w:t>
              </w:r>
            </w:hyperlink>
          </w:p>
        </w:tc>
      </w:tr>
      <w:tr>
        <w:trPr>
          <w:trHeight w:val="193"/>
        </w:trPr>
        <w:tc>
          <w:tcPr>
            <w:tcW w:w="10340" w:type="dxa"/>
            <w:vAlign w:val="bottom"/>
            <w:gridSpan w:val="2"/>
          </w:tcPr>
          <w:p>
            <w:pPr>
              <w:spacing w:after="0" w:line="194" w:lineRule="exact"/>
              <w:rPr>
                <w:sz w:val="20"/>
                <w:szCs w:val="20"/>
                <w:color w:val="auto"/>
              </w:rPr>
            </w:pPr>
            <w:r>
              <w:rPr>
                <w:rFonts w:ascii="Arial" w:cs="Arial" w:eastAsia="Arial" w:hAnsi="Arial"/>
                <w:sz w:val="17"/>
                <w:szCs w:val="17"/>
                <w:color w:val="auto"/>
              </w:rPr>
              <w:t>Section 3.08.  Investment Company Status</w:t>
            </w:r>
          </w:p>
        </w:tc>
        <w:tc>
          <w:tcPr>
            <w:tcW w:w="260" w:type="dxa"/>
            <w:vAlign w:val="bottom"/>
            <w:tcBorders>
              <w:bottom w:val="single" w:sz="8" w:color="auto"/>
            </w:tcBorders>
          </w:tcPr>
          <w:p>
            <w:pPr>
              <w:jc w:val="right"/>
              <w:spacing w:after="0" w:line="194" w:lineRule="exact"/>
              <w:rPr>
                <w:rFonts w:ascii="Arial" w:cs="Arial" w:eastAsia="Arial" w:hAnsi="Arial"/>
                <w:sz w:val="17"/>
                <w:szCs w:val="17"/>
                <w:color w:val="auto"/>
                <w:w w:val="84"/>
              </w:rPr>
            </w:pPr>
            <w:hyperlink w:anchor="page174">
              <w:r>
                <w:rPr>
                  <w:rFonts w:ascii="Arial" w:cs="Arial" w:eastAsia="Arial" w:hAnsi="Arial"/>
                  <w:sz w:val="17"/>
                  <w:szCs w:val="17"/>
                  <w:color w:val="auto"/>
                  <w:w w:val="84"/>
                </w:rPr>
                <w:t>129</w:t>
              </w:r>
            </w:hyperlink>
          </w:p>
        </w:tc>
      </w:tr>
      <w:tr>
        <w:trPr>
          <w:trHeight w:val="193"/>
        </w:trPr>
        <w:tc>
          <w:tcPr>
            <w:tcW w:w="1000" w:type="dxa"/>
            <w:vAlign w:val="bottom"/>
          </w:tcPr>
          <w:p>
            <w:pPr>
              <w:spacing w:after="0" w:line="194" w:lineRule="exact"/>
              <w:rPr>
                <w:sz w:val="20"/>
                <w:szCs w:val="20"/>
                <w:color w:val="auto"/>
              </w:rPr>
            </w:pPr>
            <w:r>
              <w:rPr>
                <w:rFonts w:ascii="Arial" w:cs="Arial" w:eastAsia="Arial" w:hAnsi="Arial"/>
                <w:sz w:val="17"/>
                <w:szCs w:val="17"/>
                <w:color w:val="auto"/>
                <w:w w:val="98"/>
              </w:rPr>
              <w:t>Section 3.09.</w:t>
            </w:r>
          </w:p>
        </w:tc>
        <w:tc>
          <w:tcPr>
            <w:tcW w:w="9340" w:type="dxa"/>
            <w:vAlign w:val="bottom"/>
          </w:tcPr>
          <w:p>
            <w:pPr>
              <w:ind w:left="100"/>
              <w:spacing w:after="0" w:line="194" w:lineRule="exact"/>
              <w:rPr>
                <w:sz w:val="20"/>
                <w:szCs w:val="20"/>
                <w:color w:val="auto"/>
              </w:rPr>
            </w:pPr>
            <w:r>
              <w:rPr>
                <w:rFonts w:ascii="Arial" w:cs="Arial" w:eastAsia="Arial" w:hAnsi="Arial"/>
                <w:sz w:val="17"/>
                <w:szCs w:val="17"/>
                <w:color w:val="auto"/>
              </w:rPr>
              <w:t>Taxes</w:t>
            </w:r>
          </w:p>
        </w:tc>
        <w:tc>
          <w:tcPr>
            <w:tcW w:w="260" w:type="dxa"/>
            <w:vAlign w:val="bottom"/>
            <w:tcBorders>
              <w:bottom w:val="single" w:sz="8" w:color="auto"/>
            </w:tcBorders>
          </w:tcPr>
          <w:p>
            <w:pPr>
              <w:jc w:val="right"/>
              <w:spacing w:after="0" w:line="194" w:lineRule="exact"/>
              <w:rPr>
                <w:rFonts w:ascii="Arial" w:cs="Arial" w:eastAsia="Arial" w:hAnsi="Arial"/>
                <w:sz w:val="17"/>
                <w:szCs w:val="17"/>
                <w:color w:val="auto"/>
                <w:w w:val="84"/>
              </w:rPr>
            </w:pPr>
            <w:hyperlink w:anchor="page174">
              <w:r>
                <w:rPr>
                  <w:rFonts w:ascii="Arial" w:cs="Arial" w:eastAsia="Arial" w:hAnsi="Arial"/>
                  <w:sz w:val="17"/>
                  <w:szCs w:val="17"/>
                  <w:color w:val="auto"/>
                  <w:w w:val="84"/>
                </w:rPr>
                <w:t>129</w:t>
              </w:r>
            </w:hyperlink>
          </w:p>
        </w:tc>
      </w:tr>
      <w:tr>
        <w:trPr>
          <w:trHeight w:val="193"/>
        </w:trPr>
        <w:tc>
          <w:tcPr>
            <w:tcW w:w="1000" w:type="dxa"/>
            <w:vAlign w:val="bottom"/>
          </w:tcPr>
          <w:p>
            <w:pPr>
              <w:spacing w:after="0" w:line="194" w:lineRule="exact"/>
              <w:rPr>
                <w:sz w:val="20"/>
                <w:szCs w:val="20"/>
                <w:color w:val="auto"/>
              </w:rPr>
            </w:pPr>
            <w:r>
              <w:rPr>
                <w:rFonts w:ascii="Arial" w:cs="Arial" w:eastAsia="Arial" w:hAnsi="Arial"/>
                <w:sz w:val="17"/>
                <w:szCs w:val="17"/>
                <w:color w:val="auto"/>
                <w:w w:val="98"/>
              </w:rPr>
              <w:t>Section 3.10.</w:t>
            </w:r>
          </w:p>
        </w:tc>
        <w:tc>
          <w:tcPr>
            <w:tcW w:w="9340" w:type="dxa"/>
            <w:vAlign w:val="bottom"/>
          </w:tcPr>
          <w:p>
            <w:pPr>
              <w:ind w:left="100"/>
              <w:spacing w:after="0" w:line="194" w:lineRule="exact"/>
              <w:rPr>
                <w:sz w:val="20"/>
                <w:szCs w:val="20"/>
                <w:color w:val="auto"/>
              </w:rPr>
            </w:pPr>
            <w:r>
              <w:rPr>
                <w:rFonts w:ascii="Arial" w:cs="Arial" w:eastAsia="Arial" w:hAnsi="Arial"/>
                <w:sz w:val="17"/>
                <w:szCs w:val="17"/>
                <w:color w:val="auto"/>
              </w:rPr>
              <w:t>ERISA</w:t>
            </w:r>
          </w:p>
        </w:tc>
        <w:tc>
          <w:tcPr>
            <w:tcW w:w="260" w:type="dxa"/>
            <w:vAlign w:val="bottom"/>
            <w:tcBorders>
              <w:bottom w:val="single" w:sz="8" w:color="auto"/>
            </w:tcBorders>
          </w:tcPr>
          <w:p>
            <w:pPr>
              <w:jc w:val="right"/>
              <w:spacing w:after="0" w:line="194" w:lineRule="exact"/>
              <w:rPr>
                <w:rFonts w:ascii="Arial" w:cs="Arial" w:eastAsia="Arial" w:hAnsi="Arial"/>
                <w:sz w:val="17"/>
                <w:szCs w:val="17"/>
                <w:color w:val="auto"/>
                <w:w w:val="84"/>
              </w:rPr>
            </w:pPr>
            <w:hyperlink w:anchor="page174">
              <w:r>
                <w:rPr>
                  <w:rFonts w:ascii="Arial" w:cs="Arial" w:eastAsia="Arial" w:hAnsi="Arial"/>
                  <w:sz w:val="17"/>
                  <w:szCs w:val="17"/>
                  <w:color w:val="auto"/>
                  <w:w w:val="84"/>
                </w:rPr>
                <w:t>129</w:t>
              </w:r>
            </w:hyperlink>
          </w:p>
        </w:tc>
      </w:tr>
      <w:tr>
        <w:trPr>
          <w:trHeight w:val="193"/>
        </w:trPr>
        <w:tc>
          <w:tcPr>
            <w:tcW w:w="1000" w:type="dxa"/>
            <w:vAlign w:val="bottom"/>
          </w:tcPr>
          <w:p>
            <w:pPr>
              <w:spacing w:after="0" w:line="194" w:lineRule="exact"/>
              <w:rPr>
                <w:sz w:val="20"/>
                <w:szCs w:val="20"/>
                <w:color w:val="auto"/>
              </w:rPr>
            </w:pPr>
            <w:r>
              <w:rPr>
                <w:rFonts w:ascii="Arial" w:cs="Arial" w:eastAsia="Arial" w:hAnsi="Arial"/>
                <w:sz w:val="17"/>
                <w:szCs w:val="17"/>
                <w:color w:val="auto"/>
                <w:w w:val="98"/>
              </w:rPr>
              <w:t>Section 3.11.</w:t>
            </w:r>
          </w:p>
        </w:tc>
        <w:tc>
          <w:tcPr>
            <w:tcW w:w="9340" w:type="dxa"/>
            <w:vAlign w:val="bottom"/>
          </w:tcPr>
          <w:p>
            <w:pPr>
              <w:ind w:left="100"/>
              <w:spacing w:after="0" w:line="194" w:lineRule="exact"/>
              <w:rPr>
                <w:sz w:val="20"/>
                <w:szCs w:val="20"/>
                <w:color w:val="auto"/>
              </w:rPr>
            </w:pPr>
            <w:r>
              <w:rPr>
                <w:rFonts w:ascii="Arial" w:cs="Arial" w:eastAsia="Arial" w:hAnsi="Arial"/>
                <w:sz w:val="17"/>
                <w:szCs w:val="17"/>
                <w:color w:val="auto"/>
              </w:rPr>
              <w:t>Disclosure</w:t>
            </w:r>
          </w:p>
        </w:tc>
        <w:tc>
          <w:tcPr>
            <w:tcW w:w="260" w:type="dxa"/>
            <w:vAlign w:val="bottom"/>
            <w:tcBorders>
              <w:bottom w:val="single" w:sz="8" w:color="auto"/>
            </w:tcBorders>
          </w:tcPr>
          <w:p>
            <w:pPr>
              <w:jc w:val="right"/>
              <w:spacing w:after="0" w:line="194" w:lineRule="exact"/>
              <w:rPr>
                <w:rFonts w:ascii="Arial" w:cs="Arial" w:eastAsia="Arial" w:hAnsi="Arial"/>
                <w:sz w:val="17"/>
                <w:szCs w:val="17"/>
                <w:color w:val="auto"/>
                <w:w w:val="84"/>
              </w:rPr>
            </w:pPr>
            <w:hyperlink w:anchor="page174">
              <w:r>
                <w:rPr>
                  <w:rFonts w:ascii="Arial" w:cs="Arial" w:eastAsia="Arial" w:hAnsi="Arial"/>
                  <w:sz w:val="17"/>
                  <w:szCs w:val="17"/>
                  <w:color w:val="auto"/>
                  <w:w w:val="84"/>
                </w:rPr>
                <w:t>130</w:t>
              </w:r>
            </w:hyperlink>
          </w:p>
        </w:tc>
      </w:tr>
      <w:tr>
        <w:trPr>
          <w:trHeight w:val="193"/>
        </w:trPr>
        <w:tc>
          <w:tcPr>
            <w:tcW w:w="1000" w:type="dxa"/>
            <w:vAlign w:val="bottom"/>
          </w:tcPr>
          <w:p>
            <w:pPr>
              <w:spacing w:after="0" w:line="194" w:lineRule="exact"/>
              <w:rPr>
                <w:sz w:val="20"/>
                <w:szCs w:val="20"/>
                <w:color w:val="auto"/>
              </w:rPr>
            </w:pPr>
            <w:r>
              <w:rPr>
                <w:rFonts w:ascii="Arial" w:cs="Arial" w:eastAsia="Arial" w:hAnsi="Arial"/>
                <w:sz w:val="17"/>
                <w:szCs w:val="17"/>
                <w:color w:val="auto"/>
                <w:w w:val="98"/>
              </w:rPr>
              <w:t>Section 3.12.</w:t>
            </w:r>
          </w:p>
        </w:tc>
        <w:tc>
          <w:tcPr>
            <w:tcW w:w="9340" w:type="dxa"/>
            <w:vAlign w:val="bottom"/>
          </w:tcPr>
          <w:p>
            <w:pPr>
              <w:ind w:left="100"/>
              <w:spacing w:after="0" w:line="194" w:lineRule="exact"/>
              <w:rPr>
                <w:sz w:val="20"/>
                <w:szCs w:val="20"/>
                <w:color w:val="auto"/>
              </w:rPr>
            </w:pPr>
            <w:r>
              <w:rPr>
                <w:rFonts w:ascii="Arial" w:cs="Arial" w:eastAsia="Arial" w:hAnsi="Arial"/>
                <w:sz w:val="17"/>
                <w:szCs w:val="17"/>
                <w:color w:val="auto"/>
              </w:rPr>
              <w:t>Subsidiaries</w:t>
            </w:r>
          </w:p>
        </w:tc>
        <w:tc>
          <w:tcPr>
            <w:tcW w:w="260" w:type="dxa"/>
            <w:vAlign w:val="bottom"/>
            <w:tcBorders>
              <w:bottom w:val="single" w:sz="8" w:color="auto"/>
            </w:tcBorders>
          </w:tcPr>
          <w:p>
            <w:pPr>
              <w:jc w:val="right"/>
              <w:spacing w:after="0" w:line="194" w:lineRule="exact"/>
              <w:rPr>
                <w:rFonts w:ascii="Arial" w:cs="Arial" w:eastAsia="Arial" w:hAnsi="Arial"/>
                <w:sz w:val="17"/>
                <w:szCs w:val="17"/>
                <w:color w:val="auto"/>
                <w:w w:val="84"/>
              </w:rPr>
            </w:pPr>
            <w:hyperlink w:anchor="page174">
              <w:r>
                <w:rPr>
                  <w:rFonts w:ascii="Arial" w:cs="Arial" w:eastAsia="Arial" w:hAnsi="Arial"/>
                  <w:sz w:val="17"/>
                  <w:szCs w:val="17"/>
                  <w:color w:val="auto"/>
                  <w:w w:val="84"/>
                </w:rPr>
                <w:t>130</w:t>
              </w:r>
            </w:hyperlink>
          </w:p>
        </w:tc>
      </w:tr>
      <w:tr>
        <w:trPr>
          <w:trHeight w:val="193"/>
        </w:trPr>
        <w:tc>
          <w:tcPr>
            <w:tcW w:w="10340" w:type="dxa"/>
            <w:vAlign w:val="bottom"/>
            <w:gridSpan w:val="2"/>
          </w:tcPr>
          <w:p>
            <w:pPr>
              <w:spacing w:after="0" w:line="194" w:lineRule="exact"/>
              <w:rPr>
                <w:sz w:val="20"/>
                <w:szCs w:val="20"/>
                <w:color w:val="auto"/>
              </w:rPr>
            </w:pPr>
            <w:r>
              <w:rPr>
                <w:rFonts w:ascii="Arial" w:cs="Arial" w:eastAsia="Arial" w:hAnsi="Arial"/>
                <w:sz w:val="17"/>
                <w:szCs w:val="17"/>
                <w:color w:val="auto"/>
              </w:rPr>
              <w:t>Section 3.13.  Intellectual Property; Licenses, Etc.</w:t>
            </w:r>
          </w:p>
        </w:tc>
        <w:tc>
          <w:tcPr>
            <w:tcW w:w="260" w:type="dxa"/>
            <w:vAlign w:val="bottom"/>
            <w:tcBorders>
              <w:bottom w:val="single" w:sz="8" w:color="auto"/>
            </w:tcBorders>
          </w:tcPr>
          <w:p>
            <w:pPr>
              <w:jc w:val="right"/>
              <w:spacing w:after="0" w:line="194" w:lineRule="exact"/>
              <w:rPr>
                <w:rFonts w:ascii="Arial" w:cs="Arial" w:eastAsia="Arial" w:hAnsi="Arial"/>
                <w:sz w:val="17"/>
                <w:szCs w:val="17"/>
                <w:color w:val="auto"/>
                <w:w w:val="84"/>
              </w:rPr>
            </w:pPr>
            <w:hyperlink w:anchor="page174">
              <w:r>
                <w:rPr>
                  <w:rFonts w:ascii="Arial" w:cs="Arial" w:eastAsia="Arial" w:hAnsi="Arial"/>
                  <w:sz w:val="17"/>
                  <w:szCs w:val="17"/>
                  <w:color w:val="auto"/>
                  <w:w w:val="84"/>
                </w:rPr>
                <w:t>130</w:t>
              </w:r>
            </w:hyperlink>
          </w:p>
        </w:tc>
      </w:tr>
      <w:tr>
        <w:trPr>
          <w:trHeight w:val="193"/>
        </w:trPr>
        <w:tc>
          <w:tcPr>
            <w:tcW w:w="1000" w:type="dxa"/>
            <w:vAlign w:val="bottom"/>
          </w:tcPr>
          <w:p>
            <w:pPr>
              <w:spacing w:after="0" w:line="194" w:lineRule="exact"/>
              <w:rPr>
                <w:sz w:val="20"/>
                <w:szCs w:val="20"/>
                <w:color w:val="auto"/>
              </w:rPr>
            </w:pPr>
            <w:r>
              <w:rPr>
                <w:rFonts w:ascii="Arial" w:cs="Arial" w:eastAsia="Arial" w:hAnsi="Arial"/>
                <w:sz w:val="17"/>
                <w:szCs w:val="17"/>
                <w:color w:val="auto"/>
                <w:w w:val="98"/>
              </w:rPr>
              <w:t>Section 3.14.</w:t>
            </w:r>
          </w:p>
        </w:tc>
        <w:tc>
          <w:tcPr>
            <w:tcW w:w="9340" w:type="dxa"/>
            <w:vAlign w:val="bottom"/>
          </w:tcPr>
          <w:p>
            <w:pPr>
              <w:ind w:left="100"/>
              <w:spacing w:after="0" w:line="194" w:lineRule="exact"/>
              <w:rPr>
                <w:sz w:val="20"/>
                <w:szCs w:val="20"/>
                <w:color w:val="auto"/>
              </w:rPr>
            </w:pPr>
            <w:r>
              <w:rPr>
                <w:rFonts w:ascii="Arial" w:cs="Arial" w:eastAsia="Arial" w:hAnsi="Arial"/>
                <w:sz w:val="17"/>
                <w:szCs w:val="17"/>
                <w:color w:val="auto"/>
              </w:rPr>
              <w:t>Solvency</w:t>
            </w:r>
          </w:p>
        </w:tc>
        <w:tc>
          <w:tcPr>
            <w:tcW w:w="260" w:type="dxa"/>
            <w:vAlign w:val="bottom"/>
            <w:tcBorders>
              <w:bottom w:val="single" w:sz="8" w:color="auto"/>
            </w:tcBorders>
          </w:tcPr>
          <w:p>
            <w:pPr>
              <w:jc w:val="right"/>
              <w:spacing w:after="0" w:line="194" w:lineRule="exact"/>
              <w:rPr>
                <w:rFonts w:ascii="Arial" w:cs="Arial" w:eastAsia="Arial" w:hAnsi="Arial"/>
                <w:sz w:val="17"/>
                <w:szCs w:val="17"/>
                <w:color w:val="auto"/>
                <w:w w:val="84"/>
              </w:rPr>
            </w:pPr>
            <w:hyperlink w:anchor="page174">
              <w:r>
                <w:rPr>
                  <w:rFonts w:ascii="Arial" w:cs="Arial" w:eastAsia="Arial" w:hAnsi="Arial"/>
                  <w:sz w:val="17"/>
                  <w:szCs w:val="17"/>
                  <w:color w:val="auto"/>
                  <w:w w:val="84"/>
                </w:rPr>
                <w:t>130</w:t>
              </w:r>
            </w:hyperlink>
          </w:p>
        </w:tc>
      </w:tr>
      <w:tr>
        <w:trPr>
          <w:trHeight w:val="193"/>
        </w:trPr>
        <w:tc>
          <w:tcPr>
            <w:tcW w:w="1000" w:type="dxa"/>
            <w:vAlign w:val="bottom"/>
          </w:tcPr>
          <w:p>
            <w:pPr>
              <w:spacing w:after="0" w:line="194" w:lineRule="exact"/>
              <w:rPr>
                <w:sz w:val="20"/>
                <w:szCs w:val="20"/>
                <w:color w:val="auto"/>
              </w:rPr>
            </w:pPr>
            <w:r>
              <w:rPr>
                <w:rFonts w:ascii="Arial" w:cs="Arial" w:eastAsia="Arial" w:hAnsi="Arial"/>
                <w:sz w:val="17"/>
                <w:szCs w:val="17"/>
                <w:color w:val="auto"/>
                <w:w w:val="98"/>
              </w:rPr>
              <w:t>Section 3.15.</w:t>
            </w:r>
          </w:p>
        </w:tc>
        <w:tc>
          <w:tcPr>
            <w:tcW w:w="9340" w:type="dxa"/>
            <w:vAlign w:val="bottom"/>
          </w:tcPr>
          <w:p>
            <w:pPr>
              <w:ind w:left="100"/>
              <w:spacing w:after="0" w:line="194" w:lineRule="exact"/>
              <w:rPr>
                <w:sz w:val="20"/>
                <w:szCs w:val="20"/>
                <w:color w:val="auto"/>
              </w:rPr>
            </w:pPr>
            <w:r>
              <w:rPr>
                <w:rFonts w:ascii="Arial" w:cs="Arial" w:eastAsia="Arial" w:hAnsi="Arial"/>
                <w:sz w:val="17"/>
                <w:szCs w:val="17"/>
                <w:color w:val="auto"/>
              </w:rPr>
              <w:t>Senior Indebtedness</w:t>
            </w:r>
          </w:p>
        </w:tc>
        <w:tc>
          <w:tcPr>
            <w:tcW w:w="260" w:type="dxa"/>
            <w:vAlign w:val="bottom"/>
            <w:tcBorders>
              <w:bottom w:val="single" w:sz="8" w:color="auto"/>
            </w:tcBorders>
          </w:tcPr>
          <w:p>
            <w:pPr>
              <w:jc w:val="right"/>
              <w:spacing w:after="0" w:line="194" w:lineRule="exact"/>
              <w:rPr>
                <w:rFonts w:ascii="Arial" w:cs="Arial" w:eastAsia="Arial" w:hAnsi="Arial"/>
                <w:sz w:val="17"/>
                <w:szCs w:val="17"/>
                <w:color w:val="auto"/>
                <w:w w:val="84"/>
              </w:rPr>
            </w:pPr>
            <w:hyperlink w:anchor="page174">
              <w:r>
                <w:rPr>
                  <w:rFonts w:ascii="Arial" w:cs="Arial" w:eastAsia="Arial" w:hAnsi="Arial"/>
                  <w:sz w:val="17"/>
                  <w:szCs w:val="17"/>
                  <w:color w:val="auto"/>
                  <w:w w:val="84"/>
                </w:rPr>
                <w:t>131</w:t>
              </w:r>
            </w:hyperlink>
          </w:p>
        </w:tc>
      </w:tr>
      <w:tr>
        <w:trPr>
          <w:trHeight w:val="193"/>
        </w:trPr>
        <w:tc>
          <w:tcPr>
            <w:tcW w:w="10340" w:type="dxa"/>
            <w:vAlign w:val="bottom"/>
            <w:gridSpan w:val="2"/>
          </w:tcPr>
          <w:p>
            <w:pPr>
              <w:spacing w:after="0" w:line="194" w:lineRule="exact"/>
              <w:rPr>
                <w:sz w:val="20"/>
                <w:szCs w:val="20"/>
                <w:color w:val="auto"/>
              </w:rPr>
            </w:pPr>
            <w:r>
              <w:rPr>
                <w:rFonts w:ascii="Arial" w:cs="Arial" w:eastAsia="Arial" w:hAnsi="Arial"/>
                <w:sz w:val="17"/>
                <w:szCs w:val="17"/>
                <w:color w:val="auto"/>
              </w:rPr>
              <w:t>Section 3.16.  Federal Reserve Regulations</w:t>
            </w:r>
          </w:p>
        </w:tc>
        <w:tc>
          <w:tcPr>
            <w:tcW w:w="260" w:type="dxa"/>
            <w:vAlign w:val="bottom"/>
            <w:tcBorders>
              <w:bottom w:val="single" w:sz="8" w:color="auto"/>
            </w:tcBorders>
          </w:tcPr>
          <w:p>
            <w:pPr>
              <w:jc w:val="right"/>
              <w:spacing w:after="0" w:line="194" w:lineRule="exact"/>
              <w:rPr>
                <w:rFonts w:ascii="Arial" w:cs="Arial" w:eastAsia="Arial" w:hAnsi="Arial"/>
                <w:sz w:val="17"/>
                <w:szCs w:val="17"/>
                <w:color w:val="auto"/>
                <w:w w:val="84"/>
              </w:rPr>
            </w:pPr>
            <w:hyperlink w:anchor="page174">
              <w:r>
                <w:rPr>
                  <w:rFonts w:ascii="Arial" w:cs="Arial" w:eastAsia="Arial" w:hAnsi="Arial"/>
                  <w:sz w:val="17"/>
                  <w:szCs w:val="17"/>
                  <w:color w:val="auto"/>
                  <w:w w:val="84"/>
                </w:rPr>
                <w:t>131</w:t>
              </w:r>
            </w:hyperlink>
          </w:p>
        </w:tc>
      </w:tr>
      <w:tr>
        <w:trPr>
          <w:trHeight w:val="193"/>
        </w:trPr>
        <w:tc>
          <w:tcPr>
            <w:tcW w:w="10340" w:type="dxa"/>
            <w:vAlign w:val="bottom"/>
            <w:gridSpan w:val="2"/>
          </w:tcPr>
          <w:p>
            <w:pPr>
              <w:spacing w:after="0" w:line="194" w:lineRule="exact"/>
              <w:rPr>
                <w:sz w:val="20"/>
                <w:szCs w:val="20"/>
                <w:color w:val="auto"/>
              </w:rPr>
            </w:pPr>
            <w:r>
              <w:rPr>
                <w:rFonts w:ascii="Arial" w:cs="Arial" w:eastAsia="Arial" w:hAnsi="Arial"/>
                <w:sz w:val="17"/>
                <w:szCs w:val="17"/>
                <w:color w:val="auto"/>
              </w:rPr>
              <w:t>Section 3.17.  Use of Proceeds</w:t>
            </w:r>
          </w:p>
        </w:tc>
        <w:tc>
          <w:tcPr>
            <w:tcW w:w="260" w:type="dxa"/>
            <w:vAlign w:val="bottom"/>
            <w:tcBorders>
              <w:bottom w:val="single" w:sz="8" w:color="auto"/>
            </w:tcBorders>
          </w:tcPr>
          <w:p>
            <w:pPr>
              <w:jc w:val="right"/>
              <w:spacing w:after="0" w:line="194" w:lineRule="exact"/>
              <w:rPr>
                <w:rFonts w:ascii="Arial" w:cs="Arial" w:eastAsia="Arial" w:hAnsi="Arial"/>
                <w:sz w:val="17"/>
                <w:szCs w:val="17"/>
                <w:color w:val="auto"/>
                <w:w w:val="84"/>
              </w:rPr>
            </w:pPr>
            <w:hyperlink w:anchor="page174">
              <w:r>
                <w:rPr>
                  <w:rFonts w:ascii="Arial" w:cs="Arial" w:eastAsia="Arial" w:hAnsi="Arial"/>
                  <w:sz w:val="17"/>
                  <w:szCs w:val="17"/>
                  <w:color w:val="auto"/>
                  <w:w w:val="84"/>
                </w:rPr>
                <w:t>131</w:t>
              </w:r>
            </w:hyperlink>
          </w:p>
        </w:tc>
      </w:tr>
      <w:tr>
        <w:trPr>
          <w:trHeight w:val="193"/>
        </w:trPr>
        <w:tc>
          <w:tcPr>
            <w:tcW w:w="10340" w:type="dxa"/>
            <w:vAlign w:val="bottom"/>
            <w:gridSpan w:val="2"/>
          </w:tcPr>
          <w:p>
            <w:pPr>
              <w:spacing w:after="0" w:line="194" w:lineRule="exact"/>
              <w:rPr>
                <w:sz w:val="20"/>
                <w:szCs w:val="20"/>
                <w:color w:val="auto"/>
              </w:rPr>
            </w:pPr>
            <w:r>
              <w:rPr>
                <w:rFonts w:ascii="Arial" w:cs="Arial" w:eastAsia="Arial" w:hAnsi="Arial"/>
                <w:sz w:val="17"/>
                <w:szCs w:val="17"/>
                <w:color w:val="auto"/>
              </w:rPr>
              <w:t>Section 3.18.  Regulatory Status and Memberships Held</w:t>
            </w:r>
          </w:p>
        </w:tc>
        <w:tc>
          <w:tcPr>
            <w:tcW w:w="260" w:type="dxa"/>
            <w:vAlign w:val="bottom"/>
            <w:tcBorders>
              <w:bottom w:val="single" w:sz="8" w:color="auto"/>
            </w:tcBorders>
          </w:tcPr>
          <w:p>
            <w:pPr>
              <w:jc w:val="right"/>
              <w:spacing w:after="0" w:line="194" w:lineRule="exact"/>
              <w:rPr>
                <w:rFonts w:ascii="Arial" w:cs="Arial" w:eastAsia="Arial" w:hAnsi="Arial"/>
                <w:sz w:val="17"/>
                <w:szCs w:val="17"/>
                <w:color w:val="auto"/>
                <w:w w:val="84"/>
              </w:rPr>
            </w:pPr>
            <w:hyperlink w:anchor="page174">
              <w:r>
                <w:rPr>
                  <w:rFonts w:ascii="Arial" w:cs="Arial" w:eastAsia="Arial" w:hAnsi="Arial"/>
                  <w:sz w:val="17"/>
                  <w:szCs w:val="17"/>
                  <w:color w:val="auto"/>
                  <w:w w:val="84"/>
                </w:rPr>
                <w:t>131</w:t>
              </w:r>
            </w:hyperlink>
          </w:p>
        </w:tc>
      </w:tr>
      <w:tr>
        <w:trPr>
          <w:trHeight w:val="193"/>
        </w:trPr>
        <w:tc>
          <w:tcPr>
            <w:tcW w:w="10340" w:type="dxa"/>
            <w:vAlign w:val="bottom"/>
            <w:gridSpan w:val="2"/>
          </w:tcPr>
          <w:p>
            <w:pPr>
              <w:spacing w:after="0" w:line="194" w:lineRule="exact"/>
              <w:rPr>
                <w:sz w:val="20"/>
                <w:szCs w:val="20"/>
                <w:color w:val="auto"/>
              </w:rPr>
            </w:pPr>
            <w:r>
              <w:rPr>
                <w:rFonts w:ascii="Arial" w:cs="Arial" w:eastAsia="Arial" w:hAnsi="Arial"/>
                <w:sz w:val="17"/>
                <w:szCs w:val="17"/>
                <w:color w:val="auto"/>
              </w:rPr>
              <w:t>Section 3.19.  PATRIOT Act, OFAC and FCPA</w:t>
            </w:r>
          </w:p>
        </w:tc>
        <w:tc>
          <w:tcPr>
            <w:tcW w:w="260" w:type="dxa"/>
            <w:vAlign w:val="bottom"/>
            <w:tcBorders>
              <w:bottom w:val="single" w:sz="8" w:color="auto"/>
            </w:tcBorders>
          </w:tcPr>
          <w:p>
            <w:pPr>
              <w:jc w:val="right"/>
              <w:spacing w:after="0" w:line="194" w:lineRule="exact"/>
              <w:rPr>
                <w:rFonts w:ascii="Arial" w:cs="Arial" w:eastAsia="Arial" w:hAnsi="Arial"/>
                <w:sz w:val="17"/>
                <w:szCs w:val="17"/>
                <w:color w:val="auto"/>
                <w:w w:val="84"/>
              </w:rPr>
            </w:pPr>
            <w:hyperlink w:anchor="page174">
              <w:r>
                <w:rPr>
                  <w:rFonts w:ascii="Arial" w:cs="Arial" w:eastAsia="Arial" w:hAnsi="Arial"/>
                  <w:sz w:val="17"/>
                  <w:szCs w:val="17"/>
                  <w:color w:val="auto"/>
                  <w:w w:val="84"/>
                </w:rPr>
                <w:t>131</w:t>
              </w:r>
            </w:hyperlink>
          </w:p>
        </w:tc>
      </w:tr>
      <w:tr>
        <w:trPr>
          <w:trHeight w:val="193"/>
        </w:trPr>
        <w:tc>
          <w:tcPr>
            <w:tcW w:w="10340" w:type="dxa"/>
            <w:vAlign w:val="bottom"/>
            <w:gridSpan w:val="2"/>
          </w:tcPr>
          <w:p>
            <w:pPr>
              <w:spacing w:after="0" w:line="194" w:lineRule="exact"/>
              <w:rPr>
                <w:sz w:val="20"/>
                <w:szCs w:val="20"/>
                <w:color w:val="auto"/>
              </w:rPr>
            </w:pPr>
            <w:r>
              <w:rPr>
                <w:rFonts w:ascii="Arial" w:cs="Arial" w:eastAsia="Arial" w:hAnsi="Arial"/>
                <w:sz w:val="17"/>
                <w:szCs w:val="17"/>
                <w:color w:val="auto"/>
              </w:rPr>
              <w:t>Section 3.20.  EEA Financial Institutions</w:t>
            </w:r>
          </w:p>
        </w:tc>
        <w:tc>
          <w:tcPr>
            <w:tcW w:w="260" w:type="dxa"/>
            <w:vAlign w:val="bottom"/>
            <w:tcBorders>
              <w:bottom w:val="single" w:sz="8" w:color="auto"/>
            </w:tcBorders>
          </w:tcPr>
          <w:p>
            <w:pPr>
              <w:jc w:val="right"/>
              <w:spacing w:after="0" w:line="194" w:lineRule="exact"/>
              <w:rPr>
                <w:rFonts w:ascii="Arial" w:cs="Arial" w:eastAsia="Arial" w:hAnsi="Arial"/>
                <w:sz w:val="17"/>
                <w:szCs w:val="17"/>
                <w:color w:val="auto"/>
                <w:w w:val="84"/>
              </w:rPr>
            </w:pPr>
            <w:hyperlink w:anchor="page174">
              <w:r>
                <w:rPr>
                  <w:rFonts w:ascii="Arial" w:cs="Arial" w:eastAsia="Arial" w:hAnsi="Arial"/>
                  <w:sz w:val="17"/>
                  <w:szCs w:val="17"/>
                  <w:color w:val="auto"/>
                  <w:w w:val="84"/>
                </w:rPr>
                <w:t>132</w:t>
              </w:r>
            </w:hyperlink>
          </w:p>
        </w:tc>
      </w:tr>
      <w:tr>
        <w:trPr>
          <w:trHeight w:val="193"/>
        </w:trPr>
        <w:tc>
          <w:tcPr>
            <w:tcW w:w="10340" w:type="dxa"/>
            <w:vAlign w:val="bottom"/>
            <w:gridSpan w:val="2"/>
          </w:tcPr>
          <w:p>
            <w:pPr>
              <w:spacing w:after="0" w:line="194" w:lineRule="exact"/>
              <w:rPr>
                <w:sz w:val="20"/>
                <w:szCs w:val="20"/>
                <w:color w:val="auto"/>
              </w:rPr>
            </w:pPr>
            <w:r>
              <w:rPr>
                <w:rFonts w:ascii="Arial" w:cs="Arial" w:eastAsia="Arial" w:hAnsi="Arial"/>
                <w:sz w:val="17"/>
                <w:szCs w:val="17"/>
                <w:color w:val="auto"/>
              </w:rPr>
              <w:t>ARTICLE 4 Conditions</w:t>
            </w:r>
          </w:p>
        </w:tc>
        <w:tc>
          <w:tcPr>
            <w:tcW w:w="260" w:type="dxa"/>
            <w:vAlign w:val="bottom"/>
            <w:tcBorders>
              <w:bottom w:val="single" w:sz="8" w:color="auto"/>
            </w:tcBorders>
          </w:tcPr>
          <w:p>
            <w:pPr>
              <w:jc w:val="right"/>
              <w:spacing w:after="0" w:line="194" w:lineRule="exact"/>
              <w:rPr>
                <w:rFonts w:ascii="Arial" w:cs="Arial" w:eastAsia="Arial" w:hAnsi="Arial"/>
                <w:sz w:val="17"/>
                <w:szCs w:val="17"/>
                <w:color w:val="auto"/>
                <w:w w:val="84"/>
              </w:rPr>
            </w:pPr>
            <w:hyperlink w:anchor="page174">
              <w:r>
                <w:rPr>
                  <w:rFonts w:ascii="Arial" w:cs="Arial" w:eastAsia="Arial" w:hAnsi="Arial"/>
                  <w:sz w:val="17"/>
                  <w:szCs w:val="17"/>
                  <w:color w:val="auto"/>
                  <w:w w:val="84"/>
                </w:rPr>
                <w:t>132</w:t>
              </w:r>
            </w:hyperlink>
          </w:p>
        </w:tc>
      </w:tr>
      <w:tr>
        <w:trPr>
          <w:trHeight w:val="193"/>
        </w:trPr>
        <w:tc>
          <w:tcPr>
            <w:tcW w:w="1000" w:type="dxa"/>
            <w:vAlign w:val="bottom"/>
          </w:tcPr>
          <w:p>
            <w:pPr>
              <w:spacing w:after="0" w:line="194" w:lineRule="exact"/>
              <w:rPr>
                <w:sz w:val="20"/>
                <w:szCs w:val="20"/>
                <w:color w:val="auto"/>
              </w:rPr>
            </w:pPr>
            <w:r>
              <w:rPr>
                <w:rFonts w:ascii="Arial" w:cs="Arial" w:eastAsia="Arial" w:hAnsi="Arial"/>
                <w:sz w:val="17"/>
                <w:szCs w:val="17"/>
                <w:color w:val="auto"/>
                <w:w w:val="98"/>
              </w:rPr>
              <w:t>Section 4.01.</w:t>
            </w:r>
          </w:p>
        </w:tc>
        <w:tc>
          <w:tcPr>
            <w:tcW w:w="9340" w:type="dxa"/>
            <w:vAlign w:val="bottom"/>
          </w:tcPr>
          <w:p>
            <w:pPr>
              <w:ind w:left="100"/>
              <w:spacing w:after="0" w:line="194" w:lineRule="exact"/>
              <w:rPr>
                <w:sz w:val="20"/>
                <w:szCs w:val="20"/>
                <w:color w:val="auto"/>
              </w:rPr>
            </w:pPr>
            <w:r>
              <w:rPr>
                <w:rFonts w:ascii="Arial" w:cs="Arial" w:eastAsia="Arial" w:hAnsi="Arial"/>
                <w:sz w:val="17"/>
                <w:szCs w:val="17"/>
                <w:color w:val="auto"/>
              </w:rPr>
              <w:t>Closing Date</w:t>
            </w:r>
          </w:p>
        </w:tc>
        <w:tc>
          <w:tcPr>
            <w:tcW w:w="260" w:type="dxa"/>
            <w:vAlign w:val="bottom"/>
            <w:tcBorders>
              <w:bottom w:val="single" w:sz="8" w:color="auto"/>
            </w:tcBorders>
          </w:tcPr>
          <w:p>
            <w:pPr>
              <w:jc w:val="right"/>
              <w:spacing w:after="0" w:line="194" w:lineRule="exact"/>
              <w:rPr>
                <w:rFonts w:ascii="Arial" w:cs="Arial" w:eastAsia="Arial" w:hAnsi="Arial"/>
                <w:sz w:val="17"/>
                <w:szCs w:val="17"/>
                <w:color w:val="auto"/>
                <w:w w:val="84"/>
              </w:rPr>
            </w:pPr>
            <w:hyperlink w:anchor="page174">
              <w:r>
                <w:rPr>
                  <w:rFonts w:ascii="Arial" w:cs="Arial" w:eastAsia="Arial" w:hAnsi="Arial"/>
                  <w:sz w:val="17"/>
                  <w:szCs w:val="17"/>
                  <w:color w:val="auto"/>
                  <w:w w:val="84"/>
                </w:rPr>
                <w:t>132</w:t>
              </w:r>
            </w:hyperlink>
          </w:p>
        </w:tc>
      </w:tr>
      <w:tr>
        <w:trPr>
          <w:trHeight w:val="193"/>
        </w:trPr>
        <w:tc>
          <w:tcPr>
            <w:tcW w:w="10340" w:type="dxa"/>
            <w:vAlign w:val="bottom"/>
            <w:gridSpan w:val="2"/>
          </w:tcPr>
          <w:p>
            <w:pPr>
              <w:spacing w:after="0" w:line="194" w:lineRule="exact"/>
              <w:rPr>
                <w:sz w:val="20"/>
                <w:szCs w:val="20"/>
                <w:color w:val="auto"/>
              </w:rPr>
            </w:pPr>
            <w:r>
              <w:rPr>
                <w:rFonts w:ascii="Arial" w:cs="Arial" w:eastAsia="Arial" w:hAnsi="Arial"/>
                <w:sz w:val="17"/>
                <w:szCs w:val="17"/>
                <w:color w:val="auto"/>
              </w:rPr>
              <w:t>Section 4.02.  Each Credit Event</w:t>
            </w:r>
          </w:p>
        </w:tc>
        <w:tc>
          <w:tcPr>
            <w:tcW w:w="260" w:type="dxa"/>
            <w:vAlign w:val="bottom"/>
            <w:tcBorders>
              <w:bottom w:val="single" w:sz="8" w:color="auto"/>
            </w:tcBorders>
          </w:tcPr>
          <w:p>
            <w:pPr>
              <w:jc w:val="right"/>
              <w:spacing w:after="0" w:line="194" w:lineRule="exact"/>
              <w:rPr>
                <w:rFonts w:ascii="Arial" w:cs="Arial" w:eastAsia="Arial" w:hAnsi="Arial"/>
                <w:sz w:val="17"/>
                <w:szCs w:val="17"/>
                <w:color w:val="auto"/>
                <w:w w:val="84"/>
              </w:rPr>
            </w:pPr>
            <w:hyperlink w:anchor="page174">
              <w:r>
                <w:rPr>
                  <w:rFonts w:ascii="Arial" w:cs="Arial" w:eastAsia="Arial" w:hAnsi="Arial"/>
                  <w:sz w:val="17"/>
                  <w:szCs w:val="17"/>
                  <w:color w:val="auto"/>
                  <w:w w:val="84"/>
                </w:rPr>
                <w:t>134</w:t>
              </w:r>
            </w:hyperlink>
          </w:p>
        </w:tc>
      </w:tr>
      <w:tr>
        <w:trPr>
          <w:trHeight w:val="193"/>
        </w:trPr>
        <w:tc>
          <w:tcPr>
            <w:tcW w:w="10340" w:type="dxa"/>
            <w:vAlign w:val="bottom"/>
            <w:gridSpan w:val="2"/>
          </w:tcPr>
          <w:p>
            <w:pPr>
              <w:spacing w:after="0" w:line="194" w:lineRule="exact"/>
              <w:rPr>
                <w:sz w:val="20"/>
                <w:szCs w:val="20"/>
                <w:color w:val="auto"/>
              </w:rPr>
            </w:pPr>
            <w:r>
              <w:rPr>
                <w:rFonts w:ascii="Arial" w:cs="Arial" w:eastAsia="Arial" w:hAnsi="Arial"/>
                <w:sz w:val="17"/>
                <w:szCs w:val="17"/>
                <w:color w:val="auto"/>
              </w:rPr>
              <w:t>ARTICLE 5 Affirmative Covenants</w:t>
            </w:r>
          </w:p>
        </w:tc>
        <w:tc>
          <w:tcPr>
            <w:tcW w:w="260" w:type="dxa"/>
            <w:vAlign w:val="bottom"/>
            <w:tcBorders>
              <w:bottom w:val="single" w:sz="8" w:color="auto"/>
            </w:tcBorders>
          </w:tcPr>
          <w:p>
            <w:pPr>
              <w:jc w:val="right"/>
              <w:spacing w:after="0" w:line="194" w:lineRule="exact"/>
              <w:rPr>
                <w:rFonts w:ascii="Arial" w:cs="Arial" w:eastAsia="Arial" w:hAnsi="Arial"/>
                <w:sz w:val="17"/>
                <w:szCs w:val="17"/>
                <w:color w:val="auto"/>
                <w:w w:val="84"/>
              </w:rPr>
            </w:pPr>
            <w:hyperlink w:anchor="page174">
              <w:r>
                <w:rPr>
                  <w:rFonts w:ascii="Arial" w:cs="Arial" w:eastAsia="Arial" w:hAnsi="Arial"/>
                  <w:sz w:val="17"/>
                  <w:szCs w:val="17"/>
                  <w:color w:val="auto"/>
                  <w:w w:val="84"/>
                </w:rPr>
                <w:t>135</w:t>
              </w:r>
            </w:hyperlink>
          </w:p>
        </w:tc>
      </w:tr>
      <w:tr>
        <w:trPr>
          <w:trHeight w:val="193"/>
        </w:trPr>
        <w:tc>
          <w:tcPr>
            <w:tcW w:w="10340" w:type="dxa"/>
            <w:vAlign w:val="bottom"/>
            <w:gridSpan w:val="2"/>
          </w:tcPr>
          <w:p>
            <w:pPr>
              <w:spacing w:after="0" w:line="194" w:lineRule="exact"/>
              <w:rPr>
                <w:sz w:val="20"/>
                <w:szCs w:val="20"/>
                <w:color w:val="auto"/>
              </w:rPr>
            </w:pPr>
            <w:r>
              <w:rPr>
                <w:rFonts w:ascii="Arial" w:cs="Arial" w:eastAsia="Arial" w:hAnsi="Arial"/>
                <w:sz w:val="17"/>
                <w:szCs w:val="17"/>
                <w:color w:val="auto"/>
              </w:rPr>
              <w:t>Section 5.01.  Financial Statements and Other Information</w:t>
            </w:r>
          </w:p>
        </w:tc>
        <w:tc>
          <w:tcPr>
            <w:tcW w:w="260" w:type="dxa"/>
            <w:vAlign w:val="bottom"/>
            <w:tcBorders>
              <w:bottom w:val="single" w:sz="8" w:color="auto"/>
            </w:tcBorders>
          </w:tcPr>
          <w:p>
            <w:pPr>
              <w:jc w:val="right"/>
              <w:spacing w:after="0" w:line="194" w:lineRule="exact"/>
              <w:rPr>
                <w:rFonts w:ascii="Arial" w:cs="Arial" w:eastAsia="Arial" w:hAnsi="Arial"/>
                <w:sz w:val="17"/>
                <w:szCs w:val="17"/>
                <w:color w:val="auto"/>
                <w:w w:val="84"/>
              </w:rPr>
            </w:pPr>
            <w:hyperlink w:anchor="page174">
              <w:r>
                <w:rPr>
                  <w:rFonts w:ascii="Arial" w:cs="Arial" w:eastAsia="Arial" w:hAnsi="Arial"/>
                  <w:sz w:val="17"/>
                  <w:szCs w:val="17"/>
                  <w:color w:val="auto"/>
                  <w:w w:val="84"/>
                </w:rPr>
                <w:t>135</w:t>
              </w:r>
            </w:hyperlink>
          </w:p>
        </w:tc>
      </w:tr>
      <w:tr>
        <w:trPr>
          <w:trHeight w:val="193"/>
        </w:trPr>
        <w:tc>
          <w:tcPr>
            <w:tcW w:w="10340" w:type="dxa"/>
            <w:vAlign w:val="bottom"/>
            <w:gridSpan w:val="2"/>
          </w:tcPr>
          <w:p>
            <w:pPr>
              <w:spacing w:after="0" w:line="194" w:lineRule="exact"/>
              <w:rPr>
                <w:sz w:val="20"/>
                <w:szCs w:val="20"/>
                <w:color w:val="auto"/>
              </w:rPr>
            </w:pPr>
            <w:r>
              <w:rPr>
                <w:rFonts w:ascii="Arial" w:cs="Arial" w:eastAsia="Arial" w:hAnsi="Arial"/>
                <w:sz w:val="17"/>
                <w:szCs w:val="17"/>
                <w:color w:val="auto"/>
              </w:rPr>
              <w:t>Section 5.02.  Notices of Material Events</w:t>
            </w:r>
          </w:p>
        </w:tc>
        <w:tc>
          <w:tcPr>
            <w:tcW w:w="260" w:type="dxa"/>
            <w:vAlign w:val="bottom"/>
            <w:tcBorders>
              <w:bottom w:val="single" w:sz="8" w:color="auto"/>
            </w:tcBorders>
          </w:tcPr>
          <w:p>
            <w:pPr>
              <w:jc w:val="right"/>
              <w:spacing w:after="0" w:line="194" w:lineRule="exact"/>
              <w:rPr>
                <w:rFonts w:ascii="Arial" w:cs="Arial" w:eastAsia="Arial" w:hAnsi="Arial"/>
                <w:sz w:val="17"/>
                <w:szCs w:val="17"/>
                <w:color w:val="auto"/>
                <w:w w:val="84"/>
              </w:rPr>
            </w:pPr>
            <w:hyperlink w:anchor="page174">
              <w:r>
                <w:rPr>
                  <w:rFonts w:ascii="Arial" w:cs="Arial" w:eastAsia="Arial" w:hAnsi="Arial"/>
                  <w:sz w:val="17"/>
                  <w:szCs w:val="17"/>
                  <w:color w:val="auto"/>
                  <w:w w:val="84"/>
                </w:rPr>
                <w:t>139</w:t>
              </w:r>
            </w:hyperlink>
          </w:p>
        </w:tc>
      </w:tr>
      <w:tr>
        <w:trPr>
          <w:trHeight w:val="193"/>
        </w:trPr>
        <w:tc>
          <w:tcPr>
            <w:tcW w:w="10340" w:type="dxa"/>
            <w:vAlign w:val="bottom"/>
            <w:gridSpan w:val="2"/>
          </w:tcPr>
          <w:p>
            <w:pPr>
              <w:spacing w:after="0" w:line="194" w:lineRule="exact"/>
              <w:rPr>
                <w:sz w:val="20"/>
                <w:szCs w:val="20"/>
                <w:color w:val="auto"/>
              </w:rPr>
            </w:pPr>
            <w:r>
              <w:rPr>
                <w:rFonts w:ascii="Arial" w:cs="Arial" w:eastAsia="Arial" w:hAnsi="Arial"/>
                <w:sz w:val="17"/>
                <w:szCs w:val="17"/>
                <w:color w:val="auto"/>
              </w:rPr>
              <w:t>Section 5.03.  Information Regarding Collateral</w:t>
            </w:r>
          </w:p>
        </w:tc>
        <w:tc>
          <w:tcPr>
            <w:tcW w:w="260" w:type="dxa"/>
            <w:vAlign w:val="bottom"/>
            <w:tcBorders>
              <w:bottom w:val="single" w:sz="8" w:color="auto"/>
            </w:tcBorders>
          </w:tcPr>
          <w:p>
            <w:pPr>
              <w:jc w:val="right"/>
              <w:spacing w:after="0" w:line="194" w:lineRule="exact"/>
              <w:rPr>
                <w:rFonts w:ascii="Arial" w:cs="Arial" w:eastAsia="Arial" w:hAnsi="Arial"/>
                <w:sz w:val="17"/>
                <w:szCs w:val="17"/>
                <w:color w:val="auto"/>
                <w:w w:val="84"/>
              </w:rPr>
            </w:pPr>
            <w:hyperlink w:anchor="page174">
              <w:r>
                <w:rPr>
                  <w:rFonts w:ascii="Arial" w:cs="Arial" w:eastAsia="Arial" w:hAnsi="Arial"/>
                  <w:sz w:val="17"/>
                  <w:szCs w:val="17"/>
                  <w:color w:val="auto"/>
                  <w:w w:val="84"/>
                </w:rPr>
                <w:t>140</w:t>
              </w:r>
            </w:hyperlink>
          </w:p>
        </w:tc>
      </w:tr>
      <w:tr>
        <w:trPr>
          <w:trHeight w:val="193"/>
        </w:trPr>
        <w:tc>
          <w:tcPr>
            <w:tcW w:w="10340" w:type="dxa"/>
            <w:vAlign w:val="bottom"/>
            <w:gridSpan w:val="2"/>
          </w:tcPr>
          <w:p>
            <w:pPr>
              <w:spacing w:after="0" w:line="194" w:lineRule="exact"/>
              <w:rPr>
                <w:sz w:val="20"/>
                <w:szCs w:val="20"/>
                <w:color w:val="auto"/>
              </w:rPr>
            </w:pPr>
            <w:r>
              <w:rPr>
                <w:rFonts w:ascii="Arial" w:cs="Arial" w:eastAsia="Arial" w:hAnsi="Arial"/>
                <w:sz w:val="17"/>
                <w:szCs w:val="17"/>
                <w:color w:val="auto"/>
              </w:rPr>
              <w:t>Section 5.04.  Existence; Conduct of Business</w:t>
            </w:r>
          </w:p>
        </w:tc>
        <w:tc>
          <w:tcPr>
            <w:tcW w:w="260" w:type="dxa"/>
            <w:vAlign w:val="bottom"/>
            <w:tcBorders>
              <w:bottom w:val="single" w:sz="8" w:color="auto"/>
            </w:tcBorders>
          </w:tcPr>
          <w:p>
            <w:pPr>
              <w:jc w:val="right"/>
              <w:spacing w:after="0" w:line="194" w:lineRule="exact"/>
              <w:rPr>
                <w:rFonts w:ascii="Arial" w:cs="Arial" w:eastAsia="Arial" w:hAnsi="Arial"/>
                <w:sz w:val="17"/>
                <w:szCs w:val="17"/>
                <w:color w:val="auto"/>
                <w:w w:val="84"/>
              </w:rPr>
            </w:pPr>
            <w:hyperlink w:anchor="page174">
              <w:r>
                <w:rPr>
                  <w:rFonts w:ascii="Arial" w:cs="Arial" w:eastAsia="Arial" w:hAnsi="Arial"/>
                  <w:sz w:val="17"/>
                  <w:szCs w:val="17"/>
                  <w:color w:val="auto"/>
                  <w:w w:val="84"/>
                </w:rPr>
                <w:t>140</w:t>
              </w:r>
            </w:hyperlink>
          </w:p>
        </w:tc>
      </w:tr>
      <w:tr>
        <w:trPr>
          <w:trHeight w:val="193"/>
        </w:trPr>
        <w:tc>
          <w:tcPr>
            <w:tcW w:w="10340" w:type="dxa"/>
            <w:vAlign w:val="bottom"/>
            <w:gridSpan w:val="2"/>
          </w:tcPr>
          <w:p>
            <w:pPr>
              <w:spacing w:after="0" w:line="194" w:lineRule="exact"/>
              <w:rPr>
                <w:sz w:val="20"/>
                <w:szCs w:val="20"/>
                <w:color w:val="auto"/>
              </w:rPr>
            </w:pPr>
            <w:r>
              <w:rPr>
                <w:rFonts w:ascii="Arial" w:cs="Arial" w:eastAsia="Arial" w:hAnsi="Arial"/>
                <w:sz w:val="17"/>
                <w:szCs w:val="17"/>
                <w:color w:val="auto"/>
              </w:rPr>
              <w:t>Section 5.05.  Payment of Taxes, Etc.</w:t>
            </w:r>
          </w:p>
        </w:tc>
        <w:tc>
          <w:tcPr>
            <w:tcW w:w="260" w:type="dxa"/>
            <w:vAlign w:val="bottom"/>
            <w:tcBorders>
              <w:bottom w:val="single" w:sz="8" w:color="auto"/>
            </w:tcBorders>
          </w:tcPr>
          <w:p>
            <w:pPr>
              <w:jc w:val="right"/>
              <w:spacing w:after="0" w:line="194" w:lineRule="exact"/>
              <w:rPr>
                <w:rFonts w:ascii="Arial" w:cs="Arial" w:eastAsia="Arial" w:hAnsi="Arial"/>
                <w:sz w:val="17"/>
                <w:szCs w:val="17"/>
                <w:color w:val="auto"/>
                <w:w w:val="84"/>
              </w:rPr>
            </w:pPr>
            <w:hyperlink w:anchor="page174">
              <w:r>
                <w:rPr>
                  <w:rFonts w:ascii="Arial" w:cs="Arial" w:eastAsia="Arial" w:hAnsi="Arial"/>
                  <w:sz w:val="17"/>
                  <w:szCs w:val="17"/>
                  <w:color w:val="auto"/>
                  <w:w w:val="84"/>
                </w:rPr>
                <w:t>140</w:t>
              </w:r>
            </w:hyperlink>
          </w:p>
        </w:tc>
      </w:tr>
      <w:tr>
        <w:trPr>
          <w:trHeight w:val="193"/>
        </w:trPr>
        <w:tc>
          <w:tcPr>
            <w:tcW w:w="10340" w:type="dxa"/>
            <w:vAlign w:val="bottom"/>
            <w:gridSpan w:val="2"/>
          </w:tcPr>
          <w:p>
            <w:pPr>
              <w:spacing w:after="0" w:line="194" w:lineRule="exact"/>
              <w:rPr>
                <w:sz w:val="20"/>
                <w:szCs w:val="20"/>
                <w:color w:val="auto"/>
              </w:rPr>
            </w:pPr>
            <w:r>
              <w:rPr>
                <w:rFonts w:ascii="Arial" w:cs="Arial" w:eastAsia="Arial" w:hAnsi="Arial"/>
                <w:sz w:val="17"/>
                <w:szCs w:val="17"/>
                <w:color w:val="auto"/>
              </w:rPr>
              <w:t>Section 5.06.  Maintenance of Properties</w:t>
            </w:r>
          </w:p>
        </w:tc>
        <w:tc>
          <w:tcPr>
            <w:tcW w:w="260" w:type="dxa"/>
            <w:vAlign w:val="bottom"/>
            <w:tcBorders>
              <w:bottom w:val="single" w:sz="8" w:color="auto"/>
            </w:tcBorders>
          </w:tcPr>
          <w:p>
            <w:pPr>
              <w:jc w:val="right"/>
              <w:spacing w:after="0" w:line="194" w:lineRule="exact"/>
              <w:rPr>
                <w:rFonts w:ascii="Arial" w:cs="Arial" w:eastAsia="Arial" w:hAnsi="Arial"/>
                <w:sz w:val="17"/>
                <w:szCs w:val="17"/>
                <w:color w:val="auto"/>
                <w:w w:val="84"/>
              </w:rPr>
            </w:pPr>
            <w:hyperlink w:anchor="page174">
              <w:r>
                <w:rPr>
                  <w:rFonts w:ascii="Arial" w:cs="Arial" w:eastAsia="Arial" w:hAnsi="Arial"/>
                  <w:sz w:val="17"/>
                  <w:szCs w:val="17"/>
                  <w:color w:val="auto"/>
                  <w:w w:val="84"/>
                </w:rPr>
                <w:t>140</w:t>
              </w:r>
            </w:hyperlink>
          </w:p>
        </w:tc>
      </w:tr>
      <w:tr>
        <w:trPr>
          <w:trHeight w:val="193"/>
        </w:trPr>
        <w:tc>
          <w:tcPr>
            <w:tcW w:w="1000" w:type="dxa"/>
            <w:vAlign w:val="bottom"/>
          </w:tcPr>
          <w:p>
            <w:pPr>
              <w:spacing w:after="0" w:line="194" w:lineRule="exact"/>
              <w:rPr>
                <w:sz w:val="20"/>
                <w:szCs w:val="20"/>
                <w:color w:val="auto"/>
              </w:rPr>
            </w:pPr>
            <w:r>
              <w:rPr>
                <w:rFonts w:ascii="Arial" w:cs="Arial" w:eastAsia="Arial" w:hAnsi="Arial"/>
                <w:sz w:val="17"/>
                <w:szCs w:val="17"/>
                <w:color w:val="auto"/>
                <w:w w:val="98"/>
              </w:rPr>
              <w:t>Section 5.07.</w:t>
            </w:r>
          </w:p>
        </w:tc>
        <w:tc>
          <w:tcPr>
            <w:tcW w:w="9340" w:type="dxa"/>
            <w:vAlign w:val="bottom"/>
          </w:tcPr>
          <w:p>
            <w:pPr>
              <w:ind w:left="100"/>
              <w:spacing w:after="0" w:line="194" w:lineRule="exact"/>
              <w:rPr>
                <w:sz w:val="20"/>
                <w:szCs w:val="20"/>
                <w:color w:val="auto"/>
              </w:rPr>
            </w:pPr>
            <w:r>
              <w:rPr>
                <w:rFonts w:ascii="Arial" w:cs="Arial" w:eastAsia="Arial" w:hAnsi="Arial"/>
                <w:sz w:val="17"/>
                <w:szCs w:val="17"/>
                <w:color w:val="auto"/>
              </w:rPr>
              <w:t>Insurance</w:t>
            </w:r>
          </w:p>
        </w:tc>
        <w:tc>
          <w:tcPr>
            <w:tcW w:w="260" w:type="dxa"/>
            <w:vAlign w:val="bottom"/>
            <w:tcBorders>
              <w:bottom w:val="single" w:sz="8" w:color="auto"/>
            </w:tcBorders>
          </w:tcPr>
          <w:p>
            <w:pPr>
              <w:jc w:val="right"/>
              <w:spacing w:after="0" w:line="194" w:lineRule="exact"/>
              <w:rPr>
                <w:rFonts w:ascii="Arial" w:cs="Arial" w:eastAsia="Arial" w:hAnsi="Arial"/>
                <w:sz w:val="17"/>
                <w:szCs w:val="17"/>
                <w:color w:val="auto"/>
                <w:w w:val="84"/>
              </w:rPr>
            </w:pPr>
            <w:hyperlink w:anchor="page174">
              <w:r>
                <w:rPr>
                  <w:rFonts w:ascii="Arial" w:cs="Arial" w:eastAsia="Arial" w:hAnsi="Arial"/>
                  <w:sz w:val="17"/>
                  <w:szCs w:val="17"/>
                  <w:color w:val="auto"/>
                  <w:w w:val="84"/>
                </w:rPr>
                <w:t>141</w:t>
              </w:r>
            </w:hyperlink>
          </w:p>
        </w:tc>
      </w:tr>
      <w:tr>
        <w:trPr>
          <w:trHeight w:val="193"/>
        </w:trPr>
        <w:tc>
          <w:tcPr>
            <w:tcW w:w="10340" w:type="dxa"/>
            <w:vAlign w:val="bottom"/>
            <w:gridSpan w:val="2"/>
          </w:tcPr>
          <w:p>
            <w:pPr>
              <w:spacing w:after="0" w:line="194" w:lineRule="exact"/>
              <w:rPr>
                <w:sz w:val="20"/>
                <w:szCs w:val="20"/>
                <w:color w:val="auto"/>
              </w:rPr>
            </w:pPr>
            <w:r>
              <w:rPr>
                <w:rFonts w:ascii="Arial" w:cs="Arial" w:eastAsia="Arial" w:hAnsi="Arial"/>
                <w:sz w:val="17"/>
                <w:szCs w:val="17"/>
                <w:color w:val="auto"/>
              </w:rPr>
              <w:t>Section 5.08.  Books and Records; Inspection and Audit Rights; Quarterly Teleconferences</w:t>
            </w:r>
          </w:p>
        </w:tc>
        <w:tc>
          <w:tcPr>
            <w:tcW w:w="260" w:type="dxa"/>
            <w:vAlign w:val="bottom"/>
            <w:tcBorders>
              <w:bottom w:val="single" w:sz="8" w:color="auto"/>
            </w:tcBorders>
          </w:tcPr>
          <w:p>
            <w:pPr>
              <w:jc w:val="right"/>
              <w:spacing w:after="0" w:line="194" w:lineRule="exact"/>
              <w:rPr>
                <w:rFonts w:ascii="Arial" w:cs="Arial" w:eastAsia="Arial" w:hAnsi="Arial"/>
                <w:sz w:val="17"/>
                <w:szCs w:val="17"/>
                <w:color w:val="auto"/>
                <w:w w:val="84"/>
              </w:rPr>
            </w:pPr>
            <w:hyperlink w:anchor="page174">
              <w:r>
                <w:rPr>
                  <w:rFonts w:ascii="Arial" w:cs="Arial" w:eastAsia="Arial" w:hAnsi="Arial"/>
                  <w:sz w:val="17"/>
                  <w:szCs w:val="17"/>
                  <w:color w:val="auto"/>
                  <w:w w:val="84"/>
                </w:rPr>
                <w:t>141</w:t>
              </w:r>
            </w:hyperlink>
          </w:p>
        </w:tc>
      </w:tr>
      <w:tr>
        <w:trPr>
          <w:trHeight w:val="193"/>
        </w:trPr>
        <w:tc>
          <w:tcPr>
            <w:tcW w:w="10340" w:type="dxa"/>
            <w:vAlign w:val="bottom"/>
            <w:gridSpan w:val="2"/>
          </w:tcPr>
          <w:p>
            <w:pPr>
              <w:spacing w:after="0" w:line="194" w:lineRule="exact"/>
              <w:rPr>
                <w:sz w:val="20"/>
                <w:szCs w:val="20"/>
                <w:color w:val="auto"/>
              </w:rPr>
            </w:pPr>
            <w:r>
              <w:rPr>
                <w:rFonts w:ascii="Arial" w:cs="Arial" w:eastAsia="Arial" w:hAnsi="Arial"/>
                <w:sz w:val="17"/>
                <w:szCs w:val="17"/>
                <w:color w:val="auto"/>
              </w:rPr>
              <w:t>Section 5.09.  Compliance with Laws</w:t>
            </w:r>
          </w:p>
        </w:tc>
        <w:tc>
          <w:tcPr>
            <w:tcW w:w="260" w:type="dxa"/>
            <w:vAlign w:val="bottom"/>
            <w:tcBorders>
              <w:bottom w:val="single" w:sz="8" w:color="auto"/>
            </w:tcBorders>
          </w:tcPr>
          <w:p>
            <w:pPr>
              <w:jc w:val="right"/>
              <w:spacing w:after="0" w:line="194" w:lineRule="exact"/>
              <w:rPr>
                <w:rFonts w:ascii="Arial" w:cs="Arial" w:eastAsia="Arial" w:hAnsi="Arial"/>
                <w:sz w:val="17"/>
                <w:szCs w:val="17"/>
                <w:color w:val="auto"/>
                <w:w w:val="84"/>
              </w:rPr>
            </w:pPr>
            <w:hyperlink w:anchor="page174">
              <w:r>
                <w:rPr>
                  <w:rFonts w:ascii="Arial" w:cs="Arial" w:eastAsia="Arial" w:hAnsi="Arial"/>
                  <w:sz w:val="17"/>
                  <w:szCs w:val="17"/>
                  <w:color w:val="auto"/>
                  <w:w w:val="84"/>
                </w:rPr>
                <w:t>142</w:t>
              </w:r>
            </w:hyperlink>
          </w:p>
        </w:tc>
      </w:tr>
      <w:tr>
        <w:trPr>
          <w:trHeight w:val="193"/>
        </w:trPr>
        <w:tc>
          <w:tcPr>
            <w:tcW w:w="10340" w:type="dxa"/>
            <w:vAlign w:val="bottom"/>
            <w:gridSpan w:val="2"/>
          </w:tcPr>
          <w:p>
            <w:pPr>
              <w:spacing w:after="0" w:line="194" w:lineRule="exact"/>
              <w:rPr>
                <w:sz w:val="20"/>
                <w:szCs w:val="20"/>
                <w:color w:val="auto"/>
              </w:rPr>
            </w:pPr>
            <w:r>
              <w:rPr>
                <w:rFonts w:ascii="Arial" w:cs="Arial" w:eastAsia="Arial" w:hAnsi="Arial"/>
                <w:sz w:val="17"/>
                <w:szCs w:val="17"/>
                <w:color w:val="auto"/>
              </w:rPr>
              <w:t>Section 5.10.  Use of Proceeds</w:t>
            </w:r>
          </w:p>
        </w:tc>
        <w:tc>
          <w:tcPr>
            <w:tcW w:w="260" w:type="dxa"/>
            <w:vAlign w:val="bottom"/>
            <w:tcBorders>
              <w:bottom w:val="single" w:sz="8" w:color="auto"/>
            </w:tcBorders>
          </w:tcPr>
          <w:p>
            <w:pPr>
              <w:jc w:val="right"/>
              <w:spacing w:after="0" w:line="194" w:lineRule="exact"/>
              <w:rPr>
                <w:rFonts w:ascii="Arial" w:cs="Arial" w:eastAsia="Arial" w:hAnsi="Arial"/>
                <w:sz w:val="17"/>
                <w:szCs w:val="17"/>
                <w:color w:val="auto"/>
                <w:w w:val="84"/>
              </w:rPr>
            </w:pPr>
            <w:hyperlink w:anchor="page174">
              <w:r>
                <w:rPr>
                  <w:rFonts w:ascii="Arial" w:cs="Arial" w:eastAsia="Arial" w:hAnsi="Arial"/>
                  <w:sz w:val="17"/>
                  <w:szCs w:val="17"/>
                  <w:color w:val="auto"/>
                  <w:w w:val="84"/>
                </w:rPr>
                <w:t>142</w:t>
              </w:r>
            </w:hyperlink>
          </w:p>
        </w:tc>
      </w:tr>
      <w:tr>
        <w:trPr>
          <w:trHeight w:val="193"/>
        </w:trPr>
        <w:tc>
          <w:tcPr>
            <w:tcW w:w="1000" w:type="dxa"/>
            <w:vAlign w:val="bottom"/>
          </w:tcPr>
          <w:p>
            <w:pPr>
              <w:spacing w:after="0" w:line="194" w:lineRule="exact"/>
              <w:rPr>
                <w:sz w:val="20"/>
                <w:szCs w:val="20"/>
                <w:color w:val="auto"/>
              </w:rPr>
            </w:pPr>
            <w:r>
              <w:rPr>
                <w:rFonts w:ascii="Arial" w:cs="Arial" w:eastAsia="Arial" w:hAnsi="Arial"/>
                <w:sz w:val="17"/>
                <w:szCs w:val="17"/>
                <w:color w:val="auto"/>
                <w:w w:val="98"/>
              </w:rPr>
              <w:t>Section 5.11.</w:t>
            </w:r>
          </w:p>
        </w:tc>
        <w:tc>
          <w:tcPr>
            <w:tcW w:w="9340" w:type="dxa"/>
            <w:vAlign w:val="bottom"/>
          </w:tcPr>
          <w:p>
            <w:pPr>
              <w:ind w:left="100"/>
              <w:spacing w:after="0" w:line="194" w:lineRule="exact"/>
              <w:rPr>
                <w:sz w:val="20"/>
                <w:szCs w:val="20"/>
                <w:color w:val="auto"/>
              </w:rPr>
            </w:pPr>
            <w:r>
              <w:rPr>
                <w:rFonts w:ascii="Arial" w:cs="Arial" w:eastAsia="Arial" w:hAnsi="Arial"/>
                <w:sz w:val="17"/>
                <w:szCs w:val="17"/>
                <w:color w:val="auto"/>
              </w:rPr>
              <w:t>Additional Subsidiaries</w:t>
            </w:r>
          </w:p>
        </w:tc>
        <w:tc>
          <w:tcPr>
            <w:tcW w:w="260" w:type="dxa"/>
            <w:vAlign w:val="bottom"/>
            <w:tcBorders>
              <w:bottom w:val="single" w:sz="8" w:color="auto"/>
            </w:tcBorders>
          </w:tcPr>
          <w:p>
            <w:pPr>
              <w:jc w:val="right"/>
              <w:spacing w:after="0" w:line="194" w:lineRule="exact"/>
              <w:rPr>
                <w:rFonts w:ascii="Arial" w:cs="Arial" w:eastAsia="Arial" w:hAnsi="Arial"/>
                <w:sz w:val="17"/>
                <w:szCs w:val="17"/>
                <w:color w:val="auto"/>
                <w:w w:val="84"/>
              </w:rPr>
            </w:pPr>
            <w:hyperlink w:anchor="page174">
              <w:r>
                <w:rPr>
                  <w:rFonts w:ascii="Arial" w:cs="Arial" w:eastAsia="Arial" w:hAnsi="Arial"/>
                  <w:sz w:val="17"/>
                  <w:szCs w:val="17"/>
                  <w:color w:val="auto"/>
                  <w:w w:val="84"/>
                </w:rPr>
                <w:t>142</w:t>
              </w:r>
            </w:hyperlink>
          </w:p>
        </w:tc>
      </w:tr>
      <w:tr>
        <w:trPr>
          <w:trHeight w:val="193"/>
        </w:trPr>
        <w:tc>
          <w:tcPr>
            <w:tcW w:w="1000" w:type="dxa"/>
            <w:vAlign w:val="bottom"/>
          </w:tcPr>
          <w:p>
            <w:pPr>
              <w:spacing w:after="0" w:line="194" w:lineRule="exact"/>
              <w:rPr>
                <w:sz w:val="20"/>
                <w:szCs w:val="20"/>
                <w:color w:val="auto"/>
              </w:rPr>
            </w:pPr>
            <w:r>
              <w:rPr>
                <w:rFonts w:ascii="Arial" w:cs="Arial" w:eastAsia="Arial" w:hAnsi="Arial"/>
                <w:sz w:val="17"/>
                <w:szCs w:val="17"/>
                <w:color w:val="auto"/>
                <w:w w:val="98"/>
              </w:rPr>
              <w:t>Section 5.12.</w:t>
            </w:r>
          </w:p>
        </w:tc>
        <w:tc>
          <w:tcPr>
            <w:tcW w:w="9340" w:type="dxa"/>
            <w:vAlign w:val="bottom"/>
          </w:tcPr>
          <w:p>
            <w:pPr>
              <w:ind w:left="100"/>
              <w:spacing w:after="0" w:line="194" w:lineRule="exact"/>
              <w:rPr>
                <w:sz w:val="20"/>
                <w:szCs w:val="20"/>
                <w:color w:val="auto"/>
              </w:rPr>
            </w:pPr>
            <w:r>
              <w:rPr>
                <w:rFonts w:ascii="Arial" w:cs="Arial" w:eastAsia="Arial" w:hAnsi="Arial"/>
                <w:sz w:val="17"/>
                <w:szCs w:val="17"/>
                <w:color w:val="auto"/>
              </w:rPr>
              <w:t>Further Assurances</w:t>
            </w:r>
          </w:p>
        </w:tc>
        <w:tc>
          <w:tcPr>
            <w:tcW w:w="260" w:type="dxa"/>
            <w:vAlign w:val="bottom"/>
            <w:tcBorders>
              <w:bottom w:val="single" w:sz="8" w:color="auto"/>
            </w:tcBorders>
          </w:tcPr>
          <w:p>
            <w:pPr>
              <w:jc w:val="right"/>
              <w:spacing w:after="0" w:line="194" w:lineRule="exact"/>
              <w:rPr>
                <w:rFonts w:ascii="Arial" w:cs="Arial" w:eastAsia="Arial" w:hAnsi="Arial"/>
                <w:sz w:val="17"/>
                <w:szCs w:val="17"/>
                <w:color w:val="auto"/>
                <w:w w:val="84"/>
              </w:rPr>
            </w:pPr>
            <w:hyperlink w:anchor="page174">
              <w:r>
                <w:rPr>
                  <w:rFonts w:ascii="Arial" w:cs="Arial" w:eastAsia="Arial" w:hAnsi="Arial"/>
                  <w:sz w:val="17"/>
                  <w:szCs w:val="17"/>
                  <w:color w:val="auto"/>
                  <w:w w:val="84"/>
                </w:rPr>
                <w:t>142</w:t>
              </w:r>
            </w:hyperlink>
          </w:p>
        </w:tc>
      </w:tr>
      <w:tr>
        <w:trPr>
          <w:trHeight w:val="193"/>
        </w:trPr>
        <w:tc>
          <w:tcPr>
            <w:tcW w:w="10340" w:type="dxa"/>
            <w:vAlign w:val="bottom"/>
            <w:gridSpan w:val="2"/>
          </w:tcPr>
          <w:p>
            <w:pPr>
              <w:spacing w:after="0" w:line="194" w:lineRule="exact"/>
              <w:rPr>
                <w:sz w:val="20"/>
                <w:szCs w:val="20"/>
                <w:color w:val="auto"/>
              </w:rPr>
            </w:pPr>
            <w:r>
              <w:rPr>
                <w:rFonts w:ascii="Arial" w:cs="Arial" w:eastAsia="Arial" w:hAnsi="Arial"/>
                <w:sz w:val="17"/>
                <w:szCs w:val="17"/>
                <w:color w:val="auto"/>
              </w:rPr>
              <w:t>Section 5.13.  Designation of Subsidiaries</w:t>
            </w:r>
          </w:p>
        </w:tc>
        <w:tc>
          <w:tcPr>
            <w:tcW w:w="260" w:type="dxa"/>
            <w:vAlign w:val="bottom"/>
            <w:tcBorders>
              <w:bottom w:val="single" w:sz="8" w:color="auto"/>
            </w:tcBorders>
          </w:tcPr>
          <w:p>
            <w:pPr>
              <w:jc w:val="right"/>
              <w:spacing w:after="0" w:line="194" w:lineRule="exact"/>
              <w:rPr>
                <w:rFonts w:ascii="Arial" w:cs="Arial" w:eastAsia="Arial" w:hAnsi="Arial"/>
                <w:sz w:val="17"/>
                <w:szCs w:val="17"/>
                <w:color w:val="auto"/>
                <w:w w:val="84"/>
              </w:rPr>
            </w:pPr>
            <w:hyperlink w:anchor="page174">
              <w:r>
                <w:rPr>
                  <w:rFonts w:ascii="Arial" w:cs="Arial" w:eastAsia="Arial" w:hAnsi="Arial"/>
                  <w:sz w:val="17"/>
                  <w:szCs w:val="17"/>
                  <w:color w:val="auto"/>
                  <w:w w:val="84"/>
                </w:rPr>
                <w:t>143</w:t>
              </w:r>
            </w:hyperlink>
          </w:p>
        </w:tc>
      </w:tr>
      <w:tr>
        <w:trPr>
          <w:trHeight w:val="193"/>
        </w:trPr>
        <w:tc>
          <w:tcPr>
            <w:tcW w:w="10340" w:type="dxa"/>
            <w:vAlign w:val="bottom"/>
            <w:gridSpan w:val="2"/>
          </w:tcPr>
          <w:p>
            <w:pPr>
              <w:spacing w:after="0" w:line="194" w:lineRule="exact"/>
              <w:rPr>
                <w:sz w:val="20"/>
                <w:szCs w:val="20"/>
                <w:color w:val="auto"/>
              </w:rPr>
            </w:pPr>
            <w:r>
              <w:rPr>
                <w:rFonts w:ascii="Arial" w:cs="Arial" w:eastAsia="Arial" w:hAnsi="Arial"/>
                <w:sz w:val="17"/>
                <w:szCs w:val="17"/>
                <w:color w:val="auto"/>
              </w:rPr>
              <w:t>Section 5.14.  Maintenance of Ratings</w:t>
            </w:r>
          </w:p>
        </w:tc>
        <w:tc>
          <w:tcPr>
            <w:tcW w:w="260" w:type="dxa"/>
            <w:vAlign w:val="bottom"/>
            <w:tcBorders>
              <w:bottom w:val="single" w:sz="8" w:color="auto"/>
            </w:tcBorders>
          </w:tcPr>
          <w:p>
            <w:pPr>
              <w:jc w:val="right"/>
              <w:spacing w:after="0" w:line="194" w:lineRule="exact"/>
              <w:rPr>
                <w:rFonts w:ascii="Arial" w:cs="Arial" w:eastAsia="Arial" w:hAnsi="Arial"/>
                <w:sz w:val="17"/>
                <w:szCs w:val="17"/>
                <w:color w:val="auto"/>
                <w:w w:val="84"/>
              </w:rPr>
            </w:pPr>
            <w:hyperlink w:anchor="page174">
              <w:r>
                <w:rPr>
                  <w:rFonts w:ascii="Arial" w:cs="Arial" w:eastAsia="Arial" w:hAnsi="Arial"/>
                  <w:sz w:val="17"/>
                  <w:szCs w:val="17"/>
                  <w:color w:val="auto"/>
                  <w:w w:val="84"/>
                </w:rPr>
                <w:t>143</w:t>
              </w:r>
            </w:hyperlink>
          </w:p>
        </w:tc>
      </w:tr>
      <w:tr>
        <w:trPr>
          <w:trHeight w:val="193"/>
        </w:trPr>
        <w:tc>
          <w:tcPr>
            <w:tcW w:w="1000" w:type="dxa"/>
            <w:vAlign w:val="bottom"/>
          </w:tcPr>
          <w:p>
            <w:pPr>
              <w:spacing w:after="0" w:line="194" w:lineRule="exact"/>
              <w:rPr>
                <w:sz w:val="20"/>
                <w:szCs w:val="20"/>
                <w:color w:val="auto"/>
              </w:rPr>
            </w:pPr>
            <w:r>
              <w:rPr>
                <w:rFonts w:ascii="Arial" w:cs="Arial" w:eastAsia="Arial" w:hAnsi="Arial"/>
                <w:sz w:val="17"/>
                <w:szCs w:val="17"/>
                <w:color w:val="auto"/>
                <w:w w:val="98"/>
              </w:rPr>
              <w:t>Section 5.15.</w:t>
            </w:r>
          </w:p>
        </w:tc>
        <w:tc>
          <w:tcPr>
            <w:tcW w:w="9340" w:type="dxa"/>
            <w:vAlign w:val="bottom"/>
          </w:tcPr>
          <w:p>
            <w:pPr>
              <w:ind w:left="100"/>
              <w:spacing w:after="0" w:line="194" w:lineRule="exact"/>
              <w:rPr>
                <w:sz w:val="20"/>
                <w:szCs w:val="20"/>
                <w:color w:val="auto"/>
              </w:rPr>
            </w:pPr>
            <w:r>
              <w:rPr>
                <w:rFonts w:ascii="Arial" w:cs="Arial" w:eastAsia="Arial" w:hAnsi="Arial"/>
                <w:sz w:val="17"/>
                <w:szCs w:val="17"/>
                <w:color w:val="auto"/>
              </w:rPr>
              <w:t>Regulatory Matters</w:t>
            </w:r>
          </w:p>
        </w:tc>
        <w:tc>
          <w:tcPr>
            <w:tcW w:w="260" w:type="dxa"/>
            <w:vAlign w:val="bottom"/>
            <w:tcBorders>
              <w:bottom w:val="single" w:sz="8" w:color="auto"/>
            </w:tcBorders>
          </w:tcPr>
          <w:p>
            <w:pPr>
              <w:jc w:val="right"/>
              <w:spacing w:after="0" w:line="194" w:lineRule="exact"/>
              <w:rPr>
                <w:rFonts w:ascii="Arial" w:cs="Arial" w:eastAsia="Arial" w:hAnsi="Arial"/>
                <w:sz w:val="17"/>
                <w:szCs w:val="17"/>
                <w:color w:val="auto"/>
                <w:w w:val="84"/>
              </w:rPr>
            </w:pPr>
            <w:hyperlink w:anchor="page174">
              <w:r>
                <w:rPr>
                  <w:rFonts w:ascii="Arial" w:cs="Arial" w:eastAsia="Arial" w:hAnsi="Arial"/>
                  <w:sz w:val="17"/>
                  <w:szCs w:val="17"/>
                  <w:color w:val="auto"/>
                  <w:w w:val="84"/>
                </w:rPr>
                <w:t>144</w:t>
              </w:r>
            </w:hyperlink>
          </w:p>
        </w:tc>
      </w:tr>
      <w:tr>
        <w:trPr>
          <w:trHeight w:val="193"/>
        </w:trPr>
        <w:tc>
          <w:tcPr>
            <w:tcW w:w="1000" w:type="dxa"/>
            <w:vAlign w:val="bottom"/>
          </w:tcPr>
          <w:p>
            <w:pPr>
              <w:spacing w:after="0" w:line="194" w:lineRule="exact"/>
              <w:rPr>
                <w:sz w:val="20"/>
                <w:szCs w:val="20"/>
                <w:color w:val="auto"/>
              </w:rPr>
            </w:pPr>
            <w:r>
              <w:rPr>
                <w:rFonts w:ascii="Arial" w:cs="Arial" w:eastAsia="Arial" w:hAnsi="Arial"/>
                <w:sz w:val="17"/>
                <w:szCs w:val="17"/>
                <w:color w:val="auto"/>
                <w:w w:val="98"/>
              </w:rPr>
              <w:t>Section 5.16.</w:t>
            </w:r>
          </w:p>
        </w:tc>
        <w:tc>
          <w:tcPr>
            <w:tcW w:w="9340" w:type="dxa"/>
            <w:vAlign w:val="bottom"/>
          </w:tcPr>
          <w:p>
            <w:pPr>
              <w:ind w:left="100"/>
              <w:spacing w:after="0" w:line="194" w:lineRule="exact"/>
              <w:rPr>
                <w:sz w:val="20"/>
                <w:szCs w:val="20"/>
                <w:color w:val="auto"/>
              </w:rPr>
            </w:pPr>
            <w:r>
              <w:rPr>
                <w:rFonts w:ascii="Arial" w:cs="Arial" w:eastAsia="Arial" w:hAnsi="Arial"/>
                <w:sz w:val="17"/>
                <w:szCs w:val="17"/>
                <w:color w:val="auto"/>
              </w:rPr>
              <w:t>Certain Post-Closing Obligations</w:t>
            </w:r>
          </w:p>
        </w:tc>
        <w:tc>
          <w:tcPr>
            <w:tcW w:w="260" w:type="dxa"/>
            <w:vAlign w:val="bottom"/>
            <w:tcBorders>
              <w:bottom w:val="single" w:sz="8" w:color="auto"/>
            </w:tcBorders>
          </w:tcPr>
          <w:p>
            <w:pPr>
              <w:jc w:val="right"/>
              <w:spacing w:after="0" w:line="194" w:lineRule="exact"/>
              <w:rPr>
                <w:rFonts w:ascii="Arial" w:cs="Arial" w:eastAsia="Arial" w:hAnsi="Arial"/>
                <w:sz w:val="17"/>
                <w:szCs w:val="17"/>
                <w:color w:val="auto"/>
                <w:w w:val="84"/>
              </w:rPr>
            </w:pPr>
            <w:hyperlink w:anchor="page174">
              <w:r>
                <w:rPr>
                  <w:rFonts w:ascii="Arial" w:cs="Arial" w:eastAsia="Arial" w:hAnsi="Arial"/>
                  <w:sz w:val="17"/>
                  <w:szCs w:val="17"/>
                  <w:color w:val="auto"/>
                  <w:w w:val="84"/>
                </w:rPr>
                <w:t>144</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ii</w:t>
      </w:r>
    </w:p>
    <w:p>
      <w:pPr>
        <w:spacing w:after="0"/>
        <w:rPr>
          <w:sz w:val="20"/>
          <w:szCs w:val="20"/>
          <w:color w:val="auto"/>
        </w:rPr>
      </w:pPr>
      <w:r>
        <w:rPr>
          <w:rFonts w:ascii="Arial" w:cs="Arial" w:eastAsia="Arial" w:hAnsi="Arial"/>
          <w:sz w:val="13"/>
          <w:szCs w:val="13"/>
          <w:color w:val="auto"/>
        </w:rPr>
        <w:t>Doc#: US1:15647309v1</w:t>
      </w:r>
    </w:p>
    <w:p>
      <w:pPr>
        <w:sectPr>
          <w:pgSz w:w="11900" w:h="16838" w:orient="portrait"/>
          <w:cols w:equalWidth="0" w:num="1">
            <w:col w:w="10660"/>
          </w:cols>
          <w:pgMar w:left="320" w:top="1440" w:right="919" w:bottom="1440" w:gutter="0" w:footer="0" w:header="0"/>
        </w:sectPr>
      </w:pPr>
    </w:p>
    <w:bookmarkStart w:id="171" w:name="page172"/>
    <w:bookmarkEnd w:id="171"/>
    <w:p>
      <w:pPr>
        <w:spacing w:after="0" w:line="200" w:lineRule="exact"/>
        <w:rPr>
          <w:sz w:val="20"/>
          <w:szCs w:val="20"/>
          <w:color w:val="auto"/>
        </w:rPr>
      </w:pPr>
    </w:p>
    <w:p>
      <w:pPr>
        <w:spacing w:after="0" w:line="222"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10340" w:type="dxa"/>
            <w:vAlign w:val="bottom"/>
            <w:gridSpan w:val="2"/>
          </w:tcPr>
          <w:p>
            <w:pPr>
              <w:spacing w:after="0"/>
              <w:rPr>
                <w:sz w:val="20"/>
                <w:szCs w:val="20"/>
                <w:color w:val="auto"/>
              </w:rPr>
            </w:pPr>
            <w:r>
              <w:rPr>
                <w:rFonts w:ascii="Arial" w:cs="Arial" w:eastAsia="Arial" w:hAnsi="Arial"/>
                <w:sz w:val="17"/>
                <w:szCs w:val="17"/>
                <w:color w:val="auto"/>
              </w:rPr>
              <w:t>ARTICLE 6 Negative Covenants</w:t>
            </w:r>
          </w:p>
        </w:tc>
        <w:tc>
          <w:tcPr>
            <w:tcW w:w="260" w:type="dxa"/>
            <w:vAlign w:val="bottom"/>
            <w:tcBorders>
              <w:bottom w:val="single" w:sz="8" w:color="auto"/>
            </w:tcBorders>
          </w:tcPr>
          <w:p>
            <w:pPr>
              <w:jc w:val="right"/>
              <w:spacing w:after="0"/>
              <w:rPr>
                <w:rFonts w:ascii="Arial" w:cs="Arial" w:eastAsia="Arial" w:hAnsi="Arial"/>
                <w:sz w:val="17"/>
                <w:szCs w:val="17"/>
                <w:color w:val="auto"/>
                <w:w w:val="84"/>
              </w:rPr>
            </w:pPr>
            <w:hyperlink w:anchor="page174">
              <w:r>
                <w:rPr>
                  <w:rFonts w:ascii="Arial" w:cs="Arial" w:eastAsia="Arial" w:hAnsi="Arial"/>
                  <w:sz w:val="17"/>
                  <w:szCs w:val="17"/>
                  <w:color w:val="auto"/>
                  <w:w w:val="84"/>
                </w:rPr>
                <w:t>144</w:t>
              </w:r>
            </w:hyperlink>
          </w:p>
        </w:tc>
      </w:tr>
      <w:tr>
        <w:trPr>
          <w:trHeight w:val="193"/>
        </w:trPr>
        <w:tc>
          <w:tcPr>
            <w:tcW w:w="10340" w:type="dxa"/>
            <w:vAlign w:val="bottom"/>
            <w:gridSpan w:val="2"/>
          </w:tcPr>
          <w:p>
            <w:pPr>
              <w:spacing w:after="0" w:line="194" w:lineRule="exact"/>
              <w:rPr>
                <w:sz w:val="20"/>
                <w:szCs w:val="20"/>
                <w:color w:val="auto"/>
              </w:rPr>
            </w:pPr>
            <w:r>
              <w:rPr>
                <w:rFonts w:ascii="Arial" w:cs="Arial" w:eastAsia="Arial" w:hAnsi="Arial"/>
                <w:sz w:val="17"/>
                <w:szCs w:val="17"/>
                <w:color w:val="auto"/>
              </w:rPr>
              <w:t>Section 6.01.  Indebtedness; Certain Equity Securities</w:t>
            </w:r>
          </w:p>
        </w:tc>
        <w:tc>
          <w:tcPr>
            <w:tcW w:w="260" w:type="dxa"/>
            <w:vAlign w:val="bottom"/>
            <w:tcBorders>
              <w:bottom w:val="single" w:sz="8" w:color="auto"/>
            </w:tcBorders>
          </w:tcPr>
          <w:p>
            <w:pPr>
              <w:jc w:val="right"/>
              <w:spacing w:after="0" w:line="194" w:lineRule="exact"/>
              <w:rPr>
                <w:rFonts w:ascii="Arial" w:cs="Arial" w:eastAsia="Arial" w:hAnsi="Arial"/>
                <w:sz w:val="17"/>
                <w:szCs w:val="17"/>
                <w:color w:val="auto"/>
                <w:w w:val="84"/>
              </w:rPr>
            </w:pPr>
            <w:hyperlink w:anchor="page174">
              <w:r>
                <w:rPr>
                  <w:rFonts w:ascii="Arial" w:cs="Arial" w:eastAsia="Arial" w:hAnsi="Arial"/>
                  <w:sz w:val="17"/>
                  <w:szCs w:val="17"/>
                  <w:color w:val="auto"/>
                  <w:w w:val="84"/>
                </w:rPr>
                <w:t>144</w:t>
              </w:r>
            </w:hyperlink>
          </w:p>
        </w:tc>
      </w:tr>
      <w:tr>
        <w:trPr>
          <w:trHeight w:val="193"/>
        </w:trPr>
        <w:tc>
          <w:tcPr>
            <w:tcW w:w="1000" w:type="dxa"/>
            <w:vAlign w:val="bottom"/>
          </w:tcPr>
          <w:p>
            <w:pPr>
              <w:spacing w:after="0" w:line="194" w:lineRule="exact"/>
              <w:rPr>
                <w:sz w:val="20"/>
                <w:szCs w:val="20"/>
                <w:color w:val="auto"/>
              </w:rPr>
            </w:pPr>
            <w:r>
              <w:rPr>
                <w:rFonts w:ascii="Arial" w:cs="Arial" w:eastAsia="Arial" w:hAnsi="Arial"/>
                <w:sz w:val="17"/>
                <w:szCs w:val="17"/>
                <w:color w:val="auto"/>
                <w:w w:val="98"/>
              </w:rPr>
              <w:t>Section 6.02.</w:t>
            </w:r>
          </w:p>
        </w:tc>
        <w:tc>
          <w:tcPr>
            <w:tcW w:w="9340" w:type="dxa"/>
            <w:vAlign w:val="bottom"/>
          </w:tcPr>
          <w:p>
            <w:pPr>
              <w:ind w:left="100"/>
              <w:spacing w:after="0" w:line="194" w:lineRule="exact"/>
              <w:rPr>
                <w:sz w:val="20"/>
                <w:szCs w:val="20"/>
                <w:color w:val="auto"/>
              </w:rPr>
            </w:pPr>
            <w:r>
              <w:rPr>
                <w:rFonts w:ascii="Arial" w:cs="Arial" w:eastAsia="Arial" w:hAnsi="Arial"/>
                <w:sz w:val="17"/>
                <w:szCs w:val="17"/>
                <w:color w:val="auto"/>
              </w:rPr>
              <w:t>Liens</w:t>
            </w:r>
          </w:p>
        </w:tc>
        <w:tc>
          <w:tcPr>
            <w:tcW w:w="260" w:type="dxa"/>
            <w:vAlign w:val="bottom"/>
            <w:tcBorders>
              <w:bottom w:val="single" w:sz="8" w:color="auto"/>
            </w:tcBorders>
          </w:tcPr>
          <w:p>
            <w:pPr>
              <w:jc w:val="right"/>
              <w:spacing w:after="0" w:line="194" w:lineRule="exact"/>
              <w:rPr>
                <w:rFonts w:ascii="Arial" w:cs="Arial" w:eastAsia="Arial" w:hAnsi="Arial"/>
                <w:sz w:val="17"/>
                <w:szCs w:val="17"/>
                <w:color w:val="auto"/>
                <w:w w:val="84"/>
              </w:rPr>
            </w:pPr>
            <w:hyperlink w:anchor="page174">
              <w:r>
                <w:rPr>
                  <w:rFonts w:ascii="Arial" w:cs="Arial" w:eastAsia="Arial" w:hAnsi="Arial"/>
                  <w:sz w:val="17"/>
                  <w:szCs w:val="17"/>
                  <w:color w:val="auto"/>
                  <w:w w:val="84"/>
                </w:rPr>
                <w:t>152</w:t>
              </w:r>
            </w:hyperlink>
          </w:p>
        </w:tc>
      </w:tr>
      <w:tr>
        <w:trPr>
          <w:trHeight w:val="193"/>
        </w:trPr>
        <w:tc>
          <w:tcPr>
            <w:tcW w:w="1000" w:type="dxa"/>
            <w:vAlign w:val="bottom"/>
          </w:tcPr>
          <w:p>
            <w:pPr>
              <w:spacing w:after="0" w:line="194" w:lineRule="exact"/>
              <w:rPr>
                <w:sz w:val="20"/>
                <w:szCs w:val="20"/>
                <w:color w:val="auto"/>
              </w:rPr>
            </w:pPr>
            <w:r>
              <w:rPr>
                <w:rFonts w:ascii="Arial" w:cs="Arial" w:eastAsia="Arial" w:hAnsi="Arial"/>
                <w:sz w:val="17"/>
                <w:szCs w:val="17"/>
                <w:color w:val="auto"/>
                <w:w w:val="98"/>
              </w:rPr>
              <w:t>Section 6.03.</w:t>
            </w:r>
          </w:p>
        </w:tc>
        <w:tc>
          <w:tcPr>
            <w:tcW w:w="9340" w:type="dxa"/>
            <w:vAlign w:val="bottom"/>
          </w:tcPr>
          <w:p>
            <w:pPr>
              <w:ind w:left="100"/>
              <w:spacing w:after="0" w:line="194" w:lineRule="exact"/>
              <w:rPr>
                <w:sz w:val="20"/>
                <w:szCs w:val="20"/>
                <w:color w:val="auto"/>
              </w:rPr>
            </w:pPr>
            <w:r>
              <w:rPr>
                <w:rFonts w:ascii="Arial" w:cs="Arial" w:eastAsia="Arial" w:hAnsi="Arial"/>
                <w:sz w:val="17"/>
                <w:szCs w:val="17"/>
                <w:color w:val="auto"/>
              </w:rPr>
              <w:t>Fundamental Changes</w:t>
            </w:r>
          </w:p>
        </w:tc>
        <w:tc>
          <w:tcPr>
            <w:tcW w:w="260" w:type="dxa"/>
            <w:vAlign w:val="bottom"/>
            <w:tcBorders>
              <w:bottom w:val="single" w:sz="8" w:color="auto"/>
            </w:tcBorders>
          </w:tcPr>
          <w:p>
            <w:pPr>
              <w:jc w:val="right"/>
              <w:spacing w:after="0" w:line="194" w:lineRule="exact"/>
              <w:rPr>
                <w:rFonts w:ascii="Arial" w:cs="Arial" w:eastAsia="Arial" w:hAnsi="Arial"/>
                <w:sz w:val="17"/>
                <w:szCs w:val="17"/>
                <w:color w:val="auto"/>
                <w:w w:val="84"/>
              </w:rPr>
            </w:pPr>
            <w:hyperlink w:anchor="page174">
              <w:r>
                <w:rPr>
                  <w:rFonts w:ascii="Arial" w:cs="Arial" w:eastAsia="Arial" w:hAnsi="Arial"/>
                  <w:sz w:val="17"/>
                  <w:szCs w:val="17"/>
                  <w:color w:val="auto"/>
                  <w:w w:val="84"/>
                </w:rPr>
                <w:t>156</w:t>
              </w:r>
            </w:hyperlink>
          </w:p>
        </w:tc>
      </w:tr>
      <w:tr>
        <w:trPr>
          <w:trHeight w:val="193"/>
        </w:trPr>
        <w:tc>
          <w:tcPr>
            <w:tcW w:w="10340" w:type="dxa"/>
            <w:vAlign w:val="bottom"/>
            <w:gridSpan w:val="2"/>
          </w:tcPr>
          <w:p>
            <w:pPr>
              <w:spacing w:after="0" w:line="194" w:lineRule="exact"/>
              <w:rPr>
                <w:sz w:val="20"/>
                <w:szCs w:val="20"/>
                <w:color w:val="auto"/>
              </w:rPr>
            </w:pPr>
            <w:r>
              <w:rPr>
                <w:rFonts w:ascii="Arial" w:cs="Arial" w:eastAsia="Arial" w:hAnsi="Arial"/>
                <w:sz w:val="17"/>
                <w:szCs w:val="17"/>
                <w:color w:val="auto"/>
              </w:rPr>
              <w:t>Section 6.04.  Investments, Loans, Advances, Guarantees and Acquisitions</w:t>
            </w:r>
          </w:p>
        </w:tc>
        <w:tc>
          <w:tcPr>
            <w:tcW w:w="260" w:type="dxa"/>
            <w:vAlign w:val="bottom"/>
            <w:tcBorders>
              <w:bottom w:val="single" w:sz="8" w:color="auto"/>
            </w:tcBorders>
          </w:tcPr>
          <w:p>
            <w:pPr>
              <w:jc w:val="right"/>
              <w:spacing w:after="0" w:line="194" w:lineRule="exact"/>
              <w:rPr>
                <w:rFonts w:ascii="Arial" w:cs="Arial" w:eastAsia="Arial" w:hAnsi="Arial"/>
                <w:sz w:val="17"/>
                <w:szCs w:val="17"/>
                <w:color w:val="auto"/>
                <w:w w:val="84"/>
              </w:rPr>
            </w:pPr>
            <w:hyperlink w:anchor="page174">
              <w:r>
                <w:rPr>
                  <w:rFonts w:ascii="Arial" w:cs="Arial" w:eastAsia="Arial" w:hAnsi="Arial"/>
                  <w:sz w:val="17"/>
                  <w:szCs w:val="17"/>
                  <w:color w:val="auto"/>
                  <w:w w:val="84"/>
                </w:rPr>
                <w:t>159</w:t>
              </w:r>
            </w:hyperlink>
          </w:p>
        </w:tc>
      </w:tr>
      <w:tr>
        <w:trPr>
          <w:trHeight w:val="193"/>
        </w:trPr>
        <w:tc>
          <w:tcPr>
            <w:tcW w:w="1000" w:type="dxa"/>
            <w:vAlign w:val="bottom"/>
          </w:tcPr>
          <w:p>
            <w:pPr>
              <w:spacing w:after="0" w:line="194" w:lineRule="exact"/>
              <w:rPr>
                <w:sz w:val="20"/>
                <w:szCs w:val="20"/>
                <w:color w:val="auto"/>
              </w:rPr>
            </w:pPr>
            <w:r>
              <w:rPr>
                <w:rFonts w:ascii="Arial" w:cs="Arial" w:eastAsia="Arial" w:hAnsi="Arial"/>
                <w:sz w:val="17"/>
                <w:szCs w:val="17"/>
                <w:color w:val="auto"/>
                <w:w w:val="98"/>
              </w:rPr>
              <w:t>Section 6.05.</w:t>
            </w:r>
          </w:p>
        </w:tc>
        <w:tc>
          <w:tcPr>
            <w:tcW w:w="9340" w:type="dxa"/>
            <w:vAlign w:val="bottom"/>
          </w:tcPr>
          <w:p>
            <w:pPr>
              <w:ind w:left="100"/>
              <w:spacing w:after="0" w:line="194" w:lineRule="exact"/>
              <w:rPr>
                <w:sz w:val="20"/>
                <w:szCs w:val="20"/>
                <w:color w:val="auto"/>
              </w:rPr>
            </w:pPr>
            <w:r>
              <w:rPr>
                <w:rFonts w:ascii="Arial" w:cs="Arial" w:eastAsia="Arial" w:hAnsi="Arial"/>
                <w:sz w:val="17"/>
                <w:szCs w:val="17"/>
                <w:color w:val="auto"/>
              </w:rPr>
              <w:t>Asset Sales</w:t>
            </w:r>
          </w:p>
        </w:tc>
        <w:tc>
          <w:tcPr>
            <w:tcW w:w="260" w:type="dxa"/>
            <w:vAlign w:val="bottom"/>
            <w:tcBorders>
              <w:bottom w:val="single" w:sz="8" w:color="auto"/>
            </w:tcBorders>
          </w:tcPr>
          <w:p>
            <w:pPr>
              <w:jc w:val="right"/>
              <w:spacing w:after="0" w:line="194" w:lineRule="exact"/>
              <w:rPr>
                <w:rFonts w:ascii="Arial" w:cs="Arial" w:eastAsia="Arial" w:hAnsi="Arial"/>
                <w:sz w:val="17"/>
                <w:szCs w:val="17"/>
                <w:color w:val="auto"/>
                <w:w w:val="84"/>
              </w:rPr>
            </w:pPr>
            <w:hyperlink w:anchor="page174">
              <w:r>
                <w:rPr>
                  <w:rFonts w:ascii="Arial" w:cs="Arial" w:eastAsia="Arial" w:hAnsi="Arial"/>
                  <w:sz w:val="17"/>
                  <w:szCs w:val="17"/>
                  <w:color w:val="auto"/>
                  <w:w w:val="84"/>
                </w:rPr>
                <w:t>163</w:t>
              </w:r>
            </w:hyperlink>
          </w:p>
        </w:tc>
      </w:tr>
      <w:tr>
        <w:trPr>
          <w:trHeight w:val="193"/>
        </w:trPr>
        <w:tc>
          <w:tcPr>
            <w:tcW w:w="1000" w:type="dxa"/>
            <w:vAlign w:val="bottom"/>
          </w:tcPr>
          <w:p>
            <w:pPr>
              <w:spacing w:after="0" w:line="194" w:lineRule="exact"/>
              <w:rPr>
                <w:sz w:val="20"/>
                <w:szCs w:val="20"/>
                <w:color w:val="auto"/>
              </w:rPr>
            </w:pPr>
            <w:r>
              <w:rPr>
                <w:rFonts w:ascii="Arial" w:cs="Arial" w:eastAsia="Arial" w:hAnsi="Arial"/>
                <w:sz w:val="17"/>
                <w:szCs w:val="17"/>
                <w:color w:val="auto"/>
                <w:w w:val="98"/>
              </w:rPr>
              <w:t>Section 6.06.</w:t>
            </w:r>
          </w:p>
        </w:tc>
        <w:tc>
          <w:tcPr>
            <w:tcW w:w="9340" w:type="dxa"/>
            <w:vAlign w:val="bottom"/>
          </w:tcPr>
          <w:p>
            <w:pPr>
              <w:ind w:left="100"/>
              <w:spacing w:after="0" w:line="194" w:lineRule="exact"/>
              <w:rPr>
                <w:sz w:val="20"/>
                <w:szCs w:val="20"/>
                <w:color w:val="auto"/>
              </w:rPr>
            </w:pPr>
            <w:r>
              <w:rPr>
                <w:rFonts w:ascii="Arial" w:cs="Arial" w:eastAsia="Arial" w:hAnsi="Arial"/>
                <w:sz w:val="17"/>
                <w:szCs w:val="17"/>
                <w:color w:val="auto"/>
              </w:rPr>
              <w:t>[Reserved]</w:t>
            </w:r>
          </w:p>
        </w:tc>
        <w:tc>
          <w:tcPr>
            <w:tcW w:w="260" w:type="dxa"/>
            <w:vAlign w:val="bottom"/>
            <w:tcBorders>
              <w:bottom w:val="single" w:sz="8" w:color="auto"/>
            </w:tcBorders>
          </w:tcPr>
          <w:p>
            <w:pPr>
              <w:jc w:val="right"/>
              <w:spacing w:after="0" w:line="194" w:lineRule="exact"/>
              <w:rPr>
                <w:rFonts w:ascii="Arial" w:cs="Arial" w:eastAsia="Arial" w:hAnsi="Arial"/>
                <w:sz w:val="17"/>
                <w:szCs w:val="17"/>
                <w:color w:val="auto"/>
                <w:w w:val="84"/>
              </w:rPr>
            </w:pPr>
            <w:hyperlink w:anchor="page174">
              <w:r>
                <w:rPr>
                  <w:rFonts w:ascii="Arial" w:cs="Arial" w:eastAsia="Arial" w:hAnsi="Arial"/>
                  <w:sz w:val="17"/>
                  <w:szCs w:val="17"/>
                  <w:color w:val="auto"/>
                  <w:w w:val="84"/>
                </w:rPr>
                <w:t>165</w:t>
              </w:r>
            </w:hyperlink>
          </w:p>
        </w:tc>
      </w:tr>
      <w:tr>
        <w:trPr>
          <w:trHeight w:val="193"/>
        </w:trPr>
        <w:tc>
          <w:tcPr>
            <w:tcW w:w="1000" w:type="dxa"/>
            <w:vAlign w:val="bottom"/>
          </w:tcPr>
          <w:p>
            <w:pPr>
              <w:spacing w:after="0" w:line="194" w:lineRule="exact"/>
              <w:rPr>
                <w:sz w:val="20"/>
                <w:szCs w:val="20"/>
                <w:color w:val="auto"/>
              </w:rPr>
            </w:pPr>
            <w:r>
              <w:rPr>
                <w:rFonts w:ascii="Arial" w:cs="Arial" w:eastAsia="Arial" w:hAnsi="Arial"/>
                <w:sz w:val="17"/>
                <w:szCs w:val="17"/>
                <w:color w:val="auto"/>
                <w:w w:val="98"/>
              </w:rPr>
              <w:t>Section 6.07.</w:t>
            </w:r>
          </w:p>
        </w:tc>
        <w:tc>
          <w:tcPr>
            <w:tcW w:w="9340" w:type="dxa"/>
            <w:vAlign w:val="bottom"/>
          </w:tcPr>
          <w:p>
            <w:pPr>
              <w:ind w:left="100"/>
              <w:spacing w:after="0" w:line="194" w:lineRule="exact"/>
              <w:rPr>
                <w:sz w:val="20"/>
                <w:szCs w:val="20"/>
                <w:color w:val="auto"/>
              </w:rPr>
            </w:pPr>
            <w:r>
              <w:rPr>
                <w:rFonts w:ascii="Arial" w:cs="Arial" w:eastAsia="Arial" w:hAnsi="Arial"/>
                <w:sz w:val="17"/>
                <w:szCs w:val="17"/>
                <w:color w:val="auto"/>
              </w:rPr>
              <w:t>Swap Agreements</w:t>
            </w:r>
          </w:p>
        </w:tc>
        <w:tc>
          <w:tcPr>
            <w:tcW w:w="260" w:type="dxa"/>
            <w:vAlign w:val="bottom"/>
            <w:tcBorders>
              <w:bottom w:val="single" w:sz="8" w:color="auto"/>
            </w:tcBorders>
          </w:tcPr>
          <w:p>
            <w:pPr>
              <w:jc w:val="right"/>
              <w:spacing w:after="0" w:line="194" w:lineRule="exact"/>
              <w:rPr>
                <w:rFonts w:ascii="Arial" w:cs="Arial" w:eastAsia="Arial" w:hAnsi="Arial"/>
                <w:sz w:val="17"/>
                <w:szCs w:val="17"/>
                <w:color w:val="auto"/>
                <w:w w:val="84"/>
              </w:rPr>
            </w:pPr>
            <w:hyperlink w:anchor="page174">
              <w:r>
                <w:rPr>
                  <w:rFonts w:ascii="Arial" w:cs="Arial" w:eastAsia="Arial" w:hAnsi="Arial"/>
                  <w:sz w:val="17"/>
                  <w:szCs w:val="17"/>
                  <w:color w:val="auto"/>
                  <w:w w:val="84"/>
                </w:rPr>
                <w:t>165</w:t>
              </w:r>
            </w:hyperlink>
          </w:p>
        </w:tc>
      </w:tr>
      <w:tr>
        <w:trPr>
          <w:trHeight w:val="193"/>
        </w:trPr>
        <w:tc>
          <w:tcPr>
            <w:tcW w:w="10340" w:type="dxa"/>
            <w:vAlign w:val="bottom"/>
            <w:gridSpan w:val="2"/>
          </w:tcPr>
          <w:p>
            <w:pPr>
              <w:spacing w:after="0" w:line="194" w:lineRule="exact"/>
              <w:rPr>
                <w:sz w:val="20"/>
                <w:szCs w:val="20"/>
                <w:color w:val="auto"/>
              </w:rPr>
            </w:pPr>
            <w:r>
              <w:rPr>
                <w:rFonts w:ascii="Arial" w:cs="Arial" w:eastAsia="Arial" w:hAnsi="Arial"/>
                <w:sz w:val="17"/>
                <w:szCs w:val="17"/>
                <w:color w:val="auto"/>
              </w:rPr>
              <w:t>Section 6.08.  Restricted Payments; Certain Payments of Indebtedness</w:t>
            </w:r>
          </w:p>
        </w:tc>
        <w:tc>
          <w:tcPr>
            <w:tcW w:w="260" w:type="dxa"/>
            <w:vAlign w:val="bottom"/>
            <w:tcBorders>
              <w:bottom w:val="single" w:sz="8" w:color="auto"/>
            </w:tcBorders>
          </w:tcPr>
          <w:p>
            <w:pPr>
              <w:jc w:val="right"/>
              <w:spacing w:after="0" w:line="194" w:lineRule="exact"/>
              <w:rPr>
                <w:rFonts w:ascii="Arial" w:cs="Arial" w:eastAsia="Arial" w:hAnsi="Arial"/>
                <w:sz w:val="17"/>
                <w:szCs w:val="17"/>
                <w:color w:val="auto"/>
                <w:w w:val="84"/>
              </w:rPr>
            </w:pPr>
            <w:hyperlink w:anchor="page174">
              <w:r>
                <w:rPr>
                  <w:rFonts w:ascii="Arial" w:cs="Arial" w:eastAsia="Arial" w:hAnsi="Arial"/>
                  <w:sz w:val="17"/>
                  <w:szCs w:val="17"/>
                  <w:color w:val="auto"/>
                  <w:w w:val="84"/>
                </w:rPr>
                <w:t>165</w:t>
              </w:r>
            </w:hyperlink>
          </w:p>
        </w:tc>
      </w:tr>
      <w:tr>
        <w:trPr>
          <w:trHeight w:val="193"/>
        </w:trPr>
        <w:tc>
          <w:tcPr>
            <w:tcW w:w="10340" w:type="dxa"/>
            <w:vAlign w:val="bottom"/>
            <w:gridSpan w:val="2"/>
          </w:tcPr>
          <w:p>
            <w:pPr>
              <w:spacing w:after="0" w:line="194" w:lineRule="exact"/>
              <w:rPr>
                <w:sz w:val="20"/>
                <w:szCs w:val="20"/>
                <w:color w:val="auto"/>
              </w:rPr>
            </w:pPr>
            <w:r>
              <w:rPr>
                <w:rFonts w:ascii="Arial" w:cs="Arial" w:eastAsia="Arial" w:hAnsi="Arial"/>
                <w:sz w:val="17"/>
                <w:szCs w:val="17"/>
                <w:color w:val="auto"/>
              </w:rPr>
              <w:t>Section 6.09.  Transactions with Affiliates</w:t>
            </w:r>
          </w:p>
        </w:tc>
        <w:tc>
          <w:tcPr>
            <w:tcW w:w="260" w:type="dxa"/>
            <w:vAlign w:val="bottom"/>
            <w:tcBorders>
              <w:bottom w:val="single" w:sz="8" w:color="auto"/>
            </w:tcBorders>
          </w:tcPr>
          <w:p>
            <w:pPr>
              <w:jc w:val="right"/>
              <w:spacing w:after="0" w:line="194" w:lineRule="exact"/>
              <w:rPr>
                <w:rFonts w:ascii="Arial" w:cs="Arial" w:eastAsia="Arial" w:hAnsi="Arial"/>
                <w:sz w:val="17"/>
                <w:szCs w:val="17"/>
                <w:color w:val="auto"/>
                <w:w w:val="84"/>
              </w:rPr>
            </w:pPr>
            <w:hyperlink w:anchor="page174">
              <w:r>
                <w:rPr>
                  <w:rFonts w:ascii="Arial" w:cs="Arial" w:eastAsia="Arial" w:hAnsi="Arial"/>
                  <w:sz w:val="17"/>
                  <w:szCs w:val="17"/>
                  <w:color w:val="auto"/>
                  <w:w w:val="84"/>
                </w:rPr>
                <w:t>170</w:t>
              </w:r>
            </w:hyperlink>
          </w:p>
        </w:tc>
      </w:tr>
      <w:tr>
        <w:trPr>
          <w:trHeight w:val="193"/>
        </w:trPr>
        <w:tc>
          <w:tcPr>
            <w:tcW w:w="1000" w:type="dxa"/>
            <w:vAlign w:val="bottom"/>
          </w:tcPr>
          <w:p>
            <w:pPr>
              <w:spacing w:after="0" w:line="194" w:lineRule="exact"/>
              <w:rPr>
                <w:sz w:val="20"/>
                <w:szCs w:val="20"/>
                <w:color w:val="auto"/>
              </w:rPr>
            </w:pPr>
            <w:r>
              <w:rPr>
                <w:rFonts w:ascii="Arial" w:cs="Arial" w:eastAsia="Arial" w:hAnsi="Arial"/>
                <w:sz w:val="17"/>
                <w:szCs w:val="17"/>
                <w:color w:val="auto"/>
                <w:w w:val="98"/>
              </w:rPr>
              <w:t>Section 6.10.</w:t>
            </w:r>
          </w:p>
        </w:tc>
        <w:tc>
          <w:tcPr>
            <w:tcW w:w="9340" w:type="dxa"/>
            <w:vAlign w:val="bottom"/>
          </w:tcPr>
          <w:p>
            <w:pPr>
              <w:ind w:left="100"/>
              <w:spacing w:after="0" w:line="194" w:lineRule="exact"/>
              <w:rPr>
                <w:sz w:val="20"/>
                <w:szCs w:val="20"/>
                <w:color w:val="auto"/>
              </w:rPr>
            </w:pPr>
            <w:r>
              <w:rPr>
                <w:rFonts w:ascii="Arial" w:cs="Arial" w:eastAsia="Arial" w:hAnsi="Arial"/>
                <w:sz w:val="17"/>
                <w:szCs w:val="17"/>
                <w:color w:val="auto"/>
              </w:rPr>
              <w:t>Restrictive Agreements</w:t>
            </w:r>
          </w:p>
        </w:tc>
        <w:tc>
          <w:tcPr>
            <w:tcW w:w="260" w:type="dxa"/>
            <w:vAlign w:val="bottom"/>
            <w:tcBorders>
              <w:bottom w:val="single" w:sz="8" w:color="auto"/>
            </w:tcBorders>
          </w:tcPr>
          <w:p>
            <w:pPr>
              <w:jc w:val="right"/>
              <w:spacing w:after="0" w:line="194" w:lineRule="exact"/>
              <w:rPr>
                <w:rFonts w:ascii="Arial" w:cs="Arial" w:eastAsia="Arial" w:hAnsi="Arial"/>
                <w:sz w:val="17"/>
                <w:szCs w:val="17"/>
                <w:color w:val="auto"/>
                <w:w w:val="84"/>
              </w:rPr>
            </w:pPr>
            <w:hyperlink w:anchor="page174">
              <w:r>
                <w:rPr>
                  <w:rFonts w:ascii="Arial" w:cs="Arial" w:eastAsia="Arial" w:hAnsi="Arial"/>
                  <w:sz w:val="17"/>
                  <w:szCs w:val="17"/>
                  <w:color w:val="auto"/>
                  <w:w w:val="84"/>
                </w:rPr>
                <w:t>170</w:t>
              </w:r>
            </w:hyperlink>
          </w:p>
        </w:tc>
      </w:tr>
      <w:tr>
        <w:trPr>
          <w:trHeight w:val="193"/>
        </w:trPr>
        <w:tc>
          <w:tcPr>
            <w:tcW w:w="10340" w:type="dxa"/>
            <w:vAlign w:val="bottom"/>
            <w:gridSpan w:val="2"/>
          </w:tcPr>
          <w:p>
            <w:pPr>
              <w:spacing w:after="0" w:line="194" w:lineRule="exact"/>
              <w:rPr>
                <w:sz w:val="20"/>
                <w:szCs w:val="20"/>
                <w:color w:val="auto"/>
              </w:rPr>
            </w:pPr>
            <w:r>
              <w:rPr>
                <w:rFonts w:ascii="Arial" w:cs="Arial" w:eastAsia="Arial" w:hAnsi="Arial"/>
                <w:sz w:val="17"/>
                <w:szCs w:val="17"/>
                <w:color w:val="auto"/>
              </w:rPr>
              <w:t>Section 6.11.  Amendment of Junior Financing</w:t>
            </w:r>
          </w:p>
        </w:tc>
        <w:tc>
          <w:tcPr>
            <w:tcW w:w="260" w:type="dxa"/>
            <w:vAlign w:val="bottom"/>
            <w:tcBorders>
              <w:bottom w:val="single" w:sz="8" w:color="auto"/>
            </w:tcBorders>
          </w:tcPr>
          <w:p>
            <w:pPr>
              <w:jc w:val="right"/>
              <w:spacing w:after="0" w:line="194" w:lineRule="exact"/>
              <w:rPr>
                <w:rFonts w:ascii="Arial" w:cs="Arial" w:eastAsia="Arial" w:hAnsi="Arial"/>
                <w:sz w:val="17"/>
                <w:szCs w:val="17"/>
                <w:color w:val="auto"/>
                <w:w w:val="84"/>
              </w:rPr>
            </w:pPr>
            <w:hyperlink w:anchor="page174">
              <w:r>
                <w:rPr>
                  <w:rFonts w:ascii="Arial" w:cs="Arial" w:eastAsia="Arial" w:hAnsi="Arial"/>
                  <w:sz w:val="17"/>
                  <w:szCs w:val="17"/>
                  <w:color w:val="auto"/>
                  <w:w w:val="84"/>
                </w:rPr>
                <w:t>172</w:t>
              </w:r>
            </w:hyperlink>
          </w:p>
        </w:tc>
      </w:tr>
      <w:tr>
        <w:trPr>
          <w:trHeight w:val="193"/>
        </w:trPr>
        <w:tc>
          <w:tcPr>
            <w:tcW w:w="10340" w:type="dxa"/>
            <w:vAlign w:val="bottom"/>
            <w:gridSpan w:val="2"/>
          </w:tcPr>
          <w:p>
            <w:pPr>
              <w:spacing w:after="0" w:line="194" w:lineRule="exact"/>
              <w:rPr>
                <w:sz w:val="20"/>
                <w:szCs w:val="20"/>
                <w:color w:val="auto"/>
              </w:rPr>
            </w:pPr>
            <w:r>
              <w:rPr>
                <w:rFonts w:ascii="Arial" w:cs="Arial" w:eastAsia="Arial" w:hAnsi="Arial"/>
                <w:sz w:val="17"/>
                <w:szCs w:val="17"/>
                <w:color w:val="auto"/>
              </w:rPr>
              <w:t>Section 6.12.  Net First Lien Leverage Ratio</w:t>
            </w:r>
          </w:p>
        </w:tc>
        <w:tc>
          <w:tcPr>
            <w:tcW w:w="260" w:type="dxa"/>
            <w:vAlign w:val="bottom"/>
            <w:tcBorders>
              <w:bottom w:val="single" w:sz="8" w:color="auto"/>
            </w:tcBorders>
          </w:tcPr>
          <w:p>
            <w:pPr>
              <w:jc w:val="right"/>
              <w:spacing w:after="0" w:line="194" w:lineRule="exact"/>
              <w:rPr>
                <w:rFonts w:ascii="Arial" w:cs="Arial" w:eastAsia="Arial" w:hAnsi="Arial"/>
                <w:sz w:val="17"/>
                <w:szCs w:val="17"/>
                <w:color w:val="auto"/>
                <w:w w:val="84"/>
              </w:rPr>
            </w:pPr>
            <w:hyperlink w:anchor="page174">
              <w:r>
                <w:rPr>
                  <w:rFonts w:ascii="Arial" w:cs="Arial" w:eastAsia="Arial" w:hAnsi="Arial"/>
                  <w:sz w:val="17"/>
                  <w:szCs w:val="17"/>
                  <w:color w:val="auto"/>
                  <w:w w:val="84"/>
                </w:rPr>
                <w:t>172</w:t>
              </w:r>
            </w:hyperlink>
          </w:p>
        </w:tc>
      </w:tr>
      <w:tr>
        <w:trPr>
          <w:trHeight w:val="193"/>
        </w:trPr>
        <w:tc>
          <w:tcPr>
            <w:tcW w:w="10340" w:type="dxa"/>
            <w:vAlign w:val="bottom"/>
            <w:gridSpan w:val="2"/>
          </w:tcPr>
          <w:p>
            <w:pPr>
              <w:spacing w:after="0" w:line="194" w:lineRule="exact"/>
              <w:rPr>
                <w:sz w:val="20"/>
                <w:szCs w:val="20"/>
                <w:color w:val="auto"/>
              </w:rPr>
            </w:pPr>
            <w:r>
              <w:rPr>
                <w:rFonts w:ascii="Arial" w:cs="Arial" w:eastAsia="Arial" w:hAnsi="Arial"/>
                <w:sz w:val="17"/>
                <w:szCs w:val="17"/>
                <w:color w:val="auto"/>
              </w:rPr>
              <w:t>Section 6.13.  Changes in Fiscal Periods</w:t>
            </w:r>
          </w:p>
        </w:tc>
        <w:tc>
          <w:tcPr>
            <w:tcW w:w="260" w:type="dxa"/>
            <w:vAlign w:val="bottom"/>
            <w:tcBorders>
              <w:bottom w:val="single" w:sz="8" w:color="auto"/>
            </w:tcBorders>
          </w:tcPr>
          <w:p>
            <w:pPr>
              <w:jc w:val="right"/>
              <w:spacing w:after="0" w:line="194" w:lineRule="exact"/>
              <w:rPr>
                <w:rFonts w:ascii="Arial" w:cs="Arial" w:eastAsia="Arial" w:hAnsi="Arial"/>
                <w:sz w:val="17"/>
                <w:szCs w:val="17"/>
                <w:color w:val="auto"/>
                <w:w w:val="84"/>
              </w:rPr>
            </w:pPr>
            <w:hyperlink w:anchor="page174">
              <w:r>
                <w:rPr>
                  <w:rFonts w:ascii="Arial" w:cs="Arial" w:eastAsia="Arial" w:hAnsi="Arial"/>
                  <w:sz w:val="17"/>
                  <w:szCs w:val="17"/>
                  <w:color w:val="auto"/>
                  <w:w w:val="84"/>
                </w:rPr>
                <w:t>173</w:t>
              </w:r>
            </w:hyperlink>
          </w:p>
        </w:tc>
      </w:tr>
      <w:tr>
        <w:trPr>
          <w:trHeight w:val="193"/>
        </w:trPr>
        <w:tc>
          <w:tcPr>
            <w:tcW w:w="10340" w:type="dxa"/>
            <w:vAlign w:val="bottom"/>
            <w:gridSpan w:val="2"/>
          </w:tcPr>
          <w:p>
            <w:pPr>
              <w:spacing w:after="0" w:line="194" w:lineRule="exact"/>
              <w:rPr>
                <w:sz w:val="20"/>
                <w:szCs w:val="20"/>
                <w:color w:val="auto"/>
              </w:rPr>
            </w:pPr>
            <w:r>
              <w:rPr>
                <w:rFonts w:ascii="Arial" w:cs="Arial" w:eastAsia="Arial" w:hAnsi="Arial"/>
                <w:sz w:val="17"/>
                <w:szCs w:val="17"/>
                <w:color w:val="auto"/>
              </w:rPr>
              <w:t>ARTICLE 7 Events of Default</w:t>
            </w:r>
          </w:p>
        </w:tc>
        <w:tc>
          <w:tcPr>
            <w:tcW w:w="260" w:type="dxa"/>
            <w:vAlign w:val="bottom"/>
            <w:tcBorders>
              <w:bottom w:val="single" w:sz="8" w:color="auto"/>
            </w:tcBorders>
          </w:tcPr>
          <w:p>
            <w:pPr>
              <w:jc w:val="right"/>
              <w:spacing w:after="0" w:line="194" w:lineRule="exact"/>
              <w:rPr>
                <w:rFonts w:ascii="Arial" w:cs="Arial" w:eastAsia="Arial" w:hAnsi="Arial"/>
                <w:sz w:val="17"/>
                <w:szCs w:val="17"/>
                <w:color w:val="auto"/>
                <w:w w:val="84"/>
              </w:rPr>
            </w:pPr>
            <w:hyperlink w:anchor="page174">
              <w:r>
                <w:rPr>
                  <w:rFonts w:ascii="Arial" w:cs="Arial" w:eastAsia="Arial" w:hAnsi="Arial"/>
                  <w:sz w:val="17"/>
                  <w:szCs w:val="17"/>
                  <w:color w:val="auto"/>
                  <w:w w:val="84"/>
                </w:rPr>
                <w:t>173</w:t>
              </w:r>
            </w:hyperlink>
          </w:p>
        </w:tc>
      </w:tr>
      <w:tr>
        <w:trPr>
          <w:trHeight w:val="193"/>
        </w:trPr>
        <w:tc>
          <w:tcPr>
            <w:tcW w:w="10340" w:type="dxa"/>
            <w:vAlign w:val="bottom"/>
            <w:gridSpan w:val="2"/>
          </w:tcPr>
          <w:p>
            <w:pPr>
              <w:spacing w:after="0" w:line="194" w:lineRule="exact"/>
              <w:rPr>
                <w:sz w:val="20"/>
                <w:szCs w:val="20"/>
                <w:color w:val="auto"/>
              </w:rPr>
            </w:pPr>
            <w:r>
              <w:rPr>
                <w:rFonts w:ascii="Arial" w:cs="Arial" w:eastAsia="Arial" w:hAnsi="Arial"/>
                <w:sz w:val="17"/>
                <w:szCs w:val="17"/>
                <w:color w:val="auto"/>
              </w:rPr>
              <w:t>Section 7.01.  Events of Default</w:t>
            </w:r>
          </w:p>
        </w:tc>
        <w:tc>
          <w:tcPr>
            <w:tcW w:w="260" w:type="dxa"/>
            <w:vAlign w:val="bottom"/>
            <w:tcBorders>
              <w:bottom w:val="single" w:sz="8" w:color="auto"/>
            </w:tcBorders>
          </w:tcPr>
          <w:p>
            <w:pPr>
              <w:jc w:val="right"/>
              <w:spacing w:after="0" w:line="194" w:lineRule="exact"/>
              <w:rPr>
                <w:rFonts w:ascii="Arial" w:cs="Arial" w:eastAsia="Arial" w:hAnsi="Arial"/>
                <w:sz w:val="17"/>
                <w:szCs w:val="17"/>
                <w:color w:val="auto"/>
                <w:w w:val="84"/>
              </w:rPr>
            </w:pPr>
            <w:hyperlink w:anchor="page174">
              <w:r>
                <w:rPr>
                  <w:rFonts w:ascii="Arial" w:cs="Arial" w:eastAsia="Arial" w:hAnsi="Arial"/>
                  <w:sz w:val="17"/>
                  <w:szCs w:val="17"/>
                  <w:color w:val="auto"/>
                  <w:w w:val="84"/>
                </w:rPr>
                <w:t>173</w:t>
              </w:r>
            </w:hyperlink>
          </w:p>
        </w:tc>
      </w:tr>
      <w:tr>
        <w:trPr>
          <w:trHeight w:val="193"/>
        </w:trPr>
        <w:tc>
          <w:tcPr>
            <w:tcW w:w="1000" w:type="dxa"/>
            <w:vAlign w:val="bottom"/>
          </w:tcPr>
          <w:p>
            <w:pPr>
              <w:spacing w:after="0" w:line="194" w:lineRule="exact"/>
              <w:rPr>
                <w:sz w:val="20"/>
                <w:szCs w:val="20"/>
                <w:color w:val="auto"/>
              </w:rPr>
            </w:pPr>
            <w:r>
              <w:rPr>
                <w:rFonts w:ascii="Arial" w:cs="Arial" w:eastAsia="Arial" w:hAnsi="Arial"/>
                <w:sz w:val="17"/>
                <w:szCs w:val="17"/>
                <w:color w:val="auto"/>
                <w:w w:val="98"/>
              </w:rPr>
              <w:t>Section 7.02.</w:t>
            </w:r>
          </w:p>
        </w:tc>
        <w:tc>
          <w:tcPr>
            <w:tcW w:w="9340" w:type="dxa"/>
            <w:vAlign w:val="bottom"/>
          </w:tcPr>
          <w:p>
            <w:pPr>
              <w:ind w:left="100"/>
              <w:spacing w:after="0" w:line="194" w:lineRule="exact"/>
              <w:rPr>
                <w:sz w:val="20"/>
                <w:szCs w:val="20"/>
                <w:color w:val="auto"/>
              </w:rPr>
            </w:pPr>
            <w:r>
              <w:rPr>
                <w:rFonts w:ascii="Arial" w:cs="Arial" w:eastAsia="Arial" w:hAnsi="Arial"/>
                <w:sz w:val="17"/>
                <w:szCs w:val="17"/>
                <w:color w:val="auto"/>
              </w:rPr>
              <w:t>Right to Cure</w:t>
            </w:r>
          </w:p>
        </w:tc>
        <w:tc>
          <w:tcPr>
            <w:tcW w:w="260" w:type="dxa"/>
            <w:vAlign w:val="bottom"/>
            <w:tcBorders>
              <w:bottom w:val="single" w:sz="8" w:color="auto"/>
            </w:tcBorders>
          </w:tcPr>
          <w:p>
            <w:pPr>
              <w:jc w:val="right"/>
              <w:spacing w:after="0" w:line="194" w:lineRule="exact"/>
              <w:rPr>
                <w:rFonts w:ascii="Arial" w:cs="Arial" w:eastAsia="Arial" w:hAnsi="Arial"/>
                <w:sz w:val="17"/>
                <w:szCs w:val="17"/>
                <w:color w:val="auto"/>
                <w:w w:val="84"/>
              </w:rPr>
            </w:pPr>
            <w:hyperlink w:anchor="page174">
              <w:r>
                <w:rPr>
                  <w:rFonts w:ascii="Arial" w:cs="Arial" w:eastAsia="Arial" w:hAnsi="Arial"/>
                  <w:sz w:val="17"/>
                  <w:szCs w:val="17"/>
                  <w:color w:val="auto"/>
                  <w:w w:val="84"/>
                </w:rPr>
                <w:t>177</w:t>
              </w:r>
            </w:hyperlink>
          </w:p>
        </w:tc>
      </w:tr>
      <w:tr>
        <w:trPr>
          <w:trHeight w:val="193"/>
        </w:trPr>
        <w:tc>
          <w:tcPr>
            <w:tcW w:w="10340" w:type="dxa"/>
            <w:vAlign w:val="bottom"/>
            <w:gridSpan w:val="2"/>
          </w:tcPr>
          <w:p>
            <w:pPr>
              <w:spacing w:after="0" w:line="194" w:lineRule="exact"/>
              <w:rPr>
                <w:sz w:val="20"/>
                <w:szCs w:val="20"/>
                <w:color w:val="auto"/>
              </w:rPr>
            </w:pPr>
            <w:r>
              <w:rPr>
                <w:rFonts w:ascii="Arial" w:cs="Arial" w:eastAsia="Arial" w:hAnsi="Arial"/>
                <w:sz w:val="17"/>
                <w:szCs w:val="17"/>
                <w:color w:val="auto"/>
              </w:rPr>
              <w:t>ARTICLE 8 Administrative Agent and Collateral Agent</w:t>
            </w:r>
          </w:p>
        </w:tc>
        <w:tc>
          <w:tcPr>
            <w:tcW w:w="260" w:type="dxa"/>
            <w:vAlign w:val="bottom"/>
            <w:tcBorders>
              <w:bottom w:val="single" w:sz="8" w:color="auto"/>
            </w:tcBorders>
          </w:tcPr>
          <w:p>
            <w:pPr>
              <w:jc w:val="right"/>
              <w:spacing w:after="0" w:line="194" w:lineRule="exact"/>
              <w:rPr>
                <w:rFonts w:ascii="Arial" w:cs="Arial" w:eastAsia="Arial" w:hAnsi="Arial"/>
                <w:sz w:val="17"/>
                <w:szCs w:val="17"/>
                <w:color w:val="auto"/>
                <w:w w:val="84"/>
              </w:rPr>
            </w:pPr>
            <w:hyperlink w:anchor="page174">
              <w:r>
                <w:rPr>
                  <w:rFonts w:ascii="Arial" w:cs="Arial" w:eastAsia="Arial" w:hAnsi="Arial"/>
                  <w:sz w:val="17"/>
                  <w:szCs w:val="17"/>
                  <w:color w:val="auto"/>
                  <w:w w:val="84"/>
                </w:rPr>
                <w:t>178</w:t>
              </w:r>
            </w:hyperlink>
          </w:p>
        </w:tc>
      </w:tr>
      <w:tr>
        <w:trPr>
          <w:trHeight w:val="193"/>
        </w:trPr>
        <w:tc>
          <w:tcPr>
            <w:tcW w:w="1000" w:type="dxa"/>
            <w:vAlign w:val="bottom"/>
          </w:tcPr>
          <w:p>
            <w:pPr>
              <w:spacing w:after="0" w:line="194" w:lineRule="exact"/>
              <w:rPr>
                <w:sz w:val="20"/>
                <w:szCs w:val="20"/>
                <w:color w:val="auto"/>
              </w:rPr>
            </w:pPr>
            <w:r>
              <w:rPr>
                <w:rFonts w:ascii="Arial" w:cs="Arial" w:eastAsia="Arial" w:hAnsi="Arial"/>
                <w:sz w:val="17"/>
                <w:szCs w:val="17"/>
                <w:color w:val="auto"/>
                <w:w w:val="98"/>
              </w:rPr>
              <w:t>Section 8.01.</w:t>
            </w:r>
          </w:p>
        </w:tc>
        <w:tc>
          <w:tcPr>
            <w:tcW w:w="9340" w:type="dxa"/>
            <w:vAlign w:val="bottom"/>
          </w:tcPr>
          <w:p>
            <w:pPr>
              <w:ind w:left="100"/>
              <w:spacing w:after="0" w:line="194" w:lineRule="exact"/>
              <w:rPr>
                <w:sz w:val="20"/>
                <w:szCs w:val="20"/>
                <w:color w:val="auto"/>
              </w:rPr>
            </w:pPr>
            <w:r>
              <w:rPr>
                <w:rFonts w:ascii="Arial" w:cs="Arial" w:eastAsia="Arial" w:hAnsi="Arial"/>
                <w:sz w:val="17"/>
                <w:szCs w:val="17"/>
                <w:color w:val="auto"/>
              </w:rPr>
              <w:t>General</w:t>
            </w:r>
          </w:p>
        </w:tc>
        <w:tc>
          <w:tcPr>
            <w:tcW w:w="260" w:type="dxa"/>
            <w:vAlign w:val="bottom"/>
            <w:tcBorders>
              <w:bottom w:val="single" w:sz="8" w:color="auto"/>
            </w:tcBorders>
          </w:tcPr>
          <w:p>
            <w:pPr>
              <w:jc w:val="right"/>
              <w:spacing w:after="0" w:line="194" w:lineRule="exact"/>
              <w:rPr>
                <w:rFonts w:ascii="Arial" w:cs="Arial" w:eastAsia="Arial" w:hAnsi="Arial"/>
                <w:sz w:val="17"/>
                <w:szCs w:val="17"/>
                <w:color w:val="auto"/>
                <w:w w:val="84"/>
              </w:rPr>
            </w:pPr>
            <w:hyperlink w:anchor="page174">
              <w:r>
                <w:rPr>
                  <w:rFonts w:ascii="Arial" w:cs="Arial" w:eastAsia="Arial" w:hAnsi="Arial"/>
                  <w:sz w:val="17"/>
                  <w:szCs w:val="17"/>
                  <w:color w:val="auto"/>
                  <w:w w:val="84"/>
                </w:rPr>
                <w:t>178</w:t>
              </w:r>
            </w:hyperlink>
          </w:p>
        </w:tc>
      </w:tr>
      <w:tr>
        <w:trPr>
          <w:trHeight w:val="193"/>
        </w:trPr>
        <w:tc>
          <w:tcPr>
            <w:tcW w:w="10340" w:type="dxa"/>
            <w:vAlign w:val="bottom"/>
            <w:gridSpan w:val="2"/>
          </w:tcPr>
          <w:p>
            <w:pPr>
              <w:spacing w:after="0" w:line="194" w:lineRule="exact"/>
              <w:rPr>
                <w:sz w:val="20"/>
                <w:szCs w:val="20"/>
                <w:color w:val="auto"/>
              </w:rPr>
            </w:pPr>
            <w:r>
              <w:rPr>
                <w:rFonts w:ascii="Arial" w:cs="Arial" w:eastAsia="Arial" w:hAnsi="Arial"/>
                <w:sz w:val="17"/>
                <w:szCs w:val="17"/>
                <w:color w:val="auto"/>
              </w:rPr>
              <w:t>Section 8.02.  Certain ERISA Matters</w:t>
            </w:r>
          </w:p>
        </w:tc>
        <w:tc>
          <w:tcPr>
            <w:tcW w:w="260" w:type="dxa"/>
            <w:vAlign w:val="bottom"/>
            <w:tcBorders>
              <w:bottom w:val="single" w:sz="8" w:color="auto"/>
            </w:tcBorders>
          </w:tcPr>
          <w:p>
            <w:pPr>
              <w:jc w:val="right"/>
              <w:spacing w:after="0" w:line="194" w:lineRule="exact"/>
              <w:rPr>
                <w:rFonts w:ascii="Arial" w:cs="Arial" w:eastAsia="Arial" w:hAnsi="Arial"/>
                <w:sz w:val="17"/>
                <w:szCs w:val="17"/>
                <w:color w:val="auto"/>
                <w:w w:val="84"/>
              </w:rPr>
            </w:pPr>
            <w:hyperlink w:anchor="page174">
              <w:r>
                <w:rPr>
                  <w:rFonts w:ascii="Arial" w:cs="Arial" w:eastAsia="Arial" w:hAnsi="Arial"/>
                  <w:sz w:val="17"/>
                  <w:szCs w:val="17"/>
                  <w:color w:val="auto"/>
                  <w:w w:val="84"/>
                </w:rPr>
                <w:t>185</w:t>
              </w:r>
            </w:hyperlink>
          </w:p>
        </w:tc>
      </w:tr>
      <w:tr>
        <w:trPr>
          <w:trHeight w:val="193"/>
        </w:trPr>
        <w:tc>
          <w:tcPr>
            <w:tcW w:w="10340" w:type="dxa"/>
            <w:vAlign w:val="bottom"/>
            <w:gridSpan w:val="2"/>
          </w:tcPr>
          <w:p>
            <w:pPr>
              <w:spacing w:after="0" w:line="194" w:lineRule="exact"/>
              <w:rPr>
                <w:sz w:val="20"/>
                <w:szCs w:val="20"/>
                <w:color w:val="auto"/>
              </w:rPr>
            </w:pPr>
            <w:r>
              <w:rPr>
                <w:rFonts w:ascii="Arial" w:cs="Arial" w:eastAsia="Arial" w:hAnsi="Arial"/>
                <w:sz w:val="17"/>
                <w:szCs w:val="17"/>
                <w:color w:val="auto"/>
              </w:rPr>
              <w:t>ARTICLE 9 Miscellaneous</w:t>
            </w:r>
          </w:p>
        </w:tc>
        <w:tc>
          <w:tcPr>
            <w:tcW w:w="260" w:type="dxa"/>
            <w:vAlign w:val="bottom"/>
            <w:tcBorders>
              <w:bottom w:val="single" w:sz="8" w:color="auto"/>
            </w:tcBorders>
          </w:tcPr>
          <w:p>
            <w:pPr>
              <w:jc w:val="right"/>
              <w:spacing w:after="0" w:line="194" w:lineRule="exact"/>
              <w:rPr>
                <w:rFonts w:ascii="Arial" w:cs="Arial" w:eastAsia="Arial" w:hAnsi="Arial"/>
                <w:sz w:val="17"/>
                <w:szCs w:val="17"/>
                <w:color w:val="auto"/>
                <w:w w:val="84"/>
              </w:rPr>
            </w:pPr>
            <w:hyperlink w:anchor="page174">
              <w:r>
                <w:rPr>
                  <w:rFonts w:ascii="Arial" w:cs="Arial" w:eastAsia="Arial" w:hAnsi="Arial"/>
                  <w:sz w:val="17"/>
                  <w:szCs w:val="17"/>
                  <w:color w:val="auto"/>
                  <w:w w:val="84"/>
                </w:rPr>
                <w:t>186</w:t>
              </w:r>
            </w:hyperlink>
          </w:p>
        </w:tc>
      </w:tr>
      <w:tr>
        <w:trPr>
          <w:trHeight w:val="193"/>
        </w:trPr>
        <w:tc>
          <w:tcPr>
            <w:tcW w:w="1000" w:type="dxa"/>
            <w:vAlign w:val="bottom"/>
          </w:tcPr>
          <w:p>
            <w:pPr>
              <w:spacing w:after="0" w:line="194" w:lineRule="exact"/>
              <w:rPr>
                <w:sz w:val="20"/>
                <w:szCs w:val="20"/>
                <w:color w:val="auto"/>
              </w:rPr>
            </w:pPr>
            <w:r>
              <w:rPr>
                <w:rFonts w:ascii="Arial" w:cs="Arial" w:eastAsia="Arial" w:hAnsi="Arial"/>
                <w:sz w:val="17"/>
                <w:szCs w:val="17"/>
                <w:color w:val="auto"/>
                <w:w w:val="98"/>
              </w:rPr>
              <w:t>Section 9.01.</w:t>
            </w:r>
          </w:p>
        </w:tc>
        <w:tc>
          <w:tcPr>
            <w:tcW w:w="9340" w:type="dxa"/>
            <w:vAlign w:val="bottom"/>
          </w:tcPr>
          <w:p>
            <w:pPr>
              <w:ind w:left="100"/>
              <w:spacing w:after="0" w:line="194" w:lineRule="exact"/>
              <w:rPr>
                <w:sz w:val="20"/>
                <w:szCs w:val="20"/>
                <w:color w:val="auto"/>
              </w:rPr>
            </w:pPr>
            <w:r>
              <w:rPr>
                <w:rFonts w:ascii="Arial" w:cs="Arial" w:eastAsia="Arial" w:hAnsi="Arial"/>
                <w:sz w:val="17"/>
                <w:szCs w:val="17"/>
                <w:color w:val="auto"/>
              </w:rPr>
              <w:t>Notices</w:t>
            </w:r>
          </w:p>
        </w:tc>
        <w:tc>
          <w:tcPr>
            <w:tcW w:w="260" w:type="dxa"/>
            <w:vAlign w:val="bottom"/>
            <w:tcBorders>
              <w:bottom w:val="single" w:sz="8" w:color="auto"/>
            </w:tcBorders>
          </w:tcPr>
          <w:p>
            <w:pPr>
              <w:jc w:val="right"/>
              <w:spacing w:after="0" w:line="194" w:lineRule="exact"/>
              <w:rPr>
                <w:rFonts w:ascii="Arial" w:cs="Arial" w:eastAsia="Arial" w:hAnsi="Arial"/>
                <w:sz w:val="17"/>
                <w:szCs w:val="17"/>
                <w:color w:val="auto"/>
                <w:w w:val="84"/>
              </w:rPr>
            </w:pPr>
            <w:hyperlink w:anchor="page174">
              <w:r>
                <w:rPr>
                  <w:rFonts w:ascii="Arial" w:cs="Arial" w:eastAsia="Arial" w:hAnsi="Arial"/>
                  <w:sz w:val="17"/>
                  <w:szCs w:val="17"/>
                  <w:color w:val="auto"/>
                  <w:w w:val="84"/>
                </w:rPr>
                <w:t>186</w:t>
              </w:r>
            </w:hyperlink>
          </w:p>
        </w:tc>
      </w:tr>
      <w:tr>
        <w:trPr>
          <w:trHeight w:val="193"/>
        </w:trPr>
        <w:tc>
          <w:tcPr>
            <w:tcW w:w="1000" w:type="dxa"/>
            <w:vAlign w:val="bottom"/>
          </w:tcPr>
          <w:p>
            <w:pPr>
              <w:spacing w:after="0" w:line="194" w:lineRule="exact"/>
              <w:rPr>
                <w:sz w:val="20"/>
                <w:szCs w:val="20"/>
                <w:color w:val="auto"/>
              </w:rPr>
            </w:pPr>
            <w:r>
              <w:rPr>
                <w:rFonts w:ascii="Arial" w:cs="Arial" w:eastAsia="Arial" w:hAnsi="Arial"/>
                <w:sz w:val="17"/>
                <w:szCs w:val="17"/>
                <w:color w:val="auto"/>
                <w:w w:val="98"/>
              </w:rPr>
              <w:t>Section 9.02.</w:t>
            </w:r>
          </w:p>
        </w:tc>
        <w:tc>
          <w:tcPr>
            <w:tcW w:w="9340" w:type="dxa"/>
            <w:vAlign w:val="bottom"/>
          </w:tcPr>
          <w:p>
            <w:pPr>
              <w:ind w:left="100"/>
              <w:spacing w:after="0" w:line="194" w:lineRule="exact"/>
              <w:rPr>
                <w:sz w:val="20"/>
                <w:szCs w:val="20"/>
                <w:color w:val="auto"/>
              </w:rPr>
            </w:pPr>
            <w:r>
              <w:rPr>
                <w:rFonts w:ascii="Arial" w:cs="Arial" w:eastAsia="Arial" w:hAnsi="Arial"/>
                <w:sz w:val="17"/>
                <w:szCs w:val="17"/>
                <w:color w:val="auto"/>
              </w:rPr>
              <w:t>Waivers; Amendments</w:t>
            </w:r>
          </w:p>
        </w:tc>
        <w:tc>
          <w:tcPr>
            <w:tcW w:w="260" w:type="dxa"/>
            <w:vAlign w:val="bottom"/>
            <w:tcBorders>
              <w:bottom w:val="single" w:sz="8" w:color="auto"/>
            </w:tcBorders>
          </w:tcPr>
          <w:p>
            <w:pPr>
              <w:jc w:val="right"/>
              <w:spacing w:after="0" w:line="194" w:lineRule="exact"/>
              <w:rPr>
                <w:rFonts w:ascii="Arial" w:cs="Arial" w:eastAsia="Arial" w:hAnsi="Arial"/>
                <w:sz w:val="17"/>
                <w:szCs w:val="17"/>
                <w:color w:val="auto"/>
                <w:w w:val="84"/>
              </w:rPr>
            </w:pPr>
            <w:hyperlink w:anchor="page174">
              <w:r>
                <w:rPr>
                  <w:rFonts w:ascii="Arial" w:cs="Arial" w:eastAsia="Arial" w:hAnsi="Arial"/>
                  <w:sz w:val="17"/>
                  <w:szCs w:val="17"/>
                  <w:color w:val="auto"/>
                  <w:w w:val="84"/>
                </w:rPr>
                <w:t>189</w:t>
              </w:r>
            </w:hyperlink>
          </w:p>
        </w:tc>
      </w:tr>
      <w:tr>
        <w:trPr>
          <w:trHeight w:val="193"/>
        </w:trPr>
        <w:tc>
          <w:tcPr>
            <w:tcW w:w="10340" w:type="dxa"/>
            <w:vAlign w:val="bottom"/>
            <w:gridSpan w:val="2"/>
          </w:tcPr>
          <w:p>
            <w:pPr>
              <w:spacing w:after="0" w:line="194" w:lineRule="exact"/>
              <w:rPr>
                <w:sz w:val="20"/>
                <w:szCs w:val="20"/>
                <w:color w:val="auto"/>
              </w:rPr>
            </w:pPr>
            <w:r>
              <w:rPr>
                <w:rFonts w:ascii="Arial" w:cs="Arial" w:eastAsia="Arial" w:hAnsi="Arial"/>
                <w:sz w:val="17"/>
                <w:szCs w:val="17"/>
                <w:color w:val="auto"/>
              </w:rPr>
              <w:t>Section 9.03.  Expenses; Limitation of Liability; Indemnity, Etc</w:t>
            </w:r>
          </w:p>
        </w:tc>
        <w:tc>
          <w:tcPr>
            <w:tcW w:w="260" w:type="dxa"/>
            <w:vAlign w:val="bottom"/>
            <w:tcBorders>
              <w:bottom w:val="single" w:sz="8" w:color="auto"/>
            </w:tcBorders>
          </w:tcPr>
          <w:p>
            <w:pPr>
              <w:jc w:val="right"/>
              <w:spacing w:after="0" w:line="194" w:lineRule="exact"/>
              <w:rPr>
                <w:rFonts w:ascii="Arial" w:cs="Arial" w:eastAsia="Arial" w:hAnsi="Arial"/>
                <w:sz w:val="17"/>
                <w:szCs w:val="17"/>
                <w:color w:val="auto"/>
                <w:w w:val="84"/>
              </w:rPr>
            </w:pPr>
            <w:hyperlink w:anchor="page174">
              <w:r>
                <w:rPr>
                  <w:rFonts w:ascii="Arial" w:cs="Arial" w:eastAsia="Arial" w:hAnsi="Arial"/>
                  <w:sz w:val="17"/>
                  <w:szCs w:val="17"/>
                  <w:color w:val="auto"/>
                  <w:w w:val="84"/>
                </w:rPr>
                <w:t>194</w:t>
              </w:r>
            </w:hyperlink>
          </w:p>
        </w:tc>
      </w:tr>
      <w:tr>
        <w:trPr>
          <w:trHeight w:val="193"/>
        </w:trPr>
        <w:tc>
          <w:tcPr>
            <w:tcW w:w="10340" w:type="dxa"/>
            <w:vAlign w:val="bottom"/>
            <w:gridSpan w:val="2"/>
          </w:tcPr>
          <w:p>
            <w:pPr>
              <w:spacing w:after="0" w:line="194" w:lineRule="exact"/>
              <w:rPr>
                <w:sz w:val="20"/>
                <w:szCs w:val="20"/>
                <w:color w:val="auto"/>
              </w:rPr>
            </w:pPr>
            <w:r>
              <w:rPr>
                <w:rFonts w:ascii="Arial" w:cs="Arial" w:eastAsia="Arial" w:hAnsi="Arial"/>
                <w:sz w:val="17"/>
                <w:szCs w:val="17"/>
                <w:color w:val="auto"/>
              </w:rPr>
              <w:t>Section 9.04.  Successors and Assigns</w:t>
            </w:r>
          </w:p>
        </w:tc>
        <w:tc>
          <w:tcPr>
            <w:tcW w:w="260" w:type="dxa"/>
            <w:vAlign w:val="bottom"/>
            <w:tcBorders>
              <w:bottom w:val="single" w:sz="8" w:color="auto"/>
            </w:tcBorders>
          </w:tcPr>
          <w:p>
            <w:pPr>
              <w:jc w:val="right"/>
              <w:spacing w:after="0" w:line="194" w:lineRule="exact"/>
              <w:rPr>
                <w:rFonts w:ascii="Arial" w:cs="Arial" w:eastAsia="Arial" w:hAnsi="Arial"/>
                <w:sz w:val="17"/>
                <w:szCs w:val="17"/>
                <w:color w:val="auto"/>
                <w:w w:val="84"/>
              </w:rPr>
            </w:pPr>
            <w:hyperlink w:anchor="page174">
              <w:r>
                <w:rPr>
                  <w:rFonts w:ascii="Arial" w:cs="Arial" w:eastAsia="Arial" w:hAnsi="Arial"/>
                  <w:sz w:val="17"/>
                  <w:szCs w:val="17"/>
                  <w:color w:val="auto"/>
                  <w:w w:val="84"/>
                </w:rPr>
                <w:t>197</w:t>
              </w:r>
            </w:hyperlink>
          </w:p>
        </w:tc>
      </w:tr>
      <w:tr>
        <w:trPr>
          <w:trHeight w:val="193"/>
        </w:trPr>
        <w:tc>
          <w:tcPr>
            <w:tcW w:w="1000" w:type="dxa"/>
            <w:vAlign w:val="bottom"/>
          </w:tcPr>
          <w:p>
            <w:pPr>
              <w:spacing w:after="0" w:line="194" w:lineRule="exact"/>
              <w:rPr>
                <w:sz w:val="20"/>
                <w:szCs w:val="20"/>
                <w:color w:val="auto"/>
              </w:rPr>
            </w:pPr>
            <w:r>
              <w:rPr>
                <w:rFonts w:ascii="Arial" w:cs="Arial" w:eastAsia="Arial" w:hAnsi="Arial"/>
                <w:sz w:val="17"/>
                <w:szCs w:val="17"/>
                <w:color w:val="auto"/>
                <w:w w:val="98"/>
              </w:rPr>
              <w:t>Section 9.05.</w:t>
            </w:r>
          </w:p>
        </w:tc>
        <w:tc>
          <w:tcPr>
            <w:tcW w:w="9340" w:type="dxa"/>
            <w:vAlign w:val="bottom"/>
          </w:tcPr>
          <w:p>
            <w:pPr>
              <w:ind w:left="100"/>
              <w:spacing w:after="0" w:line="194" w:lineRule="exact"/>
              <w:rPr>
                <w:sz w:val="20"/>
                <w:szCs w:val="20"/>
                <w:color w:val="auto"/>
              </w:rPr>
            </w:pPr>
            <w:r>
              <w:rPr>
                <w:rFonts w:ascii="Arial" w:cs="Arial" w:eastAsia="Arial" w:hAnsi="Arial"/>
                <w:sz w:val="17"/>
                <w:szCs w:val="17"/>
                <w:color w:val="auto"/>
              </w:rPr>
              <w:t>Survival</w:t>
            </w:r>
          </w:p>
        </w:tc>
        <w:tc>
          <w:tcPr>
            <w:tcW w:w="260" w:type="dxa"/>
            <w:vAlign w:val="bottom"/>
            <w:tcBorders>
              <w:bottom w:val="single" w:sz="8" w:color="auto"/>
            </w:tcBorders>
          </w:tcPr>
          <w:p>
            <w:pPr>
              <w:jc w:val="right"/>
              <w:spacing w:after="0" w:line="194" w:lineRule="exact"/>
              <w:rPr>
                <w:rFonts w:ascii="Arial" w:cs="Arial" w:eastAsia="Arial" w:hAnsi="Arial"/>
                <w:sz w:val="17"/>
                <w:szCs w:val="17"/>
                <w:color w:val="auto"/>
                <w:w w:val="84"/>
              </w:rPr>
            </w:pPr>
            <w:hyperlink w:anchor="page174">
              <w:r>
                <w:rPr>
                  <w:rFonts w:ascii="Arial" w:cs="Arial" w:eastAsia="Arial" w:hAnsi="Arial"/>
                  <w:sz w:val="17"/>
                  <w:szCs w:val="17"/>
                  <w:color w:val="auto"/>
                  <w:w w:val="84"/>
                </w:rPr>
                <w:t>202</w:t>
              </w:r>
            </w:hyperlink>
          </w:p>
        </w:tc>
      </w:tr>
      <w:tr>
        <w:trPr>
          <w:trHeight w:val="193"/>
        </w:trPr>
        <w:tc>
          <w:tcPr>
            <w:tcW w:w="10340" w:type="dxa"/>
            <w:vAlign w:val="bottom"/>
            <w:gridSpan w:val="2"/>
          </w:tcPr>
          <w:p>
            <w:pPr>
              <w:spacing w:after="0" w:line="194" w:lineRule="exact"/>
              <w:rPr>
                <w:sz w:val="20"/>
                <w:szCs w:val="20"/>
                <w:color w:val="auto"/>
              </w:rPr>
            </w:pPr>
            <w:r>
              <w:rPr>
                <w:rFonts w:ascii="Arial" w:cs="Arial" w:eastAsia="Arial" w:hAnsi="Arial"/>
                <w:sz w:val="17"/>
                <w:szCs w:val="17"/>
                <w:color w:val="auto"/>
              </w:rPr>
              <w:t>Section 9.06.  Counterparts; Integration; Effectiveness; Electronic Execution of Assignments and Certain Other Documents</w:t>
            </w:r>
          </w:p>
        </w:tc>
        <w:tc>
          <w:tcPr>
            <w:tcW w:w="260" w:type="dxa"/>
            <w:vAlign w:val="bottom"/>
            <w:tcBorders>
              <w:bottom w:val="single" w:sz="8" w:color="auto"/>
            </w:tcBorders>
          </w:tcPr>
          <w:p>
            <w:pPr>
              <w:jc w:val="right"/>
              <w:spacing w:after="0" w:line="194" w:lineRule="exact"/>
              <w:rPr>
                <w:rFonts w:ascii="Arial" w:cs="Arial" w:eastAsia="Arial" w:hAnsi="Arial"/>
                <w:sz w:val="17"/>
                <w:szCs w:val="17"/>
                <w:color w:val="auto"/>
                <w:w w:val="84"/>
              </w:rPr>
            </w:pPr>
            <w:hyperlink w:anchor="page174">
              <w:r>
                <w:rPr>
                  <w:rFonts w:ascii="Arial" w:cs="Arial" w:eastAsia="Arial" w:hAnsi="Arial"/>
                  <w:sz w:val="17"/>
                  <w:szCs w:val="17"/>
                  <w:color w:val="auto"/>
                  <w:w w:val="84"/>
                </w:rPr>
                <w:t>203</w:t>
              </w:r>
            </w:hyperlink>
          </w:p>
        </w:tc>
      </w:tr>
      <w:tr>
        <w:trPr>
          <w:trHeight w:val="193"/>
        </w:trPr>
        <w:tc>
          <w:tcPr>
            <w:tcW w:w="1000" w:type="dxa"/>
            <w:vAlign w:val="bottom"/>
          </w:tcPr>
          <w:p>
            <w:pPr>
              <w:spacing w:after="0" w:line="194" w:lineRule="exact"/>
              <w:rPr>
                <w:sz w:val="20"/>
                <w:szCs w:val="20"/>
                <w:color w:val="auto"/>
              </w:rPr>
            </w:pPr>
            <w:r>
              <w:rPr>
                <w:rFonts w:ascii="Arial" w:cs="Arial" w:eastAsia="Arial" w:hAnsi="Arial"/>
                <w:sz w:val="17"/>
                <w:szCs w:val="17"/>
                <w:color w:val="auto"/>
                <w:w w:val="98"/>
              </w:rPr>
              <w:t>Section 9.07.</w:t>
            </w:r>
          </w:p>
        </w:tc>
        <w:tc>
          <w:tcPr>
            <w:tcW w:w="9340" w:type="dxa"/>
            <w:vAlign w:val="bottom"/>
          </w:tcPr>
          <w:p>
            <w:pPr>
              <w:ind w:left="100"/>
              <w:spacing w:after="0" w:line="194" w:lineRule="exact"/>
              <w:rPr>
                <w:sz w:val="20"/>
                <w:szCs w:val="20"/>
                <w:color w:val="auto"/>
              </w:rPr>
            </w:pPr>
            <w:r>
              <w:rPr>
                <w:rFonts w:ascii="Arial" w:cs="Arial" w:eastAsia="Arial" w:hAnsi="Arial"/>
                <w:sz w:val="17"/>
                <w:szCs w:val="17"/>
                <w:color w:val="auto"/>
              </w:rPr>
              <w:t>Severability</w:t>
            </w:r>
          </w:p>
        </w:tc>
        <w:tc>
          <w:tcPr>
            <w:tcW w:w="260" w:type="dxa"/>
            <w:vAlign w:val="bottom"/>
            <w:tcBorders>
              <w:bottom w:val="single" w:sz="8" w:color="auto"/>
            </w:tcBorders>
          </w:tcPr>
          <w:p>
            <w:pPr>
              <w:jc w:val="right"/>
              <w:spacing w:after="0" w:line="194" w:lineRule="exact"/>
              <w:rPr>
                <w:rFonts w:ascii="Arial" w:cs="Arial" w:eastAsia="Arial" w:hAnsi="Arial"/>
                <w:sz w:val="17"/>
                <w:szCs w:val="17"/>
                <w:color w:val="auto"/>
                <w:w w:val="84"/>
              </w:rPr>
            </w:pPr>
            <w:hyperlink w:anchor="page174">
              <w:r>
                <w:rPr>
                  <w:rFonts w:ascii="Arial" w:cs="Arial" w:eastAsia="Arial" w:hAnsi="Arial"/>
                  <w:sz w:val="17"/>
                  <w:szCs w:val="17"/>
                  <w:color w:val="auto"/>
                  <w:w w:val="84"/>
                </w:rPr>
                <w:t>204</w:t>
              </w:r>
            </w:hyperlink>
          </w:p>
        </w:tc>
      </w:tr>
      <w:tr>
        <w:trPr>
          <w:trHeight w:val="193"/>
        </w:trPr>
        <w:tc>
          <w:tcPr>
            <w:tcW w:w="1000" w:type="dxa"/>
            <w:vAlign w:val="bottom"/>
          </w:tcPr>
          <w:p>
            <w:pPr>
              <w:spacing w:after="0" w:line="194" w:lineRule="exact"/>
              <w:rPr>
                <w:sz w:val="20"/>
                <w:szCs w:val="20"/>
                <w:color w:val="auto"/>
              </w:rPr>
            </w:pPr>
            <w:r>
              <w:rPr>
                <w:rFonts w:ascii="Arial" w:cs="Arial" w:eastAsia="Arial" w:hAnsi="Arial"/>
                <w:sz w:val="17"/>
                <w:szCs w:val="17"/>
                <w:color w:val="auto"/>
                <w:w w:val="98"/>
              </w:rPr>
              <w:t>Section 9.08.</w:t>
            </w:r>
          </w:p>
        </w:tc>
        <w:tc>
          <w:tcPr>
            <w:tcW w:w="9340" w:type="dxa"/>
            <w:vAlign w:val="bottom"/>
          </w:tcPr>
          <w:p>
            <w:pPr>
              <w:ind w:left="100"/>
              <w:spacing w:after="0" w:line="194" w:lineRule="exact"/>
              <w:rPr>
                <w:sz w:val="20"/>
                <w:szCs w:val="20"/>
                <w:color w:val="auto"/>
              </w:rPr>
            </w:pPr>
            <w:r>
              <w:rPr>
                <w:rFonts w:ascii="Arial" w:cs="Arial" w:eastAsia="Arial" w:hAnsi="Arial"/>
                <w:sz w:val="17"/>
                <w:szCs w:val="17"/>
                <w:color w:val="auto"/>
              </w:rPr>
              <w:t>Right of Setoff</w:t>
            </w:r>
          </w:p>
        </w:tc>
        <w:tc>
          <w:tcPr>
            <w:tcW w:w="260" w:type="dxa"/>
            <w:vAlign w:val="bottom"/>
            <w:tcBorders>
              <w:bottom w:val="single" w:sz="8" w:color="auto"/>
            </w:tcBorders>
          </w:tcPr>
          <w:p>
            <w:pPr>
              <w:jc w:val="right"/>
              <w:spacing w:after="0" w:line="194" w:lineRule="exact"/>
              <w:rPr>
                <w:rFonts w:ascii="Arial" w:cs="Arial" w:eastAsia="Arial" w:hAnsi="Arial"/>
                <w:sz w:val="17"/>
                <w:szCs w:val="17"/>
                <w:color w:val="auto"/>
                <w:w w:val="84"/>
              </w:rPr>
            </w:pPr>
            <w:hyperlink w:anchor="page174">
              <w:r>
                <w:rPr>
                  <w:rFonts w:ascii="Arial" w:cs="Arial" w:eastAsia="Arial" w:hAnsi="Arial"/>
                  <w:sz w:val="17"/>
                  <w:szCs w:val="17"/>
                  <w:color w:val="auto"/>
                  <w:w w:val="84"/>
                </w:rPr>
                <w:t>204</w:t>
              </w:r>
            </w:hyperlink>
          </w:p>
        </w:tc>
      </w:tr>
      <w:tr>
        <w:trPr>
          <w:trHeight w:val="193"/>
        </w:trPr>
        <w:tc>
          <w:tcPr>
            <w:tcW w:w="10340" w:type="dxa"/>
            <w:vAlign w:val="bottom"/>
            <w:gridSpan w:val="2"/>
          </w:tcPr>
          <w:p>
            <w:pPr>
              <w:spacing w:after="0" w:line="194" w:lineRule="exact"/>
              <w:rPr>
                <w:sz w:val="20"/>
                <w:szCs w:val="20"/>
                <w:color w:val="auto"/>
              </w:rPr>
            </w:pPr>
            <w:r>
              <w:rPr>
                <w:rFonts w:ascii="Arial" w:cs="Arial" w:eastAsia="Arial" w:hAnsi="Arial"/>
                <w:sz w:val="17"/>
                <w:szCs w:val="17"/>
                <w:color w:val="auto"/>
              </w:rPr>
              <w:t>Section 9.09.  Governing Law; Jurisdiction; Consent to Service of Process</w:t>
            </w:r>
          </w:p>
        </w:tc>
        <w:tc>
          <w:tcPr>
            <w:tcW w:w="260" w:type="dxa"/>
            <w:vAlign w:val="bottom"/>
            <w:tcBorders>
              <w:bottom w:val="single" w:sz="8" w:color="auto"/>
            </w:tcBorders>
          </w:tcPr>
          <w:p>
            <w:pPr>
              <w:jc w:val="right"/>
              <w:spacing w:after="0" w:line="194" w:lineRule="exact"/>
              <w:rPr>
                <w:rFonts w:ascii="Arial" w:cs="Arial" w:eastAsia="Arial" w:hAnsi="Arial"/>
                <w:sz w:val="17"/>
                <w:szCs w:val="17"/>
                <w:color w:val="auto"/>
                <w:w w:val="84"/>
              </w:rPr>
            </w:pPr>
            <w:hyperlink w:anchor="page174">
              <w:r>
                <w:rPr>
                  <w:rFonts w:ascii="Arial" w:cs="Arial" w:eastAsia="Arial" w:hAnsi="Arial"/>
                  <w:sz w:val="17"/>
                  <w:szCs w:val="17"/>
                  <w:color w:val="auto"/>
                  <w:w w:val="84"/>
                </w:rPr>
                <w:t>205</w:t>
              </w:r>
            </w:hyperlink>
          </w:p>
        </w:tc>
      </w:tr>
      <w:tr>
        <w:trPr>
          <w:trHeight w:val="193"/>
        </w:trPr>
        <w:tc>
          <w:tcPr>
            <w:tcW w:w="10340" w:type="dxa"/>
            <w:vAlign w:val="bottom"/>
            <w:gridSpan w:val="2"/>
          </w:tcPr>
          <w:p>
            <w:pPr>
              <w:spacing w:after="0" w:line="194" w:lineRule="exact"/>
              <w:rPr>
                <w:sz w:val="20"/>
                <w:szCs w:val="20"/>
                <w:color w:val="auto"/>
              </w:rPr>
            </w:pPr>
            <w:r>
              <w:rPr>
                <w:rFonts w:ascii="Arial" w:cs="Arial" w:eastAsia="Arial" w:hAnsi="Arial"/>
                <w:sz w:val="17"/>
                <w:szCs w:val="17"/>
                <w:color w:val="auto"/>
              </w:rPr>
              <w:t>Section 9.10.  Waiver of Jury Trial</w:t>
            </w:r>
          </w:p>
        </w:tc>
        <w:tc>
          <w:tcPr>
            <w:tcW w:w="260" w:type="dxa"/>
            <w:vAlign w:val="bottom"/>
            <w:tcBorders>
              <w:bottom w:val="single" w:sz="8" w:color="auto"/>
            </w:tcBorders>
          </w:tcPr>
          <w:p>
            <w:pPr>
              <w:jc w:val="right"/>
              <w:spacing w:after="0" w:line="194" w:lineRule="exact"/>
              <w:rPr>
                <w:rFonts w:ascii="Arial" w:cs="Arial" w:eastAsia="Arial" w:hAnsi="Arial"/>
                <w:sz w:val="17"/>
                <w:szCs w:val="17"/>
                <w:color w:val="auto"/>
                <w:w w:val="84"/>
              </w:rPr>
            </w:pPr>
            <w:hyperlink w:anchor="page174">
              <w:r>
                <w:rPr>
                  <w:rFonts w:ascii="Arial" w:cs="Arial" w:eastAsia="Arial" w:hAnsi="Arial"/>
                  <w:sz w:val="17"/>
                  <w:szCs w:val="17"/>
                  <w:color w:val="auto"/>
                  <w:w w:val="84"/>
                </w:rPr>
                <w:t>205</w:t>
              </w:r>
            </w:hyperlink>
          </w:p>
        </w:tc>
      </w:tr>
      <w:tr>
        <w:trPr>
          <w:trHeight w:val="193"/>
        </w:trPr>
        <w:tc>
          <w:tcPr>
            <w:tcW w:w="1000" w:type="dxa"/>
            <w:vAlign w:val="bottom"/>
          </w:tcPr>
          <w:p>
            <w:pPr>
              <w:spacing w:after="0" w:line="194" w:lineRule="exact"/>
              <w:rPr>
                <w:sz w:val="20"/>
                <w:szCs w:val="20"/>
                <w:color w:val="auto"/>
              </w:rPr>
            </w:pPr>
            <w:r>
              <w:rPr>
                <w:rFonts w:ascii="Arial" w:cs="Arial" w:eastAsia="Arial" w:hAnsi="Arial"/>
                <w:sz w:val="17"/>
                <w:szCs w:val="17"/>
                <w:color w:val="auto"/>
                <w:w w:val="98"/>
              </w:rPr>
              <w:t>Section 9.11.</w:t>
            </w:r>
          </w:p>
        </w:tc>
        <w:tc>
          <w:tcPr>
            <w:tcW w:w="9340" w:type="dxa"/>
            <w:vAlign w:val="bottom"/>
          </w:tcPr>
          <w:p>
            <w:pPr>
              <w:ind w:left="100"/>
              <w:spacing w:after="0" w:line="194" w:lineRule="exact"/>
              <w:rPr>
                <w:sz w:val="20"/>
                <w:szCs w:val="20"/>
                <w:color w:val="auto"/>
              </w:rPr>
            </w:pPr>
            <w:r>
              <w:rPr>
                <w:rFonts w:ascii="Arial" w:cs="Arial" w:eastAsia="Arial" w:hAnsi="Arial"/>
                <w:sz w:val="17"/>
                <w:szCs w:val="17"/>
                <w:color w:val="auto"/>
              </w:rPr>
              <w:t>Headings</w:t>
            </w:r>
          </w:p>
        </w:tc>
        <w:tc>
          <w:tcPr>
            <w:tcW w:w="260" w:type="dxa"/>
            <w:vAlign w:val="bottom"/>
            <w:tcBorders>
              <w:bottom w:val="single" w:sz="8" w:color="auto"/>
            </w:tcBorders>
          </w:tcPr>
          <w:p>
            <w:pPr>
              <w:jc w:val="right"/>
              <w:spacing w:after="0" w:line="194" w:lineRule="exact"/>
              <w:rPr>
                <w:rFonts w:ascii="Arial" w:cs="Arial" w:eastAsia="Arial" w:hAnsi="Arial"/>
                <w:sz w:val="17"/>
                <w:szCs w:val="17"/>
                <w:color w:val="auto"/>
                <w:w w:val="84"/>
              </w:rPr>
            </w:pPr>
            <w:hyperlink w:anchor="page174">
              <w:r>
                <w:rPr>
                  <w:rFonts w:ascii="Arial" w:cs="Arial" w:eastAsia="Arial" w:hAnsi="Arial"/>
                  <w:sz w:val="17"/>
                  <w:szCs w:val="17"/>
                  <w:color w:val="auto"/>
                  <w:w w:val="84"/>
                </w:rPr>
                <w:t>206</w:t>
              </w:r>
            </w:hyperlink>
          </w:p>
        </w:tc>
      </w:tr>
      <w:tr>
        <w:trPr>
          <w:trHeight w:val="193"/>
        </w:trPr>
        <w:tc>
          <w:tcPr>
            <w:tcW w:w="1000" w:type="dxa"/>
            <w:vAlign w:val="bottom"/>
          </w:tcPr>
          <w:p>
            <w:pPr>
              <w:spacing w:after="0" w:line="194" w:lineRule="exact"/>
              <w:rPr>
                <w:sz w:val="20"/>
                <w:szCs w:val="20"/>
                <w:color w:val="auto"/>
              </w:rPr>
            </w:pPr>
            <w:r>
              <w:rPr>
                <w:rFonts w:ascii="Arial" w:cs="Arial" w:eastAsia="Arial" w:hAnsi="Arial"/>
                <w:sz w:val="17"/>
                <w:szCs w:val="17"/>
                <w:color w:val="auto"/>
                <w:w w:val="98"/>
              </w:rPr>
              <w:t>Section 9.12.</w:t>
            </w:r>
          </w:p>
        </w:tc>
        <w:tc>
          <w:tcPr>
            <w:tcW w:w="9340" w:type="dxa"/>
            <w:vAlign w:val="bottom"/>
          </w:tcPr>
          <w:p>
            <w:pPr>
              <w:ind w:left="100"/>
              <w:spacing w:after="0" w:line="194" w:lineRule="exact"/>
              <w:rPr>
                <w:sz w:val="20"/>
                <w:szCs w:val="20"/>
                <w:color w:val="auto"/>
              </w:rPr>
            </w:pPr>
            <w:r>
              <w:rPr>
                <w:rFonts w:ascii="Arial" w:cs="Arial" w:eastAsia="Arial" w:hAnsi="Arial"/>
                <w:sz w:val="17"/>
                <w:szCs w:val="17"/>
                <w:color w:val="auto"/>
              </w:rPr>
              <w:t>Confidentiality</w:t>
            </w:r>
          </w:p>
        </w:tc>
        <w:tc>
          <w:tcPr>
            <w:tcW w:w="260" w:type="dxa"/>
            <w:vAlign w:val="bottom"/>
            <w:tcBorders>
              <w:bottom w:val="single" w:sz="8" w:color="auto"/>
            </w:tcBorders>
          </w:tcPr>
          <w:p>
            <w:pPr>
              <w:jc w:val="right"/>
              <w:spacing w:after="0" w:line="194" w:lineRule="exact"/>
              <w:rPr>
                <w:rFonts w:ascii="Arial" w:cs="Arial" w:eastAsia="Arial" w:hAnsi="Arial"/>
                <w:sz w:val="17"/>
                <w:szCs w:val="17"/>
                <w:color w:val="auto"/>
                <w:w w:val="84"/>
              </w:rPr>
            </w:pPr>
            <w:hyperlink w:anchor="page174">
              <w:r>
                <w:rPr>
                  <w:rFonts w:ascii="Arial" w:cs="Arial" w:eastAsia="Arial" w:hAnsi="Arial"/>
                  <w:sz w:val="17"/>
                  <w:szCs w:val="17"/>
                  <w:color w:val="auto"/>
                  <w:w w:val="84"/>
                </w:rPr>
                <w:t>206</w:t>
              </w:r>
            </w:hyperlink>
          </w:p>
        </w:tc>
      </w:tr>
      <w:tr>
        <w:trPr>
          <w:trHeight w:val="193"/>
        </w:trPr>
        <w:tc>
          <w:tcPr>
            <w:tcW w:w="10340" w:type="dxa"/>
            <w:vAlign w:val="bottom"/>
            <w:gridSpan w:val="2"/>
          </w:tcPr>
          <w:p>
            <w:pPr>
              <w:spacing w:after="0" w:line="194" w:lineRule="exact"/>
              <w:rPr>
                <w:sz w:val="20"/>
                <w:szCs w:val="20"/>
                <w:color w:val="auto"/>
              </w:rPr>
            </w:pPr>
            <w:r>
              <w:rPr>
                <w:rFonts w:ascii="Arial" w:cs="Arial" w:eastAsia="Arial" w:hAnsi="Arial"/>
                <w:sz w:val="17"/>
                <w:szCs w:val="17"/>
                <w:color w:val="auto"/>
              </w:rPr>
              <w:t>Section 9.13.  USA Patriot Act</w:t>
            </w:r>
          </w:p>
        </w:tc>
        <w:tc>
          <w:tcPr>
            <w:tcW w:w="260" w:type="dxa"/>
            <w:vAlign w:val="bottom"/>
            <w:tcBorders>
              <w:bottom w:val="single" w:sz="8" w:color="auto"/>
            </w:tcBorders>
          </w:tcPr>
          <w:p>
            <w:pPr>
              <w:jc w:val="right"/>
              <w:spacing w:after="0" w:line="194" w:lineRule="exact"/>
              <w:rPr>
                <w:rFonts w:ascii="Arial" w:cs="Arial" w:eastAsia="Arial" w:hAnsi="Arial"/>
                <w:sz w:val="17"/>
                <w:szCs w:val="17"/>
                <w:color w:val="auto"/>
                <w:w w:val="84"/>
              </w:rPr>
            </w:pPr>
            <w:hyperlink w:anchor="page174">
              <w:r>
                <w:rPr>
                  <w:rFonts w:ascii="Arial" w:cs="Arial" w:eastAsia="Arial" w:hAnsi="Arial"/>
                  <w:sz w:val="17"/>
                  <w:szCs w:val="17"/>
                  <w:color w:val="auto"/>
                  <w:w w:val="84"/>
                </w:rPr>
                <w:t>207</w:t>
              </w:r>
            </w:hyperlink>
          </w:p>
        </w:tc>
      </w:tr>
      <w:tr>
        <w:trPr>
          <w:trHeight w:val="193"/>
        </w:trPr>
        <w:tc>
          <w:tcPr>
            <w:tcW w:w="10340" w:type="dxa"/>
            <w:vAlign w:val="bottom"/>
            <w:gridSpan w:val="2"/>
          </w:tcPr>
          <w:p>
            <w:pPr>
              <w:spacing w:after="0" w:line="194" w:lineRule="exact"/>
              <w:rPr>
                <w:sz w:val="20"/>
                <w:szCs w:val="20"/>
                <w:color w:val="auto"/>
              </w:rPr>
            </w:pPr>
            <w:r>
              <w:rPr>
                <w:rFonts w:ascii="Arial" w:cs="Arial" w:eastAsia="Arial" w:hAnsi="Arial"/>
                <w:sz w:val="17"/>
                <w:szCs w:val="17"/>
                <w:color w:val="auto"/>
              </w:rPr>
              <w:t>Section 9.14.  Release of Liens and Guarantees</w:t>
            </w:r>
          </w:p>
        </w:tc>
        <w:tc>
          <w:tcPr>
            <w:tcW w:w="260" w:type="dxa"/>
            <w:vAlign w:val="bottom"/>
            <w:tcBorders>
              <w:bottom w:val="single" w:sz="8" w:color="auto"/>
            </w:tcBorders>
          </w:tcPr>
          <w:p>
            <w:pPr>
              <w:jc w:val="right"/>
              <w:spacing w:after="0" w:line="194" w:lineRule="exact"/>
              <w:rPr>
                <w:rFonts w:ascii="Arial" w:cs="Arial" w:eastAsia="Arial" w:hAnsi="Arial"/>
                <w:sz w:val="17"/>
                <w:szCs w:val="17"/>
                <w:color w:val="auto"/>
                <w:w w:val="84"/>
              </w:rPr>
            </w:pPr>
            <w:hyperlink w:anchor="page174">
              <w:r>
                <w:rPr>
                  <w:rFonts w:ascii="Arial" w:cs="Arial" w:eastAsia="Arial" w:hAnsi="Arial"/>
                  <w:sz w:val="17"/>
                  <w:szCs w:val="17"/>
                  <w:color w:val="auto"/>
                  <w:w w:val="84"/>
                </w:rPr>
                <w:t>208</w:t>
              </w:r>
            </w:hyperlink>
          </w:p>
        </w:tc>
      </w:tr>
      <w:tr>
        <w:trPr>
          <w:trHeight w:val="193"/>
        </w:trPr>
        <w:tc>
          <w:tcPr>
            <w:tcW w:w="10340" w:type="dxa"/>
            <w:vAlign w:val="bottom"/>
            <w:gridSpan w:val="2"/>
          </w:tcPr>
          <w:p>
            <w:pPr>
              <w:spacing w:after="0" w:line="194" w:lineRule="exact"/>
              <w:rPr>
                <w:sz w:val="20"/>
                <w:szCs w:val="20"/>
                <w:color w:val="auto"/>
              </w:rPr>
            </w:pPr>
            <w:r>
              <w:rPr>
                <w:rFonts w:ascii="Arial" w:cs="Arial" w:eastAsia="Arial" w:hAnsi="Arial"/>
                <w:sz w:val="17"/>
                <w:szCs w:val="17"/>
                <w:color w:val="auto"/>
              </w:rPr>
              <w:t>Section 9.15.  No Advisory or Fiduciary Responsibility</w:t>
            </w:r>
          </w:p>
        </w:tc>
        <w:tc>
          <w:tcPr>
            <w:tcW w:w="260" w:type="dxa"/>
            <w:vAlign w:val="bottom"/>
            <w:tcBorders>
              <w:bottom w:val="single" w:sz="8" w:color="auto"/>
            </w:tcBorders>
          </w:tcPr>
          <w:p>
            <w:pPr>
              <w:jc w:val="right"/>
              <w:spacing w:after="0" w:line="194" w:lineRule="exact"/>
              <w:rPr>
                <w:rFonts w:ascii="Arial" w:cs="Arial" w:eastAsia="Arial" w:hAnsi="Arial"/>
                <w:sz w:val="17"/>
                <w:szCs w:val="17"/>
                <w:color w:val="auto"/>
                <w:w w:val="84"/>
              </w:rPr>
            </w:pPr>
            <w:hyperlink w:anchor="page174">
              <w:r>
                <w:rPr>
                  <w:rFonts w:ascii="Arial" w:cs="Arial" w:eastAsia="Arial" w:hAnsi="Arial"/>
                  <w:sz w:val="17"/>
                  <w:szCs w:val="17"/>
                  <w:color w:val="auto"/>
                  <w:w w:val="84"/>
                </w:rPr>
                <w:t>209</w:t>
              </w:r>
            </w:hyperlink>
          </w:p>
        </w:tc>
      </w:tr>
      <w:tr>
        <w:trPr>
          <w:trHeight w:val="193"/>
        </w:trPr>
        <w:tc>
          <w:tcPr>
            <w:tcW w:w="10340" w:type="dxa"/>
            <w:vAlign w:val="bottom"/>
            <w:gridSpan w:val="2"/>
          </w:tcPr>
          <w:p>
            <w:pPr>
              <w:spacing w:after="0" w:line="194" w:lineRule="exact"/>
              <w:rPr>
                <w:sz w:val="20"/>
                <w:szCs w:val="20"/>
                <w:color w:val="auto"/>
              </w:rPr>
            </w:pPr>
            <w:r>
              <w:rPr>
                <w:rFonts w:ascii="Arial" w:cs="Arial" w:eastAsia="Arial" w:hAnsi="Arial"/>
                <w:sz w:val="17"/>
                <w:szCs w:val="17"/>
                <w:color w:val="auto"/>
              </w:rPr>
              <w:t>Section 9.16.  Interest Rate Limitation</w:t>
            </w:r>
          </w:p>
        </w:tc>
        <w:tc>
          <w:tcPr>
            <w:tcW w:w="260" w:type="dxa"/>
            <w:vAlign w:val="bottom"/>
            <w:tcBorders>
              <w:bottom w:val="single" w:sz="8" w:color="auto"/>
            </w:tcBorders>
          </w:tcPr>
          <w:p>
            <w:pPr>
              <w:jc w:val="right"/>
              <w:spacing w:after="0" w:line="194" w:lineRule="exact"/>
              <w:rPr>
                <w:rFonts w:ascii="Arial" w:cs="Arial" w:eastAsia="Arial" w:hAnsi="Arial"/>
                <w:sz w:val="17"/>
                <w:szCs w:val="17"/>
                <w:color w:val="auto"/>
                <w:w w:val="84"/>
              </w:rPr>
            </w:pPr>
            <w:hyperlink w:anchor="page174">
              <w:r>
                <w:rPr>
                  <w:rFonts w:ascii="Arial" w:cs="Arial" w:eastAsia="Arial" w:hAnsi="Arial"/>
                  <w:sz w:val="17"/>
                  <w:szCs w:val="17"/>
                  <w:color w:val="auto"/>
                  <w:w w:val="84"/>
                </w:rPr>
                <w:t>210</w:t>
              </w:r>
            </w:hyperlink>
          </w:p>
        </w:tc>
      </w:tr>
      <w:tr>
        <w:trPr>
          <w:trHeight w:val="193"/>
        </w:trPr>
        <w:tc>
          <w:tcPr>
            <w:tcW w:w="1000" w:type="dxa"/>
            <w:vAlign w:val="bottom"/>
          </w:tcPr>
          <w:p>
            <w:pPr>
              <w:spacing w:after="0" w:line="194" w:lineRule="exact"/>
              <w:rPr>
                <w:sz w:val="20"/>
                <w:szCs w:val="20"/>
                <w:color w:val="auto"/>
              </w:rPr>
            </w:pPr>
            <w:r>
              <w:rPr>
                <w:rFonts w:ascii="Arial" w:cs="Arial" w:eastAsia="Arial" w:hAnsi="Arial"/>
                <w:sz w:val="17"/>
                <w:szCs w:val="17"/>
                <w:color w:val="auto"/>
                <w:w w:val="98"/>
              </w:rPr>
              <w:t>Section 9.17.</w:t>
            </w:r>
          </w:p>
        </w:tc>
        <w:tc>
          <w:tcPr>
            <w:tcW w:w="9340" w:type="dxa"/>
            <w:vAlign w:val="bottom"/>
          </w:tcPr>
          <w:p>
            <w:pPr>
              <w:ind w:left="100"/>
              <w:spacing w:after="0" w:line="194" w:lineRule="exact"/>
              <w:rPr>
                <w:sz w:val="20"/>
                <w:szCs w:val="20"/>
                <w:color w:val="auto"/>
              </w:rPr>
            </w:pPr>
            <w:r>
              <w:rPr>
                <w:rFonts w:ascii="Arial" w:cs="Arial" w:eastAsia="Arial" w:hAnsi="Arial"/>
                <w:sz w:val="17"/>
                <w:szCs w:val="17"/>
                <w:color w:val="auto"/>
              </w:rPr>
              <w:t>Lender Action</w:t>
            </w:r>
          </w:p>
        </w:tc>
        <w:tc>
          <w:tcPr>
            <w:tcW w:w="260" w:type="dxa"/>
            <w:vAlign w:val="bottom"/>
            <w:tcBorders>
              <w:bottom w:val="single" w:sz="8" w:color="auto"/>
            </w:tcBorders>
          </w:tcPr>
          <w:p>
            <w:pPr>
              <w:jc w:val="right"/>
              <w:spacing w:after="0" w:line="194" w:lineRule="exact"/>
              <w:rPr>
                <w:rFonts w:ascii="Arial" w:cs="Arial" w:eastAsia="Arial" w:hAnsi="Arial"/>
                <w:sz w:val="17"/>
                <w:szCs w:val="17"/>
                <w:color w:val="auto"/>
                <w:w w:val="84"/>
              </w:rPr>
            </w:pPr>
            <w:hyperlink w:anchor="page174">
              <w:r>
                <w:rPr>
                  <w:rFonts w:ascii="Arial" w:cs="Arial" w:eastAsia="Arial" w:hAnsi="Arial"/>
                  <w:sz w:val="17"/>
                  <w:szCs w:val="17"/>
                  <w:color w:val="auto"/>
                  <w:w w:val="84"/>
                </w:rPr>
                <w:t>210</w:t>
              </w:r>
            </w:hyperlink>
          </w:p>
        </w:tc>
      </w:tr>
      <w:tr>
        <w:trPr>
          <w:trHeight w:val="193"/>
        </w:trPr>
        <w:tc>
          <w:tcPr>
            <w:tcW w:w="1000" w:type="dxa"/>
            <w:vAlign w:val="bottom"/>
          </w:tcPr>
          <w:p>
            <w:pPr>
              <w:spacing w:after="0" w:line="194" w:lineRule="exact"/>
              <w:rPr>
                <w:sz w:val="20"/>
                <w:szCs w:val="20"/>
                <w:color w:val="auto"/>
              </w:rPr>
            </w:pPr>
            <w:r>
              <w:rPr>
                <w:rFonts w:ascii="Arial" w:cs="Arial" w:eastAsia="Arial" w:hAnsi="Arial"/>
                <w:sz w:val="17"/>
                <w:szCs w:val="17"/>
                <w:color w:val="auto"/>
                <w:w w:val="98"/>
              </w:rPr>
              <w:t>Section 9.18.</w:t>
            </w:r>
          </w:p>
        </w:tc>
        <w:tc>
          <w:tcPr>
            <w:tcW w:w="9340" w:type="dxa"/>
            <w:vAlign w:val="bottom"/>
          </w:tcPr>
          <w:p>
            <w:pPr>
              <w:ind w:left="100"/>
              <w:spacing w:after="0" w:line="194" w:lineRule="exact"/>
              <w:rPr>
                <w:sz w:val="20"/>
                <w:szCs w:val="20"/>
                <w:color w:val="auto"/>
              </w:rPr>
            </w:pPr>
            <w:r>
              <w:rPr>
                <w:rFonts w:ascii="Arial" w:cs="Arial" w:eastAsia="Arial" w:hAnsi="Arial"/>
                <w:sz w:val="17"/>
                <w:szCs w:val="17"/>
                <w:color w:val="auto"/>
              </w:rPr>
              <w:t>Marshalling; Payments Set Aside</w:t>
            </w:r>
          </w:p>
        </w:tc>
        <w:tc>
          <w:tcPr>
            <w:tcW w:w="260" w:type="dxa"/>
            <w:vAlign w:val="bottom"/>
            <w:tcBorders>
              <w:bottom w:val="single" w:sz="8" w:color="auto"/>
            </w:tcBorders>
          </w:tcPr>
          <w:p>
            <w:pPr>
              <w:jc w:val="right"/>
              <w:spacing w:after="0" w:line="194" w:lineRule="exact"/>
              <w:rPr>
                <w:rFonts w:ascii="Arial" w:cs="Arial" w:eastAsia="Arial" w:hAnsi="Arial"/>
                <w:sz w:val="17"/>
                <w:szCs w:val="17"/>
                <w:color w:val="auto"/>
                <w:w w:val="84"/>
              </w:rPr>
            </w:pPr>
            <w:hyperlink w:anchor="page174">
              <w:r>
                <w:rPr>
                  <w:rFonts w:ascii="Arial" w:cs="Arial" w:eastAsia="Arial" w:hAnsi="Arial"/>
                  <w:sz w:val="17"/>
                  <w:szCs w:val="17"/>
                  <w:color w:val="auto"/>
                  <w:w w:val="84"/>
                </w:rPr>
                <w:t>210</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iii</w:t>
      </w:r>
    </w:p>
    <w:p>
      <w:pPr>
        <w:spacing w:after="0"/>
        <w:rPr>
          <w:sz w:val="20"/>
          <w:szCs w:val="20"/>
          <w:color w:val="auto"/>
        </w:rPr>
      </w:pPr>
      <w:r>
        <w:rPr>
          <w:rFonts w:ascii="Arial" w:cs="Arial" w:eastAsia="Arial" w:hAnsi="Arial"/>
          <w:sz w:val="13"/>
          <w:szCs w:val="13"/>
          <w:color w:val="auto"/>
        </w:rPr>
        <w:t>Doc#: US1:15647309v1</w:t>
      </w:r>
    </w:p>
    <w:p>
      <w:pPr>
        <w:sectPr>
          <w:pgSz w:w="11900" w:h="16838" w:orient="portrait"/>
          <w:cols w:equalWidth="0" w:num="1">
            <w:col w:w="10660"/>
          </w:cols>
          <w:pgMar w:left="320" w:top="1440" w:right="919" w:bottom="1440" w:gutter="0" w:footer="0" w:header="0"/>
        </w:sectPr>
      </w:pPr>
    </w:p>
    <w:bookmarkStart w:id="172" w:name="page173"/>
    <w:bookmarkEnd w:id="172"/>
    <w:p>
      <w:pPr>
        <w:spacing w:after="0" w:line="200" w:lineRule="exact"/>
        <w:rPr>
          <w:sz w:val="20"/>
          <w:szCs w:val="20"/>
          <w:color w:val="auto"/>
        </w:rPr>
      </w:pPr>
    </w:p>
    <w:p>
      <w:pPr>
        <w:spacing w:after="0" w:line="222"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10340" w:type="dxa"/>
            <w:vAlign w:val="bottom"/>
            <w:gridSpan w:val="2"/>
          </w:tcPr>
          <w:p>
            <w:pPr>
              <w:spacing w:after="0"/>
              <w:rPr>
                <w:sz w:val="20"/>
                <w:szCs w:val="20"/>
                <w:color w:val="auto"/>
              </w:rPr>
            </w:pPr>
            <w:r>
              <w:rPr>
                <w:rFonts w:ascii="Arial" w:cs="Arial" w:eastAsia="Arial" w:hAnsi="Arial"/>
                <w:sz w:val="17"/>
                <w:szCs w:val="17"/>
                <w:color w:val="auto"/>
              </w:rPr>
              <w:t>Section 9.19.  Margin Stock; Collateral</w:t>
            </w:r>
          </w:p>
        </w:tc>
        <w:tc>
          <w:tcPr>
            <w:tcW w:w="260" w:type="dxa"/>
            <w:vAlign w:val="bottom"/>
            <w:tcBorders>
              <w:bottom w:val="single" w:sz="8" w:color="auto"/>
            </w:tcBorders>
          </w:tcPr>
          <w:p>
            <w:pPr>
              <w:jc w:val="right"/>
              <w:spacing w:after="0"/>
              <w:rPr>
                <w:rFonts w:ascii="Arial" w:cs="Arial" w:eastAsia="Arial" w:hAnsi="Arial"/>
                <w:sz w:val="17"/>
                <w:szCs w:val="17"/>
                <w:color w:val="auto"/>
                <w:w w:val="84"/>
              </w:rPr>
            </w:pPr>
            <w:hyperlink w:anchor="page174">
              <w:r>
                <w:rPr>
                  <w:rFonts w:ascii="Arial" w:cs="Arial" w:eastAsia="Arial" w:hAnsi="Arial"/>
                  <w:sz w:val="17"/>
                  <w:szCs w:val="17"/>
                  <w:color w:val="auto"/>
                  <w:w w:val="84"/>
                </w:rPr>
                <w:t>211</w:t>
              </w:r>
            </w:hyperlink>
          </w:p>
        </w:tc>
      </w:tr>
      <w:tr>
        <w:trPr>
          <w:trHeight w:val="193"/>
        </w:trPr>
        <w:tc>
          <w:tcPr>
            <w:tcW w:w="1000" w:type="dxa"/>
            <w:vAlign w:val="bottom"/>
          </w:tcPr>
          <w:p>
            <w:pPr>
              <w:spacing w:after="0" w:line="194" w:lineRule="exact"/>
              <w:rPr>
                <w:sz w:val="20"/>
                <w:szCs w:val="20"/>
                <w:color w:val="auto"/>
              </w:rPr>
            </w:pPr>
            <w:r>
              <w:rPr>
                <w:rFonts w:ascii="Arial" w:cs="Arial" w:eastAsia="Arial" w:hAnsi="Arial"/>
                <w:sz w:val="17"/>
                <w:szCs w:val="17"/>
                <w:color w:val="auto"/>
                <w:w w:val="98"/>
              </w:rPr>
              <w:t>Section 9.20.</w:t>
            </w:r>
          </w:p>
        </w:tc>
        <w:tc>
          <w:tcPr>
            <w:tcW w:w="9340" w:type="dxa"/>
            <w:vAlign w:val="bottom"/>
          </w:tcPr>
          <w:p>
            <w:pPr>
              <w:ind w:left="100"/>
              <w:spacing w:after="0" w:line="194" w:lineRule="exact"/>
              <w:rPr>
                <w:sz w:val="20"/>
                <w:szCs w:val="20"/>
                <w:color w:val="auto"/>
              </w:rPr>
            </w:pPr>
            <w:r>
              <w:rPr>
                <w:rFonts w:ascii="Arial" w:cs="Arial" w:eastAsia="Arial" w:hAnsi="Arial"/>
                <w:sz w:val="17"/>
                <w:szCs w:val="17"/>
                <w:color w:val="auto"/>
              </w:rPr>
              <w:t>Acknowledgement and Consent to Bail-in of Affected Financial Institutions</w:t>
            </w:r>
          </w:p>
        </w:tc>
        <w:tc>
          <w:tcPr>
            <w:tcW w:w="260" w:type="dxa"/>
            <w:vAlign w:val="bottom"/>
            <w:tcBorders>
              <w:bottom w:val="single" w:sz="8" w:color="auto"/>
            </w:tcBorders>
          </w:tcPr>
          <w:p>
            <w:pPr>
              <w:jc w:val="right"/>
              <w:spacing w:after="0" w:line="194" w:lineRule="exact"/>
              <w:rPr>
                <w:rFonts w:ascii="Arial" w:cs="Arial" w:eastAsia="Arial" w:hAnsi="Arial"/>
                <w:sz w:val="17"/>
                <w:szCs w:val="17"/>
                <w:color w:val="auto"/>
                <w:w w:val="84"/>
              </w:rPr>
            </w:pPr>
            <w:hyperlink w:anchor="page174">
              <w:r>
                <w:rPr>
                  <w:rFonts w:ascii="Arial" w:cs="Arial" w:eastAsia="Arial" w:hAnsi="Arial"/>
                  <w:sz w:val="17"/>
                  <w:szCs w:val="17"/>
                  <w:color w:val="auto"/>
                  <w:w w:val="84"/>
                </w:rPr>
                <w:t>211</w:t>
              </w:r>
            </w:hyperlink>
          </w:p>
        </w:tc>
      </w:tr>
      <w:tr>
        <w:trPr>
          <w:trHeight w:val="193"/>
        </w:trPr>
        <w:tc>
          <w:tcPr>
            <w:tcW w:w="1000" w:type="dxa"/>
            <w:vAlign w:val="bottom"/>
          </w:tcPr>
          <w:p>
            <w:pPr>
              <w:spacing w:after="0" w:line="194" w:lineRule="exact"/>
              <w:rPr>
                <w:sz w:val="20"/>
                <w:szCs w:val="20"/>
                <w:color w:val="auto"/>
              </w:rPr>
            </w:pPr>
            <w:r>
              <w:rPr>
                <w:rFonts w:ascii="Arial" w:cs="Arial" w:eastAsia="Arial" w:hAnsi="Arial"/>
                <w:sz w:val="17"/>
                <w:szCs w:val="17"/>
                <w:color w:val="auto"/>
                <w:w w:val="98"/>
              </w:rPr>
              <w:t>Section 9.21.</w:t>
            </w:r>
          </w:p>
        </w:tc>
        <w:tc>
          <w:tcPr>
            <w:tcW w:w="9340" w:type="dxa"/>
            <w:vAlign w:val="bottom"/>
          </w:tcPr>
          <w:p>
            <w:pPr>
              <w:ind w:left="100"/>
              <w:spacing w:after="0" w:line="194" w:lineRule="exact"/>
              <w:rPr>
                <w:sz w:val="20"/>
                <w:szCs w:val="20"/>
                <w:color w:val="auto"/>
              </w:rPr>
            </w:pPr>
            <w:r>
              <w:rPr>
                <w:rFonts w:ascii="Arial" w:cs="Arial" w:eastAsia="Arial" w:hAnsi="Arial"/>
                <w:sz w:val="17"/>
                <w:szCs w:val="17"/>
                <w:color w:val="auto"/>
              </w:rPr>
              <w:t>Acknowledgement Regarding Any Supported QFCs</w:t>
            </w:r>
          </w:p>
        </w:tc>
        <w:tc>
          <w:tcPr>
            <w:tcW w:w="260" w:type="dxa"/>
            <w:vAlign w:val="bottom"/>
            <w:tcBorders>
              <w:bottom w:val="single" w:sz="8" w:color="auto"/>
            </w:tcBorders>
          </w:tcPr>
          <w:p>
            <w:pPr>
              <w:jc w:val="right"/>
              <w:spacing w:after="0" w:line="194" w:lineRule="exact"/>
              <w:rPr>
                <w:rFonts w:ascii="Arial" w:cs="Arial" w:eastAsia="Arial" w:hAnsi="Arial"/>
                <w:sz w:val="17"/>
                <w:szCs w:val="17"/>
                <w:color w:val="auto"/>
                <w:w w:val="84"/>
              </w:rPr>
            </w:pPr>
            <w:hyperlink w:anchor="page174">
              <w:r>
                <w:rPr>
                  <w:rFonts w:ascii="Arial" w:cs="Arial" w:eastAsia="Arial" w:hAnsi="Arial"/>
                  <w:sz w:val="17"/>
                  <w:szCs w:val="17"/>
                  <w:color w:val="auto"/>
                  <w:w w:val="84"/>
                </w:rPr>
                <w:t>211</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iv</w:t>
      </w:r>
    </w:p>
    <w:p>
      <w:pPr>
        <w:spacing w:after="0"/>
        <w:rPr>
          <w:sz w:val="20"/>
          <w:szCs w:val="20"/>
          <w:color w:val="auto"/>
        </w:rPr>
      </w:pPr>
      <w:r>
        <w:rPr>
          <w:rFonts w:ascii="Arial" w:cs="Arial" w:eastAsia="Arial" w:hAnsi="Arial"/>
          <w:sz w:val="13"/>
          <w:szCs w:val="13"/>
          <w:color w:val="auto"/>
        </w:rPr>
        <w:t>Doc#: US1:15647309v1</w:t>
      </w:r>
    </w:p>
    <w:p>
      <w:pPr>
        <w:sectPr>
          <w:pgSz w:w="11900" w:h="16838" w:orient="portrait"/>
          <w:cols w:equalWidth="0" w:num="1">
            <w:col w:w="10660"/>
          </w:cols>
          <w:pgMar w:left="320" w:top="1440" w:right="919" w:bottom="1440" w:gutter="0" w:footer="0" w:header="0"/>
        </w:sectPr>
      </w:pPr>
    </w:p>
    <w:bookmarkStart w:id="173" w:name="page174"/>
    <w:bookmarkEnd w:id="173"/>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140" w:type="dxa"/>
            <w:vAlign w:val="bottom"/>
            <w:gridSpan w:val="2"/>
          </w:tcPr>
          <w:p>
            <w:pPr>
              <w:spacing w:after="0"/>
              <w:rPr>
                <w:sz w:val="20"/>
                <w:szCs w:val="20"/>
                <w:color w:val="auto"/>
              </w:rPr>
            </w:pPr>
            <w:r>
              <w:rPr>
                <w:rFonts w:ascii="Arial" w:cs="Arial" w:eastAsia="Arial" w:hAnsi="Arial"/>
                <w:sz w:val="17"/>
                <w:szCs w:val="17"/>
                <w:b w:val="1"/>
                <w:bCs w:val="1"/>
                <w:color w:val="auto"/>
              </w:rPr>
              <w:t>SCHEDULES:</w:t>
            </w:r>
          </w:p>
        </w:tc>
        <w:tc>
          <w:tcPr>
            <w:tcW w:w="28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3"/>
        </w:trPr>
        <w:tc>
          <w:tcPr>
            <w:tcW w:w="5460" w:type="dxa"/>
            <w:vAlign w:val="bottom"/>
            <w:gridSpan w:val="4"/>
          </w:tcPr>
          <w:p>
            <w:pPr>
              <w:spacing w:after="0"/>
              <w:rPr>
                <w:sz w:val="20"/>
                <w:szCs w:val="20"/>
                <w:color w:val="auto"/>
              </w:rPr>
            </w:pPr>
            <w:r>
              <w:rPr>
                <w:rFonts w:ascii="Arial" w:cs="Arial" w:eastAsia="Arial" w:hAnsi="Arial"/>
                <w:sz w:val="17"/>
                <w:szCs w:val="17"/>
                <w:color w:val="auto"/>
              </w:rPr>
              <w:t>Schedule 1.01(a)  —  Disqualified Lenders</w:t>
            </w:r>
          </w:p>
        </w:tc>
        <w:tc>
          <w:tcPr>
            <w:tcW w:w="4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5460" w:type="dxa"/>
            <w:vAlign w:val="bottom"/>
            <w:gridSpan w:val="4"/>
          </w:tcPr>
          <w:p>
            <w:pPr>
              <w:spacing w:after="0" w:line="166" w:lineRule="exact"/>
              <w:rPr>
                <w:sz w:val="20"/>
                <w:szCs w:val="20"/>
                <w:color w:val="auto"/>
              </w:rPr>
            </w:pPr>
            <w:r>
              <w:rPr>
                <w:rFonts w:ascii="Arial" w:cs="Arial" w:eastAsia="Arial" w:hAnsi="Arial"/>
                <w:sz w:val="17"/>
                <w:szCs w:val="17"/>
                <w:color w:val="auto"/>
              </w:rPr>
              <w:t>Schedule 1.01(b)  —  LC Commitments</w:t>
            </w:r>
          </w:p>
        </w:tc>
        <w:tc>
          <w:tcPr>
            <w:tcW w:w="45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140" w:type="dxa"/>
            <w:vAlign w:val="bottom"/>
            <w:gridSpan w:val="2"/>
          </w:tcPr>
          <w:p>
            <w:pPr>
              <w:spacing w:after="0" w:line="166" w:lineRule="exact"/>
              <w:rPr>
                <w:sz w:val="20"/>
                <w:szCs w:val="20"/>
                <w:color w:val="auto"/>
              </w:rPr>
            </w:pPr>
            <w:r>
              <w:rPr>
                <w:rFonts w:ascii="Arial" w:cs="Arial" w:eastAsia="Arial" w:hAnsi="Arial"/>
                <w:sz w:val="17"/>
                <w:szCs w:val="17"/>
                <w:color w:val="auto"/>
              </w:rPr>
              <w:t>Schedule 2.01</w:t>
            </w:r>
          </w:p>
        </w:tc>
        <w:tc>
          <w:tcPr>
            <w:tcW w:w="280" w:type="dxa"/>
            <w:vAlign w:val="bottom"/>
          </w:tcPr>
          <w:p>
            <w:pPr>
              <w:ind w:left="20"/>
              <w:spacing w:after="0" w:line="166" w:lineRule="exact"/>
              <w:rPr>
                <w:sz w:val="20"/>
                <w:szCs w:val="20"/>
                <w:color w:val="auto"/>
              </w:rPr>
            </w:pPr>
            <w:r>
              <w:rPr>
                <w:rFonts w:ascii="Arial" w:cs="Arial" w:eastAsia="Arial" w:hAnsi="Arial"/>
                <w:sz w:val="17"/>
                <w:szCs w:val="17"/>
                <w:color w:val="auto"/>
              </w:rPr>
              <w:t>—</w:t>
            </w:r>
          </w:p>
        </w:tc>
        <w:tc>
          <w:tcPr>
            <w:tcW w:w="4040" w:type="dxa"/>
            <w:vAlign w:val="bottom"/>
          </w:tcPr>
          <w:p>
            <w:pPr>
              <w:ind w:left="80"/>
              <w:spacing w:after="0" w:line="166" w:lineRule="exact"/>
              <w:rPr>
                <w:sz w:val="20"/>
                <w:szCs w:val="20"/>
                <w:color w:val="auto"/>
              </w:rPr>
            </w:pPr>
            <w:r>
              <w:rPr>
                <w:rFonts w:ascii="Arial" w:cs="Arial" w:eastAsia="Arial" w:hAnsi="Arial"/>
                <w:sz w:val="17"/>
                <w:szCs w:val="17"/>
                <w:color w:val="auto"/>
              </w:rPr>
              <w:t>Commitments</w:t>
            </w:r>
          </w:p>
        </w:tc>
        <w:tc>
          <w:tcPr>
            <w:tcW w:w="45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140" w:type="dxa"/>
            <w:vAlign w:val="bottom"/>
            <w:gridSpan w:val="2"/>
          </w:tcPr>
          <w:p>
            <w:pPr>
              <w:spacing w:after="0" w:line="166" w:lineRule="exact"/>
              <w:rPr>
                <w:sz w:val="20"/>
                <w:szCs w:val="20"/>
                <w:color w:val="auto"/>
              </w:rPr>
            </w:pPr>
            <w:r>
              <w:rPr>
                <w:rFonts w:ascii="Arial" w:cs="Arial" w:eastAsia="Arial" w:hAnsi="Arial"/>
                <w:sz w:val="17"/>
                <w:szCs w:val="17"/>
                <w:color w:val="auto"/>
              </w:rPr>
              <w:t>Schedule 3.12</w:t>
            </w:r>
          </w:p>
        </w:tc>
        <w:tc>
          <w:tcPr>
            <w:tcW w:w="280" w:type="dxa"/>
            <w:vAlign w:val="bottom"/>
          </w:tcPr>
          <w:p>
            <w:pPr>
              <w:ind w:left="20"/>
              <w:spacing w:after="0" w:line="166" w:lineRule="exact"/>
              <w:rPr>
                <w:sz w:val="20"/>
                <w:szCs w:val="20"/>
                <w:color w:val="auto"/>
              </w:rPr>
            </w:pPr>
            <w:r>
              <w:rPr>
                <w:rFonts w:ascii="Arial" w:cs="Arial" w:eastAsia="Arial" w:hAnsi="Arial"/>
                <w:sz w:val="17"/>
                <w:szCs w:val="17"/>
                <w:color w:val="auto"/>
              </w:rPr>
              <w:t>—</w:t>
            </w:r>
          </w:p>
        </w:tc>
        <w:tc>
          <w:tcPr>
            <w:tcW w:w="4040" w:type="dxa"/>
            <w:vAlign w:val="bottom"/>
          </w:tcPr>
          <w:p>
            <w:pPr>
              <w:ind w:left="80"/>
              <w:spacing w:after="0" w:line="166" w:lineRule="exact"/>
              <w:rPr>
                <w:sz w:val="20"/>
                <w:szCs w:val="20"/>
                <w:color w:val="auto"/>
              </w:rPr>
            </w:pPr>
            <w:r>
              <w:rPr>
                <w:rFonts w:ascii="Arial" w:cs="Arial" w:eastAsia="Arial" w:hAnsi="Arial"/>
                <w:sz w:val="17"/>
                <w:szCs w:val="17"/>
                <w:color w:val="auto"/>
              </w:rPr>
              <w:t>Subsidiaries</w:t>
            </w:r>
          </w:p>
        </w:tc>
        <w:tc>
          <w:tcPr>
            <w:tcW w:w="45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460" w:type="dxa"/>
            <w:vAlign w:val="bottom"/>
            <w:gridSpan w:val="4"/>
          </w:tcPr>
          <w:p>
            <w:pPr>
              <w:spacing w:after="0" w:line="166" w:lineRule="exact"/>
              <w:rPr>
                <w:sz w:val="20"/>
                <w:szCs w:val="20"/>
                <w:color w:val="auto"/>
              </w:rPr>
            </w:pPr>
            <w:r>
              <w:rPr>
                <w:rFonts w:ascii="Arial" w:cs="Arial" w:eastAsia="Arial" w:hAnsi="Arial"/>
                <w:sz w:val="17"/>
                <w:szCs w:val="17"/>
                <w:color w:val="auto"/>
              </w:rPr>
              <w:t>Schedule 3.18  —  Regulatory Status and Memberships Held</w:t>
            </w:r>
          </w:p>
        </w:tc>
        <w:tc>
          <w:tcPr>
            <w:tcW w:w="45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460" w:type="dxa"/>
            <w:vAlign w:val="bottom"/>
            <w:gridSpan w:val="4"/>
          </w:tcPr>
          <w:p>
            <w:pPr>
              <w:spacing w:after="0" w:line="166" w:lineRule="exact"/>
              <w:rPr>
                <w:sz w:val="20"/>
                <w:szCs w:val="20"/>
                <w:color w:val="auto"/>
              </w:rPr>
            </w:pPr>
            <w:r>
              <w:rPr>
                <w:rFonts w:ascii="Arial" w:cs="Arial" w:eastAsia="Arial" w:hAnsi="Arial"/>
                <w:sz w:val="17"/>
                <w:szCs w:val="17"/>
                <w:color w:val="auto"/>
              </w:rPr>
              <w:t>Schedule 5.16  —  Post-Closing Obligations</w:t>
            </w:r>
          </w:p>
        </w:tc>
        <w:tc>
          <w:tcPr>
            <w:tcW w:w="45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460" w:type="dxa"/>
            <w:vAlign w:val="bottom"/>
            <w:gridSpan w:val="4"/>
          </w:tcPr>
          <w:p>
            <w:pPr>
              <w:spacing w:after="0" w:line="166" w:lineRule="exact"/>
              <w:rPr>
                <w:sz w:val="20"/>
                <w:szCs w:val="20"/>
                <w:color w:val="auto"/>
              </w:rPr>
            </w:pPr>
            <w:r>
              <w:rPr>
                <w:rFonts w:ascii="Arial" w:cs="Arial" w:eastAsia="Arial" w:hAnsi="Arial"/>
                <w:sz w:val="17"/>
                <w:szCs w:val="17"/>
                <w:color w:val="auto"/>
              </w:rPr>
              <w:t>Schedule 6.01  —  Existing Indebtedness</w:t>
            </w:r>
          </w:p>
        </w:tc>
        <w:tc>
          <w:tcPr>
            <w:tcW w:w="45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460" w:type="dxa"/>
            <w:vAlign w:val="bottom"/>
            <w:gridSpan w:val="4"/>
          </w:tcPr>
          <w:p>
            <w:pPr>
              <w:spacing w:after="0" w:line="166" w:lineRule="exact"/>
              <w:rPr>
                <w:sz w:val="20"/>
                <w:szCs w:val="20"/>
                <w:color w:val="auto"/>
              </w:rPr>
            </w:pPr>
            <w:r>
              <w:rPr>
                <w:rFonts w:ascii="Arial" w:cs="Arial" w:eastAsia="Arial" w:hAnsi="Arial"/>
                <w:sz w:val="17"/>
                <w:szCs w:val="17"/>
                <w:color w:val="auto"/>
              </w:rPr>
              <w:t>Schedule 6.02  —  Existing Liens</w:t>
            </w:r>
          </w:p>
        </w:tc>
        <w:tc>
          <w:tcPr>
            <w:tcW w:w="45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460" w:type="dxa"/>
            <w:vAlign w:val="bottom"/>
            <w:gridSpan w:val="4"/>
          </w:tcPr>
          <w:p>
            <w:pPr>
              <w:spacing w:after="0" w:line="166" w:lineRule="exact"/>
              <w:rPr>
                <w:sz w:val="20"/>
                <w:szCs w:val="20"/>
                <w:color w:val="auto"/>
              </w:rPr>
            </w:pPr>
            <w:r>
              <w:rPr>
                <w:rFonts w:ascii="Arial" w:cs="Arial" w:eastAsia="Arial" w:hAnsi="Arial"/>
                <w:sz w:val="17"/>
                <w:szCs w:val="17"/>
                <w:color w:val="auto"/>
              </w:rPr>
              <w:t>Schedule 6.04(e)  —  Existing Investments</w:t>
            </w:r>
          </w:p>
        </w:tc>
        <w:tc>
          <w:tcPr>
            <w:tcW w:w="45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140" w:type="dxa"/>
            <w:vAlign w:val="bottom"/>
            <w:gridSpan w:val="2"/>
          </w:tcPr>
          <w:p>
            <w:pPr>
              <w:spacing w:after="0" w:line="166" w:lineRule="exact"/>
              <w:rPr>
                <w:sz w:val="20"/>
                <w:szCs w:val="20"/>
                <w:color w:val="auto"/>
              </w:rPr>
            </w:pPr>
            <w:r>
              <w:rPr>
                <w:rFonts w:ascii="Arial" w:cs="Arial" w:eastAsia="Arial" w:hAnsi="Arial"/>
                <w:sz w:val="17"/>
                <w:szCs w:val="17"/>
                <w:color w:val="auto"/>
              </w:rPr>
              <w:t>Schedule 6.05</w:t>
            </w:r>
          </w:p>
        </w:tc>
        <w:tc>
          <w:tcPr>
            <w:tcW w:w="280" w:type="dxa"/>
            <w:vAlign w:val="bottom"/>
          </w:tcPr>
          <w:p>
            <w:pPr>
              <w:ind w:left="20"/>
              <w:spacing w:after="0" w:line="166" w:lineRule="exact"/>
              <w:rPr>
                <w:sz w:val="20"/>
                <w:szCs w:val="20"/>
                <w:color w:val="auto"/>
              </w:rPr>
            </w:pPr>
            <w:r>
              <w:rPr>
                <w:rFonts w:ascii="Arial" w:cs="Arial" w:eastAsia="Arial" w:hAnsi="Arial"/>
                <w:sz w:val="17"/>
                <w:szCs w:val="17"/>
                <w:color w:val="auto"/>
              </w:rPr>
              <w:t>—</w:t>
            </w:r>
          </w:p>
        </w:tc>
        <w:tc>
          <w:tcPr>
            <w:tcW w:w="4040" w:type="dxa"/>
            <w:vAlign w:val="bottom"/>
          </w:tcPr>
          <w:p>
            <w:pPr>
              <w:ind w:left="80"/>
              <w:spacing w:after="0" w:line="166" w:lineRule="exact"/>
              <w:rPr>
                <w:sz w:val="20"/>
                <w:szCs w:val="20"/>
                <w:color w:val="auto"/>
              </w:rPr>
            </w:pPr>
            <w:r>
              <w:rPr>
                <w:rFonts w:ascii="Arial" w:cs="Arial" w:eastAsia="Arial" w:hAnsi="Arial"/>
                <w:sz w:val="17"/>
                <w:szCs w:val="17"/>
                <w:color w:val="auto"/>
              </w:rPr>
              <w:t>Dispositions</w:t>
            </w:r>
          </w:p>
        </w:tc>
        <w:tc>
          <w:tcPr>
            <w:tcW w:w="45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460" w:type="dxa"/>
            <w:vAlign w:val="bottom"/>
            <w:gridSpan w:val="4"/>
          </w:tcPr>
          <w:p>
            <w:pPr>
              <w:spacing w:after="0" w:line="166" w:lineRule="exact"/>
              <w:rPr>
                <w:sz w:val="20"/>
                <w:szCs w:val="20"/>
                <w:color w:val="auto"/>
              </w:rPr>
            </w:pPr>
            <w:r>
              <w:rPr>
                <w:rFonts w:ascii="Arial" w:cs="Arial" w:eastAsia="Arial" w:hAnsi="Arial"/>
                <w:sz w:val="17"/>
                <w:szCs w:val="17"/>
                <w:color w:val="auto"/>
              </w:rPr>
              <w:t>Schedule 6.09  —  Existing Affiliate Transactions</w:t>
            </w:r>
          </w:p>
        </w:tc>
        <w:tc>
          <w:tcPr>
            <w:tcW w:w="45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460" w:type="dxa"/>
            <w:vAlign w:val="bottom"/>
            <w:gridSpan w:val="4"/>
          </w:tcPr>
          <w:p>
            <w:pPr>
              <w:spacing w:after="0" w:line="166" w:lineRule="exact"/>
              <w:rPr>
                <w:sz w:val="20"/>
                <w:szCs w:val="20"/>
                <w:color w:val="auto"/>
              </w:rPr>
            </w:pPr>
            <w:r>
              <w:rPr>
                <w:rFonts w:ascii="Arial" w:cs="Arial" w:eastAsia="Arial" w:hAnsi="Arial"/>
                <w:sz w:val="17"/>
                <w:szCs w:val="17"/>
                <w:color w:val="auto"/>
              </w:rPr>
              <w:t>Schedule 6.10  —  Existing Restrictions</w:t>
            </w:r>
          </w:p>
        </w:tc>
        <w:tc>
          <w:tcPr>
            <w:tcW w:w="45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1140" w:type="dxa"/>
            <w:vAlign w:val="bottom"/>
            <w:gridSpan w:val="2"/>
          </w:tcPr>
          <w:p>
            <w:pPr>
              <w:spacing w:after="0"/>
              <w:rPr>
                <w:sz w:val="20"/>
                <w:szCs w:val="20"/>
                <w:color w:val="auto"/>
              </w:rPr>
            </w:pPr>
            <w:r>
              <w:rPr>
                <w:rFonts w:ascii="Arial" w:cs="Arial" w:eastAsia="Arial" w:hAnsi="Arial"/>
                <w:sz w:val="17"/>
                <w:szCs w:val="17"/>
                <w:color w:val="auto"/>
              </w:rPr>
              <w:t>Schedule 9.01</w:t>
            </w:r>
          </w:p>
        </w:tc>
        <w:tc>
          <w:tcPr>
            <w:tcW w:w="280" w:type="dxa"/>
            <w:vAlign w:val="bottom"/>
          </w:tcPr>
          <w:p>
            <w:pPr>
              <w:ind w:left="20"/>
              <w:spacing w:after="0"/>
              <w:rPr>
                <w:sz w:val="20"/>
                <w:szCs w:val="20"/>
                <w:color w:val="auto"/>
              </w:rPr>
            </w:pPr>
            <w:r>
              <w:rPr>
                <w:rFonts w:ascii="Arial" w:cs="Arial" w:eastAsia="Arial" w:hAnsi="Arial"/>
                <w:sz w:val="17"/>
                <w:szCs w:val="17"/>
                <w:color w:val="auto"/>
              </w:rPr>
              <w:t>—</w:t>
            </w:r>
          </w:p>
        </w:tc>
        <w:tc>
          <w:tcPr>
            <w:tcW w:w="4040" w:type="dxa"/>
            <w:vAlign w:val="bottom"/>
          </w:tcPr>
          <w:p>
            <w:pPr>
              <w:ind w:left="80"/>
              <w:spacing w:after="0"/>
              <w:rPr>
                <w:sz w:val="20"/>
                <w:szCs w:val="20"/>
                <w:color w:val="auto"/>
              </w:rPr>
            </w:pPr>
            <w:r>
              <w:rPr>
                <w:rFonts w:ascii="Arial" w:cs="Arial" w:eastAsia="Arial" w:hAnsi="Arial"/>
                <w:sz w:val="17"/>
                <w:szCs w:val="17"/>
                <w:color w:val="auto"/>
              </w:rPr>
              <w:t>Notices</w:t>
            </w:r>
          </w:p>
        </w:tc>
        <w:tc>
          <w:tcPr>
            <w:tcW w:w="45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2"/>
        </w:trPr>
        <w:tc>
          <w:tcPr>
            <w:tcW w:w="1140" w:type="dxa"/>
            <w:vAlign w:val="bottom"/>
            <w:gridSpan w:val="2"/>
          </w:tcPr>
          <w:p>
            <w:pPr>
              <w:spacing w:after="0"/>
              <w:rPr>
                <w:sz w:val="20"/>
                <w:szCs w:val="20"/>
                <w:color w:val="auto"/>
              </w:rPr>
            </w:pPr>
            <w:r>
              <w:rPr>
                <w:rFonts w:ascii="Arial" w:cs="Arial" w:eastAsia="Arial" w:hAnsi="Arial"/>
                <w:sz w:val="17"/>
                <w:szCs w:val="17"/>
                <w:b w:val="1"/>
                <w:bCs w:val="1"/>
                <w:color w:val="auto"/>
              </w:rPr>
              <w:t>EXHIBITS:</w:t>
            </w:r>
          </w:p>
        </w:tc>
        <w:tc>
          <w:tcPr>
            <w:tcW w:w="2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5460" w:type="dxa"/>
            <w:vAlign w:val="bottom"/>
            <w:gridSpan w:val="4"/>
          </w:tcPr>
          <w:p>
            <w:pPr>
              <w:spacing w:after="0"/>
              <w:rPr>
                <w:sz w:val="20"/>
                <w:szCs w:val="20"/>
                <w:color w:val="auto"/>
              </w:rPr>
            </w:pPr>
            <w:r>
              <w:rPr>
                <w:rFonts w:ascii="Arial" w:cs="Arial" w:eastAsia="Arial" w:hAnsi="Arial"/>
                <w:sz w:val="17"/>
                <w:szCs w:val="17"/>
                <w:color w:val="auto"/>
              </w:rPr>
              <w:t>Exhibit A-1  —  Form of Assignment and Assumption</w:t>
            </w:r>
          </w:p>
        </w:tc>
        <w:tc>
          <w:tcPr>
            <w:tcW w:w="4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5460" w:type="dxa"/>
            <w:vAlign w:val="bottom"/>
            <w:gridSpan w:val="4"/>
          </w:tcPr>
          <w:p>
            <w:pPr>
              <w:spacing w:after="0" w:line="166" w:lineRule="exact"/>
              <w:rPr>
                <w:sz w:val="20"/>
                <w:szCs w:val="20"/>
                <w:color w:val="auto"/>
              </w:rPr>
            </w:pPr>
            <w:r>
              <w:rPr>
                <w:rFonts w:ascii="Arial" w:cs="Arial" w:eastAsia="Arial" w:hAnsi="Arial"/>
                <w:sz w:val="17"/>
                <w:szCs w:val="17"/>
                <w:color w:val="auto"/>
              </w:rPr>
              <w:t>Exhibit A-2  —  Form of Borrower Assignment and Assumption</w:t>
            </w:r>
          </w:p>
        </w:tc>
        <w:tc>
          <w:tcPr>
            <w:tcW w:w="45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460" w:type="dxa"/>
            <w:vAlign w:val="bottom"/>
            <w:gridSpan w:val="4"/>
          </w:tcPr>
          <w:p>
            <w:pPr>
              <w:spacing w:after="0" w:line="166" w:lineRule="exact"/>
              <w:rPr>
                <w:sz w:val="20"/>
                <w:szCs w:val="20"/>
                <w:color w:val="auto"/>
              </w:rPr>
            </w:pPr>
            <w:r>
              <w:rPr>
                <w:rFonts w:ascii="Arial" w:cs="Arial" w:eastAsia="Arial" w:hAnsi="Arial"/>
                <w:sz w:val="17"/>
                <w:szCs w:val="17"/>
                <w:color w:val="auto"/>
              </w:rPr>
              <w:t>Exhibit B  —  Form of Guarantee Agreement</w:t>
            </w:r>
          </w:p>
        </w:tc>
        <w:tc>
          <w:tcPr>
            <w:tcW w:w="45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460" w:type="dxa"/>
            <w:vAlign w:val="bottom"/>
            <w:gridSpan w:val="4"/>
          </w:tcPr>
          <w:p>
            <w:pPr>
              <w:spacing w:after="0" w:line="166" w:lineRule="exact"/>
              <w:rPr>
                <w:sz w:val="20"/>
                <w:szCs w:val="20"/>
                <w:color w:val="auto"/>
              </w:rPr>
            </w:pPr>
            <w:r>
              <w:rPr>
                <w:rFonts w:ascii="Arial" w:cs="Arial" w:eastAsia="Arial" w:hAnsi="Arial"/>
                <w:sz w:val="17"/>
                <w:szCs w:val="17"/>
                <w:color w:val="auto"/>
              </w:rPr>
              <w:t>Exhibit C  —  Form of Perfection Certificate</w:t>
            </w:r>
          </w:p>
        </w:tc>
        <w:tc>
          <w:tcPr>
            <w:tcW w:w="45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460" w:type="dxa"/>
            <w:vAlign w:val="bottom"/>
            <w:gridSpan w:val="4"/>
          </w:tcPr>
          <w:p>
            <w:pPr>
              <w:spacing w:after="0" w:line="166" w:lineRule="exact"/>
              <w:rPr>
                <w:sz w:val="20"/>
                <w:szCs w:val="20"/>
                <w:color w:val="auto"/>
              </w:rPr>
            </w:pPr>
            <w:r>
              <w:rPr>
                <w:rFonts w:ascii="Arial" w:cs="Arial" w:eastAsia="Arial" w:hAnsi="Arial"/>
                <w:sz w:val="17"/>
                <w:szCs w:val="17"/>
                <w:color w:val="auto"/>
              </w:rPr>
              <w:t>Exhibit D  —  Form of Collateral Agreement</w:t>
            </w:r>
          </w:p>
        </w:tc>
        <w:tc>
          <w:tcPr>
            <w:tcW w:w="45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460" w:type="dxa"/>
            <w:vAlign w:val="bottom"/>
            <w:gridSpan w:val="4"/>
          </w:tcPr>
          <w:p>
            <w:pPr>
              <w:spacing w:after="0" w:line="166" w:lineRule="exact"/>
              <w:rPr>
                <w:sz w:val="20"/>
                <w:szCs w:val="20"/>
                <w:color w:val="auto"/>
              </w:rPr>
            </w:pPr>
            <w:r>
              <w:rPr>
                <w:rFonts w:ascii="Arial" w:cs="Arial" w:eastAsia="Arial" w:hAnsi="Arial"/>
                <w:sz w:val="17"/>
                <w:szCs w:val="17"/>
                <w:color w:val="auto"/>
              </w:rPr>
              <w:t>Exhibit E  —  Form of Note</w:t>
            </w:r>
          </w:p>
        </w:tc>
        <w:tc>
          <w:tcPr>
            <w:tcW w:w="45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460" w:type="dxa"/>
            <w:vAlign w:val="bottom"/>
            <w:gridSpan w:val="4"/>
          </w:tcPr>
          <w:p>
            <w:pPr>
              <w:spacing w:after="0" w:line="166" w:lineRule="exact"/>
              <w:rPr>
                <w:sz w:val="20"/>
                <w:szCs w:val="20"/>
                <w:color w:val="auto"/>
              </w:rPr>
            </w:pPr>
            <w:r>
              <w:rPr>
                <w:rFonts w:ascii="Arial" w:cs="Arial" w:eastAsia="Arial" w:hAnsi="Arial"/>
                <w:sz w:val="17"/>
                <w:szCs w:val="17"/>
                <w:color w:val="auto"/>
              </w:rPr>
              <w:t>Exhibit F-1  —  Form of First Lien Intercreditor Agreement</w:t>
            </w:r>
          </w:p>
        </w:tc>
        <w:tc>
          <w:tcPr>
            <w:tcW w:w="45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460" w:type="dxa"/>
            <w:vAlign w:val="bottom"/>
            <w:gridSpan w:val="4"/>
          </w:tcPr>
          <w:p>
            <w:pPr>
              <w:spacing w:after="0" w:line="166" w:lineRule="exact"/>
              <w:rPr>
                <w:sz w:val="20"/>
                <w:szCs w:val="20"/>
                <w:color w:val="auto"/>
              </w:rPr>
            </w:pPr>
            <w:r>
              <w:rPr>
                <w:rFonts w:ascii="Arial" w:cs="Arial" w:eastAsia="Arial" w:hAnsi="Arial"/>
                <w:sz w:val="17"/>
                <w:szCs w:val="17"/>
                <w:color w:val="auto"/>
              </w:rPr>
              <w:t>Exhibit F-2  —  Form of Junior Lien Intercreditor Agreement</w:t>
            </w:r>
          </w:p>
        </w:tc>
        <w:tc>
          <w:tcPr>
            <w:tcW w:w="45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460" w:type="dxa"/>
            <w:vAlign w:val="bottom"/>
            <w:gridSpan w:val="4"/>
          </w:tcPr>
          <w:p>
            <w:pPr>
              <w:spacing w:after="0" w:line="166" w:lineRule="exact"/>
              <w:rPr>
                <w:sz w:val="20"/>
                <w:szCs w:val="20"/>
                <w:color w:val="auto"/>
              </w:rPr>
            </w:pPr>
            <w:r>
              <w:rPr>
                <w:rFonts w:ascii="Arial" w:cs="Arial" w:eastAsia="Arial" w:hAnsi="Arial"/>
                <w:sz w:val="17"/>
                <w:szCs w:val="17"/>
                <w:color w:val="auto"/>
              </w:rPr>
              <w:t>Exhibit G  —  Form of Closing Date Certificate</w:t>
            </w:r>
          </w:p>
        </w:tc>
        <w:tc>
          <w:tcPr>
            <w:tcW w:w="45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460" w:type="dxa"/>
            <w:vAlign w:val="bottom"/>
            <w:gridSpan w:val="4"/>
          </w:tcPr>
          <w:p>
            <w:pPr>
              <w:spacing w:after="0" w:line="166" w:lineRule="exact"/>
              <w:rPr>
                <w:sz w:val="20"/>
                <w:szCs w:val="20"/>
                <w:color w:val="auto"/>
              </w:rPr>
            </w:pPr>
            <w:r>
              <w:rPr>
                <w:rFonts w:ascii="Arial" w:cs="Arial" w:eastAsia="Arial" w:hAnsi="Arial"/>
                <w:sz w:val="17"/>
                <w:szCs w:val="17"/>
                <w:color w:val="auto"/>
              </w:rPr>
              <w:t>Exhibit H  —  Form of Intercompany Note</w:t>
            </w:r>
          </w:p>
        </w:tc>
        <w:tc>
          <w:tcPr>
            <w:tcW w:w="45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460" w:type="dxa"/>
            <w:vAlign w:val="bottom"/>
            <w:gridSpan w:val="4"/>
          </w:tcPr>
          <w:p>
            <w:pPr>
              <w:spacing w:after="0" w:line="166" w:lineRule="exact"/>
              <w:rPr>
                <w:sz w:val="20"/>
                <w:szCs w:val="20"/>
                <w:color w:val="auto"/>
              </w:rPr>
            </w:pPr>
            <w:r>
              <w:rPr>
                <w:rFonts w:ascii="Arial" w:cs="Arial" w:eastAsia="Arial" w:hAnsi="Arial"/>
                <w:sz w:val="17"/>
                <w:szCs w:val="17"/>
                <w:color w:val="auto"/>
              </w:rPr>
              <w:t>Exhibit I  —  Form of Specified Discount Prepayment Notice</w:t>
            </w:r>
          </w:p>
        </w:tc>
        <w:tc>
          <w:tcPr>
            <w:tcW w:w="45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460" w:type="dxa"/>
            <w:vAlign w:val="bottom"/>
            <w:gridSpan w:val="4"/>
          </w:tcPr>
          <w:p>
            <w:pPr>
              <w:spacing w:after="0" w:line="166" w:lineRule="exact"/>
              <w:rPr>
                <w:sz w:val="20"/>
                <w:szCs w:val="20"/>
                <w:color w:val="auto"/>
              </w:rPr>
            </w:pPr>
            <w:r>
              <w:rPr>
                <w:rFonts w:ascii="Arial" w:cs="Arial" w:eastAsia="Arial" w:hAnsi="Arial"/>
                <w:sz w:val="17"/>
                <w:szCs w:val="17"/>
                <w:color w:val="auto"/>
              </w:rPr>
              <w:t>Exhibit J  —  Form of Specified Discount Prepayment Response</w:t>
            </w:r>
          </w:p>
        </w:tc>
        <w:tc>
          <w:tcPr>
            <w:tcW w:w="45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460" w:type="dxa"/>
            <w:vAlign w:val="bottom"/>
            <w:gridSpan w:val="4"/>
          </w:tcPr>
          <w:p>
            <w:pPr>
              <w:spacing w:after="0" w:line="166" w:lineRule="exact"/>
              <w:rPr>
                <w:sz w:val="20"/>
                <w:szCs w:val="20"/>
                <w:color w:val="auto"/>
              </w:rPr>
            </w:pPr>
            <w:r>
              <w:rPr>
                <w:rFonts w:ascii="Arial" w:cs="Arial" w:eastAsia="Arial" w:hAnsi="Arial"/>
                <w:sz w:val="17"/>
                <w:szCs w:val="17"/>
                <w:color w:val="auto"/>
              </w:rPr>
              <w:t>Exhibit K  —  Form of Discount Range Prepayment Notice</w:t>
            </w:r>
          </w:p>
        </w:tc>
        <w:tc>
          <w:tcPr>
            <w:tcW w:w="45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460" w:type="dxa"/>
            <w:vAlign w:val="bottom"/>
            <w:gridSpan w:val="4"/>
          </w:tcPr>
          <w:p>
            <w:pPr>
              <w:spacing w:after="0" w:line="166" w:lineRule="exact"/>
              <w:rPr>
                <w:sz w:val="20"/>
                <w:szCs w:val="20"/>
                <w:color w:val="auto"/>
              </w:rPr>
            </w:pPr>
            <w:r>
              <w:rPr>
                <w:rFonts w:ascii="Arial" w:cs="Arial" w:eastAsia="Arial" w:hAnsi="Arial"/>
                <w:sz w:val="17"/>
                <w:szCs w:val="17"/>
                <w:color w:val="auto"/>
              </w:rPr>
              <w:t>Exhibit L  —  Form of Discount Range Prepayment Offer</w:t>
            </w:r>
          </w:p>
        </w:tc>
        <w:tc>
          <w:tcPr>
            <w:tcW w:w="45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460" w:type="dxa"/>
            <w:vAlign w:val="bottom"/>
            <w:gridSpan w:val="4"/>
          </w:tcPr>
          <w:p>
            <w:pPr>
              <w:spacing w:after="0" w:line="166" w:lineRule="exact"/>
              <w:rPr>
                <w:sz w:val="20"/>
                <w:szCs w:val="20"/>
                <w:color w:val="auto"/>
              </w:rPr>
            </w:pPr>
            <w:r>
              <w:rPr>
                <w:rFonts w:ascii="Arial" w:cs="Arial" w:eastAsia="Arial" w:hAnsi="Arial"/>
                <w:sz w:val="17"/>
                <w:szCs w:val="17"/>
                <w:color w:val="auto"/>
              </w:rPr>
              <w:t>Exhibit M  —  Form of Solicited Discounted Prepayment Notice</w:t>
            </w:r>
          </w:p>
        </w:tc>
        <w:tc>
          <w:tcPr>
            <w:tcW w:w="45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460" w:type="dxa"/>
            <w:vAlign w:val="bottom"/>
            <w:gridSpan w:val="4"/>
          </w:tcPr>
          <w:p>
            <w:pPr>
              <w:spacing w:after="0" w:line="166" w:lineRule="exact"/>
              <w:rPr>
                <w:sz w:val="20"/>
                <w:szCs w:val="20"/>
                <w:color w:val="auto"/>
              </w:rPr>
            </w:pPr>
            <w:r>
              <w:rPr>
                <w:rFonts w:ascii="Arial" w:cs="Arial" w:eastAsia="Arial" w:hAnsi="Arial"/>
                <w:sz w:val="17"/>
                <w:szCs w:val="17"/>
                <w:color w:val="auto"/>
              </w:rPr>
              <w:t>Exhibit N  —  Form of Solicited Discounted Prepayment Offer</w:t>
            </w:r>
          </w:p>
        </w:tc>
        <w:tc>
          <w:tcPr>
            <w:tcW w:w="45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460" w:type="dxa"/>
            <w:vAlign w:val="bottom"/>
            <w:gridSpan w:val="4"/>
          </w:tcPr>
          <w:p>
            <w:pPr>
              <w:spacing w:after="0" w:line="166" w:lineRule="exact"/>
              <w:rPr>
                <w:sz w:val="20"/>
                <w:szCs w:val="20"/>
                <w:color w:val="auto"/>
              </w:rPr>
            </w:pPr>
            <w:r>
              <w:rPr>
                <w:rFonts w:ascii="Arial" w:cs="Arial" w:eastAsia="Arial" w:hAnsi="Arial"/>
                <w:sz w:val="17"/>
                <w:szCs w:val="17"/>
                <w:color w:val="auto"/>
              </w:rPr>
              <w:t>Exhibit O  —  Form of Acceptance and Prepayment Notice</w:t>
            </w:r>
          </w:p>
        </w:tc>
        <w:tc>
          <w:tcPr>
            <w:tcW w:w="4540" w:type="dxa"/>
            <w:vAlign w:val="bottom"/>
            <w:vMerge w:val="restart"/>
          </w:tcPr>
          <w:p>
            <w:pPr>
              <w:ind w:left="220"/>
              <w:spacing w:after="0"/>
              <w:rPr>
                <w:sz w:val="20"/>
                <w:szCs w:val="20"/>
                <w:color w:val="auto"/>
              </w:rPr>
            </w:pPr>
            <w:r>
              <w:rPr>
                <w:rFonts w:ascii="Arial" w:cs="Arial" w:eastAsia="Arial" w:hAnsi="Arial"/>
                <w:sz w:val="17"/>
                <w:szCs w:val="17"/>
                <w:color w:val="auto"/>
                <w:w w:val="94"/>
              </w:rPr>
              <w:t>Lenders That Are Not Partnerships For U.S. Federal Income</w:t>
            </w:r>
          </w:p>
        </w:tc>
        <w:tc>
          <w:tcPr>
            <w:tcW w:w="1100" w:type="dxa"/>
            <w:vAlign w:val="bottom"/>
            <w:vMerge w:val="restart"/>
          </w:tcPr>
          <w:p>
            <w:pPr>
              <w:ind w:left="420"/>
              <w:spacing w:after="0"/>
              <w:rPr>
                <w:sz w:val="20"/>
                <w:szCs w:val="20"/>
                <w:color w:val="auto"/>
              </w:rPr>
            </w:pPr>
            <w:r>
              <w:rPr>
                <w:rFonts w:ascii="Arial" w:cs="Arial" w:eastAsia="Arial" w:hAnsi="Arial"/>
                <w:sz w:val="17"/>
                <w:szCs w:val="17"/>
                <w:color w:val="auto"/>
              </w:rPr>
              <w:t>Tax</w:t>
            </w:r>
          </w:p>
        </w:tc>
        <w:tc>
          <w:tcPr>
            <w:tcW w:w="0" w:type="dxa"/>
            <w:vAlign w:val="bottom"/>
          </w:tcPr>
          <w:p>
            <w:pPr>
              <w:spacing w:after="0"/>
              <w:rPr>
                <w:sz w:val="1"/>
                <w:szCs w:val="1"/>
                <w:color w:val="auto"/>
              </w:rPr>
            </w:pPr>
          </w:p>
        </w:tc>
      </w:tr>
      <w:tr>
        <w:trPr>
          <w:trHeight w:val="166"/>
        </w:trPr>
        <w:tc>
          <w:tcPr>
            <w:tcW w:w="800" w:type="dxa"/>
            <w:vAlign w:val="bottom"/>
          </w:tcPr>
          <w:p>
            <w:pPr>
              <w:spacing w:after="0" w:line="166" w:lineRule="exact"/>
              <w:rPr>
                <w:sz w:val="20"/>
                <w:szCs w:val="20"/>
                <w:color w:val="auto"/>
              </w:rPr>
            </w:pPr>
            <w:r>
              <w:rPr>
                <w:rFonts w:ascii="Arial" w:cs="Arial" w:eastAsia="Arial" w:hAnsi="Arial"/>
                <w:sz w:val="17"/>
                <w:szCs w:val="17"/>
                <w:color w:val="auto"/>
                <w:w w:val="94"/>
              </w:rPr>
              <w:t>Exhibit P-1</w:t>
            </w:r>
          </w:p>
        </w:tc>
        <w:tc>
          <w:tcPr>
            <w:tcW w:w="340" w:type="dxa"/>
            <w:vAlign w:val="bottom"/>
          </w:tcPr>
          <w:p>
            <w:pPr>
              <w:ind w:left="160"/>
              <w:spacing w:after="0" w:line="166" w:lineRule="exact"/>
              <w:rPr>
                <w:sz w:val="20"/>
                <w:szCs w:val="20"/>
                <w:color w:val="auto"/>
              </w:rPr>
            </w:pPr>
            <w:r>
              <w:rPr>
                <w:rFonts w:ascii="Arial" w:cs="Arial" w:eastAsia="Arial" w:hAnsi="Arial"/>
                <w:sz w:val="17"/>
                <w:szCs w:val="17"/>
                <w:color w:val="auto"/>
                <w:w w:val="93"/>
              </w:rPr>
              <w:t>—</w:t>
            </w:r>
          </w:p>
        </w:tc>
        <w:tc>
          <w:tcPr>
            <w:tcW w:w="4320" w:type="dxa"/>
            <w:vAlign w:val="bottom"/>
            <w:gridSpan w:val="2"/>
          </w:tcPr>
          <w:p>
            <w:pPr>
              <w:ind w:left="180"/>
              <w:spacing w:after="0" w:line="166" w:lineRule="exact"/>
              <w:rPr>
                <w:sz w:val="20"/>
                <w:szCs w:val="20"/>
                <w:color w:val="auto"/>
              </w:rPr>
            </w:pPr>
            <w:r>
              <w:rPr>
                <w:rFonts w:ascii="Arial" w:cs="Arial" w:eastAsia="Arial" w:hAnsi="Arial"/>
                <w:sz w:val="17"/>
                <w:szCs w:val="17"/>
                <w:color w:val="auto"/>
              </w:rPr>
              <w:t>Form of U.S. Tax Compliance Certificate (For Foreign</w:t>
            </w:r>
          </w:p>
        </w:tc>
        <w:tc>
          <w:tcPr>
            <w:tcW w:w="454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00" w:type="dxa"/>
            <w:vAlign w:val="bottom"/>
          </w:tcPr>
          <w:p>
            <w:pPr>
              <w:spacing w:after="0" w:line="166" w:lineRule="exact"/>
              <w:rPr>
                <w:sz w:val="20"/>
                <w:szCs w:val="20"/>
                <w:color w:val="auto"/>
              </w:rPr>
            </w:pPr>
            <w:r>
              <w:rPr>
                <w:rFonts w:ascii="Arial" w:cs="Arial" w:eastAsia="Arial" w:hAnsi="Arial"/>
                <w:sz w:val="17"/>
                <w:szCs w:val="17"/>
                <w:color w:val="auto"/>
              </w:rPr>
              <w:t>Purposes)</w:t>
            </w:r>
          </w:p>
        </w:tc>
        <w:tc>
          <w:tcPr>
            <w:tcW w:w="340" w:type="dxa"/>
            <w:vAlign w:val="bottom"/>
            <w:vMerge w:val="restart"/>
          </w:tcPr>
          <w:p>
            <w:pPr>
              <w:ind w:left="160"/>
              <w:spacing w:after="0"/>
              <w:rPr>
                <w:sz w:val="20"/>
                <w:szCs w:val="20"/>
                <w:color w:val="auto"/>
              </w:rPr>
            </w:pPr>
            <w:r>
              <w:rPr>
                <w:rFonts w:ascii="Arial" w:cs="Arial" w:eastAsia="Arial" w:hAnsi="Arial"/>
                <w:sz w:val="17"/>
                <w:szCs w:val="17"/>
                <w:color w:val="auto"/>
                <w:w w:val="93"/>
              </w:rPr>
              <w:t>—</w:t>
            </w:r>
          </w:p>
        </w:tc>
        <w:tc>
          <w:tcPr>
            <w:tcW w:w="4320" w:type="dxa"/>
            <w:vAlign w:val="bottom"/>
            <w:gridSpan w:val="2"/>
            <w:vMerge w:val="restart"/>
          </w:tcPr>
          <w:p>
            <w:pPr>
              <w:ind w:left="180"/>
              <w:spacing w:after="0"/>
              <w:rPr>
                <w:sz w:val="20"/>
                <w:szCs w:val="20"/>
                <w:color w:val="auto"/>
              </w:rPr>
            </w:pPr>
            <w:r>
              <w:rPr>
                <w:rFonts w:ascii="Arial" w:cs="Arial" w:eastAsia="Arial" w:hAnsi="Arial"/>
                <w:sz w:val="17"/>
                <w:szCs w:val="17"/>
                <w:color w:val="auto"/>
              </w:rPr>
              <w:t>Form of U.S. Tax Compliance Certificate (For Foreign</w:t>
            </w:r>
          </w:p>
        </w:tc>
        <w:tc>
          <w:tcPr>
            <w:tcW w:w="4540" w:type="dxa"/>
            <w:vAlign w:val="bottom"/>
            <w:vMerge w:val="restart"/>
          </w:tcPr>
          <w:p>
            <w:pPr>
              <w:ind w:left="220"/>
              <w:spacing w:after="0"/>
              <w:rPr>
                <w:sz w:val="20"/>
                <w:szCs w:val="20"/>
                <w:color w:val="auto"/>
              </w:rPr>
            </w:pPr>
            <w:r>
              <w:rPr>
                <w:rFonts w:ascii="Arial" w:cs="Arial" w:eastAsia="Arial" w:hAnsi="Arial"/>
                <w:sz w:val="17"/>
                <w:szCs w:val="17"/>
                <w:color w:val="auto"/>
              </w:rPr>
              <w:t>Lenders That Are Partnerships For U.S. Federal Income</w:t>
            </w:r>
          </w:p>
        </w:tc>
        <w:tc>
          <w:tcPr>
            <w:tcW w:w="1100" w:type="dxa"/>
            <w:vAlign w:val="bottom"/>
            <w:vMerge w:val="restart"/>
          </w:tcPr>
          <w:p>
            <w:pPr>
              <w:ind w:left="120"/>
              <w:spacing w:after="0"/>
              <w:rPr>
                <w:sz w:val="20"/>
                <w:szCs w:val="20"/>
                <w:color w:val="auto"/>
              </w:rPr>
            </w:pPr>
            <w:r>
              <w:rPr>
                <w:rFonts w:ascii="Arial" w:cs="Arial" w:eastAsia="Arial" w:hAnsi="Arial"/>
                <w:sz w:val="17"/>
                <w:szCs w:val="17"/>
                <w:color w:val="auto"/>
                <w:w w:val="86"/>
              </w:rPr>
              <w:t>Tax Purposes)</w:t>
            </w:r>
          </w:p>
        </w:tc>
        <w:tc>
          <w:tcPr>
            <w:tcW w:w="0" w:type="dxa"/>
            <w:vAlign w:val="bottom"/>
          </w:tcPr>
          <w:p>
            <w:pPr>
              <w:spacing w:after="0"/>
              <w:rPr>
                <w:sz w:val="1"/>
                <w:szCs w:val="1"/>
                <w:color w:val="auto"/>
              </w:rPr>
            </w:pPr>
          </w:p>
        </w:tc>
      </w:tr>
      <w:tr>
        <w:trPr>
          <w:trHeight w:val="166"/>
        </w:trPr>
        <w:tc>
          <w:tcPr>
            <w:tcW w:w="800" w:type="dxa"/>
            <w:vAlign w:val="bottom"/>
          </w:tcPr>
          <w:p>
            <w:pPr>
              <w:spacing w:after="0" w:line="166" w:lineRule="exact"/>
              <w:rPr>
                <w:sz w:val="20"/>
                <w:szCs w:val="20"/>
                <w:color w:val="auto"/>
              </w:rPr>
            </w:pPr>
            <w:r>
              <w:rPr>
                <w:rFonts w:ascii="Arial" w:cs="Arial" w:eastAsia="Arial" w:hAnsi="Arial"/>
                <w:sz w:val="17"/>
                <w:szCs w:val="17"/>
                <w:color w:val="auto"/>
                <w:w w:val="94"/>
              </w:rPr>
              <w:t>Exhibit P-2</w:t>
            </w:r>
          </w:p>
        </w:tc>
        <w:tc>
          <w:tcPr>
            <w:tcW w:w="340" w:type="dxa"/>
            <w:vAlign w:val="bottom"/>
            <w:vMerge w:val="continue"/>
          </w:tcPr>
          <w:p>
            <w:pPr>
              <w:spacing w:after="0"/>
              <w:rPr>
                <w:sz w:val="14"/>
                <w:szCs w:val="14"/>
                <w:color w:val="auto"/>
              </w:rPr>
            </w:pPr>
          </w:p>
        </w:tc>
        <w:tc>
          <w:tcPr>
            <w:tcW w:w="4320" w:type="dxa"/>
            <w:vAlign w:val="bottom"/>
            <w:gridSpan w:val="2"/>
            <w:vMerge w:val="continue"/>
          </w:tcPr>
          <w:p>
            <w:pPr>
              <w:spacing w:after="0"/>
              <w:rPr>
                <w:sz w:val="14"/>
                <w:szCs w:val="14"/>
                <w:color w:val="auto"/>
              </w:rPr>
            </w:pPr>
          </w:p>
        </w:tc>
        <w:tc>
          <w:tcPr>
            <w:tcW w:w="454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00" w:type="dxa"/>
            <w:vAlign w:val="bottom"/>
          </w:tcPr>
          <w:p>
            <w:pPr>
              <w:spacing w:after="0" w:line="166" w:lineRule="exact"/>
              <w:rPr>
                <w:sz w:val="20"/>
                <w:szCs w:val="20"/>
                <w:color w:val="auto"/>
              </w:rPr>
            </w:pPr>
            <w:r>
              <w:rPr>
                <w:rFonts w:ascii="Arial" w:cs="Arial" w:eastAsia="Arial" w:hAnsi="Arial"/>
                <w:sz w:val="17"/>
                <w:szCs w:val="17"/>
                <w:color w:val="auto"/>
                <w:w w:val="94"/>
              </w:rPr>
              <w:t>Exhibit P-3</w:t>
            </w:r>
          </w:p>
        </w:tc>
        <w:tc>
          <w:tcPr>
            <w:tcW w:w="340" w:type="dxa"/>
            <w:vAlign w:val="bottom"/>
          </w:tcPr>
          <w:p>
            <w:pPr>
              <w:ind w:left="160"/>
              <w:spacing w:after="0" w:line="166" w:lineRule="exact"/>
              <w:rPr>
                <w:sz w:val="20"/>
                <w:szCs w:val="20"/>
                <w:color w:val="auto"/>
              </w:rPr>
            </w:pPr>
            <w:r>
              <w:rPr>
                <w:rFonts w:ascii="Arial" w:cs="Arial" w:eastAsia="Arial" w:hAnsi="Arial"/>
                <w:sz w:val="17"/>
                <w:szCs w:val="17"/>
                <w:color w:val="auto"/>
                <w:w w:val="93"/>
              </w:rPr>
              <w:t>—</w:t>
            </w:r>
          </w:p>
        </w:tc>
        <w:tc>
          <w:tcPr>
            <w:tcW w:w="4320" w:type="dxa"/>
            <w:vAlign w:val="bottom"/>
            <w:gridSpan w:val="2"/>
          </w:tcPr>
          <w:p>
            <w:pPr>
              <w:ind w:left="180"/>
              <w:spacing w:after="0" w:line="166" w:lineRule="exact"/>
              <w:rPr>
                <w:sz w:val="20"/>
                <w:szCs w:val="20"/>
                <w:color w:val="auto"/>
              </w:rPr>
            </w:pPr>
            <w:r>
              <w:rPr>
                <w:rFonts w:ascii="Arial" w:cs="Arial" w:eastAsia="Arial" w:hAnsi="Arial"/>
                <w:sz w:val="17"/>
                <w:szCs w:val="17"/>
                <w:color w:val="auto"/>
                <w:w w:val="99"/>
              </w:rPr>
              <w:t>Form of U.S. Tax Compliance Certificate (For Non-U.S.</w:t>
            </w:r>
          </w:p>
        </w:tc>
        <w:tc>
          <w:tcPr>
            <w:tcW w:w="4540" w:type="dxa"/>
            <w:vAlign w:val="bottom"/>
          </w:tcPr>
          <w:p>
            <w:pPr>
              <w:ind w:left="340"/>
              <w:spacing w:after="0" w:line="166" w:lineRule="exact"/>
              <w:rPr>
                <w:sz w:val="20"/>
                <w:szCs w:val="20"/>
                <w:color w:val="auto"/>
              </w:rPr>
            </w:pPr>
            <w:r>
              <w:rPr>
                <w:rFonts w:ascii="Arial" w:cs="Arial" w:eastAsia="Arial" w:hAnsi="Arial"/>
                <w:sz w:val="17"/>
                <w:szCs w:val="17"/>
                <w:color w:val="auto"/>
                <w:w w:val="99"/>
              </w:rPr>
              <w:t>Participants That Are Not Partnerships For U.S. Federal</w:t>
            </w:r>
          </w:p>
        </w:tc>
        <w:tc>
          <w:tcPr>
            <w:tcW w:w="1100" w:type="dxa"/>
            <w:vAlign w:val="bottom"/>
          </w:tcPr>
          <w:p>
            <w:pPr>
              <w:ind w:left="260"/>
              <w:spacing w:after="0" w:line="166" w:lineRule="exact"/>
              <w:rPr>
                <w:sz w:val="20"/>
                <w:szCs w:val="20"/>
                <w:color w:val="auto"/>
              </w:rPr>
            </w:pPr>
            <w:r>
              <w:rPr>
                <w:rFonts w:ascii="Arial" w:cs="Arial" w:eastAsia="Arial" w:hAnsi="Arial"/>
                <w:sz w:val="17"/>
                <w:szCs w:val="17"/>
                <w:color w:val="auto"/>
                <w:w w:val="92"/>
              </w:rPr>
              <w:t>Income Tax</w:t>
            </w:r>
          </w:p>
        </w:tc>
        <w:tc>
          <w:tcPr>
            <w:tcW w:w="0" w:type="dxa"/>
            <w:vAlign w:val="bottom"/>
          </w:tcPr>
          <w:p>
            <w:pPr>
              <w:spacing w:after="0"/>
              <w:rPr>
                <w:sz w:val="1"/>
                <w:szCs w:val="1"/>
                <w:color w:val="auto"/>
              </w:rPr>
            </w:pPr>
          </w:p>
        </w:tc>
      </w:tr>
      <w:tr>
        <w:trPr>
          <w:trHeight w:val="166"/>
        </w:trPr>
        <w:tc>
          <w:tcPr>
            <w:tcW w:w="800" w:type="dxa"/>
            <w:vAlign w:val="bottom"/>
          </w:tcPr>
          <w:p>
            <w:pPr>
              <w:spacing w:after="0" w:line="166" w:lineRule="exact"/>
              <w:rPr>
                <w:sz w:val="20"/>
                <w:szCs w:val="20"/>
                <w:color w:val="auto"/>
              </w:rPr>
            </w:pPr>
            <w:r>
              <w:rPr>
                <w:rFonts w:ascii="Arial" w:cs="Arial" w:eastAsia="Arial" w:hAnsi="Arial"/>
                <w:sz w:val="17"/>
                <w:szCs w:val="17"/>
                <w:color w:val="auto"/>
              </w:rPr>
              <w:t>Purposes)</w:t>
            </w:r>
          </w:p>
        </w:tc>
        <w:tc>
          <w:tcPr>
            <w:tcW w:w="340" w:type="dxa"/>
            <w:vAlign w:val="bottom"/>
            <w:vMerge w:val="restart"/>
          </w:tcPr>
          <w:p>
            <w:pPr>
              <w:ind w:left="160"/>
              <w:spacing w:after="0"/>
              <w:rPr>
                <w:sz w:val="20"/>
                <w:szCs w:val="20"/>
                <w:color w:val="auto"/>
              </w:rPr>
            </w:pPr>
            <w:r>
              <w:rPr>
                <w:rFonts w:ascii="Arial" w:cs="Arial" w:eastAsia="Arial" w:hAnsi="Arial"/>
                <w:sz w:val="17"/>
                <w:szCs w:val="17"/>
                <w:color w:val="auto"/>
                <w:w w:val="93"/>
              </w:rPr>
              <w:t>—</w:t>
            </w:r>
          </w:p>
        </w:tc>
        <w:tc>
          <w:tcPr>
            <w:tcW w:w="4320" w:type="dxa"/>
            <w:vAlign w:val="bottom"/>
            <w:gridSpan w:val="2"/>
            <w:vMerge w:val="restart"/>
          </w:tcPr>
          <w:p>
            <w:pPr>
              <w:ind w:left="180"/>
              <w:spacing w:after="0"/>
              <w:rPr>
                <w:sz w:val="20"/>
                <w:szCs w:val="20"/>
                <w:color w:val="auto"/>
              </w:rPr>
            </w:pPr>
            <w:r>
              <w:rPr>
                <w:rFonts w:ascii="Arial" w:cs="Arial" w:eastAsia="Arial" w:hAnsi="Arial"/>
                <w:sz w:val="17"/>
                <w:szCs w:val="17"/>
                <w:color w:val="auto"/>
                <w:w w:val="99"/>
              </w:rPr>
              <w:t>Form of U.S. Tax Compliance Certificate (For Non-U.S.</w:t>
            </w:r>
          </w:p>
        </w:tc>
        <w:tc>
          <w:tcPr>
            <w:tcW w:w="4540" w:type="dxa"/>
            <w:vAlign w:val="bottom"/>
            <w:vMerge w:val="restart"/>
          </w:tcPr>
          <w:p>
            <w:pPr>
              <w:ind w:left="340"/>
              <w:spacing w:after="0"/>
              <w:rPr>
                <w:sz w:val="20"/>
                <w:szCs w:val="20"/>
                <w:color w:val="auto"/>
              </w:rPr>
            </w:pPr>
            <w:r>
              <w:rPr>
                <w:rFonts w:ascii="Arial" w:cs="Arial" w:eastAsia="Arial" w:hAnsi="Arial"/>
                <w:sz w:val="17"/>
                <w:szCs w:val="17"/>
                <w:color w:val="auto"/>
              </w:rPr>
              <w:t>Participants That Are Partnerships For U.S. Federal</w:t>
            </w:r>
          </w:p>
        </w:tc>
        <w:tc>
          <w:tcPr>
            <w:tcW w:w="1100" w:type="dxa"/>
            <w:vAlign w:val="bottom"/>
            <w:vMerge w:val="restart"/>
          </w:tcPr>
          <w:p>
            <w:pPr>
              <w:ind w:left="120"/>
              <w:spacing w:after="0"/>
              <w:rPr>
                <w:sz w:val="20"/>
                <w:szCs w:val="20"/>
                <w:color w:val="auto"/>
              </w:rPr>
            </w:pPr>
            <w:r>
              <w:rPr>
                <w:rFonts w:ascii="Arial" w:cs="Arial" w:eastAsia="Arial" w:hAnsi="Arial"/>
                <w:sz w:val="17"/>
                <w:szCs w:val="17"/>
                <w:color w:val="auto"/>
              </w:rPr>
              <w:t>Income Tax</w:t>
            </w:r>
          </w:p>
        </w:tc>
        <w:tc>
          <w:tcPr>
            <w:tcW w:w="0" w:type="dxa"/>
            <w:vAlign w:val="bottom"/>
          </w:tcPr>
          <w:p>
            <w:pPr>
              <w:spacing w:after="0"/>
              <w:rPr>
                <w:sz w:val="1"/>
                <w:szCs w:val="1"/>
                <w:color w:val="auto"/>
              </w:rPr>
            </w:pPr>
          </w:p>
        </w:tc>
      </w:tr>
      <w:tr>
        <w:trPr>
          <w:trHeight w:val="166"/>
        </w:trPr>
        <w:tc>
          <w:tcPr>
            <w:tcW w:w="800" w:type="dxa"/>
            <w:vAlign w:val="bottom"/>
          </w:tcPr>
          <w:p>
            <w:pPr>
              <w:spacing w:after="0" w:line="166" w:lineRule="exact"/>
              <w:rPr>
                <w:sz w:val="20"/>
                <w:szCs w:val="20"/>
                <w:color w:val="auto"/>
              </w:rPr>
            </w:pPr>
            <w:r>
              <w:rPr>
                <w:rFonts w:ascii="Arial" w:cs="Arial" w:eastAsia="Arial" w:hAnsi="Arial"/>
                <w:sz w:val="17"/>
                <w:szCs w:val="17"/>
                <w:color w:val="auto"/>
                <w:w w:val="94"/>
              </w:rPr>
              <w:t>Exhibit P-4</w:t>
            </w:r>
          </w:p>
        </w:tc>
        <w:tc>
          <w:tcPr>
            <w:tcW w:w="340" w:type="dxa"/>
            <w:vAlign w:val="bottom"/>
            <w:vMerge w:val="continue"/>
          </w:tcPr>
          <w:p>
            <w:pPr>
              <w:spacing w:after="0"/>
              <w:rPr>
                <w:sz w:val="14"/>
                <w:szCs w:val="14"/>
                <w:color w:val="auto"/>
              </w:rPr>
            </w:pPr>
          </w:p>
        </w:tc>
        <w:tc>
          <w:tcPr>
            <w:tcW w:w="4320" w:type="dxa"/>
            <w:vAlign w:val="bottom"/>
            <w:gridSpan w:val="2"/>
            <w:vMerge w:val="continue"/>
          </w:tcPr>
          <w:p>
            <w:pPr>
              <w:spacing w:after="0"/>
              <w:rPr>
                <w:sz w:val="14"/>
                <w:szCs w:val="14"/>
                <w:color w:val="auto"/>
              </w:rPr>
            </w:pPr>
          </w:p>
        </w:tc>
        <w:tc>
          <w:tcPr>
            <w:tcW w:w="454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00" w:type="dxa"/>
            <w:vAlign w:val="bottom"/>
          </w:tcPr>
          <w:p>
            <w:pPr>
              <w:spacing w:after="0" w:line="166" w:lineRule="exact"/>
              <w:rPr>
                <w:sz w:val="20"/>
                <w:szCs w:val="20"/>
                <w:color w:val="auto"/>
              </w:rPr>
            </w:pPr>
            <w:r>
              <w:rPr>
                <w:rFonts w:ascii="Arial" w:cs="Arial" w:eastAsia="Arial" w:hAnsi="Arial"/>
                <w:sz w:val="17"/>
                <w:szCs w:val="17"/>
                <w:color w:val="auto"/>
              </w:rPr>
              <w:t>Purposes)</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460" w:type="dxa"/>
            <w:vAlign w:val="bottom"/>
            <w:gridSpan w:val="4"/>
          </w:tcPr>
          <w:p>
            <w:pPr>
              <w:spacing w:after="0" w:line="166" w:lineRule="exact"/>
              <w:rPr>
                <w:sz w:val="20"/>
                <w:szCs w:val="20"/>
                <w:color w:val="auto"/>
              </w:rPr>
            </w:pPr>
            <w:r>
              <w:rPr>
                <w:rFonts w:ascii="Arial" w:cs="Arial" w:eastAsia="Arial" w:hAnsi="Arial"/>
                <w:sz w:val="17"/>
                <w:szCs w:val="17"/>
                <w:color w:val="auto"/>
              </w:rPr>
              <w:t>Exhibit Q  —  Form of Closing Certificate</w:t>
            </w:r>
          </w:p>
        </w:tc>
        <w:tc>
          <w:tcPr>
            <w:tcW w:w="45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460" w:type="dxa"/>
            <w:vAlign w:val="bottom"/>
            <w:gridSpan w:val="4"/>
          </w:tcPr>
          <w:p>
            <w:pPr>
              <w:spacing w:after="0" w:line="166" w:lineRule="exact"/>
              <w:rPr>
                <w:sz w:val="20"/>
                <w:szCs w:val="20"/>
                <w:color w:val="auto"/>
              </w:rPr>
            </w:pPr>
            <w:r>
              <w:rPr>
                <w:rFonts w:ascii="Arial" w:cs="Arial" w:eastAsia="Arial" w:hAnsi="Arial"/>
                <w:sz w:val="17"/>
                <w:szCs w:val="17"/>
                <w:color w:val="auto"/>
              </w:rPr>
              <w:t>Exhibit R  —  Form of Solvency Certificate</w:t>
            </w:r>
          </w:p>
        </w:tc>
        <w:tc>
          <w:tcPr>
            <w:tcW w:w="45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460" w:type="dxa"/>
            <w:vAlign w:val="bottom"/>
            <w:gridSpan w:val="4"/>
          </w:tcPr>
          <w:p>
            <w:pPr>
              <w:spacing w:after="0" w:line="166" w:lineRule="exact"/>
              <w:rPr>
                <w:sz w:val="20"/>
                <w:szCs w:val="20"/>
                <w:color w:val="auto"/>
              </w:rPr>
            </w:pPr>
            <w:r>
              <w:rPr>
                <w:rFonts w:ascii="Arial" w:cs="Arial" w:eastAsia="Arial" w:hAnsi="Arial"/>
                <w:sz w:val="17"/>
                <w:szCs w:val="17"/>
                <w:color w:val="auto"/>
              </w:rPr>
              <w:t>Exhibit S  —  Form of Compliance Certificate</w:t>
            </w:r>
          </w:p>
        </w:tc>
        <w:tc>
          <w:tcPr>
            <w:tcW w:w="45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800" w:type="dxa"/>
            <w:vAlign w:val="bottom"/>
          </w:tcPr>
          <w:p>
            <w:pPr>
              <w:spacing w:after="0"/>
              <w:rPr>
                <w:sz w:val="20"/>
                <w:szCs w:val="20"/>
                <w:color w:val="auto"/>
              </w:rPr>
            </w:pPr>
            <w:r>
              <w:rPr>
                <w:rFonts w:ascii="Arial" w:cs="Arial" w:eastAsia="Arial" w:hAnsi="Arial"/>
                <w:sz w:val="17"/>
                <w:szCs w:val="17"/>
                <w:color w:val="auto"/>
              </w:rPr>
              <w:t>Exhibit T</w:t>
            </w:r>
          </w:p>
        </w:tc>
        <w:tc>
          <w:tcPr>
            <w:tcW w:w="340" w:type="dxa"/>
            <w:vAlign w:val="bottom"/>
          </w:tcPr>
          <w:p>
            <w:pPr>
              <w:ind w:left="20"/>
              <w:spacing w:after="0"/>
              <w:rPr>
                <w:sz w:val="20"/>
                <w:szCs w:val="20"/>
                <w:color w:val="auto"/>
              </w:rPr>
            </w:pPr>
            <w:r>
              <w:rPr>
                <w:rFonts w:ascii="Arial" w:cs="Arial" w:eastAsia="Arial" w:hAnsi="Arial"/>
                <w:sz w:val="17"/>
                <w:szCs w:val="17"/>
                <w:color w:val="auto"/>
              </w:rPr>
              <w:t>—</w:t>
            </w:r>
          </w:p>
        </w:tc>
        <w:tc>
          <w:tcPr>
            <w:tcW w:w="4320" w:type="dxa"/>
            <w:vAlign w:val="bottom"/>
            <w:gridSpan w:val="2"/>
          </w:tcPr>
          <w:p>
            <w:pPr>
              <w:ind w:left="40"/>
              <w:spacing w:after="0"/>
              <w:rPr>
                <w:sz w:val="20"/>
                <w:szCs w:val="20"/>
                <w:color w:val="auto"/>
              </w:rPr>
            </w:pPr>
            <w:r>
              <w:rPr>
                <w:rFonts w:ascii="Arial" w:cs="Arial" w:eastAsia="Arial" w:hAnsi="Arial"/>
                <w:sz w:val="17"/>
                <w:szCs w:val="17"/>
                <w:color w:val="auto"/>
              </w:rPr>
              <w:t>Form of Notice of Borrowing</w:t>
            </w:r>
          </w:p>
        </w:tc>
        <w:tc>
          <w:tcPr>
            <w:tcW w:w="45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v</w:t>
      </w:r>
    </w:p>
    <w:p>
      <w:pPr>
        <w:spacing w:after="0"/>
        <w:rPr>
          <w:sz w:val="20"/>
          <w:szCs w:val="20"/>
          <w:color w:val="auto"/>
        </w:rPr>
      </w:pPr>
      <w:r>
        <w:rPr>
          <w:rFonts w:ascii="Arial" w:cs="Arial" w:eastAsia="Arial" w:hAnsi="Arial"/>
          <w:sz w:val="13"/>
          <w:szCs w:val="13"/>
          <w:color w:val="auto"/>
        </w:rPr>
        <w:t>Doc#: US1:15647309v1</w:t>
      </w:r>
    </w:p>
    <w:p>
      <w:pPr>
        <w:sectPr>
          <w:pgSz w:w="11900" w:h="16838" w:orient="portrait"/>
          <w:cols w:equalWidth="0" w:num="1">
            <w:col w:w="11100"/>
          </w:cols>
          <w:pgMar w:left="320" w:top="1440" w:right="479" w:bottom="1440" w:gutter="0" w:footer="0" w:header="0"/>
        </w:sectPr>
      </w:pPr>
    </w:p>
    <w:bookmarkStart w:id="174" w:name="page175"/>
    <w:bookmarkEnd w:id="174"/>
    <w:p>
      <w:pPr>
        <w:spacing w:after="0" w:line="384" w:lineRule="exact"/>
        <w:rPr>
          <w:sz w:val="20"/>
          <w:szCs w:val="20"/>
          <w:color w:val="auto"/>
        </w:rPr>
      </w:pPr>
    </w:p>
    <w:p>
      <w:pPr>
        <w:jc w:val="both"/>
        <w:ind w:firstLine="568"/>
        <w:spacing w:after="0" w:line="218" w:lineRule="auto"/>
        <w:rPr>
          <w:sz w:val="20"/>
          <w:szCs w:val="20"/>
          <w:color w:val="auto"/>
        </w:rPr>
      </w:pPr>
      <w:r>
        <w:rPr>
          <w:rFonts w:ascii="Arial" w:cs="Arial" w:eastAsia="Arial" w:hAnsi="Arial"/>
          <w:sz w:val="17"/>
          <w:szCs w:val="17"/>
          <w:b w:val="1"/>
          <w:bCs w:val="1"/>
          <w:color w:val="auto"/>
        </w:rPr>
        <w:t>CREDIT AGREEMENT</w:t>
      </w:r>
      <w:r>
        <w:rPr>
          <w:rFonts w:ascii="Arial" w:cs="Arial" w:eastAsia="Arial" w:hAnsi="Arial"/>
          <w:sz w:val="17"/>
          <w:szCs w:val="17"/>
          <w:color w:val="auto"/>
        </w:rPr>
        <w:t>, dated as of January 13, 2022 (this “</w:t>
      </w:r>
      <w:r>
        <w:rPr>
          <w:rFonts w:ascii="Arial" w:cs="Arial" w:eastAsia="Arial" w:hAnsi="Arial"/>
          <w:sz w:val="17"/>
          <w:szCs w:val="17"/>
          <w:b w:val="1"/>
          <w:bCs w:val="1"/>
          <w:color w:val="auto"/>
        </w:rPr>
        <w:t>Agreement</w:t>
      </w:r>
      <w:r>
        <w:rPr>
          <w:rFonts w:ascii="Arial" w:cs="Arial" w:eastAsia="Arial" w:hAnsi="Arial"/>
          <w:sz w:val="17"/>
          <w:szCs w:val="17"/>
          <w:color w:val="auto"/>
        </w:rPr>
        <w:t>”), among VIRTU FINANCIAL LLC, a Delaware limited liability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color w:val="auto"/>
        </w:rPr>
        <w:t>Holdings</w:t>
      </w:r>
      <w:r>
        <w:rPr>
          <w:rFonts w:ascii="Arial" w:cs="Arial" w:eastAsia="Arial" w:hAnsi="Arial"/>
          <w:sz w:val="17"/>
          <w:szCs w:val="17"/>
          <w:color w:val="auto"/>
        </w:rPr>
        <w:t>”), VFH PARENT LLC, a Delaware limited liability company (the “</w:t>
      </w:r>
      <w:r>
        <w:rPr>
          <w:rFonts w:ascii="Arial" w:cs="Arial" w:eastAsia="Arial" w:hAnsi="Arial"/>
          <w:sz w:val="17"/>
          <w:szCs w:val="17"/>
          <w:b w:val="1"/>
          <w:bCs w:val="1"/>
          <w:color w:val="auto"/>
        </w:rPr>
        <w:t>Borrower</w:t>
      </w:r>
      <w:r>
        <w:rPr>
          <w:rFonts w:ascii="Arial" w:cs="Arial" w:eastAsia="Arial" w:hAnsi="Arial"/>
          <w:sz w:val="17"/>
          <w:szCs w:val="17"/>
          <w:color w:val="auto"/>
        </w:rPr>
        <w:t>”), JPMORGAN CHASE BANK, N.A., as administrative agent (including any of its designated branch offices or affiliates, and any successor thereto, the “</w:t>
      </w:r>
      <w:r>
        <w:rPr>
          <w:rFonts w:ascii="Arial" w:cs="Arial" w:eastAsia="Arial" w:hAnsi="Arial"/>
          <w:sz w:val="17"/>
          <w:szCs w:val="17"/>
          <w:b w:val="1"/>
          <w:bCs w:val="1"/>
          <w:color w:val="auto"/>
        </w:rPr>
        <w:t>Administrative Agent</w:t>
      </w:r>
      <w:r>
        <w:rPr>
          <w:rFonts w:ascii="Arial" w:cs="Arial" w:eastAsia="Arial" w:hAnsi="Arial"/>
          <w:sz w:val="17"/>
          <w:szCs w:val="17"/>
          <w:color w:val="auto"/>
        </w:rPr>
        <w:t>”), as an Issuing Bank, and as the Swingline Lender, each other Issuing Bank from time to time party hereto and each lender from time to time party hereto (collectively, the “</w:t>
      </w:r>
      <w:r>
        <w:rPr>
          <w:rFonts w:ascii="Arial" w:cs="Arial" w:eastAsia="Arial" w:hAnsi="Arial"/>
          <w:sz w:val="17"/>
          <w:szCs w:val="17"/>
          <w:b w:val="1"/>
          <w:bCs w:val="1"/>
          <w:color w:val="auto"/>
        </w:rPr>
        <w:t>Lenders</w:t>
      </w:r>
      <w:r>
        <w:rPr>
          <w:rFonts w:ascii="Arial" w:cs="Arial" w:eastAsia="Arial" w:hAnsi="Arial"/>
          <w:sz w:val="17"/>
          <w:szCs w:val="17"/>
          <w:color w:val="auto"/>
        </w:rPr>
        <w:t>” and individually, a “</w:t>
      </w:r>
      <w:r>
        <w:rPr>
          <w:rFonts w:ascii="Arial" w:cs="Arial" w:eastAsia="Arial" w:hAnsi="Arial"/>
          <w:sz w:val="17"/>
          <w:szCs w:val="17"/>
          <w:b w:val="1"/>
          <w:bCs w:val="1"/>
          <w:color w:val="auto"/>
        </w:rPr>
        <w:t>Lender</w:t>
      </w:r>
      <w:r>
        <w:rPr>
          <w:rFonts w:ascii="Arial" w:cs="Arial" w:eastAsia="Arial" w:hAnsi="Arial"/>
          <w:sz w:val="17"/>
          <w:szCs w:val="17"/>
          <w:color w:val="auto"/>
        </w:rPr>
        <w:t>”).</w:t>
      </w:r>
    </w:p>
    <w:p>
      <w:pPr>
        <w:spacing w:after="0" w:line="13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parties hereto agree as follows:</w:t>
      </w:r>
    </w:p>
    <w:p>
      <w:pPr>
        <w:spacing w:after="0" w:line="197" w:lineRule="exact"/>
        <w:rPr>
          <w:sz w:val="20"/>
          <w:szCs w:val="20"/>
          <w:color w:val="auto"/>
        </w:rPr>
      </w:pPr>
    </w:p>
    <w:p>
      <w:pPr>
        <w:jc w:val="center"/>
        <w:ind w:right="360"/>
        <w:spacing w:after="0"/>
        <w:rPr>
          <w:sz w:val="20"/>
          <w:szCs w:val="20"/>
          <w:color w:val="auto"/>
        </w:rPr>
      </w:pPr>
      <w:r>
        <w:rPr>
          <w:rFonts w:ascii="Arial" w:cs="Arial" w:eastAsia="Arial" w:hAnsi="Arial"/>
          <w:sz w:val="16"/>
          <w:szCs w:val="16"/>
          <w:color w:val="auto"/>
        </w:rPr>
        <w:t>ARTICLE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Definitions</w:t>
      </w:r>
    </w:p>
    <w:p>
      <w:pPr>
        <w:spacing w:after="0" w:line="195" w:lineRule="exact"/>
        <w:rPr>
          <w:sz w:val="20"/>
          <w:szCs w:val="20"/>
          <w:color w:val="auto"/>
        </w:rPr>
      </w:pPr>
    </w:p>
    <w:p>
      <w:pPr>
        <w:ind w:left="560"/>
        <w:spacing w:after="0"/>
        <w:tabs>
          <w:tab w:leader="none" w:pos="1680" w:val="left"/>
        </w:tabs>
        <w:rPr>
          <w:sz w:val="20"/>
          <w:szCs w:val="20"/>
          <w:color w:val="auto"/>
        </w:rPr>
      </w:pPr>
      <w:r>
        <w:rPr>
          <w:rFonts w:ascii="Arial" w:cs="Arial" w:eastAsia="Arial" w:hAnsi="Arial"/>
          <w:sz w:val="17"/>
          <w:szCs w:val="17"/>
          <w:color w:val="auto"/>
        </w:rPr>
        <w:t>Section 1.01.</w:t>
      </w:r>
      <w:r>
        <w:rPr>
          <w:sz w:val="20"/>
          <w:szCs w:val="20"/>
          <w:color w:val="auto"/>
        </w:rPr>
        <w:tab/>
      </w:r>
      <w:r>
        <w:rPr>
          <w:rFonts w:ascii="Arial" w:cs="Arial" w:eastAsia="Arial" w:hAnsi="Arial"/>
          <w:sz w:val="15"/>
          <w:szCs w:val="15"/>
          <w:i w:val="1"/>
          <w:iCs w:val="1"/>
          <w:color w:val="auto"/>
        </w:rPr>
        <w:t xml:space="preserve">Defined Terms. </w:t>
      </w:r>
      <w:r>
        <w:rPr>
          <w:rFonts w:ascii="Arial" w:cs="Arial" w:eastAsia="Arial" w:hAnsi="Arial"/>
          <w:sz w:val="15"/>
          <w:szCs w:val="15"/>
          <w:color w:val="auto"/>
        </w:rPr>
        <w:t>As used in this Agreement, the following terms have the meanings specified below:</w:t>
      </w:r>
    </w:p>
    <w:p>
      <w:pPr>
        <w:spacing w:after="0" w:line="154" w:lineRule="exact"/>
        <w:rPr>
          <w:sz w:val="20"/>
          <w:szCs w:val="20"/>
          <w:color w:val="auto"/>
        </w:rPr>
      </w:pPr>
    </w:p>
    <w:p>
      <w:pPr>
        <w:jc w:val="both"/>
        <w:ind w:right="20" w:firstLine="568"/>
        <w:spacing w:after="0" w:line="24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ABR</w:t>
      </w:r>
      <w:r>
        <w:rPr>
          <w:rFonts w:ascii="Arial" w:cs="Arial" w:eastAsia="Arial" w:hAnsi="Arial"/>
          <w:sz w:val="17"/>
          <w:szCs w:val="17"/>
          <w:color w:val="auto"/>
        </w:rPr>
        <w:t>” when used in reference to any Loan or Borrowing, refers to whether such Loan, or the Loans comprising such Borrowing, are bearing interest at a rate determined by reference to the Alternate Base Rate.</w:t>
      </w:r>
    </w:p>
    <w:p>
      <w:pPr>
        <w:spacing w:after="0" w:line="12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Acceptable Discount</w:t>
      </w:r>
      <w:r>
        <w:rPr>
          <w:rFonts w:ascii="Arial" w:cs="Arial" w:eastAsia="Arial" w:hAnsi="Arial"/>
          <w:sz w:val="17"/>
          <w:szCs w:val="17"/>
          <w:color w:val="auto"/>
        </w:rPr>
        <w:t>” has the meaning assigned to such term in Section 2.09(a)(ii)(D)(2).</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Acceptable Prepayment Amount</w:t>
      </w:r>
      <w:r>
        <w:rPr>
          <w:rFonts w:ascii="Arial" w:cs="Arial" w:eastAsia="Arial" w:hAnsi="Arial"/>
          <w:sz w:val="17"/>
          <w:szCs w:val="17"/>
          <w:color w:val="auto"/>
        </w:rPr>
        <w:t>” has the meaning assigned to such term in Section 2.09(a)(ii)(D)(3).</w:t>
      </w:r>
    </w:p>
    <w:p>
      <w:pPr>
        <w:spacing w:after="0" w:line="160" w:lineRule="exact"/>
        <w:rPr>
          <w:sz w:val="20"/>
          <w:szCs w:val="20"/>
          <w:color w:val="auto"/>
        </w:rPr>
      </w:pPr>
    </w:p>
    <w:p>
      <w:pPr>
        <w:jc w:val="both"/>
        <w:ind w:firstLine="568"/>
        <w:spacing w:after="0" w:line="30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Acceptance and Prepayment Notice</w:t>
      </w:r>
      <w:r>
        <w:rPr>
          <w:rFonts w:ascii="Arial" w:cs="Arial" w:eastAsia="Arial" w:hAnsi="Arial"/>
          <w:sz w:val="15"/>
          <w:szCs w:val="15"/>
          <w:color w:val="auto"/>
        </w:rPr>
        <w:t>” means an irrevocable written notice from the Borrower accepting a Solicited Discounted Prepayment Offer to make a Discounted Term Loan Prepayment at the Acceptable Discount specified therein pursuant to Section 2.09(a)(ii)(D) substantially in the form of Exhibit O.</w:t>
      </w:r>
    </w:p>
    <w:p>
      <w:pPr>
        <w:spacing w:after="0" w:line="83"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Acceptance Date</w:t>
      </w:r>
      <w:r>
        <w:rPr>
          <w:rFonts w:ascii="Arial" w:cs="Arial" w:eastAsia="Arial" w:hAnsi="Arial"/>
          <w:sz w:val="17"/>
          <w:szCs w:val="17"/>
          <w:color w:val="auto"/>
        </w:rPr>
        <w:t>” has the meaning assigned to such term in Section 2.09(a)(ii)(D)(2).</w:t>
      </w:r>
    </w:p>
    <w:p>
      <w:pPr>
        <w:spacing w:after="0" w:line="160" w:lineRule="exact"/>
        <w:rPr>
          <w:sz w:val="20"/>
          <w:szCs w:val="20"/>
          <w:color w:val="auto"/>
        </w:rPr>
      </w:pPr>
    </w:p>
    <w:p>
      <w:pPr>
        <w:jc w:val="both"/>
        <w:ind w:firstLine="568"/>
        <w:spacing w:after="0" w:line="22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Acquired EBITDA</w:t>
      </w:r>
      <w:r>
        <w:rPr>
          <w:rFonts w:ascii="Arial" w:cs="Arial" w:eastAsia="Arial" w:hAnsi="Arial"/>
          <w:sz w:val="17"/>
          <w:szCs w:val="17"/>
          <w:color w:val="auto"/>
        </w:rPr>
        <w:t>” means, with respect to any Acquired Entity or Business or any Converted Restricted Subsidiary (any of the foregoing, a “</w:t>
      </w:r>
      <w:r>
        <w:rPr>
          <w:rFonts w:ascii="Arial" w:cs="Arial" w:eastAsia="Arial" w:hAnsi="Arial"/>
          <w:sz w:val="17"/>
          <w:szCs w:val="17"/>
          <w:b w:val="1"/>
          <w:bCs w:val="1"/>
          <w:color w:val="auto"/>
        </w:rPr>
        <w:t>Pro</w:t>
      </w:r>
      <w:r>
        <w:rPr>
          <w:rFonts w:ascii="Arial" w:cs="Arial" w:eastAsia="Arial" w:hAnsi="Arial"/>
          <w:sz w:val="17"/>
          <w:szCs w:val="17"/>
          <w:color w:val="auto"/>
        </w:rPr>
        <w:t xml:space="preserve"> </w:t>
      </w:r>
      <w:r>
        <w:rPr>
          <w:rFonts w:ascii="Arial" w:cs="Arial" w:eastAsia="Arial" w:hAnsi="Arial"/>
          <w:sz w:val="17"/>
          <w:szCs w:val="17"/>
          <w:b w:val="1"/>
          <w:bCs w:val="1"/>
          <w:color w:val="auto"/>
        </w:rPr>
        <w:t>Forma Entity</w:t>
      </w:r>
      <w:r>
        <w:rPr>
          <w:rFonts w:ascii="Arial" w:cs="Arial" w:eastAsia="Arial" w:hAnsi="Arial"/>
          <w:sz w:val="17"/>
          <w:szCs w:val="17"/>
          <w:color w:val="auto"/>
        </w:rPr>
        <w:t>”) for any period, the amount for such period of Consolidated EBITDA of such Pro Forma Entity (determined as if references to Holdings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Restricted Subsidiaries in the definition of the term “Consolidated EBITDA” were references to such Pro Forma Entity and its subsidiaries which will become Restricted Subsidiaries), all as determined on a consolidated basis for such Pro Forma Entity.</w:t>
      </w:r>
    </w:p>
    <w:p>
      <w:pPr>
        <w:spacing w:after="0" w:line="12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Acquired Entity or Business</w:t>
      </w:r>
      <w:r>
        <w:rPr>
          <w:rFonts w:ascii="Arial" w:cs="Arial" w:eastAsia="Arial" w:hAnsi="Arial"/>
          <w:sz w:val="17"/>
          <w:szCs w:val="17"/>
          <w:color w:val="auto"/>
        </w:rPr>
        <w:t>” has the meaning assigned to such term in clause (b)(III) of the definition of the term “Consolidated EBITDA.”</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Acquisition Debt</w:t>
      </w:r>
      <w:r>
        <w:rPr>
          <w:rFonts w:ascii="Arial" w:cs="Arial" w:eastAsia="Arial" w:hAnsi="Arial"/>
          <w:sz w:val="17"/>
          <w:szCs w:val="17"/>
          <w:color w:val="auto"/>
        </w:rPr>
        <w:t>” has the meaning assigned to such term in the definition of “Incremental Cap.”</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Additional Lender</w:t>
      </w:r>
      <w:r>
        <w:rPr>
          <w:rFonts w:ascii="Arial" w:cs="Arial" w:eastAsia="Arial" w:hAnsi="Arial"/>
          <w:sz w:val="17"/>
          <w:szCs w:val="17"/>
          <w:color w:val="auto"/>
        </w:rPr>
        <w:t>” means any Additional Revolving Lender or any Additional Term Lender, as applicable.</w:t>
      </w:r>
    </w:p>
    <w:p>
      <w:pPr>
        <w:spacing w:after="0" w:line="160" w:lineRule="exact"/>
        <w:rPr>
          <w:sz w:val="20"/>
          <w:szCs w:val="20"/>
          <w:color w:val="auto"/>
        </w:rPr>
      </w:pPr>
    </w:p>
    <w:p>
      <w:pPr>
        <w:jc w:val="both"/>
        <w:ind w:right="20" w:firstLine="568"/>
        <w:spacing w:after="0" w:line="24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Additional Revolving Lender</w:t>
      </w:r>
      <w:r>
        <w:rPr>
          <w:rFonts w:ascii="Arial" w:cs="Arial" w:eastAsia="Arial" w:hAnsi="Arial"/>
          <w:sz w:val="17"/>
          <w:szCs w:val="17"/>
          <w:color w:val="auto"/>
        </w:rPr>
        <w:t>” means, at any time, any bank or other financial institution that agrees to provide any portion of any (a) Incremental Revolving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60"/>
          </w:cols>
          <w:pgMar w:left="320" w:top="1440" w:right="319" w:bottom="1440" w:gutter="0" w:footer="0" w:header="0"/>
        </w:sectPr>
      </w:pPr>
    </w:p>
    <w:bookmarkStart w:id="175" w:name="page176"/>
    <w:bookmarkEnd w:id="175"/>
    <w:p>
      <w:pPr>
        <w:spacing w:after="0" w:line="390" w:lineRule="exact"/>
        <w:rPr>
          <w:sz w:val="20"/>
          <w:szCs w:val="20"/>
          <w:color w:val="auto"/>
        </w:rPr>
      </w:pPr>
    </w:p>
    <w:p>
      <w:pPr>
        <w:jc w:val="both"/>
        <w:ind w:left="5"/>
        <w:spacing w:after="0" w:line="214" w:lineRule="auto"/>
        <w:rPr>
          <w:sz w:val="20"/>
          <w:szCs w:val="20"/>
          <w:color w:val="auto"/>
        </w:rPr>
      </w:pPr>
      <w:r>
        <w:rPr>
          <w:rFonts w:ascii="Arial" w:cs="Arial" w:eastAsia="Arial" w:hAnsi="Arial"/>
          <w:sz w:val="17"/>
          <w:szCs w:val="17"/>
          <w:color w:val="auto"/>
        </w:rPr>
        <w:t xml:space="preserve">pursuant to an Incremental Revolving Facility Amendment in accordance with Section 2.18 or (b) Credit Agreement Refinancing Indebtedness in the form of Other Revolving Loans or Other Revolving Commitments pursuant to a Refinancing Amendment in accordance with Section 2.19;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each Additional Revolving Lender (other than any Person that is a Revolving Lender, an Affiliate of a Revolving Lender or an Approved Fund of a Revolving Lender at such time) shall be subject to the approval of the Administrative Agent and, if such Additional Revolving Lender will provide loans under an Incremental Revolving Facility or any Other Revolving Commitment, the Swingline Lender and each Issuing Bank (such approval, in each case, not to be unreasonably withheld or delayed) and the Borrower.</w:t>
      </w:r>
    </w:p>
    <w:p>
      <w:pPr>
        <w:spacing w:after="0" w:line="132" w:lineRule="exact"/>
        <w:rPr>
          <w:sz w:val="20"/>
          <w:szCs w:val="20"/>
          <w:color w:val="auto"/>
        </w:rPr>
      </w:pPr>
    </w:p>
    <w:p>
      <w:pPr>
        <w:jc w:val="both"/>
        <w:ind w:left="5" w:firstLine="568"/>
        <w:spacing w:after="0" w:line="21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Additional Term Lender</w:t>
      </w:r>
      <w:r>
        <w:rPr>
          <w:rFonts w:ascii="Arial" w:cs="Arial" w:eastAsia="Arial" w:hAnsi="Arial"/>
          <w:sz w:val="17"/>
          <w:szCs w:val="17"/>
          <w:color w:val="auto"/>
        </w:rPr>
        <w:t xml:space="preserve">” means, at any time, any bank or other financial institution that agrees to provide any portion of any (a) Incremental Term Facility pursuant to an Incremental Term Facility Amendment in accordance with Section 2.18 or (b) Credit Agreement Refinancing Indebtedness in the form of Other Term Loans or Other Term Commitments pursuant to a Refinancing Amendment in accordance with Section 2.19;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each Additional Term Lender (other than any Person that is a Lender, an Affiliate of a Lender or an Approved Fund of a Lender at such time) shall be subject to the approval of the Administrative Agent (such approval not to be unreasonably withheld or delayed) and the Borrower.</w:t>
      </w:r>
    </w:p>
    <w:p>
      <w:pPr>
        <w:spacing w:after="0" w:line="130" w:lineRule="exact"/>
        <w:rPr>
          <w:sz w:val="20"/>
          <w:szCs w:val="20"/>
          <w:color w:val="auto"/>
        </w:rPr>
      </w:pPr>
    </w:p>
    <w:p>
      <w:pPr>
        <w:jc w:val="both"/>
        <w:ind w:left="5" w:firstLine="568"/>
        <w:spacing w:after="0" w:line="24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Adjusted Term SOFR Rate</w:t>
      </w:r>
      <w:r>
        <w:rPr>
          <w:rFonts w:ascii="Arial" w:cs="Arial" w:eastAsia="Arial" w:hAnsi="Arial"/>
          <w:sz w:val="15"/>
          <w:szCs w:val="15"/>
          <w:color w:val="auto"/>
        </w:rPr>
        <w:t xml:space="preserve">” means, with respect to any Term Benchmark Borrowing for any Interest Period, an interest rate per annum equal to (a) the Term SOFR Rate for such Interest Period, </w:t>
      </w:r>
      <w:r>
        <w:rPr>
          <w:rFonts w:ascii="Arial" w:cs="Arial" w:eastAsia="Arial" w:hAnsi="Arial"/>
          <w:sz w:val="15"/>
          <w:szCs w:val="15"/>
          <w:i w:val="1"/>
          <w:iCs w:val="1"/>
          <w:color w:val="auto"/>
        </w:rPr>
        <w:t>plus</w:t>
      </w:r>
      <w:r>
        <w:rPr>
          <w:rFonts w:ascii="Arial" w:cs="Arial" w:eastAsia="Arial" w:hAnsi="Arial"/>
          <w:sz w:val="15"/>
          <w:szCs w:val="15"/>
          <w:color w:val="auto"/>
        </w:rPr>
        <w:t xml:space="preserve"> (b)(i) in respect of Initial Term Loans, (x) in the case of an Interest Period that is one month in duration, 0.10%,</w:t>
      </w:r>
    </w:p>
    <w:p>
      <w:pPr>
        <w:spacing w:after="0" w:line="1" w:lineRule="exact"/>
        <w:rPr>
          <w:sz w:val="20"/>
          <w:szCs w:val="20"/>
          <w:color w:val="auto"/>
        </w:rPr>
      </w:pPr>
    </w:p>
    <w:p>
      <w:pPr>
        <w:jc w:val="both"/>
        <w:ind w:left="5" w:hanging="5"/>
        <w:spacing w:after="0" w:line="220" w:lineRule="auto"/>
        <w:tabs>
          <w:tab w:leader="none" w:pos="256" w:val="left"/>
        </w:tabs>
        <w:numPr>
          <w:ilvl w:val="0"/>
          <w:numId w:val="70"/>
        </w:numPr>
        <w:rPr>
          <w:rFonts w:ascii="Arial" w:cs="Arial" w:eastAsia="Arial" w:hAnsi="Arial"/>
          <w:sz w:val="17"/>
          <w:szCs w:val="17"/>
          <w:color w:val="auto"/>
        </w:rPr>
      </w:pPr>
      <w:r>
        <w:rPr>
          <w:rFonts w:ascii="Arial" w:cs="Arial" w:eastAsia="Arial" w:hAnsi="Arial"/>
          <w:sz w:val="17"/>
          <w:szCs w:val="17"/>
          <w:color w:val="auto"/>
        </w:rPr>
        <w:t xml:space="preserve">in the case of an Interest Period that is three months in duration, 0.15% and (z) in the case of an Interest Period that is six months in duration, 0.25% and (ii) in respect of Initial Revolving Loans, 0.10%;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if the Adjusted Term SOFR Rate as so determined would be less than the Floor, such rate shall be deemed to be equal to the Floor for the purposes of this Agreement.</w:t>
      </w:r>
    </w:p>
    <w:p>
      <w:pPr>
        <w:spacing w:after="0" w:line="129" w:lineRule="exact"/>
        <w:rPr>
          <w:sz w:val="20"/>
          <w:szCs w:val="20"/>
          <w:color w:val="auto"/>
        </w:rPr>
      </w:pPr>
    </w:p>
    <w:p>
      <w:pPr>
        <w:ind w:left="56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Administrative Agent</w:t>
      </w:r>
      <w:r>
        <w:rPr>
          <w:rFonts w:ascii="Arial" w:cs="Arial" w:eastAsia="Arial" w:hAnsi="Arial"/>
          <w:sz w:val="17"/>
          <w:szCs w:val="17"/>
          <w:color w:val="auto"/>
        </w:rPr>
        <w:t>” has the meaning set forth in the preamble hereto.</w:t>
      </w:r>
    </w:p>
    <w:p>
      <w:pPr>
        <w:spacing w:after="0" w:line="160" w:lineRule="exact"/>
        <w:rPr>
          <w:sz w:val="20"/>
          <w:szCs w:val="20"/>
          <w:color w:val="auto"/>
        </w:rPr>
      </w:pPr>
    </w:p>
    <w:p>
      <w:pPr>
        <w:ind w:left="56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Administrative Questionnaire</w:t>
      </w:r>
      <w:r>
        <w:rPr>
          <w:rFonts w:ascii="Arial" w:cs="Arial" w:eastAsia="Arial" w:hAnsi="Arial"/>
          <w:sz w:val="17"/>
          <w:szCs w:val="17"/>
          <w:color w:val="auto"/>
        </w:rPr>
        <w:t>” means an administrative questionnaire in a form supplied by the Administrative Agent.</w:t>
      </w:r>
    </w:p>
    <w:p>
      <w:pPr>
        <w:spacing w:after="0" w:line="160" w:lineRule="exact"/>
        <w:rPr>
          <w:sz w:val="20"/>
          <w:szCs w:val="20"/>
          <w:color w:val="auto"/>
        </w:rPr>
      </w:pPr>
    </w:p>
    <w:p>
      <w:pPr>
        <w:ind w:left="56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Affected Financial Institution</w:t>
      </w:r>
      <w:r>
        <w:rPr>
          <w:rFonts w:ascii="Arial" w:cs="Arial" w:eastAsia="Arial" w:hAnsi="Arial"/>
          <w:sz w:val="17"/>
          <w:szCs w:val="17"/>
          <w:color w:val="auto"/>
        </w:rPr>
        <w:t>” means (a) any EEA Financial Institution or (b) any UK Financial Institution.</w:t>
      </w:r>
    </w:p>
    <w:p>
      <w:pPr>
        <w:spacing w:after="0" w:line="160" w:lineRule="exact"/>
        <w:rPr>
          <w:sz w:val="20"/>
          <w:szCs w:val="20"/>
          <w:color w:val="auto"/>
        </w:rPr>
      </w:pPr>
    </w:p>
    <w:p>
      <w:pPr>
        <w:jc w:val="both"/>
        <w:ind w:left="5" w:firstLine="568"/>
        <w:spacing w:after="0" w:line="22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Affiliate</w:t>
      </w:r>
      <w:r>
        <w:rPr>
          <w:rFonts w:ascii="Arial" w:cs="Arial" w:eastAsia="Arial" w:hAnsi="Arial"/>
          <w:sz w:val="17"/>
          <w:szCs w:val="17"/>
          <w:color w:val="auto"/>
        </w:rPr>
        <w:t>” means, with respect to a specified Person, another Person that directly or indirectly Controls or is Controlled by or is under common Control with the Person specified. For purposes of this Agreement and the other Loan Documents, Jefferies LLC and its Affiliates shall be deemed to be Affiliates of Jefferies Finance LLC and its Affiliates.</w:t>
      </w:r>
    </w:p>
    <w:p>
      <w:pPr>
        <w:spacing w:after="0" w:line="130" w:lineRule="exact"/>
        <w:rPr>
          <w:sz w:val="20"/>
          <w:szCs w:val="20"/>
          <w:color w:val="auto"/>
        </w:rPr>
      </w:pPr>
    </w:p>
    <w:p>
      <w:pPr>
        <w:ind w:left="56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Agent</w:t>
      </w:r>
      <w:r>
        <w:rPr>
          <w:rFonts w:ascii="Arial" w:cs="Arial" w:eastAsia="Arial" w:hAnsi="Arial"/>
          <w:sz w:val="17"/>
          <w:szCs w:val="17"/>
          <w:color w:val="auto"/>
        </w:rPr>
        <w:t>” or “</w:t>
      </w:r>
      <w:r>
        <w:rPr>
          <w:rFonts w:ascii="Arial" w:cs="Arial" w:eastAsia="Arial" w:hAnsi="Arial"/>
          <w:sz w:val="17"/>
          <w:szCs w:val="17"/>
          <w:b w:val="1"/>
          <w:bCs w:val="1"/>
          <w:color w:val="auto"/>
        </w:rPr>
        <w:t>Agents</w:t>
      </w:r>
      <w:r>
        <w:rPr>
          <w:rFonts w:ascii="Arial" w:cs="Arial" w:eastAsia="Arial" w:hAnsi="Arial"/>
          <w:sz w:val="17"/>
          <w:szCs w:val="17"/>
          <w:color w:val="auto"/>
        </w:rPr>
        <w:t>” has the meaning assigned to such terms in Section 8.01.</w:t>
      </w:r>
    </w:p>
    <w:p>
      <w:pPr>
        <w:spacing w:after="0" w:line="160" w:lineRule="exact"/>
        <w:rPr>
          <w:sz w:val="20"/>
          <w:szCs w:val="20"/>
          <w:color w:val="auto"/>
        </w:rPr>
      </w:pPr>
    </w:p>
    <w:p>
      <w:pPr>
        <w:ind w:left="56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Agent-Related Person</w:t>
      </w:r>
      <w:r>
        <w:rPr>
          <w:rFonts w:ascii="Arial" w:cs="Arial" w:eastAsia="Arial" w:hAnsi="Arial"/>
          <w:sz w:val="17"/>
          <w:szCs w:val="17"/>
          <w:color w:val="auto"/>
        </w:rPr>
        <w:t>” has the meaning assigned to such term in Section 9.03(d).</w:t>
      </w:r>
    </w:p>
    <w:p>
      <w:pPr>
        <w:spacing w:after="0" w:line="160" w:lineRule="exact"/>
        <w:rPr>
          <w:sz w:val="20"/>
          <w:szCs w:val="20"/>
          <w:color w:val="auto"/>
        </w:rPr>
      </w:pPr>
    </w:p>
    <w:p>
      <w:pPr>
        <w:ind w:left="56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Agreement</w:t>
      </w:r>
      <w:r>
        <w:rPr>
          <w:rFonts w:ascii="Arial" w:cs="Arial" w:eastAsia="Arial" w:hAnsi="Arial"/>
          <w:sz w:val="17"/>
          <w:szCs w:val="17"/>
          <w:color w:val="auto"/>
        </w:rPr>
        <w:t>” has the meaning set forth in the preamble hereto.</w:t>
      </w:r>
    </w:p>
    <w:p>
      <w:pPr>
        <w:spacing w:after="0" w:line="160" w:lineRule="exact"/>
        <w:rPr>
          <w:sz w:val="20"/>
          <w:szCs w:val="20"/>
          <w:color w:val="auto"/>
        </w:rPr>
      </w:pPr>
    </w:p>
    <w:p>
      <w:pPr>
        <w:jc w:val="both"/>
        <w:ind w:left="5" w:right="20" w:firstLine="568"/>
        <w:spacing w:after="0" w:line="24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All-In Yield</w:t>
      </w:r>
      <w:r>
        <w:rPr>
          <w:rFonts w:ascii="Arial" w:cs="Arial" w:eastAsia="Arial" w:hAnsi="Arial"/>
          <w:sz w:val="17"/>
          <w:szCs w:val="17"/>
          <w:color w:val="auto"/>
        </w:rPr>
        <w:t>” means, as to any Indebtedness, the yield thereof, whether in the form of interest rate, margin, OID, upfront fees, or any interest rate floor (with such increased amount being determined in the manner described in the final proviso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4"/>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65"/>
          </w:cols>
          <w:pgMar w:left="315" w:top="1440" w:right="319" w:bottom="1440" w:gutter="0" w:footer="0" w:header="0"/>
        </w:sectPr>
      </w:pPr>
    </w:p>
    <w:bookmarkStart w:id="176" w:name="page177"/>
    <w:bookmarkEnd w:id="176"/>
    <w:p>
      <w:pPr>
        <w:spacing w:after="0" w:line="390" w:lineRule="exact"/>
        <w:rPr>
          <w:sz w:val="20"/>
          <w:szCs w:val="20"/>
          <w:color w:val="auto"/>
        </w:rPr>
      </w:pPr>
    </w:p>
    <w:p>
      <w:pPr>
        <w:jc w:val="both"/>
        <w:spacing w:after="0" w:line="224" w:lineRule="auto"/>
        <w:rPr>
          <w:sz w:val="20"/>
          <w:szCs w:val="20"/>
          <w:color w:val="auto"/>
        </w:rPr>
      </w:pPr>
      <w:r>
        <w:rPr>
          <w:rFonts w:ascii="Arial" w:cs="Arial" w:eastAsia="Arial" w:hAnsi="Arial"/>
          <w:sz w:val="16"/>
          <w:szCs w:val="16"/>
          <w:color w:val="auto"/>
        </w:rPr>
        <w:t xml:space="preserve">definition), or otherwise, in each case, incurred or payable by the Borrower to lenders of such Indebtedness;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OID and upfront fees shall be equated to interest rate assuming a 4-year life to maturity (or, if less, the stated life to maturity at the time of incurrence of the applicable Indebtedness);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“All-In Yield” shall not include structuring fees, commitment fees, amendment fees, arrangement fees and any similar fees and customary consent fees for an amendment paid generally to consenting lenders;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with respect to any Loans of an applicable Class that includes an Adjusted Term SOFR Rate floor or Alternate Base Rate floor, (1) to the extent that the Adjusted Term SOFR Rate (with a three-month Interest Period) or Alternate Base Rate (in each case without giving effect to any floor) on the date that the All-In Yield is being calculated is less than such floor, the amount of such difference shall be deemed added to the Applicable Rate for such Loans of such Class for the purpose of calculating the All-In Yield and (2) to the extent that the Adjusted Term SOFR Rate (with a three-month Interest Period) or Alternate Base Rate (in each case without giving effect to any floor) on the date that the All-In Yield is being calculated is greater than such floor, then the floor shall be disregarded in calculating the All-In Yield.</w:t>
      </w:r>
    </w:p>
    <w:p>
      <w:pPr>
        <w:spacing w:after="0" w:line="130" w:lineRule="exact"/>
        <w:rPr>
          <w:sz w:val="20"/>
          <w:szCs w:val="20"/>
          <w:color w:val="auto"/>
        </w:rPr>
      </w:pPr>
    </w:p>
    <w:p>
      <w:pPr>
        <w:jc w:val="both"/>
        <w:ind w:firstLine="568"/>
        <w:spacing w:after="0" w:line="237"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Alternate Base Rate</w:t>
      </w:r>
      <w:r>
        <w:rPr>
          <w:rFonts w:ascii="Arial" w:cs="Arial" w:eastAsia="Arial" w:hAnsi="Arial"/>
          <w:sz w:val="15"/>
          <w:szCs w:val="15"/>
          <w:color w:val="auto"/>
        </w:rPr>
        <w:t xml:space="preserve">” means, for any day, a rate per annum equal to the greatest of (a) the Prime Rate in effect on such day, (b) the NYFRB Rate in effect on such day plus ½ of 1% and (c) the Adjusted Term SOFR Rate for a one month Interest Period as published two U.S. Government Securities Business Days prior to such day (or if such day is not a Business Day, the immediately preceding Business Day) plus 1%;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for the purpose of this definition, the Adjusted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 Any change in the Alternate Base Rate due to a change in the Prime Rate, the NYFRB Rate or the Adjusted Term SOFR Rate shall be effective from and including the effective date of such change in the Prime Rate, the NYFRB Rate or the Adjusted Term SOFR Rate, respectively. If the Alternate Base Rate is being used as an alternate rate of interest pursuant to Section 2.12 (for the avoidance of doubt, only until the Benchmark Replacement has been determined pursuant to Section 2.12(b)), then the Alternate Base Rate shall be the greater of clauses (a) and (b) above and shall be determined without reference to clause (c) above. For the avoidance of doubt, (i) if the Alternate Base Rate in respect of the Initial Term Loans as determined pursuant to the foregoing would be less than 1.50%, such rate shall be deemed to be 1.50% for purposes of this Agreement and (ii) if the Alternate Base Rate in respect of the Initial Revolving Loans as determined pursuant to the foregoing would be less than 1.00%, such rate shall be deemed to be 1.00% for purposes of this Agreement.</w:t>
      </w:r>
    </w:p>
    <w:p>
      <w:pPr>
        <w:spacing w:after="0" w:line="13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Ancillary Document</w:t>
      </w:r>
      <w:r>
        <w:rPr>
          <w:rFonts w:ascii="Arial" w:cs="Arial" w:eastAsia="Arial" w:hAnsi="Arial"/>
          <w:sz w:val="17"/>
          <w:szCs w:val="17"/>
          <w:color w:val="auto"/>
        </w:rPr>
        <w:t>” has the meaning assigned to such term in Section 9.06(b).</w:t>
      </w:r>
    </w:p>
    <w:p>
      <w:pPr>
        <w:spacing w:after="0" w:line="160" w:lineRule="exact"/>
        <w:rPr>
          <w:sz w:val="20"/>
          <w:szCs w:val="20"/>
          <w:color w:val="auto"/>
        </w:rPr>
      </w:pPr>
    </w:p>
    <w:p>
      <w:pPr>
        <w:jc w:val="both"/>
        <w:ind w:right="20" w:firstLine="568"/>
        <w:spacing w:after="0" w:line="24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Applicable Account</w:t>
      </w:r>
      <w:r>
        <w:rPr>
          <w:rFonts w:ascii="Arial" w:cs="Arial" w:eastAsia="Arial" w:hAnsi="Arial"/>
          <w:sz w:val="17"/>
          <w:szCs w:val="17"/>
          <w:color w:val="auto"/>
        </w:rPr>
        <w:t>” means, with respect to any payment to be made to the Administrative Agent hereunder, the account specified by the Administrative Agent from time to time for the purpose of receiving payments of such type.</w:t>
      </w:r>
    </w:p>
    <w:p>
      <w:pPr>
        <w:spacing w:after="0" w:line="12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Applicable Discount</w:t>
      </w:r>
      <w:r>
        <w:rPr>
          <w:rFonts w:ascii="Arial" w:cs="Arial" w:eastAsia="Arial" w:hAnsi="Arial"/>
          <w:sz w:val="17"/>
          <w:szCs w:val="17"/>
          <w:color w:val="auto"/>
        </w:rPr>
        <w:t>” has the meaning assigned to such term in Section 2.09(a)(ii)(C)(2).</w:t>
      </w:r>
    </w:p>
    <w:p>
      <w:pPr>
        <w:spacing w:after="0" w:line="160" w:lineRule="exact"/>
        <w:rPr>
          <w:sz w:val="20"/>
          <w:szCs w:val="20"/>
          <w:color w:val="auto"/>
        </w:rPr>
      </w:pPr>
    </w:p>
    <w:p>
      <w:pPr>
        <w:jc w:val="both"/>
        <w:ind w:firstLine="568"/>
        <w:spacing w:after="0" w:line="22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Applicable Fronting Exposure</w:t>
      </w:r>
      <w:r>
        <w:rPr>
          <w:rFonts w:ascii="Arial" w:cs="Arial" w:eastAsia="Arial" w:hAnsi="Arial"/>
          <w:sz w:val="17"/>
          <w:szCs w:val="17"/>
          <w:color w:val="auto"/>
        </w:rPr>
        <w:t>” means, (a) with respect to any Person that is an Issuing Bank at any time, the sum of (i) the aggregate amount of all Letters of Credit issued by such Person in its capacity as an Issuing Bank (if applicable) that remains available for drawing at such time and (ii) the aggregate amount of all LC Disbursements made by such Person in its capacity as an Issuing Bank (if applicable) that have not yet been reimbursed by or on behalf of the Borrower at such time and (b) with respect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60"/>
          </w:cols>
          <w:pgMar w:left="320" w:top="1440" w:right="319" w:bottom="1440" w:gutter="0" w:footer="0" w:header="0"/>
        </w:sectPr>
      </w:pPr>
    </w:p>
    <w:bookmarkStart w:id="177" w:name="page178"/>
    <w:bookmarkEnd w:id="177"/>
    <w:p>
      <w:pPr>
        <w:spacing w:after="0" w:line="390" w:lineRule="exact"/>
        <w:rPr>
          <w:sz w:val="20"/>
          <w:szCs w:val="20"/>
          <w:color w:val="auto"/>
        </w:rPr>
      </w:pPr>
    </w:p>
    <w:p>
      <w:pPr>
        <w:jc w:val="both"/>
        <w:ind w:right="20"/>
        <w:spacing w:after="0" w:line="237" w:lineRule="auto"/>
        <w:rPr>
          <w:sz w:val="20"/>
          <w:szCs w:val="20"/>
          <w:color w:val="auto"/>
        </w:rPr>
      </w:pPr>
      <w:r>
        <w:rPr>
          <w:rFonts w:ascii="Arial" w:cs="Arial" w:eastAsia="Arial" w:hAnsi="Arial"/>
          <w:sz w:val="17"/>
          <w:szCs w:val="17"/>
          <w:color w:val="auto"/>
        </w:rPr>
        <w:t>Person that is a Swingline Lender at any time, the aggregate amount of all Swingline Loans issued by such Person in its capacity as a Swingline Lender (if applicable) that have not yet been reimbursed by or on behalf of the Borrower or been funded by other Revolving Lenders at such time.</w:t>
      </w:r>
    </w:p>
    <w:p>
      <w:pPr>
        <w:spacing w:after="0" w:line="12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Applicable Parties</w:t>
      </w:r>
      <w:r>
        <w:rPr>
          <w:rFonts w:ascii="Arial" w:cs="Arial" w:eastAsia="Arial" w:hAnsi="Arial"/>
          <w:sz w:val="17"/>
          <w:szCs w:val="17"/>
          <w:color w:val="auto"/>
        </w:rPr>
        <w:t>” has the meaning assigned to such term in Section 9.01(c)(iii).</w:t>
      </w:r>
    </w:p>
    <w:p>
      <w:pPr>
        <w:spacing w:after="0" w:line="160" w:lineRule="exact"/>
        <w:rPr>
          <w:sz w:val="20"/>
          <w:szCs w:val="20"/>
          <w:color w:val="auto"/>
        </w:rPr>
      </w:pPr>
    </w:p>
    <w:p>
      <w:pPr>
        <w:jc w:val="both"/>
        <w:ind w:right="20" w:firstLine="568"/>
        <w:spacing w:after="0" w:line="21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Applicable Percentage</w:t>
      </w:r>
      <w:r>
        <w:rPr>
          <w:rFonts w:ascii="Arial" w:cs="Arial" w:eastAsia="Arial" w:hAnsi="Arial"/>
          <w:sz w:val="17"/>
          <w:szCs w:val="17"/>
          <w:color w:val="auto"/>
        </w:rPr>
        <w:t>” means, at any time with respect to any Revolving Lender, the percentage of the Total Revolving Commitments represented by such Lender’s Revolving Commitment at such time and, solely for purposes of any reallocations made pursuant to Section 2.21(d), after giving effect to any Revolving Lender’s status as a Defaulting Lender at the time of determination. If the Revolving Commitments have terminated or expired, the Applicable Percentages shall be determined based upon the Revolving Commitments most recently in effect, giving effect to any assignments pursuant to this Agreement and to any Revolving Lender’s status as a Defaulting Lender at the time of determination.</w:t>
      </w:r>
    </w:p>
    <w:p>
      <w:pPr>
        <w:spacing w:after="0" w:line="13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Applicable Rate</w:t>
      </w:r>
      <w:r>
        <w:rPr>
          <w:rFonts w:ascii="Arial" w:cs="Arial" w:eastAsia="Arial" w:hAnsi="Arial"/>
          <w:sz w:val="17"/>
          <w:szCs w:val="17"/>
          <w:color w:val="auto"/>
        </w:rPr>
        <w:t>” means, for any day:</w:t>
      </w:r>
    </w:p>
    <w:p>
      <w:pPr>
        <w:spacing w:after="0" w:line="161" w:lineRule="exact"/>
        <w:rPr>
          <w:sz w:val="20"/>
          <w:szCs w:val="20"/>
          <w:color w:val="auto"/>
        </w:rPr>
      </w:pPr>
    </w:p>
    <w:p>
      <w:pPr>
        <w:ind w:left="1700" w:hanging="569"/>
        <w:spacing w:after="0"/>
        <w:tabs>
          <w:tab w:leader="none" w:pos="17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with respect to (x) any Initial Revolving Loan that is a Term Benchmark Loan, 2.50% and (y) any Initial Revolving Loan that is an ABR</w:t>
      </w:r>
    </w:p>
    <w:p>
      <w:pPr>
        <w:ind w:left="340"/>
        <w:spacing w:after="0"/>
        <w:rPr>
          <w:rFonts w:ascii="Arial" w:cs="Arial" w:eastAsia="Arial" w:hAnsi="Arial"/>
          <w:sz w:val="16"/>
          <w:szCs w:val="16"/>
          <w:color w:val="auto"/>
        </w:rPr>
      </w:pPr>
      <w:r>
        <w:rPr>
          <w:rFonts w:ascii="Arial" w:cs="Arial" w:eastAsia="Arial" w:hAnsi="Arial"/>
          <w:sz w:val="17"/>
          <w:szCs w:val="17"/>
          <w:color w:val="auto"/>
        </w:rPr>
        <w:t>Loan, 1.50%; and</w:t>
      </w:r>
    </w:p>
    <w:p>
      <w:pPr>
        <w:spacing w:after="0" w:line="141" w:lineRule="exact"/>
        <w:rPr>
          <w:rFonts w:ascii="Arial" w:cs="Arial" w:eastAsia="Arial" w:hAnsi="Arial"/>
          <w:sz w:val="16"/>
          <w:szCs w:val="16"/>
          <w:color w:val="auto"/>
        </w:rPr>
      </w:pPr>
    </w:p>
    <w:p>
      <w:pPr>
        <w:ind w:left="1700" w:hanging="569"/>
        <w:spacing w:after="0"/>
        <w:tabs>
          <w:tab w:leader="none" w:pos="17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with respect to (x) any Initial Term Loan that is a Term Benchmark Loan, 3.00% and (y) any Initial Term Loan that is an ABR Loan,</w:t>
      </w:r>
    </w:p>
    <w:p>
      <w:pPr>
        <w:ind w:left="340"/>
        <w:spacing w:after="0"/>
        <w:rPr>
          <w:rFonts w:ascii="Arial" w:cs="Arial" w:eastAsia="Arial" w:hAnsi="Arial"/>
          <w:sz w:val="16"/>
          <w:szCs w:val="16"/>
          <w:color w:val="auto"/>
        </w:rPr>
      </w:pPr>
      <w:r>
        <w:rPr>
          <w:rFonts w:ascii="Arial" w:cs="Arial" w:eastAsia="Arial" w:hAnsi="Arial"/>
          <w:sz w:val="17"/>
          <w:szCs w:val="17"/>
          <w:color w:val="auto"/>
        </w:rPr>
        <w:t>2.00%.</w:t>
      </w:r>
    </w:p>
    <w:p>
      <w:pPr>
        <w:spacing w:after="0" w:line="146" w:lineRule="exact"/>
        <w:rPr>
          <w:sz w:val="20"/>
          <w:szCs w:val="20"/>
          <w:color w:val="auto"/>
        </w:rPr>
      </w:pPr>
    </w:p>
    <w:p>
      <w:pPr>
        <w:jc w:val="both"/>
        <w:spacing w:after="0" w:line="220" w:lineRule="auto"/>
        <w:rPr>
          <w:sz w:val="20"/>
          <w:szCs w:val="20"/>
          <w:color w:val="auto"/>
        </w:rPr>
      </w:pPr>
      <w:r>
        <w:rPr>
          <w:rFonts w:ascii="Arial" w:cs="Arial" w:eastAsia="Arial" w:hAnsi="Arial"/>
          <w:sz w:val="17"/>
          <w:szCs w:val="17"/>
          <w:color w:val="auto"/>
        </w:rPr>
        <w:t>Notwithstanding the foregoing, the Applicable Rate for any Term Loans or Revolving Loans of any Class other than the Initial Term Loans and the Revolving Loans made pursuant to Revolving Commitments established on the Closing Date shall be as set forth in the Refinancing Amendment, Incremental Term Facility Amendment or Incremental Revolving Facility Amendment, as applicable, relating to such Class. The Applicable Rate for any Initial Term Loans may be increased as necessary to comply with the requirements of Section 2.18(a)(ii).</w:t>
      </w:r>
    </w:p>
    <w:p>
      <w:pPr>
        <w:spacing w:after="0" w:line="130" w:lineRule="exact"/>
        <w:rPr>
          <w:sz w:val="20"/>
          <w:szCs w:val="20"/>
          <w:color w:val="auto"/>
        </w:rPr>
      </w:pPr>
    </w:p>
    <w:p>
      <w:pPr>
        <w:jc w:val="both"/>
        <w:ind w:right="20" w:firstLine="568"/>
        <w:spacing w:after="0" w:line="24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Application</w:t>
      </w:r>
      <w:r>
        <w:rPr>
          <w:rFonts w:ascii="Arial" w:cs="Arial" w:eastAsia="Arial" w:hAnsi="Arial"/>
          <w:sz w:val="17"/>
          <w:szCs w:val="17"/>
          <w:color w:val="auto"/>
        </w:rPr>
        <w:t>” means an application, in such form as the applicable Issuing Bank may specify from time to time, requesting such Issuing Bank to open a Letter of Credit.</w:t>
      </w:r>
    </w:p>
    <w:p>
      <w:pPr>
        <w:spacing w:after="0" w:line="128" w:lineRule="exact"/>
        <w:rPr>
          <w:sz w:val="20"/>
          <w:szCs w:val="20"/>
          <w:color w:val="auto"/>
        </w:rPr>
      </w:pPr>
    </w:p>
    <w:p>
      <w:pPr>
        <w:ind w:left="560" w:right="2000"/>
        <w:spacing w:after="0" w:line="43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Approved Bank</w:t>
      </w:r>
      <w:r>
        <w:rPr>
          <w:rFonts w:ascii="Arial" w:cs="Arial" w:eastAsia="Arial" w:hAnsi="Arial"/>
          <w:sz w:val="17"/>
          <w:szCs w:val="17"/>
          <w:color w:val="auto"/>
        </w:rPr>
        <w:t>” has the meaning assigned to such term in clause (c) of the definition of the term “Permitted Investments.” “</w:t>
      </w:r>
      <w:r>
        <w:rPr>
          <w:rFonts w:ascii="Arial" w:cs="Arial" w:eastAsia="Arial" w:hAnsi="Arial"/>
          <w:sz w:val="17"/>
          <w:szCs w:val="17"/>
          <w:b w:val="1"/>
          <w:bCs w:val="1"/>
          <w:color w:val="auto"/>
        </w:rPr>
        <w:t>Approved Electronic Platform</w:t>
      </w:r>
      <w:r>
        <w:rPr>
          <w:rFonts w:ascii="Arial" w:cs="Arial" w:eastAsia="Arial" w:hAnsi="Arial"/>
          <w:sz w:val="17"/>
          <w:szCs w:val="17"/>
          <w:color w:val="auto"/>
        </w:rPr>
        <w:t>” has the meaning assigned to such term in Section 9.01(c)(i).</w:t>
      </w:r>
    </w:p>
    <w:p>
      <w:pPr>
        <w:jc w:val="both"/>
        <w:ind w:right="20" w:firstLine="568"/>
        <w:spacing w:after="0" w:line="22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Approved Fund</w:t>
      </w:r>
      <w:r>
        <w:rPr>
          <w:rFonts w:ascii="Arial" w:cs="Arial" w:eastAsia="Arial" w:hAnsi="Arial"/>
          <w:sz w:val="17"/>
          <w:szCs w:val="17"/>
          <w:color w:val="auto"/>
        </w:rPr>
        <w:t>” means any Person (other than a natural person) that is (or will be) engaged in making, purchasing, holding or investing in commercial loans and similar extensions of credit in the ordinary course of its activities and that is administered or managed by (a) a Lender, (b) an Affiliate of a Lender or (c) an entity or an Affiliate of an entity that administers or manages a Lender.</w:t>
      </w:r>
    </w:p>
    <w:p>
      <w:pPr>
        <w:spacing w:after="0" w:line="130" w:lineRule="exact"/>
        <w:rPr>
          <w:sz w:val="20"/>
          <w:szCs w:val="20"/>
          <w:color w:val="auto"/>
        </w:rPr>
      </w:pPr>
    </w:p>
    <w:p>
      <w:pPr>
        <w:jc w:val="both"/>
        <w:ind w:right="20" w:firstLine="568"/>
        <w:spacing w:after="0" w:line="22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Asset Sale Percentage</w:t>
      </w:r>
      <w:r>
        <w:rPr>
          <w:rFonts w:ascii="Arial" w:cs="Arial" w:eastAsia="Arial" w:hAnsi="Arial"/>
          <w:sz w:val="17"/>
          <w:szCs w:val="17"/>
          <w:color w:val="auto"/>
        </w:rPr>
        <w:t>” means, with respect to any prepayment required by Section 2.09(b) in respect of a Prepayment Event described in clause (a) of the definition of “Prepayment Event”, with respect to any fiscal quarter (or other applicable period) of the Borrower, if the Net First Lien Leverage Ratio (prior to giving effect to the applicable prepayment pursuant to Section 2.09(b)) as of the end of such fiscal quarter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60"/>
          </w:cols>
          <w:pgMar w:left="320" w:top="1440" w:right="319" w:bottom="1440" w:gutter="0" w:footer="0" w:header="0"/>
        </w:sectPr>
      </w:pPr>
    </w:p>
    <w:bookmarkStart w:id="178" w:name="page179"/>
    <w:bookmarkEnd w:id="178"/>
    <w:p>
      <w:pPr>
        <w:spacing w:after="0" w:line="390"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applicable period) is (a) greater than 2.50 to 1.00, 100% of the Net Proceeds of such Prepayment Event, (b) equal to or less than 2.50 to 1.00 but greater than 2.25 to 1.00, 50% of the Net Proceeds of such Prepayment Event and (c) equal to or less than 2.25 to 1.00, 0% of the Net Proceeds of such Prepayment Event.</w:t>
      </w:r>
    </w:p>
    <w:p>
      <w:pPr>
        <w:spacing w:after="0" w:line="88" w:lineRule="exact"/>
        <w:rPr>
          <w:sz w:val="20"/>
          <w:szCs w:val="20"/>
          <w:color w:val="auto"/>
        </w:rPr>
      </w:pPr>
    </w:p>
    <w:p>
      <w:pPr>
        <w:jc w:val="both"/>
        <w:ind w:right="20" w:firstLine="568"/>
        <w:spacing w:after="0" w:line="22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Assignment and Assumption</w:t>
      </w:r>
      <w:r>
        <w:rPr>
          <w:rFonts w:ascii="Arial" w:cs="Arial" w:eastAsia="Arial" w:hAnsi="Arial"/>
          <w:sz w:val="17"/>
          <w:szCs w:val="17"/>
          <w:color w:val="auto"/>
        </w:rPr>
        <w:t>” means an assignment and assumption entered into by a Lender and an Eligible Assignee (with the consent of any Person whose consent is required by Section 9.04), substantially in the form of Exhibit A-1 or any other form (including electronic records generated by the use of an electronic platform) reasonably approved by the Administrative Agent.</w:t>
      </w:r>
    </w:p>
    <w:p>
      <w:pPr>
        <w:spacing w:after="0" w:line="130" w:lineRule="exact"/>
        <w:rPr>
          <w:sz w:val="20"/>
          <w:szCs w:val="20"/>
          <w:color w:val="auto"/>
        </w:rPr>
      </w:pPr>
    </w:p>
    <w:p>
      <w:pPr>
        <w:jc w:val="both"/>
        <w:ind w:firstLine="568"/>
        <w:spacing w:after="0" w:line="24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Assumed Tax Rate</w:t>
      </w:r>
      <w:r>
        <w:rPr>
          <w:rFonts w:ascii="Arial" w:cs="Arial" w:eastAsia="Arial" w:hAnsi="Arial"/>
          <w:sz w:val="17"/>
          <w:szCs w:val="17"/>
          <w:color w:val="auto"/>
        </w:rPr>
        <w:t>” means the greater of (i) 45% and (ii) the maximum marginal combined federal, state and local income tax rate applicable at such time to a natural person residing in New York City, New York.</w:t>
      </w:r>
    </w:p>
    <w:p>
      <w:pPr>
        <w:spacing w:after="0" w:line="128" w:lineRule="exact"/>
        <w:rPr>
          <w:sz w:val="20"/>
          <w:szCs w:val="20"/>
          <w:color w:val="auto"/>
        </w:rPr>
      </w:pPr>
    </w:p>
    <w:p>
      <w:pPr>
        <w:jc w:val="both"/>
        <w:ind w:firstLine="568"/>
        <w:spacing w:after="0" w:line="22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Auction Agent</w:t>
      </w:r>
      <w:r>
        <w:rPr>
          <w:rFonts w:ascii="Arial" w:cs="Arial" w:eastAsia="Arial" w:hAnsi="Arial"/>
          <w:sz w:val="17"/>
          <w:szCs w:val="17"/>
          <w:color w:val="auto"/>
        </w:rPr>
        <w:t xml:space="preserve">” means (a) the Administrative Agent or (b) any other financial institution or advisor employed by the Borrower (whether or not an Affiliate of the Administrative Agent) to act as an arranger in connection with any Discounted Term Loan Prepayment pursuant to Section 2.09(a)(ii);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Borrower shall not designate the Administrative Agent as the Auction Agent without the written consent of the Administrative Agent (it being understood that the Administrative Agent shall be under no obligation to agree to act as the Auction Agent).</w:t>
      </w:r>
    </w:p>
    <w:p>
      <w:pPr>
        <w:spacing w:after="0" w:line="129" w:lineRule="exact"/>
        <w:rPr>
          <w:sz w:val="20"/>
          <w:szCs w:val="20"/>
          <w:color w:val="auto"/>
        </w:rPr>
      </w:pPr>
    </w:p>
    <w:p>
      <w:pPr>
        <w:jc w:val="both"/>
        <w:ind w:right="20" w:firstLine="568"/>
        <w:spacing w:after="0" w:line="24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Audited Financial Statements</w:t>
      </w:r>
      <w:r>
        <w:rPr>
          <w:rFonts w:ascii="Arial" w:cs="Arial" w:eastAsia="Arial" w:hAnsi="Arial"/>
          <w:sz w:val="17"/>
          <w:szCs w:val="17"/>
          <w:color w:val="auto"/>
        </w:rPr>
        <w:t>” means the audited consolidated balance sheet of Holdings for the fiscal year ended December 31, 2020 and the related consolidated statements of income, changes in equity and cash flows of Holdings, including the notes thereto.</w:t>
      </w:r>
    </w:p>
    <w:p>
      <w:pPr>
        <w:spacing w:after="0" w:line="128" w:lineRule="exact"/>
        <w:rPr>
          <w:sz w:val="20"/>
          <w:szCs w:val="20"/>
          <w:color w:val="auto"/>
        </w:rPr>
      </w:pPr>
    </w:p>
    <w:p>
      <w:pPr>
        <w:jc w:val="both"/>
        <w:ind w:firstLine="568"/>
        <w:spacing w:after="0" w:line="21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Available RP Capacity Amount</w:t>
      </w:r>
      <w:r>
        <w:rPr>
          <w:rFonts w:ascii="Arial" w:cs="Arial" w:eastAsia="Arial" w:hAnsi="Arial"/>
          <w:sz w:val="17"/>
          <w:szCs w:val="17"/>
          <w:color w:val="auto"/>
        </w:rPr>
        <w:t>” means, at any time of determination, the aggregate amount of Restricted Payments that may be made at such time pursuant to clauses (vii), (viii), (x) and (xi) of Section 6.08(a), minus the sum of the amount of the Available RP Capacity Amount under clauses (vii) and (x) of Section 6.08(a) utilized by the Borrower or any Restricted Subsidiary to make Restricted Payments in reliance on such clauses (it being understood that utilization of the Available RP Capacity Amount for purposes of incurrence of Indebtedness under Section 6.01(a)(xxvi) shall reduce the amount available under the applicable clause in Section 6.08(a) so long as such Indebtedness remains outstanding).</w:t>
      </w:r>
    </w:p>
    <w:p>
      <w:pPr>
        <w:spacing w:after="0" w:line="130" w:lineRule="exact"/>
        <w:rPr>
          <w:sz w:val="20"/>
          <w:szCs w:val="20"/>
          <w:color w:val="auto"/>
        </w:rPr>
      </w:pPr>
    </w:p>
    <w:p>
      <w:pPr>
        <w:jc w:val="both"/>
        <w:ind w:firstLine="568"/>
        <w:spacing w:after="0" w:line="21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Available Tenor</w:t>
      </w:r>
      <w:r>
        <w:rPr>
          <w:rFonts w:ascii="Arial" w:cs="Arial" w:eastAsia="Arial" w:hAnsi="Arial"/>
          <w:sz w:val="17"/>
          <w:szCs w:val="17"/>
          <w:color w:val="auto"/>
        </w:rPr>
        <w:t>” means, as of any date of determination and with respect to the then-current Benchmark,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clause (e) of Section 2.12.</w:t>
      </w:r>
    </w:p>
    <w:p>
      <w:pPr>
        <w:spacing w:after="0" w:line="130" w:lineRule="exact"/>
        <w:rPr>
          <w:sz w:val="20"/>
          <w:szCs w:val="20"/>
          <w:color w:val="auto"/>
        </w:rPr>
      </w:pPr>
    </w:p>
    <w:p>
      <w:pPr>
        <w:jc w:val="both"/>
        <w:ind w:right="20" w:firstLine="568"/>
        <w:spacing w:after="0" w:line="24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Bail-In Action</w:t>
      </w:r>
      <w:r>
        <w:rPr>
          <w:rFonts w:ascii="Arial" w:cs="Arial" w:eastAsia="Arial" w:hAnsi="Arial"/>
          <w:sz w:val="17"/>
          <w:szCs w:val="17"/>
          <w:color w:val="auto"/>
        </w:rPr>
        <w:t>” means the exercise of any Write-Down and Conversion Powers by the applicable Resolution Authority in respect of any liability of an Affected Financial Institution.</w:t>
      </w:r>
    </w:p>
    <w:p>
      <w:pPr>
        <w:spacing w:after="0" w:line="128" w:lineRule="exact"/>
        <w:rPr>
          <w:sz w:val="20"/>
          <w:szCs w:val="20"/>
          <w:color w:val="auto"/>
        </w:rPr>
      </w:pPr>
    </w:p>
    <w:p>
      <w:pPr>
        <w:jc w:val="both"/>
        <w:ind w:firstLine="568"/>
        <w:spacing w:after="0" w:line="22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Bail-In Legislation</w:t>
      </w:r>
      <w:r>
        <w:rPr>
          <w:rFonts w:ascii="Arial" w:cs="Arial" w:eastAsia="Arial" w:hAnsi="Arial"/>
          <w:sz w:val="17"/>
          <w:szCs w:val="17"/>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60"/>
          </w:cols>
          <w:pgMar w:left="320" w:top="1440" w:right="319" w:bottom="1440" w:gutter="0" w:footer="0" w:header="0"/>
        </w:sectPr>
      </w:pPr>
    </w:p>
    <w:bookmarkStart w:id="179" w:name="page180"/>
    <w:bookmarkEnd w:id="179"/>
    <w:p>
      <w:pPr>
        <w:spacing w:after="0" w:line="390" w:lineRule="exact"/>
        <w:rPr>
          <w:sz w:val="20"/>
          <w:szCs w:val="20"/>
          <w:color w:val="auto"/>
        </w:rPr>
      </w:pPr>
    </w:p>
    <w:p>
      <w:pPr>
        <w:jc w:val="both"/>
        <w:spacing w:after="0" w:line="225" w:lineRule="auto"/>
        <w:rPr>
          <w:sz w:val="20"/>
          <w:szCs w:val="20"/>
          <w:color w:val="auto"/>
        </w:rPr>
      </w:pPr>
      <w:r>
        <w:rPr>
          <w:rFonts w:ascii="Arial" w:cs="Arial" w:eastAsia="Arial" w:hAnsi="Arial"/>
          <w:sz w:val="17"/>
          <w:szCs w:val="17"/>
          <w:color w:val="auto"/>
        </w:rPr>
        <w:t>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3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Bankruptcy Code</w:t>
      </w:r>
      <w:r>
        <w:rPr>
          <w:rFonts w:ascii="Arial" w:cs="Arial" w:eastAsia="Arial" w:hAnsi="Arial"/>
          <w:sz w:val="17"/>
          <w:szCs w:val="17"/>
          <w:color w:val="auto"/>
        </w:rPr>
        <w:t>” means Title 11 of the United State Code, as amended, or any similar federal or state law for the relief of debtors.</w:t>
      </w:r>
    </w:p>
    <w:p>
      <w:pPr>
        <w:spacing w:after="0" w:line="160" w:lineRule="exact"/>
        <w:rPr>
          <w:sz w:val="20"/>
          <w:szCs w:val="20"/>
          <w:color w:val="auto"/>
        </w:rPr>
      </w:pPr>
    </w:p>
    <w:p>
      <w:pPr>
        <w:jc w:val="both"/>
        <w:ind w:right="20" w:firstLine="568"/>
        <w:spacing w:after="0" w:line="22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Bankruptcy Event</w:t>
      </w:r>
      <w:r>
        <w:rPr>
          <w:rFonts w:ascii="Arial" w:cs="Arial" w:eastAsia="Arial" w:hAnsi="Arial"/>
          <w:sz w:val="16"/>
          <w:szCs w:val="16"/>
          <w:color w:val="auto"/>
        </w:rPr>
        <w:t xml:space="preserve">” means with respect to any Person, such Person becomes insolvent or is otherwise the subject of a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Bankruptcy Event shall not result solely by virtue of any ownership interest, or the acquisition of any ownership interest, in such Person by a Governmental Authority or instrumentality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such ownership interest does not result in or provide such Person with immunity from the jurisdiction of courts within the United States or from the</w:t>
      </w:r>
      <w:r>
        <w:rPr>
          <w:rFonts w:ascii="Arial" w:cs="Arial" w:eastAsia="Arial" w:hAnsi="Arial"/>
          <w:sz w:val="16"/>
          <w:szCs w:val="16"/>
          <w:i w:val="1"/>
          <w:iCs w:val="1"/>
          <w:color w:val="auto"/>
        </w:rPr>
        <w:t xml:space="preserve"> </w:t>
      </w:r>
      <w:r>
        <w:rPr>
          <w:rFonts w:ascii="Arial" w:cs="Arial" w:eastAsia="Arial" w:hAnsi="Arial"/>
          <w:sz w:val="16"/>
          <w:szCs w:val="16"/>
          <w:color w:val="auto"/>
        </w:rPr>
        <w:t>enforcement of judgments or writs of attachment on its assets or permit such Person (or such Governmental Authority or instrumentality) to reject, repudiate, disavow or disaffirm any contracts or agreements made by such Person.</w:t>
      </w:r>
    </w:p>
    <w:p>
      <w:pPr>
        <w:spacing w:after="0" w:line="129" w:lineRule="exact"/>
        <w:rPr>
          <w:sz w:val="20"/>
          <w:szCs w:val="20"/>
          <w:color w:val="auto"/>
        </w:rPr>
      </w:pPr>
    </w:p>
    <w:p>
      <w:pPr>
        <w:jc w:val="both"/>
        <w:ind w:firstLine="568"/>
        <w:spacing w:after="0" w:line="22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Benchmark</w:t>
      </w:r>
      <w:r>
        <w:rPr>
          <w:rFonts w:ascii="Arial" w:cs="Arial" w:eastAsia="Arial" w:hAnsi="Arial"/>
          <w:sz w:val="17"/>
          <w:szCs w:val="17"/>
          <w:color w:val="auto"/>
        </w:rPr>
        <w:t xml:space="preserve">” means, initially, with respect to any Term Benchmark Loan, the Term SOFR Rate;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a Benchmark Transition Event, and the related Benchmark Replacement Date have occurred with respect to the Term SOFR Rate or the then-current Benchmark, then “Benchmark” means the applicable Benchmark Replacement to the extent that such Benchmark Replacement has replaced such prior benchmark rate pursuant to clause (b) of Section 2.12.</w:t>
      </w:r>
    </w:p>
    <w:p>
      <w:pPr>
        <w:spacing w:after="0" w:line="11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Benchmark Replacement</w:t>
      </w:r>
      <w:r>
        <w:rPr>
          <w:rFonts w:ascii="Arial" w:cs="Arial" w:eastAsia="Arial" w:hAnsi="Arial"/>
          <w:sz w:val="17"/>
          <w:szCs w:val="17"/>
          <w:color w:val="auto"/>
        </w:rPr>
        <w:t>” means, for any Available Tenor, the first alternative set forth in the order below that can be determined by the</w:t>
      </w:r>
    </w:p>
    <w:p>
      <w:pPr>
        <w:spacing w:after="0"/>
        <w:rPr>
          <w:sz w:val="20"/>
          <w:szCs w:val="20"/>
          <w:color w:val="auto"/>
        </w:rPr>
      </w:pPr>
      <w:r>
        <w:rPr>
          <w:rFonts w:ascii="Arial" w:cs="Arial" w:eastAsia="Arial" w:hAnsi="Arial"/>
          <w:sz w:val="17"/>
          <w:szCs w:val="17"/>
          <w:color w:val="auto"/>
        </w:rPr>
        <w:t>Administrative Agent for the applicable Benchmark Replacement Date:</w:t>
      </w:r>
    </w:p>
    <w:p>
      <w:pPr>
        <w:spacing w:after="0" w:line="146" w:lineRule="exact"/>
        <w:rPr>
          <w:sz w:val="20"/>
          <w:szCs w:val="20"/>
          <w:color w:val="auto"/>
        </w:rPr>
      </w:pPr>
    </w:p>
    <w:p>
      <w:pPr>
        <w:ind w:left="800" w:hanging="237"/>
        <w:spacing w:after="0"/>
        <w:tabs>
          <w:tab w:leader="none" w:pos="8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Daily Simple SOFR;</w:t>
      </w:r>
    </w:p>
    <w:p>
      <w:pPr>
        <w:spacing w:after="0" w:line="159" w:lineRule="exact"/>
        <w:rPr>
          <w:rFonts w:ascii="Arial" w:cs="Arial" w:eastAsia="Arial" w:hAnsi="Arial"/>
          <w:sz w:val="17"/>
          <w:szCs w:val="17"/>
          <w:color w:val="auto"/>
        </w:rPr>
      </w:pPr>
    </w:p>
    <w:p>
      <w:pPr>
        <w:jc w:val="both"/>
        <w:ind w:firstLine="563"/>
        <w:spacing w:after="0" w:line="216" w:lineRule="auto"/>
        <w:tabs>
          <w:tab w:leader="none" w:pos="828"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dollar-denominated syndicated credit facilities at such time and (b) the related Benchmark Replacement Adjustment.</w:t>
      </w:r>
    </w:p>
    <w:p>
      <w:pPr>
        <w:spacing w:after="0" w:line="138" w:lineRule="exact"/>
        <w:rPr>
          <w:sz w:val="20"/>
          <w:szCs w:val="20"/>
          <w:color w:val="auto"/>
        </w:rPr>
      </w:pPr>
    </w:p>
    <w:p>
      <w:pPr>
        <w:jc w:val="both"/>
        <w:ind w:right="20" w:firstLine="568"/>
        <w:spacing w:after="0" w:line="237" w:lineRule="auto"/>
        <w:rPr>
          <w:sz w:val="20"/>
          <w:szCs w:val="20"/>
          <w:color w:val="auto"/>
        </w:rPr>
      </w:pPr>
      <w:r>
        <w:rPr>
          <w:rFonts w:ascii="Arial" w:cs="Arial" w:eastAsia="Arial" w:hAnsi="Arial"/>
          <w:sz w:val="17"/>
          <w:szCs w:val="17"/>
          <w:color w:val="auto"/>
        </w:rPr>
        <w:t>If the Benchmark Replacement as determined pursuant to clause (1) or (2) above would be less than the Floor, the Benchmark Replacement will be deemed to be the Floor for the purposes of this Agreement and the other Loan Documents.</w:t>
      </w:r>
    </w:p>
    <w:p>
      <w:pPr>
        <w:spacing w:after="0" w:line="129" w:lineRule="exact"/>
        <w:rPr>
          <w:sz w:val="20"/>
          <w:szCs w:val="20"/>
          <w:color w:val="auto"/>
        </w:rPr>
      </w:pPr>
    </w:p>
    <w:p>
      <w:pPr>
        <w:jc w:val="both"/>
        <w:ind w:right="20" w:firstLine="568"/>
        <w:spacing w:after="0" w:line="23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Benchmark Replacement Adjustment</w:t>
      </w:r>
      <w:r>
        <w:rPr>
          <w:rFonts w:ascii="Arial" w:cs="Arial" w:eastAsia="Arial" w:hAnsi="Arial"/>
          <w:sz w:val="16"/>
          <w:szCs w:val="16"/>
          <w:color w:val="auto"/>
        </w:rPr>
        <w:t>” 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(i) any selection or recommendation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260"/>
          </w:cols>
          <w:pgMar w:left="320" w:top="1440" w:right="319" w:bottom="1440" w:gutter="0" w:footer="0" w:header="0"/>
        </w:sectPr>
      </w:pPr>
    </w:p>
    <w:bookmarkStart w:id="180" w:name="page181"/>
    <w:bookmarkEnd w:id="180"/>
    <w:p>
      <w:pPr>
        <w:spacing w:after="0" w:line="390" w:lineRule="exact"/>
        <w:rPr>
          <w:sz w:val="20"/>
          <w:szCs w:val="20"/>
          <w:color w:val="auto"/>
        </w:rPr>
      </w:pPr>
    </w:p>
    <w:p>
      <w:pPr>
        <w:jc w:val="both"/>
        <w:ind w:left="5" w:right="20"/>
        <w:spacing w:after="0" w:line="220" w:lineRule="auto"/>
        <w:rPr>
          <w:sz w:val="20"/>
          <w:szCs w:val="20"/>
          <w:color w:val="auto"/>
        </w:rPr>
      </w:pPr>
      <w:r>
        <w:rPr>
          <w:rFonts w:ascii="Arial" w:cs="Arial" w:eastAsia="Arial" w:hAnsi="Arial"/>
          <w:sz w:val="17"/>
          <w:szCs w:val="17"/>
          <w:color w:val="auto"/>
        </w:rPr>
        <w:t>a spread adjustment, or method for calculating or determining such spread adjustment, for the replacement of such Benchmark with the applicable Unadjusted Benchmark Replacement by the Relevant Governmental Body on the applicable Benchmark Replacement Date or (ii)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w:t>
      </w:r>
    </w:p>
    <w:p>
      <w:pPr>
        <w:spacing w:after="0" w:line="130" w:lineRule="exact"/>
        <w:rPr>
          <w:sz w:val="20"/>
          <w:szCs w:val="20"/>
          <w:color w:val="auto"/>
        </w:rPr>
      </w:pPr>
    </w:p>
    <w:p>
      <w:pPr>
        <w:jc w:val="both"/>
        <w:ind w:left="5" w:firstLine="568"/>
        <w:spacing w:after="0" w:line="22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Benchmark Replacement Conforming Changes</w:t>
      </w:r>
      <w:r>
        <w:rPr>
          <w:rFonts w:ascii="Arial" w:cs="Arial" w:eastAsia="Arial" w:hAnsi="Arial"/>
          <w:sz w:val="16"/>
          <w:szCs w:val="16"/>
          <w:color w:val="auto"/>
        </w:rPr>
        <w:t>” means, with respect to any Benchmark Replacement, any technical, administrative or operational changes (including changes to the definition of “Alternate Base Rate,” the definition of “Business Day,” the definition of “U.S. Government Securities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Loan Documents).</w:t>
      </w:r>
    </w:p>
    <w:p>
      <w:pPr>
        <w:spacing w:after="0" w:line="129" w:lineRule="exact"/>
        <w:rPr>
          <w:sz w:val="20"/>
          <w:szCs w:val="20"/>
          <w:color w:val="auto"/>
        </w:rPr>
      </w:pPr>
    </w:p>
    <w:p>
      <w:pPr>
        <w:ind w:left="565"/>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Benchmark Replacement Date</w:t>
      </w:r>
      <w:r>
        <w:rPr>
          <w:rFonts w:ascii="Arial" w:cs="Arial" w:eastAsia="Arial" w:hAnsi="Arial"/>
          <w:sz w:val="16"/>
          <w:szCs w:val="16"/>
          <w:color w:val="auto"/>
        </w:rPr>
        <w:t>” means, with respect to any Benchmark, the earliest to occur of the following events with respect to such then-current</w:t>
      </w:r>
    </w:p>
    <w:p>
      <w:pPr>
        <w:spacing w:after="0" w:line="2" w:lineRule="exact"/>
        <w:rPr>
          <w:sz w:val="20"/>
          <w:szCs w:val="20"/>
          <w:color w:val="auto"/>
        </w:rPr>
      </w:pPr>
    </w:p>
    <w:p>
      <w:pPr>
        <w:ind w:left="5"/>
        <w:spacing w:after="0"/>
        <w:rPr>
          <w:sz w:val="20"/>
          <w:szCs w:val="20"/>
          <w:color w:val="auto"/>
        </w:rPr>
      </w:pPr>
      <w:r>
        <w:rPr>
          <w:rFonts w:ascii="Arial" w:cs="Arial" w:eastAsia="Arial" w:hAnsi="Arial"/>
          <w:sz w:val="17"/>
          <w:szCs w:val="17"/>
          <w:color w:val="auto"/>
        </w:rPr>
        <w:t>Benchmark:</w:t>
      </w:r>
    </w:p>
    <w:p>
      <w:pPr>
        <w:spacing w:after="0" w:line="146" w:lineRule="exact"/>
        <w:rPr>
          <w:sz w:val="20"/>
          <w:szCs w:val="20"/>
          <w:color w:val="auto"/>
        </w:rPr>
      </w:pPr>
    </w:p>
    <w:p>
      <w:pPr>
        <w:jc w:val="both"/>
        <w:ind w:left="5" w:firstLine="563"/>
        <w:spacing w:after="0" w:line="225" w:lineRule="auto"/>
        <w:tabs>
          <w:tab w:leader="none" w:pos="831" w:val="left"/>
        </w:tabs>
        <w:numPr>
          <w:ilvl w:val="0"/>
          <w:numId w:val="73"/>
        </w:numPr>
        <w:rPr>
          <w:rFonts w:ascii="Arial" w:cs="Arial" w:eastAsia="Arial" w:hAnsi="Arial"/>
          <w:sz w:val="17"/>
          <w:szCs w:val="17"/>
          <w:color w:val="auto"/>
        </w:rPr>
      </w:pPr>
      <w:r>
        <w:rPr>
          <w:rFonts w:ascii="Arial" w:cs="Arial" w:eastAsia="Arial" w:hAnsi="Arial"/>
          <w:sz w:val="17"/>
          <w:szCs w:val="17"/>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spacing w:after="0" w:line="136" w:lineRule="exact"/>
        <w:rPr>
          <w:rFonts w:ascii="Arial" w:cs="Arial" w:eastAsia="Arial" w:hAnsi="Arial"/>
          <w:sz w:val="17"/>
          <w:szCs w:val="17"/>
          <w:color w:val="auto"/>
        </w:rPr>
      </w:pPr>
    </w:p>
    <w:p>
      <w:pPr>
        <w:jc w:val="both"/>
        <w:ind w:left="5" w:right="20" w:firstLine="563"/>
        <w:spacing w:after="0" w:line="234" w:lineRule="auto"/>
        <w:tabs>
          <w:tab w:leader="none" w:pos="8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 xml:space="preserve">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w:t>
      </w:r>
      <w:r>
        <w:rPr>
          <w:rFonts w:ascii="Arial" w:cs="Arial" w:eastAsia="Arial" w:hAnsi="Arial"/>
          <w:sz w:val="16"/>
          <w:szCs w:val="16"/>
          <w:i w:val="1"/>
          <w:iCs w:val="1"/>
          <w:color w:val="auto"/>
        </w:rPr>
        <w:t>provided</w:t>
      </w:r>
      <w:r>
        <w:rPr>
          <w:rFonts w:ascii="Arial" w:cs="Arial" w:eastAsia="Arial" w:hAnsi="Arial"/>
          <w:sz w:val="16"/>
          <w:szCs w:val="16"/>
          <w:color w:val="auto"/>
        </w:rPr>
        <w:t>, that such non-representativeness will be determined by reference to the most recent statement or publication referenced in such clause (3) and even if any Available Tenor of such Benchmark (or such component thereof) continues to be provided on such date.</w:t>
      </w:r>
    </w:p>
    <w:p>
      <w:pPr>
        <w:spacing w:after="0" w:line="135" w:lineRule="exact"/>
        <w:rPr>
          <w:sz w:val="20"/>
          <w:szCs w:val="20"/>
          <w:color w:val="auto"/>
        </w:rPr>
      </w:pPr>
    </w:p>
    <w:p>
      <w:pPr>
        <w:ind w:left="5" w:firstLine="568"/>
        <w:spacing w:after="0"/>
        <w:rPr>
          <w:sz w:val="20"/>
          <w:szCs w:val="20"/>
          <w:color w:val="auto"/>
        </w:rPr>
      </w:pPr>
      <w:r>
        <w:rPr>
          <w:rFonts w:ascii="Arial" w:cs="Arial" w:eastAsia="Arial" w:hAnsi="Arial"/>
          <w:sz w:val="15"/>
          <w:szCs w:val="15"/>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w:t>
      </w:r>
    </w:p>
    <w:p>
      <w:pPr>
        <w:spacing w:after="0" w:line="1" w:lineRule="exact"/>
        <w:rPr>
          <w:sz w:val="20"/>
          <w:szCs w:val="20"/>
          <w:color w:val="auto"/>
        </w:rPr>
      </w:pPr>
    </w:p>
    <w:p>
      <w:pPr>
        <w:jc w:val="both"/>
        <w:ind w:left="5" w:right="20" w:hanging="5"/>
        <w:spacing w:after="0" w:line="220" w:lineRule="auto"/>
        <w:tabs>
          <w:tab w:leader="none" w:pos="268"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29" w:lineRule="exact"/>
        <w:rPr>
          <w:sz w:val="20"/>
          <w:szCs w:val="20"/>
          <w:color w:val="auto"/>
        </w:rPr>
      </w:pPr>
    </w:p>
    <w:p>
      <w:pPr>
        <w:ind w:left="5" w:firstLine="568"/>
        <w:spacing w:after="0" w:line="24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Benchmark Transition Event</w:t>
      </w:r>
      <w:r>
        <w:rPr>
          <w:rFonts w:ascii="Arial" w:cs="Arial" w:eastAsia="Arial" w:hAnsi="Arial"/>
          <w:sz w:val="17"/>
          <w:szCs w:val="17"/>
          <w:color w:val="auto"/>
        </w:rPr>
        <w:t>” means, with respect to any Benchmark, the occurrence of one or more of the following events with respect to such then-current Benchmark: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4"/>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65"/>
          </w:cols>
          <w:pgMar w:left="315" w:top="1440" w:right="319" w:bottom="1440" w:gutter="0" w:footer="0" w:header="0"/>
        </w:sectPr>
      </w:pPr>
    </w:p>
    <w:bookmarkStart w:id="181" w:name="page182"/>
    <w:bookmarkEnd w:id="181"/>
    <w:p>
      <w:pPr>
        <w:spacing w:after="0" w:line="390" w:lineRule="exact"/>
        <w:rPr>
          <w:sz w:val="20"/>
          <w:szCs w:val="20"/>
          <w:color w:val="auto"/>
        </w:rPr>
      </w:pPr>
    </w:p>
    <w:p>
      <w:pPr>
        <w:jc w:val="both"/>
        <w:ind w:firstLine="563"/>
        <w:spacing w:after="0" w:line="220" w:lineRule="auto"/>
        <w:tabs>
          <w:tab w:leader="none" w:pos="830" w:val="left"/>
        </w:tabs>
        <w:numPr>
          <w:ilvl w:val="0"/>
          <w:numId w:val="75"/>
        </w:numPr>
        <w:rPr>
          <w:rFonts w:ascii="Arial" w:cs="Arial" w:eastAsia="Arial" w:hAnsi="Arial"/>
          <w:sz w:val="17"/>
          <w:szCs w:val="17"/>
          <w:color w:val="auto"/>
        </w:rPr>
      </w:pPr>
      <w:r>
        <w:rPr>
          <w:rFonts w:ascii="Arial" w:cs="Arial" w:eastAsia="Arial" w:hAnsi="Arial"/>
          <w:sz w:val="17"/>
          <w:szCs w:val="17"/>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at the time of such statement or publication, there is no successor administrator that will continue to provide any Available Tenor of such Benchmark (or such component thereof);</w:t>
      </w:r>
    </w:p>
    <w:p>
      <w:pPr>
        <w:spacing w:after="0" w:line="135" w:lineRule="exact"/>
        <w:rPr>
          <w:rFonts w:ascii="Arial" w:cs="Arial" w:eastAsia="Arial" w:hAnsi="Arial"/>
          <w:sz w:val="17"/>
          <w:szCs w:val="17"/>
          <w:color w:val="auto"/>
        </w:rPr>
      </w:pPr>
    </w:p>
    <w:p>
      <w:pPr>
        <w:jc w:val="both"/>
        <w:ind w:firstLine="563"/>
        <w:spacing w:after="0" w:line="213" w:lineRule="auto"/>
        <w:tabs>
          <w:tab w:leader="none" w:pos="825" w:val="left"/>
        </w:tabs>
        <w:numPr>
          <w:ilvl w:val="0"/>
          <w:numId w:val="75"/>
        </w:numPr>
        <w:rPr>
          <w:rFonts w:ascii="Arial" w:cs="Arial" w:eastAsia="Arial" w:hAnsi="Arial"/>
          <w:sz w:val="17"/>
          <w:szCs w:val="17"/>
          <w:color w:val="auto"/>
        </w:rPr>
      </w:pPr>
      <w:r>
        <w:rPr>
          <w:rFonts w:ascii="Arial" w:cs="Arial" w:eastAsia="Arial" w:hAnsi="Arial"/>
          <w:sz w:val="17"/>
          <w:szCs w:val="17"/>
          <w:color w:val="auto"/>
        </w:rPr>
        <w:t xml:space="preserve">a public statement or publication of information by the regulatory supervisor for the administrator of such Benchmark (or the published component used in the calculation thereof), the Federal Reserve Board, the NYFRB, the CME Term SOFR Administrator,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at the time of such statement or publication, there is no successor administrator that will continue to provide any Available Tenor of such Benchmark (or such component thereof); or</w:t>
      </w:r>
    </w:p>
    <w:p>
      <w:pPr>
        <w:spacing w:after="0" w:line="135" w:lineRule="exact"/>
        <w:rPr>
          <w:rFonts w:ascii="Arial" w:cs="Arial" w:eastAsia="Arial" w:hAnsi="Arial"/>
          <w:sz w:val="17"/>
          <w:szCs w:val="17"/>
          <w:color w:val="auto"/>
        </w:rPr>
      </w:pPr>
    </w:p>
    <w:p>
      <w:pPr>
        <w:jc w:val="both"/>
        <w:ind w:right="20" w:firstLine="563"/>
        <w:spacing w:after="0" w:line="225" w:lineRule="auto"/>
        <w:tabs>
          <w:tab w:leader="none" w:pos="825" w:val="left"/>
        </w:tabs>
        <w:numPr>
          <w:ilvl w:val="0"/>
          <w:numId w:val="75"/>
        </w:numPr>
        <w:rPr>
          <w:rFonts w:ascii="Arial" w:cs="Arial" w:eastAsia="Arial" w:hAnsi="Arial"/>
          <w:sz w:val="17"/>
          <w:szCs w:val="17"/>
          <w:color w:val="auto"/>
        </w:rPr>
      </w:pPr>
      <w:r>
        <w:rPr>
          <w:rFonts w:ascii="Arial" w:cs="Arial" w:eastAsia="Arial" w:hAnsi="Arial"/>
          <w:sz w:val="17"/>
          <w:szCs w:val="17"/>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w:t>
      </w:r>
    </w:p>
    <w:p>
      <w:pPr>
        <w:spacing w:after="0" w:line="137" w:lineRule="exact"/>
        <w:rPr>
          <w:sz w:val="20"/>
          <w:szCs w:val="20"/>
          <w:color w:val="auto"/>
        </w:rPr>
      </w:pPr>
    </w:p>
    <w:p>
      <w:pPr>
        <w:jc w:val="both"/>
        <w:ind w:right="20" w:firstLine="568"/>
        <w:spacing w:after="0" w:line="225" w:lineRule="auto"/>
        <w:rPr>
          <w:sz w:val="20"/>
          <w:szCs w:val="20"/>
          <w:color w:val="auto"/>
        </w:rPr>
      </w:pPr>
      <w:r>
        <w:rPr>
          <w:rFonts w:ascii="Arial" w:cs="Arial" w:eastAsia="Arial" w:hAnsi="Arial"/>
          <w:sz w:val="17"/>
          <w:szCs w:val="17"/>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31" w:lineRule="exact"/>
        <w:rPr>
          <w:sz w:val="20"/>
          <w:szCs w:val="20"/>
          <w:color w:val="auto"/>
        </w:rPr>
      </w:pPr>
    </w:p>
    <w:p>
      <w:pPr>
        <w:jc w:val="both"/>
        <w:ind w:firstLine="568"/>
        <w:spacing w:after="0" w:line="22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Benchmark Unavailability Period</w:t>
      </w:r>
      <w:r>
        <w:rPr>
          <w:rFonts w:ascii="Arial" w:cs="Arial" w:eastAsia="Arial" w:hAnsi="Arial"/>
          <w:sz w:val="17"/>
          <w:szCs w:val="17"/>
          <w:color w:val="auto"/>
        </w:rPr>
        <w:t>” means, with respect to any Benchmark, the period (if any) (x) beginning at the time that a Benchmark Replacement Date has occurred if, at such time, no Benchmark Replacement has replaced such then-current Benchmark for all purposes hereunder and under any Loan Document in accordance with Section 2.12 and (y) ending at the time that a Benchmark Replacement has replaced such then-current Benchmark for all purposes hereunder and under any Loan Document in accordance with Section 2.12.</w:t>
      </w:r>
    </w:p>
    <w:p>
      <w:pPr>
        <w:spacing w:after="0" w:line="129" w:lineRule="exact"/>
        <w:rPr>
          <w:sz w:val="20"/>
          <w:szCs w:val="20"/>
          <w:color w:val="auto"/>
        </w:rPr>
      </w:pPr>
    </w:p>
    <w:p>
      <w:pPr>
        <w:jc w:val="both"/>
        <w:ind w:firstLine="568"/>
        <w:spacing w:after="0" w:line="23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Beneficial Owner</w:t>
      </w:r>
      <w:r>
        <w:rPr>
          <w:rFonts w:ascii="Arial" w:cs="Arial" w:eastAsia="Arial" w:hAnsi="Arial"/>
          <w:sz w:val="16"/>
          <w:szCs w:val="16"/>
          <w:color w:val="auto"/>
        </w:rPr>
        <w:t>” has the meaning assigned to such term in Rule 13d-3 and Rule 13d-5 under the Exchange Act, except that in calculating the beneficial ownership of any particular “person” (as that term is used in Section 13(d)(3) of the Exchange Act), such “person” will be deemed to have beneficial ownership of all securities that such “person” has the right to acquire by conversion or exercise of other securities, whether such right is currently exercisable or is exercisable only after the passage of time. The terms “Beneficially Owns” and “Beneficially Owned” have a corresponding meaning.</w:t>
      </w:r>
    </w:p>
    <w:p>
      <w:pPr>
        <w:spacing w:after="0" w:line="1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Beneficial Ownership Certification</w:t>
      </w:r>
      <w:r>
        <w:rPr>
          <w:rFonts w:ascii="Arial" w:cs="Arial" w:eastAsia="Arial" w:hAnsi="Arial"/>
          <w:sz w:val="16"/>
          <w:szCs w:val="16"/>
          <w:color w:val="auto"/>
        </w:rPr>
        <w:t>” means a certification regarding beneficial ownership as required by the Beneficial Ownership Regulation.</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Beneficial Ownership Regulation</w:t>
      </w:r>
      <w:r>
        <w:rPr>
          <w:rFonts w:ascii="Arial" w:cs="Arial" w:eastAsia="Arial" w:hAnsi="Arial"/>
          <w:sz w:val="17"/>
          <w:szCs w:val="17"/>
          <w:color w:val="auto"/>
        </w:rPr>
        <w:t>” means 31 C.F.R. § 1010.230.</w:t>
      </w:r>
    </w:p>
    <w:p>
      <w:pPr>
        <w:spacing w:after="0" w:line="160" w:lineRule="exact"/>
        <w:rPr>
          <w:sz w:val="20"/>
          <w:szCs w:val="20"/>
          <w:color w:val="auto"/>
        </w:rPr>
      </w:pPr>
    </w:p>
    <w:p>
      <w:pPr>
        <w:jc w:val="both"/>
        <w:ind w:firstLine="568"/>
        <w:spacing w:after="0" w:line="24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Benefit Plan</w:t>
      </w:r>
      <w:r>
        <w:rPr>
          <w:rFonts w:ascii="Arial" w:cs="Arial" w:eastAsia="Arial" w:hAnsi="Arial"/>
          <w:sz w:val="17"/>
          <w:szCs w:val="17"/>
          <w:color w:val="auto"/>
        </w:rPr>
        <w:t>” means any of (a) an “employee benefit plan” (as defined in ERISA) that is subject to Title I of ERISA, (b) a “plan” as defined in and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260"/>
          </w:cols>
          <w:pgMar w:left="320" w:top="1440" w:right="319" w:bottom="1440" w:gutter="0" w:footer="0" w:header="0"/>
        </w:sectPr>
      </w:pPr>
    </w:p>
    <w:bookmarkStart w:id="182" w:name="page183"/>
    <w:bookmarkEnd w:id="182"/>
    <w:p>
      <w:pPr>
        <w:spacing w:after="0" w:line="390"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Section 4975 of the Code or (c) any Person whose assets include (for purposes of ERISA Section 3(42) or otherwise for purposes of Title I of ERISA or Section 4975 of the Code) the assets of any such “employee benefit plan” or “plan.”</w:t>
      </w:r>
    </w:p>
    <w:p>
      <w:pPr>
        <w:spacing w:after="0" w:line="129" w:lineRule="exact"/>
        <w:rPr>
          <w:sz w:val="20"/>
          <w:szCs w:val="20"/>
          <w:color w:val="auto"/>
        </w:rPr>
      </w:pPr>
    </w:p>
    <w:p>
      <w:pPr>
        <w:jc w:val="both"/>
        <w:ind w:firstLine="568"/>
        <w:spacing w:after="0" w:line="22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Board of Directors</w:t>
      </w:r>
      <w:r>
        <w:rPr>
          <w:rFonts w:ascii="Arial" w:cs="Arial" w:eastAsia="Arial" w:hAnsi="Arial"/>
          <w:sz w:val="17"/>
          <w:szCs w:val="17"/>
          <w:color w:val="auto"/>
        </w:rPr>
        <w:t>” means, with respect to any Person, (a) in the case of any corporation, the board of directors of such Person or any committee thereof duly authorized to act on behalf of such board, (b) in the case of any limited liability company, the board of managers of such Person, (c) in the case of any partnership, the board of directors or board of managers of the general partner of such Person and (d) in any other case, the functional equivalent of the foregoing.</w:t>
      </w:r>
    </w:p>
    <w:p>
      <w:pPr>
        <w:spacing w:after="0" w:line="12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BHC Act Affiliate</w:t>
      </w:r>
      <w:r>
        <w:rPr>
          <w:rFonts w:ascii="Arial" w:cs="Arial" w:eastAsia="Arial" w:hAnsi="Arial"/>
          <w:sz w:val="17"/>
          <w:szCs w:val="17"/>
          <w:color w:val="auto"/>
        </w:rPr>
        <w:t>” has the meaning assigned to such term in Section 9.21(b).</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Board of Governors</w:t>
      </w:r>
      <w:r>
        <w:rPr>
          <w:rFonts w:ascii="Arial" w:cs="Arial" w:eastAsia="Arial" w:hAnsi="Arial"/>
          <w:sz w:val="17"/>
          <w:szCs w:val="17"/>
          <w:color w:val="auto"/>
        </w:rPr>
        <w:t>” means the Board of Governors of the Federal Reserve System of the United States of America.</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Borrower</w:t>
      </w:r>
      <w:r>
        <w:rPr>
          <w:rFonts w:ascii="Arial" w:cs="Arial" w:eastAsia="Arial" w:hAnsi="Arial"/>
          <w:sz w:val="17"/>
          <w:szCs w:val="17"/>
          <w:color w:val="auto"/>
        </w:rPr>
        <w:t>” has the meaning assigned to such term in the preamble.</w:t>
      </w:r>
    </w:p>
    <w:p>
      <w:pPr>
        <w:spacing w:after="0" w:line="160" w:lineRule="exact"/>
        <w:rPr>
          <w:sz w:val="20"/>
          <w:szCs w:val="20"/>
          <w:color w:val="auto"/>
        </w:rPr>
      </w:pPr>
    </w:p>
    <w:p>
      <w:pPr>
        <w:jc w:val="both"/>
        <w:ind w:firstLine="568"/>
        <w:spacing w:after="0" w:line="24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Borrower Assignment and Assumption</w:t>
      </w:r>
      <w:r>
        <w:rPr>
          <w:rFonts w:ascii="Arial" w:cs="Arial" w:eastAsia="Arial" w:hAnsi="Arial"/>
          <w:sz w:val="17"/>
          <w:szCs w:val="17"/>
          <w:color w:val="auto"/>
        </w:rPr>
        <w:t>” means an assignment and assumption agreement substantially in the form of Exhibit A-2, or any other form reasonably approved by the Administrative Agent.</w:t>
      </w:r>
    </w:p>
    <w:p>
      <w:pPr>
        <w:spacing w:after="0" w:line="12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Borrower Materials</w:t>
      </w:r>
      <w:r>
        <w:rPr>
          <w:rFonts w:ascii="Arial" w:cs="Arial" w:eastAsia="Arial" w:hAnsi="Arial"/>
          <w:sz w:val="17"/>
          <w:szCs w:val="17"/>
          <w:color w:val="auto"/>
        </w:rPr>
        <w:t>” has the meaning assigned to such term in Section 5.01.</w:t>
      </w:r>
    </w:p>
    <w:p>
      <w:pPr>
        <w:spacing w:after="0" w:line="160" w:lineRule="exact"/>
        <w:rPr>
          <w:sz w:val="20"/>
          <w:szCs w:val="20"/>
          <w:color w:val="auto"/>
        </w:rPr>
      </w:pPr>
    </w:p>
    <w:p>
      <w:pPr>
        <w:jc w:val="both"/>
        <w:ind w:right="20" w:firstLine="568"/>
        <w:spacing w:after="0" w:line="24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Borrower Offer of Specified Discount Prepayment</w:t>
      </w:r>
      <w:r>
        <w:rPr>
          <w:rFonts w:ascii="Arial" w:cs="Arial" w:eastAsia="Arial" w:hAnsi="Arial"/>
          <w:sz w:val="17"/>
          <w:szCs w:val="17"/>
          <w:color w:val="auto"/>
        </w:rPr>
        <w:t>” means the offer by the Borrower to make a voluntary prepayment of Term Loans at a specified discount to par pursuant to Section 2.09(a)(ii)(B).</w:t>
      </w:r>
    </w:p>
    <w:p>
      <w:pPr>
        <w:spacing w:after="0" w:line="128" w:lineRule="exact"/>
        <w:rPr>
          <w:sz w:val="20"/>
          <w:szCs w:val="20"/>
          <w:color w:val="auto"/>
        </w:rPr>
      </w:pPr>
    </w:p>
    <w:p>
      <w:pPr>
        <w:jc w:val="both"/>
        <w:ind w:right="20" w:firstLine="568"/>
        <w:spacing w:after="0" w:line="24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Borrower Solicitation of Discount Range Prepayment Offers</w:t>
      </w:r>
      <w:r>
        <w:rPr>
          <w:rFonts w:ascii="Arial" w:cs="Arial" w:eastAsia="Arial" w:hAnsi="Arial"/>
          <w:sz w:val="17"/>
          <w:szCs w:val="17"/>
          <w:color w:val="auto"/>
        </w:rPr>
        <w:t>” means the solicitation by the Borrower of offers for, and the corresponding acceptance by a Term Lender of, a voluntary prepayment of Term Loans at a specified range at a discount to par pursuant to Section 2.09(a)(ii)(C).</w:t>
      </w:r>
    </w:p>
    <w:p>
      <w:pPr>
        <w:spacing w:after="0" w:line="128" w:lineRule="exact"/>
        <w:rPr>
          <w:sz w:val="20"/>
          <w:szCs w:val="20"/>
          <w:color w:val="auto"/>
        </w:rPr>
      </w:pPr>
    </w:p>
    <w:p>
      <w:pPr>
        <w:jc w:val="both"/>
        <w:ind w:right="20" w:firstLine="568"/>
        <w:spacing w:after="0" w:line="24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Borrower Solicitation of Discounted Prepayment Offers</w:t>
      </w:r>
      <w:r>
        <w:rPr>
          <w:rFonts w:ascii="Arial" w:cs="Arial" w:eastAsia="Arial" w:hAnsi="Arial"/>
          <w:sz w:val="17"/>
          <w:szCs w:val="17"/>
          <w:color w:val="auto"/>
        </w:rPr>
        <w:t>” means the solicitation by the Borrower of offers for, and the subsequent acceptance, if any, by a Term Lender of, a voluntary prepayment of Term Loans at a discount to par pursuant to Section 2.09(a)(ii)(D).</w:t>
      </w:r>
    </w:p>
    <w:p>
      <w:pPr>
        <w:spacing w:after="0" w:line="128" w:lineRule="exact"/>
        <w:rPr>
          <w:sz w:val="20"/>
          <w:szCs w:val="20"/>
          <w:color w:val="auto"/>
        </w:rPr>
      </w:pPr>
    </w:p>
    <w:p>
      <w:pPr>
        <w:jc w:val="both"/>
        <w:ind w:right="20" w:firstLine="568"/>
        <w:spacing w:after="0" w:line="24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Borrowing</w:t>
      </w:r>
      <w:r>
        <w:rPr>
          <w:rFonts w:ascii="Arial" w:cs="Arial" w:eastAsia="Arial" w:hAnsi="Arial"/>
          <w:sz w:val="17"/>
          <w:szCs w:val="17"/>
          <w:color w:val="auto"/>
        </w:rPr>
        <w:t>” means (i) Loans of the same Class and Type, made, converted or continued on the same date and, in the case of Term Benchmark Loans, as to which a single Interest Period is in effect, or (ii) a Swingline Loan.</w:t>
      </w:r>
    </w:p>
    <w:p>
      <w:pPr>
        <w:spacing w:after="0" w:line="12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Borrowing Request</w:t>
      </w:r>
      <w:r>
        <w:rPr>
          <w:rFonts w:ascii="Arial" w:cs="Arial" w:eastAsia="Arial" w:hAnsi="Arial"/>
          <w:sz w:val="17"/>
          <w:szCs w:val="17"/>
          <w:color w:val="auto"/>
        </w:rPr>
        <w:t>” means a request by the Borrower for a Borrowing in accordance with Section 2.03.</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Broker-Dealer Subsidiary</w:t>
      </w:r>
      <w:r>
        <w:rPr>
          <w:rFonts w:ascii="Arial" w:cs="Arial" w:eastAsia="Arial" w:hAnsi="Arial"/>
          <w:sz w:val="15"/>
          <w:szCs w:val="15"/>
          <w:color w:val="auto"/>
        </w:rPr>
        <w:t>” means any Restricted Subsidiary that is registered as (a) a broker or a dealer pursuant to Section 15 of the Exchange Act or</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(b) a broker or a dealer or an underwriter under any foreign securities law.</w:t>
      </w:r>
    </w:p>
    <w:p>
      <w:pPr>
        <w:spacing w:after="0" w:line="140" w:lineRule="exact"/>
        <w:rPr>
          <w:sz w:val="20"/>
          <w:szCs w:val="20"/>
          <w:color w:val="auto"/>
        </w:rPr>
      </w:pPr>
    </w:p>
    <w:p>
      <w:pPr>
        <w:jc w:val="both"/>
        <w:ind w:firstLine="568"/>
        <w:spacing w:after="0" w:line="22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Business Day</w:t>
      </w:r>
      <w:r>
        <w:rPr>
          <w:rFonts w:ascii="Arial" w:cs="Arial" w:eastAsia="Arial" w:hAnsi="Arial"/>
          <w:sz w:val="17"/>
          <w:szCs w:val="17"/>
          <w:color w:val="auto"/>
        </w:rPr>
        <w:t xml:space="preserve">” means, any day (other than a Saturday or a Sunday) on which banks are open for business in New York City;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when used in connection with a determination of the Term SOFR Reference Rate, the term “Business Day” means any such day that is also a day on which banks are open for business in Chicago.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260"/>
          </w:cols>
          <w:pgMar w:left="320" w:top="1440" w:right="319" w:bottom="1440" w:gutter="0" w:footer="0" w:header="0"/>
        </w:sectPr>
      </w:pPr>
    </w:p>
    <w:bookmarkStart w:id="183" w:name="page184"/>
    <w:bookmarkEnd w:id="183"/>
    <w:p>
      <w:pPr>
        <w:spacing w:after="0" w:line="384" w:lineRule="exact"/>
        <w:rPr>
          <w:sz w:val="20"/>
          <w:szCs w:val="20"/>
          <w:color w:val="auto"/>
        </w:rPr>
      </w:pPr>
    </w:p>
    <w:p>
      <w:pPr>
        <w:jc w:val="both"/>
        <w:ind w:right="20" w:firstLine="568"/>
        <w:spacing w:after="0" w:line="23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Capital Lease Obligations</w:t>
      </w:r>
      <w:r>
        <w:rPr>
          <w:rFonts w:ascii="Arial" w:cs="Arial" w:eastAsia="Arial" w:hAnsi="Arial"/>
          <w:sz w:val="16"/>
          <w:szCs w:val="16"/>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or finance leases on a balance sheet of such Person under GAAP as in effect as of December 15, 2018, and the amount of such obligations shall be the capitalized amount thereof determined in accordance with GAAP. For purposes of Section 6.02, a Capital Lease Obligation shall be deemed to be secured by a Lien on the property being leased and such property shall be deemed to be owned by the lessee.</w:t>
      </w:r>
    </w:p>
    <w:p>
      <w:pPr>
        <w:spacing w:after="0" w:line="129" w:lineRule="exact"/>
        <w:rPr>
          <w:sz w:val="20"/>
          <w:szCs w:val="20"/>
          <w:color w:val="auto"/>
        </w:rPr>
      </w:pPr>
    </w:p>
    <w:p>
      <w:pPr>
        <w:jc w:val="both"/>
        <w:ind w:right="20" w:firstLine="568"/>
        <w:spacing w:after="0" w:line="22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Capitalized Leases</w:t>
      </w:r>
      <w:r>
        <w:rPr>
          <w:rFonts w:ascii="Arial" w:cs="Arial" w:eastAsia="Arial" w:hAnsi="Arial"/>
          <w:sz w:val="17"/>
          <w:szCs w:val="17"/>
          <w:color w:val="auto"/>
        </w:rPr>
        <w:t xml:space="preserve">” means all leases that have been or should be, in accordance with GAAP as in effect as of December 15, 2018, recorded as capitalized leases or finance leases;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for all purposes hereunder the amount of obligations under any Capitalized Lease shall be the amount thereof accounted for as a liability in accordance with GAAP.</w:t>
      </w:r>
    </w:p>
    <w:p>
      <w:pPr>
        <w:spacing w:after="0" w:line="130" w:lineRule="exact"/>
        <w:rPr>
          <w:sz w:val="20"/>
          <w:szCs w:val="20"/>
          <w:color w:val="auto"/>
        </w:rPr>
      </w:pPr>
    </w:p>
    <w:p>
      <w:pPr>
        <w:jc w:val="both"/>
        <w:ind w:right="20" w:firstLine="568"/>
        <w:spacing w:after="0" w:line="26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Capitalized Software Expenditures</w:t>
      </w:r>
      <w:r>
        <w:rPr>
          <w:rFonts w:ascii="Arial" w:cs="Arial" w:eastAsia="Arial" w:hAnsi="Arial"/>
          <w:sz w:val="15"/>
          <w:szCs w:val="15"/>
          <w:color w:val="auto"/>
        </w:rPr>
        <w:t>” means, for any period, the aggregate of all expenditures (whether paid in cash or accrued as liabilities) by Holdings and its Restricted Subsidiaries during such period in respect of purchased software or internally developed software and software enhancements that, in conformity with GAAP, are or are required to be reflected as capitalized costs on the consolidated balance sheet of Holdings and the Restricted Subsidiaries.</w:t>
      </w:r>
    </w:p>
    <w:p>
      <w:pPr>
        <w:spacing w:after="0" w:line="109" w:lineRule="exact"/>
        <w:rPr>
          <w:sz w:val="20"/>
          <w:szCs w:val="20"/>
          <w:color w:val="auto"/>
        </w:rPr>
      </w:pPr>
    </w:p>
    <w:p>
      <w:pPr>
        <w:jc w:val="both"/>
        <w:ind w:right="20" w:firstLine="568"/>
        <w:spacing w:after="0" w:line="27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Cash Management Obligations</w:t>
      </w:r>
      <w:r>
        <w:rPr>
          <w:rFonts w:ascii="Arial" w:cs="Arial" w:eastAsia="Arial" w:hAnsi="Arial"/>
          <w:sz w:val="16"/>
          <w:szCs w:val="16"/>
          <w:color w:val="auto"/>
        </w:rPr>
        <w:t>” means obligations of Holdings, any Intermediate Parent, the Borrower or any Restricted Subsidiary in respect of any overdraft and related liabilities arising from treasury, depository and cash management services or any automated clearing house transfers of funds.</w:t>
      </w:r>
    </w:p>
    <w:p>
      <w:pPr>
        <w:spacing w:after="0" w:line="105" w:lineRule="exact"/>
        <w:rPr>
          <w:sz w:val="20"/>
          <w:szCs w:val="20"/>
          <w:color w:val="auto"/>
        </w:rPr>
      </w:pPr>
    </w:p>
    <w:p>
      <w:pPr>
        <w:jc w:val="both"/>
        <w:ind w:right="20" w:firstLine="568"/>
        <w:spacing w:after="0" w:line="22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Casualty Event</w:t>
      </w:r>
      <w:r>
        <w:rPr>
          <w:rFonts w:ascii="Arial" w:cs="Arial" w:eastAsia="Arial" w:hAnsi="Arial"/>
          <w:sz w:val="17"/>
          <w:szCs w:val="17"/>
          <w:color w:val="auto"/>
        </w:rPr>
        <w:t>” means any event that gives rise to the receipt by Holdings, any Intermediate Parent, the Borrower or any Restricted Subsidiary of Holdings of any insurance proceeds or condemnation awards in respect of any equipment, fixed assets or real property (including any improvements thereon) to replace or repair such equipment, fixed assets or real property.</w:t>
      </w:r>
    </w:p>
    <w:p>
      <w:pPr>
        <w:spacing w:after="0" w:line="13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CFC</w:t>
      </w:r>
      <w:r>
        <w:rPr>
          <w:rFonts w:ascii="Arial" w:cs="Arial" w:eastAsia="Arial" w:hAnsi="Arial"/>
          <w:sz w:val="17"/>
          <w:szCs w:val="17"/>
          <w:color w:val="auto"/>
        </w:rPr>
        <w:t>” has the meaning assigned to such term in the definition of “Excluded Domestic Subsidiary.”</w:t>
      </w:r>
    </w:p>
    <w:p>
      <w:pPr>
        <w:spacing w:after="0" w:line="160" w:lineRule="exact"/>
        <w:rPr>
          <w:sz w:val="20"/>
          <w:szCs w:val="20"/>
          <w:color w:val="auto"/>
        </w:rPr>
      </w:pPr>
    </w:p>
    <w:p>
      <w:pPr>
        <w:jc w:val="both"/>
        <w:ind w:firstLine="568"/>
        <w:spacing w:after="0" w:line="22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Change in Control</w:t>
      </w:r>
      <w:r>
        <w:rPr>
          <w:rFonts w:ascii="Arial" w:cs="Arial" w:eastAsia="Arial" w:hAnsi="Arial"/>
          <w:sz w:val="16"/>
          <w:szCs w:val="16"/>
          <w:color w:val="auto"/>
        </w:rPr>
        <w:t>” means the occurrence of any of the following: (a) the direct or indirect sale, lease, transfer, conveyance or other disposition (other than by way of merger or consolidation), in one or a series of related transactions, of all or substantially all of the assets of Holdings and its Subsidiaries taken as a whole to any “person” or “group” (as each such term is used in Section 13(d) of the Exchange Act) other than Holdings, one or more or its Restricted Subsidiaries, or one or more Permitted Holders; (b) the adoption of a plan relating to the liquidation or dissolution of Holdings; (c) the consummation of any transaction (including, without limitation, any merger or consolidation), the result of which is that any “person” or “group” (each as defined above) other than one or more Permitted Holders is or becomes the Beneficial Owner, directly or indirectly, of more than 50% of the Voting Stock of Holdings, measured by voting power rather than number of shares, units or the like; (d) the failure of either VFI or Holdings, directly or indirectly through Wholly Owned Subsidiaries, to own all of the Equity Interests of the Borrower; or (e) the occurrence of a “Change of Control” (or similar event, however denominated), as defined in the documentation governing any Material Indebtedness that is Permitted First Priority Refinancing Debt, Permitted Junior Lien Refinancing Debt, Permitted Unsecured Refinancing Debt, Incremental Equivalent Debt or Junior 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260"/>
          </w:cols>
          <w:pgMar w:left="320" w:top="1440" w:right="319" w:bottom="1440" w:gutter="0" w:footer="0" w:header="0"/>
        </w:sectPr>
      </w:pPr>
    </w:p>
    <w:bookmarkStart w:id="184" w:name="page185"/>
    <w:bookmarkEnd w:id="184"/>
    <w:p>
      <w:pPr>
        <w:spacing w:after="0" w:line="390" w:lineRule="exact"/>
        <w:rPr>
          <w:sz w:val="20"/>
          <w:szCs w:val="20"/>
          <w:color w:val="auto"/>
        </w:rPr>
      </w:pPr>
    </w:p>
    <w:p>
      <w:pPr>
        <w:jc w:val="both"/>
        <w:ind w:firstLine="568"/>
        <w:spacing w:after="0" w:line="209" w:lineRule="auto"/>
        <w:rPr>
          <w:sz w:val="20"/>
          <w:szCs w:val="20"/>
          <w:color w:val="auto"/>
        </w:rPr>
      </w:pPr>
      <w:r>
        <w:rPr>
          <w:rFonts w:ascii="Arial" w:cs="Arial" w:eastAsia="Arial" w:hAnsi="Arial"/>
          <w:sz w:val="17"/>
          <w:szCs w:val="17"/>
          <w:color w:val="auto"/>
        </w:rPr>
        <w:t>In addition, notwithstanding the foregoing, (i) a transaction in which the Borrower, Holdings or a direct or indirect parent entity of Holdings becomes a direct or indirect subsidiary of another person shall not constitute a Change in Control if (A) the equityholders of the Borrower, Holdings or such parent entity immediately prior to such transaction beneficially own, directly or indirectly through one or more intermediaries, at least a majority of the total voting power of the Voting Stock of the Borrower, Holdings or such parent entity immediately following the consummation of such transaction, substantially in proportion to their holdings of the equity of the Borrower, Holdings or such parent entity prior to such transaction or (B) immediately following the consummation of such transaction, no “person” or “group” (each as defined above), other than one or more Permitted Holders is or becomes the Beneficial Owner, directly or indirectly, of more than 50% of the Voting Stock of the Borrower, Holdings or such parent entity, measured by voting power rather than number of shares, units or the like and (ii) a “person” or “group” (each as defined above) shall not be deemed to Beneficially Own Voting Stock to be acquired pursuant to a stock or asset purchase agreement, merger agreement, option agreement, warrant agreement or similar agreement providing a right to acquire Voting Stock (or voting or option or similar agreement related thereto) until the consummation of the acquisition of the Voting Stock in connection with the transactions contemplated by such agreement (so long as such agreement does not give such “person” or “group” the right to direct the voting of the applicable Voting Stock prior to the consummation of such acquisition).</w:t>
      </w:r>
    </w:p>
    <w:p>
      <w:pPr>
        <w:spacing w:after="0" w:line="130" w:lineRule="exact"/>
        <w:rPr>
          <w:sz w:val="20"/>
          <w:szCs w:val="20"/>
          <w:color w:val="auto"/>
        </w:rPr>
      </w:pPr>
    </w:p>
    <w:p>
      <w:pPr>
        <w:jc w:val="both"/>
        <w:ind w:firstLine="568"/>
        <w:spacing w:after="0" w:line="22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Change in Law</w:t>
      </w:r>
      <w:r>
        <w:rPr>
          <w:rFonts w:ascii="Arial" w:cs="Arial" w:eastAsia="Arial" w:hAnsi="Arial"/>
          <w:sz w:val="17"/>
          <w:szCs w:val="17"/>
          <w:color w:val="auto"/>
        </w:rPr>
        <w:t>” means: (a) the adoption of any rule, regulation, treaty or other law after the Closing Date, (b) any change in any rule, regulation, treaty or other law or in the administration, interpretation or application thereof by any Governmental Authority or Regulatory Supervising Organization after the Closing Date or (c) the making or issuance of any request, guideline or directive (whether or not having the force of law) of any Governmental Authority or Regulatory Supervising Organization made or issued after the Closing Date.</w:t>
      </w:r>
    </w:p>
    <w:p>
      <w:pPr>
        <w:spacing w:after="0" w:line="129" w:lineRule="exact"/>
        <w:rPr>
          <w:sz w:val="20"/>
          <w:szCs w:val="20"/>
          <w:color w:val="auto"/>
        </w:rPr>
      </w:pPr>
    </w:p>
    <w:p>
      <w:pPr>
        <w:jc w:val="both"/>
        <w:ind w:firstLine="568"/>
        <w:spacing w:after="0" w:line="22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Class</w:t>
      </w:r>
      <w:r>
        <w:rPr>
          <w:rFonts w:ascii="Arial" w:cs="Arial" w:eastAsia="Arial" w:hAnsi="Arial"/>
          <w:sz w:val="16"/>
          <w:szCs w:val="16"/>
          <w:color w:val="auto"/>
        </w:rPr>
        <w:t>” when used in reference to (a) any Loan or Borrowing, refers to whether such Loan, or the Loans comprising such Borrowing, are Revolving Loans, Other Revolving Loans, Initial Term Loans, Other Term Loans, Incremental Term Loans (other than in the form of additional Initial Term Loans), loans under an Incremental Revolving Facility or Swingline Loans, (b) any Commitment, refers to whether such Commitment is a Revolving Commitment, Other Revolving Commitment, Term Commitment, Other Term Commitment, Incremental Term Commitment or commitment in respect of an Incremental Revolving Facility and (c) any Lender, refers to whether such Lender has a Loan or Commitment with respect to a particular Class of Loans or Commitments. Other Term Commitments, Incremental Term Commitments, commitment in respect of an Incremental Revolving Facility (other than commitments in respect of increases to existing Revolving Commitments), Other Term Loans, Incremental Term Loans (other than Incremental Term Loans in the form of Initial Term Loans), Other Revolving Commitments (and the Other Revolving Loans made pursuant thereto), loans under an Incremental Revolving Facility and Incremental Term Facilities that have different terms and conditions shall be construed to be in different Classes.</w:t>
      </w:r>
    </w:p>
    <w:p>
      <w:pPr>
        <w:spacing w:after="0" w:line="12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Closing Date</w:t>
      </w:r>
      <w:r>
        <w:rPr>
          <w:rFonts w:ascii="Arial" w:cs="Arial" w:eastAsia="Arial" w:hAnsi="Arial"/>
          <w:sz w:val="17"/>
          <w:szCs w:val="17"/>
          <w:color w:val="auto"/>
        </w:rPr>
        <w:t>” means January 13, 2022.</w:t>
      </w:r>
    </w:p>
    <w:p>
      <w:pPr>
        <w:spacing w:after="0" w:line="160" w:lineRule="exact"/>
        <w:rPr>
          <w:sz w:val="20"/>
          <w:szCs w:val="20"/>
          <w:color w:val="auto"/>
        </w:rPr>
      </w:pPr>
    </w:p>
    <w:p>
      <w:pPr>
        <w:jc w:val="both"/>
        <w:ind w:firstLine="568"/>
        <w:spacing w:after="0" w:line="22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CME Term SOFR Administrator</w:t>
      </w:r>
      <w:r>
        <w:rPr>
          <w:rFonts w:ascii="Arial" w:cs="Arial" w:eastAsia="Arial" w:hAnsi="Arial"/>
          <w:sz w:val="17"/>
          <w:szCs w:val="17"/>
          <w:color w:val="auto"/>
        </w:rPr>
        <w:t>” means CME Group Benchmark Administration Limited as administrator of the forward-looking term Secured Overnight Financing Rate (SOFR) (or a successor administrator of the forward-looking term SOFR selected by the Administrative Agent in its reasonable discretion).</w:t>
      </w:r>
    </w:p>
    <w:p>
      <w:pPr>
        <w:spacing w:after="0" w:line="13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Code</w:t>
      </w:r>
      <w:r>
        <w:rPr>
          <w:rFonts w:ascii="Arial" w:cs="Arial" w:eastAsia="Arial" w:hAnsi="Arial"/>
          <w:sz w:val="17"/>
          <w:szCs w:val="17"/>
          <w:color w:val="auto"/>
        </w:rPr>
        <w:t>” means the Internal Revenue Code of 1986, as amended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260"/>
          </w:cols>
          <w:pgMar w:left="320" w:top="1440" w:right="319" w:bottom="1440" w:gutter="0" w:footer="0" w:header="0"/>
        </w:sectPr>
      </w:pPr>
    </w:p>
    <w:bookmarkStart w:id="185" w:name="page186"/>
    <w:bookmarkEnd w:id="185"/>
    <w:p>
      <w:pPr>
        <w:spacing w:after="0" w:line="384" w:lineRule="exact"/>
        <w:rPr>
          <w:sz w:val="20"/>
          <w:szCs w:val="20"/>
          <w:color w:val="auto"/>
        </w:rPr>
      </w:pPr>
    </w:p>
    <w:p>
      <w:pPr>
        <w:ind w:right="20" w:firstLine="568"/>
        <w:spacing w:after="0" w:line="24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Collateral</w:t>
      </w:r>
      <w:r>
        <w:rPr>
          <w:rFonts w:ascii="Arial" w:cs="Arial" w:eastAsia="Arial" w:hAnsi="Arial"/>
          <w:sz w:val="17"/>
          <w:szCs w:val="17"/>
          <w:color w:val="auto"/>
        </w:rPr>
        <w:t>” means any and all assets, whether real or personal, tangible or intangible, on which Liens are purported to be granted pursuant to the Security Documents as security for the Secured Obligations.</w:t>
      </w:r>
    </w:p>
    <w:p>
      <w:pPr>
        <w:spacing w:after="0" w:line="128" w:lineRule="exact"/>
        <w:rPr>
          <w:sz w:val="20"/>
          <w:szCs w:val="20"/>
          <w:color w:val="auto"/>
        </w:rPr>
      </w:pPr>
    </w:p>
    <w:p>
      <w:pPr>
        <w:ind w:firstLine="568"/>
        <w:spacing w:after="0" w:line="24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Collateral Agreement</w:t>
      </w:r>
      <w:r>
        <w:rPr>
          <w:rFonts w:ascii="Arial" w:cs="Arial" w:eastAsia="Arial" w:hAnsi="Arial"/>
          <w:sz w:val="17"/>
          <w:szCs w:val="17"/>
          <w:color w:val="auto"/>
        </w:rPr>
        <w:t>” means the Collateral Agreement, dated as of January 13, 2022, among the Borrower, each other Loan Party and the Administrative Agent, initially substantially in the form of Exhibit D.</w:t>
      </w:r>
    </w:p>
    <w:p>
      <w:pPr>
        <w:spacing w:after="0" w:line="12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Collateral and Guarantee Requirement</w:t>
      </w:r>
      <w:r>
        <w:rPr>
          <w:rFonts w:ascii="Arial" w:cs="Arial" w:eastAsia="Arial" w:hAnsi="Arial"/>
          <w:sz w:val="17"/>
          <w:szCs w:val="17"/>
          <w:color w:val="auto"/>
        </w:rPr>
        <w:t>” means, at any time, the requirement that:</w:t>
      </w:r>
    </w:p>
    <w:p>
      <w:pPr>
        <w:spacing w:after="0" w:line="166" w:lineRule="exact"/>
        <w:rPr>
          <w:sz w:val="20"/>
          <w:szCs w:val="20"/>
          <w:color w:val="auto"/>
        </w:rPr>
      </w:pPr>
    </w:p>
    <w:p>
      <w:pPr>
        <w:jc w:val="both"/>
        <w:ind w:firstLine="563"/>
        <w:spacing w:after="0" w:line="238" w:lineRule="auto"/>
        <w:tabs>
          <w:tab w:leader="none" w:pos="1010" w:val="left"/>
        </w:tabs>
        <w:numPr>
          <w:ilvl w:val="0"/>
          <w:numId w:val="76"/>
        </w:numPr>
        <w:rPr>
          <w:rFonts w:ascii="Arial" w:cs="Arial" w:eastAsia="Arial" w:hAnsi="Arial"/>
          <w:sz w:val="15"/>
          <w:szCs w:val="15"/>
          <w:color w:val="auto"/>
        </w:rPr>
      </w:pPr>
      <w:r>
        <w:rPr>
          <w:rFonts w:ascii="Arial" w:cs="Arial" w:eastAsia="Arial" w:hAnsi="Arial"/>
          <w:sz w:val="15"/>
          <w:szCs w:val="15"/>
          <w:color w:val="auto"/>
        </w:rPr>
        <w:t>the Administrative Agent shall have received from (i) Holdings, any Intermediate Parent, the Borrower and each of Holdings’ other Restricted Subsidiaries (other than any Foreign Subsidiary, any Regulated Subsidiary, any Excluded Subsidiary or any Excluded Domestic Subsidiary) either (x) a counterpart of the Guarantee Agreement duly executed and delivered on behalf of such Person or (y) in the case of any Person that becomes a Loan Party after the Closing Date (including by ceasing to be an Excluded Subsidiary, an Immaterial Subsidiary, a Foreign Subsidiary, a Regulated Subsidiary or an Excluded Domestic Subsidiary), a supplement to the Guarantee Agreement, in the form specified therein, duly executed and delivered on behalf of such Person and (ii) Holdings, any Intermediate Parent, the Borrower and each Subsidiary Loan Party either (x) a counterpart of the Collateral Agreement duly executed and delivered on behalf of such Person or (y) in the case of any Person that becomes a Loan Party after the Closing Date (including by ceasing to be an Excluded Subsidiary, an Immaterial Subsidiary, a Foreign Subsidiary, a Regulated Subsidiary or an Excluded Domestic Subsidiary), a supplement to the Collateral Agreement, in the form specified therein, duly executed and delivered on behalf of such Person, in each case under this clause (a) together with, in the case of any such Loan Documents executed and delivered after the Closing Date, documents and opinions of the type referred to in Sections 4.01(b) and 4.01(c);</w:t>
      </w:r>
    </w:p>
    <w:p>
      <w:pPr>
        <w:spacing w:after="0" w:line="136" w:lineRule="exact"/>
        <w:rPr>
          <w:rFonts w:ascii="Arial" w:cs="Arial" w:eastAsia="Arial" w:hAnsi="Arial"/>
          <w:sz w:val="15"/>
          <w:szCs w:val="15"/>
          <w:color w:val="auto"/>
        </w:rPr>
      </w:pPr>
    </w:p>
    <w:p>
      <w:pPr>
        <w:jc w:val="both"/>
        <w:ind w:right="20" w:firstLine="563"/>
        <w:spacing w:after="0" w:line="230" w:lineRule="auto"/>
        <w:tabs>
          <w:tab w:leader="none" w:pos="1095" w:val="left"/>
        </w:tabs>
        <w:numPr>
          <w:ilvl w:val="0"/>
          <w:numId w:val="76"/>
        </w:numPr>
        <w:rPr>
          <w:rFonts w:ascii="Arial" w:cs="Arial" w:eastAsia="Arial" w:hAnsi="Arial"/>
          <w:sz w:val="16"/>
          <w:szCs w:val="16"/>
          <w:color w:val="auto"/>
        </w:rPr>
      </w:pPr>
      <w:r>
        <w:rPr>
          <w:rFonts w:ascii="Arial" w:cs="Arial" w:eastAsia="Arial" w:hAnsi="Arial"/>
          <w:sz w:val="16"/>
          <w:szCs w:val="16"/>
          <w:color w:val="auto"/>
        </w:rPr>
        <w:t xml:space="preserve">all outstanding Equity Interests of any Intermediate Parent, the Borrower and each Restricted Subsidiary (other than any Equity Interests constituting Excluded Assets) owned by or on behalf of any Loan Party, shall have been pledged pursuant to the Collateral Agreement, and the Administrative Agent shall have received certificates or other instruments representing all such Equity Interests (if any), together with undated stock powers or other instruments of transfer with respect thereto endorsed in blank;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with respect to the Equity Interests of any Regulated Subsidiary, such instruments shall be subject to customary enforcement limitations, including regulatory approvals at the time of enforcement;</w:t>
      </w:r>
    </w:p>
    <w:p>
      <w:pPr>
        <w:spacing w:after="0" w:line="136" w:lineRule="exact"/>
        <w:rPr>
          <w:rFonts w:ascii="Arial" w:cs="Arial" w:eastAsia="Arial" w:hAnsi="Arial"/>
          <w:sz w:val="16"/>
          <w:szCs w:val="16"/>
          <w:color w:val="auto"/>
        </w:rPr>
      </w:pPr>
    </w:p>
    <w:p>
      <w:pPr>
        <w:jc w:val="both"/>
        <w:ind w:right="20" w:firstLine="563"/>
        <w:spacing w:after="0" w:line="220" w:lineRule="auto"/>
        <w:tabs>
          <w:tab w:leader="none" w:pos="1046" w:val="left"/>
        </w:tabs>
        <w:numPr>
          <w:ilvl w:val="0"/>
          <w:numId w:val="76"/>
        </w:numPr>
        <w:rPr>
          <w:rFonts w:ascii="Arial" w:cs="Arial" w:eastAsia="Arial" w:hAnsi="Arial"/>
          <w:sz w:val="17"/>
          <w:szCs w:val="17"/>
          <w:color w:val="auto"/>
        </w:rPr>
      </w:pPr>
      <w:r>
        <w:rPr>
          <w:rFonts w:ascii="Arial" w:cs="Arial" w:eastAsia="Arial" w:hAnsi="Arial"/>
          <w:sz w:val="17"/>
          <w:szCs w:val="17"/>
          <w:color w:val="auto"/>
        </w:rPr>
        <w:t>if any Indebtedness for borrowed money (including in respect of cash management arrangements) of Holdings, any Intermediate Parent, the Borrower or any Subsidiary in a principal amount of $5,000,000 or more is owing by such obligor to any Loan Party, such Indebtedness shall be evidenced by a promissory note that shall have been pledged pursuant to the Collateral Agreement, and the Administrative Agent shall have received all such promissory notes, together with undated instruments of transfer with respect thereto endorsed in blank;</w:t>
      </w:r>
    </w:p>
    <w:p>
      <w:pPr>
        <w:spacing w:after="0" w:line="135" w:lineRule="exact"/>
        <w:rPr>
          <w:rFonts w:ascii="Arial" w:cs="Arial" w:eastAsia="Arial" w:hAnsi="Arial"/>
          <w:sz w:val="17"/>
          <w:szCs w:val="17"/>
          <w:color w:val="auto"/>
        </w:rPr>
      </w:pPr>
    </w:p>
    <w:p>
      <w:pPr>
        <w:jc w:val="both"/>
        <w:ind w:firstLine="563"/>
        <w:spacing w:after="0" w:line="220" w:lineRule="auto"/>
        <w:tabs>
          <w:tab w:leader="none" w:pos="1059" w:val="left"/>
        </w:tabs>
        <w:numPr>
          <w:ilvl w:val="0"/>
          <w:numId w:val="76"/>
        </w:numPr>
        <w:rPr>
          <w:rFonts w:ascii="Arial" w:cs="Arial" w:eastAsia="Arial" w:hAnsi="Arial"/>
          <w:sz w:val="17"/>
          <w:szCs w:val="17"/>
          <w:color w:val="auto"/>
        </w:rPr>
      </w:pPr>
      <w:r>
        <w:rPr>
          <w:rFonts w:ascii="Arial" w:cs="Arial" w:eastAsia="Arial" w:hAnsi="Arial"/>
          <w:sz w:val="17"/>
          <w:szCs w:val="17"/>
          <w:color w:val="auto"/>
        </w:rPr>
        <w:t>all certificates, agreements, documents and instruments, including Uniform Commercial Code financing statements, required by the Security Documents or Requirements of Law and reasonably requested by the Administrative Agent to be filed, delivered, registered or recorded to create the Liens intended to be created by the Security Documents and perfect such Liens to the extent required by, and with the priority required by, the Security Documents and the other provisions of the term “Collateral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260"/>
          </w:cols>
          <w:pgMar w:left="320" w:top="1440" w:right="319" w:bottom="1440" w:gutter="0" w:footer="0" w:header="0"/>
        </w:sectPr>
      </w:pPr>
    </w:p>
    <w:bookmarkStart w:id="186" w:name="page187"/>
    <w:bookmarkEnd w:id="186"/>
    <w:p>
      <w:pPr>
        <w:spacing w:after="0" w:line="390" w:lineRule="exact"/>
        <w:rPr>
          <w:sz w:val="20"/>
          <w:szCs w:val="20"/>
          <w:color w:val="auto"/>
        </w:rPr>
      </w:pPr>
    </w:p>
    <w:p>
      <w:pPr>
        <w:ind w:left="5"/>
        <w:spacing w:after="0"/>
        <w:rPr>
          <w:sz w:val="20"/>
          <w:szCs w:val="20"/>
          <w:color w:val="auto"/>
        </w:rPr>
      </w:pPr>
      <w:r>
        <w:rPr>
          <w:rFonts w:ascii="Arial" w:cs="Arial" w:eastAsia="Arial" w:hAnsi="Arial"/>
          <w:sz w:val="17"/>
          <w:szCs w:val="17"/>
          <w:color w:val="auto"/>
        </w:rPr>
        <w:t>Guarantee Requirement,” shall have been filed, registered or recorded or delivered to the Administrative Agent for filing, registration or recording; and</w:t>
      </w:r>
    </w:p>
    <w:p>
      <w:pPr>
        <w:spacing w:after="0" w:line="160" w:lineRule="exact"/>
        <w:rPr>
          <w:sz w:val="20"/>
          <w:szCs w:val="20"/>
          <w:color w:val="auto"/>
        </w:rPr>
      </w:pPr>
    </w:p>
    <w:p>
      <w:pPr>
        <w:jc w:val="both"/>
        <w:ind w:left="5" w:right="20" w:firstLine="563"/>
        <w:spacing w:after="0"/>
        <w:tabs>
          <w:tab w:leader="none" w:pos="1038" w:val="left"/>
        </w:tabs>
        <w:numPr>
          <w:ilvl w:val="1"/>
          <w:numId w:val="77"/>
        </w:numPr>
        <w:rPr>
          <w:rFonts w:ascii="Arial" w:cs="Arial" w:eastAsia="Arial" w:hAnsi="Arial"/>
          <w:sz w:val="15"/>
          <w:szCs w:val="15"/>
          <w:color w:val="auto"/>
        </w:rPr>
      </w:pPr>
      <w:r>
        <w:rPr>
          <w:rFonts w:ascii="Arial" w:cs="Arial" w:eastAsia="Arial" w:hAnsi="Arial"/>
          <w:sz w:val="15"/>
          <w:szCs w:val="15"/>
          <w:color w:val="auto"/>
        </w:rPr>
        <w:t>within 90 days after a request therefor by the Administrative Agent in accordance with Section 5.12(b), the Administrative Agent shall have received (i) counterparts of a Mortgage with respect to each Mortgaged Property duly executed and delivered by the record owner of such Mortgaged Property,</w:t>
      </w:r>
    </w:p>
    <w:p>
      <w:pPr>
        <w:jc w:val="both"/>
        <w:ind w:left="5" w:hanging="5"/>
        <w:spacing w:after="0" w:line="209" w:lineRule="auto"/>
        <w:tabs>
          <w:tab w:leader="none" w:pos="262" w:val="left"/>
        </w:tabs>
        <w:numPr>
          <w:ilvl w:val="0"/>
          <w:numId w:val="78"/>
        </w:numPr>
        <w:rPr>
          <w:rFonts w:ascii="Arial" w:cs="Arial" w:eastAsia="Arial" w:hAnsi="Arial"/>
          <w:sz w:val="17"/>
          <w:szCs w:val="17"/>
          <w:color w:val="auto"/>
        </w:rPr>
      </w:pPr>
      <w:r>
        <w:rPr>
          <w:rFonts w:ascii="Arial" w:cs="Arial" w:eastAsia="Arial" w:hAnsi="Arial"/>
          <w:sz w:val="17"/>
          <w:szCs w:val="17"/>
          <w:color w:val="auto"/>
        </w:rPr>
        <w:t>a loan policy, or a pro forma loan policy accompanied by an unconditional binder, of title insurance insuring the Lien of each such Mortgage as a first priority mortgage Lien on the Mortgaged Property described therein, (w) issued by a nationally recognized title insurance company, (x) free of any other Liens except as expressly permitted by Section 6.02, (y) together with such endorsements, coinsurance and reinsurance as the Administrative Agent may reasonably request and which are available at commercially reasonably rates in the jurisdiction where the applicable Mortgaged Property is located, and (z) in an amount reasonably satisfactory to the Administrative Agent, but in no event exceeding One Hundred Percent (100%) of the value of the applicable Mortgaged Property as reasonably determined in good faith by the applicable Loan Party, (iii) a completed “Life of Loan” Federal Emergency Management Agency flood hazard determination with respect to such Mortgaged Property and (iv) such legal opinions as the Administrative Agent may reasonably request with respect to any such Mortgage or Mortgaged Property.</w:t>
      </w:r>
    </w:p>
    <w:p>
      <w:pPr>
        <w:spacing w:after="0" w:line="140" w:lineRule="exact"/>
        <w:rPr>
          <w:sz w:val="20"/>
          <w:szCs w:val="20"/>
          <w:color w:val="auto"/>
        </w:rPr>
      </w:pPr>
    </w:p>
    <w:p>
      <w:pPr>
        <w:jc w:val="both"/>
        <w:ind w:left="5"/>
        <w:spacing w:after="0" w:line="220" w:lineRule="auto"/>
        <w:rPr>
          <w:sz w:val="20"/>
          <w:szCs w:val="20"/>
          <w:color w:val="auto"/>
        </w:rPr>
      </w:pPr>
      <w:r>
        <w:rPr>
          <w:rFonts w:ascii="Arial" w:cs="Arial" w:eastAsia="Arial" w:hAnsi="Arial"/>
          <w:sz w:val="16"/>
          <w:szCs w:val="16"/>
          <w:color w:val="auto"/>
        </w:rPr>
        <w:t>Notwithstanding the foregoing provisions of this definition or anything in this Agreement or any other Loan Document to the contrary, (i) the foregoing provisions of this definition shall not require the creation or perfection of pledges of or security interests in, or the obtaining of title insurance, legal opinions or other deliverables with respect to, particular assets of the Loan Parties, or the provision of Guarantees by any Subsidiary, if, and for so long as the Administrative Agent and the Borrower reasonably agree in writing that the cost of creating or perfecting such pledges or security interests in such assets, or obtaining such title insurance, legal opinions or other deliverables in respect of such assets, or providing such Guarantees (taking into account any adverse tax consequences to Holdings and its Affiliates (including the imposition of withholding or other material taxes)), shall be excessive in view of the benefits to be obtained by the Lenders therefrom, (ii) Liens required to be granted from time to time pursuant to the term “Collateral and Guarantee Requirement” shall be subject to exceptions and limitations set forth in the Security Documents as in effect on the Closing Date, (iii) in no event shall control agreements or other control or similar arrangements be required with respect to deposit accounts, securities accounts, commodities accounts, letter of credit rights or other assets requiring perfection by control (but not, for the avoidance of doubt, possession), (iv) in no event shall any Loan Party be required to complete any filings or other action outside of the United States with respect to the perfection or creation of security interests in any jurisdiction outside of the United States (or otherwise enter into any security agreements, Mortgages or pledge agreements governed by the laws of any jurisdiction outside of the United States), (v) in no event shall the Collateral include any Excluded Assets and (vi) in no event shall landlord lien waivers, estoppels or collateral access agreements be required. The Administrative Agent may grant extensions of time for the creation and perfection of security interests in or the obtaining of title insurance, legal opinions or other deliverables with respect to particular assets or the provision of any Guarantee by any Subsidiary (including extensions beyond the Closing Date or in connection with assets acquired, or Subsidiaries formed or acquired, after the Closing Date) where it determines that such action cannot be accomplished without undue effort or expense by the time or times at which it would otherwise be required to be accomplished by this Agreement or the Security Documents (or the Guarantee Agreement, to the extent applicable).</w:t>
      </w:r>
    </w:p>
    <w:p>
      <w:pPr>
        <w:spacing w:after="0" w:line="131" w:lineRule="exact"/>
        <w:rPr>
          <w:sz w:val="20"/>
          <w:szCs w:val="20"/>
          <w:color w:val="auto"/>
        </w:rPr>
      </w:pPr>
    </w:p>
    <w:p>
      <w:pPr>
        <w:ind w:left="565"/>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Commitment</w:t>
      </w:r>
      <w:r>
        <w:rPr>
          <w:rFonts w:ascii="Arial" w:cs="Arial" w:eastAsia="Arial" w:hAnsi="Arial"/>
          <w:sz w:val="16"/>
          <w:szCs w:val="16"/>
          <w:color w:val="auto"/>
        </w:rPr>
        <w:t>” means (a) with respect to any Lender, its Revolving Commitment, Other Revolving Commitment, Term Commitment, Other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4"/>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265"/>
          </w:cols>
          <w:pgMar w:left="315" w:top="1440" w:right="319" w:bottom="1440" w:gutter="0" w:footer="0" w:header="0"/>
        </w:sectPr>
      </w:pPr>
    </w:p>
    <w:bookmarkStart w:id="187" w:name="page188"/>
    <w:bookmarkEnd w:id="187"/>
    <w:p>
      <w:pPr>
        <w:spacing w:after="0" w:line="390"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Commitment or commitment in respect of any Incremental Term Facility or Incremental Revolving Facility, in each case of any Class, or any combination thereof (as the context requires) and (b) with respect to any Swingline Lender, its Swingline Commitment.</w:t>
      </w:r>
    </w:p>
    <w:p>
      <w:pPr>
        <w:spacing w:after="0" w:line="129" w:lineRule="exact"/>
        <w:rPr>
          <w:sz w:val="20"/>
          <w:szCs w:val="20"/>
          <w:color w:val="auto"/>
        </w:rPr>
      </w:pPr>
    </w:p>
    <w:p>
      <w:pPr>
        <w:jc w:val="both"/>
        <w:ind w:firstLine="568"/>
        <w:spacing w:after="0" w:line="21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Commitment Fee Rate</w:t>
      </w:r>
      <w:r>
        <w:rPr>
          <w:rFonts w:ascii="Arial" w:cs="Arial" w:eastAsia="Arial" w:hAnsi="Arial"/>
          <w:sz w:val="17"/>
          <w:szCs w:val="17"/>
          <w:color w:val="auto"/>
        </w:rPr>
        <w:t xml:space="preserve">” means, for any day, the applicable percentage set forth below under the caption “Commitment Fee Percentage” based upon the Net First Lien Leverage Ratio as of the end of the fiscal quarter of Holdings for which consolidated financial statements have theretofore been most recently delivered pursuant to Section 5.01(a) or 5.01(b);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until the date of the delivery of the consolidated financial statements pursuant to Section 5.01(a) or (b), as applicable, as of and for the fiscal year ended December 31, 2021, the Commitment Fee Percentage shall be based on the rates per annum set forth in Category 1:</w:t>
      </w:r>
    </w:p>
    <w:p>
      <w:pPr>
        <w:spacing w:after="0" w:line="167" w:lineRule="exact"/>
        <w:rPr>
          <w:sz w:val="20"/>
          <w:szCs w:val="20"/>
          <w:color w:val="auto"/>
        </w:rPr>
      </w:pPr>
    </w:p>
    <w:tbl>
      <w:tblPr>
        <w:tblLayout w:type="fixed"/>
        <w:tblInd w:w="1290" w:type="dxa"/>
        <w:tblCellMar>
          <w:top w:w="0" w:type="dxa"/>
          <w:left w:w="0" w:type="dxa"/>
          <w:bottom w:w="0" w:type="dxa"/>
          <w:right w:w="0" w:type="dxa"/>
        </w:tblCellMar>
      </w:tblPr>
      <w:tr>
        <w:trPr>
          <w:trHeight w:val="64"/>
        </w:trPr>
        <w:tc>
          <w:tcPr>
            <w:tcW w:w="60" w:type="dxa"/>
            <w:vAlign w:val="bottom"/>
            <w:tcBorders>
              <w:top w:val="single" w:sz="8" w:color="auto"/>
              <w:left w:val="single" w:sz="8" w:color="auto"/>
              <w:right w:val="single" w:sz="8" w:color="auto"/>
            </w:tcBorders>
            <w:shd w:val="clear" w:color="auto" w:fill="000000"/>
          </w:tcPr>
          <w:p>
            <w:pPr>
              <w:spacing w:after="0"/>
              <w:rPr>
                <w:sz w:val="5"/>
                <w:szCs w:val="5"/>
                <w:color w:val="auto"/>
              </w:rPr>
            </w:pPr>
          </w:p>
        </w:tc>
        <w:tc>
          <w:tcPr>
            <w:tcW w:w="3580" w:type="dxa"/>
            <w:vAlign w:val="bottom"/>
            <w:tcBorders>
              <w:top w:val="single" w:sz="8" w:color="auto"/>
              <w:right w:val="single" w:sz="8" w:color="auto"/>
            </w:tcBorders>
            <w:shd w:val="clear" w:color="auto" w:fill="000000"/>
          </w:tcPr>
          <w:p>
            <w:pPr>
              <w:spacing w:after="0"/>
              <w:rPr>
                <w:sz w:val="5"/>
                <w:szCs w:val="5"/>
                <w:color w:val="auto"/>
              </w:rPr>
            </w:pPr>
          </w:p>
        </w:tc>
        <w:tc>
          <w:tcPr>
            <w:tcW w:w="2480" w:type="dxa"/>
            <w:vAlign w:val="bottom"/>
            <w:tcBorders>
              <w:top w:val="single" w:sz="8" w:color="auto"/>
              <w:right w:val="single" w:sz="8" w:color="auto"/>
            </w:tcBorders>
            <w:shd w:val="clear" w:color="auto" w:fill="000000"/>
          </w:tcPr>
          <w:p>
            <w:pPr>
              <w:spacing w:after="0"/>
              <w:rPr>
                <w:sz w:val="5"/>
                <w:szCs w:val="5"/>
                <w:color w:val="auto"/>
              </w:rPr>
            </w:pPr>
          </w:p>
        </w:tc>
        <w:tc>
          <w:tcPr>
            <w:tcW w:w="40" w:type="dxa"/>
            <w:vAlign w:val="bottom"/>
            <w:tcBorders>
              <w:top w:val="single" w:sz="8" w:color="auto"/>
              <w:right w:val="single" w:sz="8" w:color="auto"/>
            </w:tcBorders>
            <w:shd w:val="clear" w:color="auto" w:fill="000000"/>
          </w:tcPr>
          <w:p>
            <w:pPr>
              <w:spacing w:after="0"/>
              <w:rPr>
                <w:sz w:val="5"/>
                <w:szCs w:val="5"/>
                <w:color w:val="auto"/>
              </w:rPr>
            </w:pPr>
          </w:p>
        </w:tc>
      </w:tr>
      <w:tr>
        <w:trPr>
          <w:trHeight w:val="209"/>
        </w:trPr>
        <w:tc>
          <w:tcPr>
            <w:tcW w:w="60" w:type="dxa"/>
            <w:vAlign w:val="bottom"/>
            <w:tcBorders>
              <w:left w:val="single" w:sz="8" w:color="auto"/>
              <w:right w:val="single" w:sz="8" w:color="auto"/>
            </w:tcBorders>
            <w:shd w:val="clear" w:color="auto" w:fill="E0E0E0"/>
          </w:tcPr>
          <w:p>
            <w:pPr>
              <w:spacing w:after="0"/>
              <w:rPr>
                <w:sz w:val="18"/>
                <w:szCs w:val="18"/>
                <w:color w:val="auto"/>
              </w:rPr>
            </w:pPr>
          </w:p>
        </w:tc>
        <w:tc>
          <w:tcPr>
            <w:tcW w:w="3580" w:type="dxa"/>
            <w:vAlign w:val="bottom"/>
            <w:tcBorders>
              <w:bottom w:val="single" w:sz="8" w:color="auto"/>
              <w:right w:val="single" w:sz="8" w:color="auto"/>
            </w:tcBorders>
            <w:shd w:val="clear" w:color="auto" w:fill="E0E0E0"/>
          </w:tcPr>
          <w:p>
            <w:pPr>
              <w:ind w:left="60"/>
              <w:spacing w:after="0"/>
              <w:rPr>
                <w:sz w:val="20"/>
                <w:szCs w:val="20"/>
                <w:color w:val="auto"/>
              </w:rPr>
            </w:pPr>
            <w:r>
              <w:rPr>
                <w:rFonts w:ascii="Arial" w:cs="Arial" w:eastAsia="Arial" w:hAnsi="Arial"/>
                <w:sz w:val="17"/>
                <w:szCs w:val="17"/>
                <w:color w:val="auto"/>
              </w:rPr>
              <w:t>Net First Lien Leverage Ratio</w:t>
            </w:r>
          </w:p>
        </w:tc>
        <w:tc>
          <w:tcPr>
            <w:tcW w:w="2480" w:type="dxa"/>
            <w:vAlign w:val="bottom"/>
            <w:tcBorders>
              <w:bottom w:val="single" w:sz="8" w:color="auto"/>
              <w:right w:val="single" w:sz="8" w:color="auto"/>
            </w:tcBorders>
            <w:shd w:val="clear" w:color="auto" w:fill="E0E0E0"/>
          </w:tcPr>
          <w:p>
            <w:pPr>
              <w:ind w:left="60"/>
              <w:spacing w:after="0"/>
              <w:rPr>
                <w:sz w:val="20"/>
                <w:szCs w:val="20"/>
                <w:color w:val="auto"/>
              </w:rPr>
            </w:pPr>
            <w:r>
              <w:rPr>
                <w:rFonts w:ascii="Arial" w:cs="Arial" w:eastAsia="Arial" w:hAnsi="Arial"/>
                <w:sz w:val="17"/>
                <w:szCs w:val="17"/>
                <w:color w:val="auto"/>
              </w:rPr>
              <w:t>Commitment Fee Percentage</w:t>
            </w:r>
          </w:p>
        </w:tc>
        <w:tc>
          <w:tcPr>
            <w:tcW w:w="40" w:type="dxa"/>
            <w:vAlign w:val="bottom"/>
            <w:tcBorders>
              <w:right w:val="single" w:sz="8" w:color="auto"/>
            </w:tcBorders>
          </w:tcPr>
          <w:p>
            <w:pPr>
              <w:spacing w:after="0"/>
              <w:rPr>
                <w:sz w:val="18"/>
                <w:szCs w:val="18"/>
                <w:color w:val="auto"/>
              </w:rPr>
            </w:pPr>
          </w:p>
        </w:tc>
      </w:tr>
      <w:tr>
        <w:trPr>
          <w:trHeight w:val="212"/>
        </w:trPr>
        <w:tc>
          <w:tcPr>
            <w:tcW w:w="60" w:type="dxa"/>
            <w:vAlign w:val="bottom"/>
            <w:tcBorders>
              <w:left w:val="single" w:sz="8" w:color="auto"/>
              <w:right w:val="single" w:sz="8" w:color="auto"/>
            </w:tcBorders>
          </w:tcPr>
          <w:p>
            <w:pPr>
              <w:spacing w:after="0"/>
              <w:rPr>
                <w:sz w:val="18"/>
                <w:szCs w:val="18"/>
                <w:color w:val="auto"/>
              </w:rPr>
            </w:pPr>
          </w:p>
        </w:tc>
        <w:tc>
          <w:tcPr>
            <w:tcW w:w="358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Category 1</w:t>
            </w:r>
          </w:p>
        </w:tc>
        <w:tc>
          <w:tcPr>
            <w:tcW w:w="248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0.500%</w:t>
            </w:r>
          </w:p>
        </w:tc>
        <w:tc>
          <w:tcPr>
            <w:tcW w:w="40" w:type="dxa"/>
            <w:vAlign w:val="bottom"/>
            <w:tcBorders>
              <w:right w:val="single" w:sz="8" w:color="auto"/>
            </w:tcBorders>
          </w:tcPr>
          <w:p>
            <w:pPr>
              <w:spacing w:after="0"/>
              <w:rPr>
                <w:sz w:val="18"/>
                <w:szCs w:val="18"/>
                <w:color w:val="auto"/>
              </w:rPr>
            </w:pPr>
          </w:p>
        </w:tc>
      </w:tr>
      <w:tr>
        <w:trPr>
          <w:trHeight w:val="352"/>
        </w:trPr>
        <w:tc>
          <w:tcPr>
            <w:tcW w:w="60" w:type="dxa"/>
            <w:vAlign w:val="bottom"/>
            <w:tcBorders>
              <w:left w:val="single" w:sz="8" w:color="auto"/>
              <w:right w:val="single" w:sz="8" w:color="auto"/>
            </w:tcBorders>
          </w:tcPr>
          <w:p>
            <w:pPr>
              <w:spacing w:after="0"/>
              <w:rPr>
                <w:sz w:val="24"/>
                <w:szCs w:val="24"/>
                <w:color w:val="auto"/>
              </w:rPr>
            </w:pPr>
          </w:p>
        </w:tc>
        <w:tc>
          <w:tcPr>
            <w:tcW w:w="358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Greater than 2.50 to 1.00</w:t>
            </w:r>
          </w:p>
        </w:tc>
        <w:tc>
          <w:tcPr>
            <w:tcW w:w="2480" w:type="dxa"/>
            <w:vAlign w:val="bottom"/>
            <w:tcBorders>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r>
      <w:tr>
        <w:trPr>
          <w:trHeight w:val="185"/>
        </w:trPr>
        <w:tc>
          <w:tcPr>
            <w:tcW w:w="60" w:type="dxa"/>
            <w:vAlign w:val="bottom"/>
            <w:tcBorders>
              <w:left w:val="single" w:sz="8" w:color="auto"/>
              <w:right w:val="single" w:sz="8" w:color="auto"/>
            </w:tcBorders>
          </w:tcPr>
          <w:p>
            <w:pPr>
              <w:spacing w:after="0"/>
              <w:rPr>
                <w:sz w:val="16"/>
                <w:szCs w:val="16"/>
                <w:color w:val="auto"/>
              </w:rPr>
            </w:pPr>
          </w:p>
        </w:tc>
        <w:tc>
          <w:tcPr>
            <w:tcW w:w="3580" w:type="dxa"/>
            <w:vAlign w:val="bottom"/>
            <w:tcBorders>
              <w:bottom w:val="single" w:sz="8" w:color="auto"/>
              <w:right w:val="single" w:sz="8" w:color="auto"/>
            </w:tcBorders>
          </w:tcPr>
          <w:p>
            <w:pPr>
              <w:spacing w:after="0"/>
              <w:rPr>
                <w:sz w:val="16"/>
                <w:szCs w:val="16"/>
                <w:color w:val="auto"/>
              </w:rPr>
            </w:pPr>
          </w:p>
        </w:tc>
        <w:tc>
          <w:tcPr>
            <w:tcW w:w="2480" w:type="dxa"/>
            <w:vAlign w:val="bottom"/>
            <w:tcBorders>
              <w:bottom w:val="single" w:sz="8" w:color="auto"/>
              <w:right w:val="single" w:sz="8" w:color="auto"/>
            </w:tcBorders>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r>
      <w:tr>
        <w:trPr>
          <w:trHeight w:val="212"/>
        </w:trPr>
        <w:tc>
          <w:tcPr>
            <w:tcW w:w="60" w:type="dxa"/>
            <w:vAlign w:val="bottom"/>
            <w:tcBorders>
              <w:left w:val="single" w:sz="8" w:color="auto"/>
              <w:right w:val="single" w:sz="8" w:color="auto"/>
            </w:tcBorders>
          </w:tcPr>
          <w:p>
            <w:pPr>
              <w:spacing w:after="0"/>
              <w:rPr>
                <w:sz w:val="18"/>
                <w:szCs w:val="18"/>
                <w:color w:val="auto"/>
              </w:rPr>
            </w:pPr>
          </w:p>
        </w:tc>
        <w:tc>
          <w:tcPr>
            <w:tcW w:w="358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Category 2</w:t>
            </w:r>
          </w:p>
        </w:tc>
        <w:tc>
          <w:tcPr>
            <w:tcW w:w="248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0.375%</w:t>
            </w:r>
          </w:p>
        </w:tc>
        <w:tc>
          <w:tcPr>
            <w:tcW w:w="40" w:type="dxa"/>
            <w:vAlign w:val="bottom"/>
            <w:tcBorders>
              <w:right w:val="single" w:sz="8" w:color="auto"/>
            </w:tcBorders>
          </w:tcPr>
          <w:p>
            <w:pPr>
              <w:spacing w:after="0"/>
              <w:rPr>
                <w:sz w:val="18"/>
                <w:szCs w:val="18"/>
                <w:color w:val="auto"/>
              </w:rPr>
            </w:pPr>
          </w:p>
        </w:tc>
      </w:tr>
      <w:tr>
        <w:trPr>
          <w:trHeight w:val="300"/>
        </w:trPr>
        <w:tc>
          <w:tcPr>
            <w:tcW w:w="60" w:type="dxa"/>
            <w:vAlign w:val="bottom"/>
            <w:tcBorders>
              <w:left w:val="single" w:sz="8" w:color="auto"/>
              <w:right w:val="single" w:sz="8" w:color="auto"/>
            </w:tcBorders>
          </w:tcPr>
          <w:p>
            <w:pPr>
              <w:spacing w:after="0"/>
              <w:rPr>
                <w:sz w:val="24"/>
                <w:szCs w:val="24"/>
                <w:color w:val="auto"/>
              </w:rPr>
            </w:pPr>
          </w:p>
        </w:tc>
        <w:tc>
          <w:tcPr>
            <w:tcW w:w="358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Less than or equal to 2.50 to 1.00 but greater</w:t>
            </w:r>
          </w:p>
        </w:tc>
        <w:tc>
          <w:tcPr>
            <w:tcW w:w="2480" w:type="dxa"/>
            <w:vAlign w:val="bottom"/>
            <w:tcBorders>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r>
      <w:tr>
        <w:trPr>
          <w:trHeight w:val="221"/>
        </w:trPr>
        <w:tc>
          <w:tcPr>
            <w:tcW w:w="60" w:type="dxa"/>
            <w:vAlign w:val="bottom"/>
            <w:tcBorders>
              <w:left w:val="single" w:sz="8" w:color="auto"/>
              <w:right w:val="single" w:sz="8" w:color="auto"/>
            </w:tcBorders>
          </w:tcPr>
          <w:p>
            <w:pPr>
              <w:spacing w:after="0"/>
              <w:rPr>
                <w:sz w:val="19"/>
                <w:szCs w:val="19"/>
                <w:color w:val="auto"/>
              </w:rPr>
            </w:pPr>
          </w:p>
        </w:tc>
        <w:tc>
          <w:tcPr>
            <w:tcW w:w="358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than 1.75 to 1.00</w:t>
            </w:r>
          </w:p>
        </w:tc>
        <w:tc>
          <w:tcPr>
            <w:tcW w:w="2480" w:type="dxa"/>
            <w:vAlign w:val="bottom"/>
            <w:tcBorders>
              <w:right w:val="single" w:sz="8" w:color="auto"/>
            </w:tcBorders>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r>
      <w:tr>
        <w:trPr>
          <w:trHeight w:val="182"/>
        </w:trPr>
        <w:tc>
          <w:tcPr>
            <w:tcW w:w="60" w:type="dxa"/>
            <w:vAlign w:val="bottom"/>
            <w:tcBorders>
              <w:left w:val="single" w:sz="8" w:color="auto"/>
              <w:right w:val="single" w:sz="8" w:color="auto"/>
            </w:tcBorders>
          </w:tcPr>
          <w:p>
            <w:pPr>
              <w:spacing w:after="0"/>
              <w:rPr>
                <w:sz w:val="15"/>
                <w:szCs w:val="15"/>
                <w:color w:val="auto"/>
              </w:rPr>
            </w:pPr>
          </w:p>
        </w:tc>
        <w:tc>
          <w:tcPr>
            <w:tcW w:w="358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r>
      <w:tr>
        <w:trPr>
          <w:trHeight w:val="212"/>
        </w:trPr>
        <w:tc>
          <w:tcPr>
            <w:tcW w:w="60" w:type="dxa"/>
            <w:vAlign w:val="bottom"/>
            <w:tcBorders>
              <w:left w:val="single" w:sz="8" w:color="auto"/>
              <w:right w:val="single" w:sz="8" w:color="auto"/>
            </w:tcBorders>
          </w:tcPr>
          <w:p>
            <w:pPr>
              <w:spacing w:after="0"/>
              <w:rPr>
                <w:sz w:val="18"/>
                <w:szCs w:val="18"/>
                <w:color w:val="auto"/>
              </w:rPr>
            </w:pPr>
          </w:p>
        </w:tc>
        <w:tc>
          <w:tcPr>
            <w:tcW w:w="358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Category 3</w:t>
            </w:r>
          </w:p>
        </w:tc>
        <w:tc>
          <w:tcPr>
            <w:tcW w:w="248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0.250%</w:t>
            </w:r>
          </w:p>
        </w:tc>
        <w:tc>
          <w:tcPr>
            <w:tcW w:w="40" w:type="dxa"/>
            <w:vAlign w:val="bottom"/>
            <w:tcBorders>
              <w:right w:val="single" w:sz="8" w:color="auto"/>
            </w:tcBorders>
          </w:tcPr>
          <w:p>
            <w:pPr>
              <w:spacing w:after="0"/>
              <w:rPr>
                <w:sz w:val="18"/>
                <w:szCs w:val="18"/>
                <w:color w:val="auto"/>
              </w:rPr>
            </w:pPr>
          </w:p>
        </w:tc>
      </w:tr>
      <w:tr>
        <w:trPr>
          <w:trHeight w:val="352"/>
        </w:trPr>
        <w:tc>
          <w:tcPr>
            <w:tcW w:w="60" w:type="dxa"/>
            <w:vAlign w:val="bottom"/>
            <w:tcBorders>
              <w:left w:val="single" w:sz="8" w:color="auto"/>
              <w:right w:val="single" w:sz="8" w:color="auto"/>
            </w:tcBorders>
          </w:tcPr>
          <w:p>
            <w:pPr>
              <w:spacing w:after="0"/>
              <w:rPr>
                <w:sz w:val="24"/>
                <w:szCs w:val="24"/>
                <w:color w:val="auto"/>
              </w:rPr>
            </w:pPr>
          </w:p>
        </w:tc>
        <w:tc>
          <w:tcPr>
            <w:tcW w:w="358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Less than or equal to 1.75 to 1.00</w:t>
            </w:r>
          </w:p>
        </w:tc>
        <w:tc>
          <w:tcPr>
            <w:tcW w:w="2480" w:type="dxa"/>
            <w:vAlign w:val="bottom"/>
            <w:tcBorders>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r>
      <w:tr>
        <w:trPr>
          <w:trHeight w:val="188"/>
        </w:trPr>
        <w:tc>
          <w:tcPr>
            <w:tcW w:w="60" w:type="dxa"/>
            <w:vAlign w:val="bottom"/>
            <w:tcBorders>
              <w:left w:val="single" w:sz="8" w:color="auto"/>
              <w:bottom w:val="single" w:sz="8" w:color="auto"/>
              <w:right w:val="single" w:sz="8" w:color="auto"/>
            </w:tcBorders>
          </w:tcPr>
          <w:p>
            <w:pPr>
              <w:spacing w:after="0"/>
              <w:rPr>
                <w:sz w:val="16"/>
                <w:szCs w:val="16"/>
                <w:color w:val="auto"/>
              </w:rPr>
            </w:pPr>
          </w:p>
        </w:tc>
        <w:tc>
          <w:tcPr>
            <w:tcW w:w="3580" w:type="dxa"/>
            <w:vAlign w:val="bottom"/>
            <w:tcBorders>
              <w:bottom w:val="single" w:sz="8" w:color="auto"/>
              <w:right w:val="single" w:sz="8" w:color="auto"/>
            </w:tcBorders>
          </w:tcPr>
          <w:p>
            <w:pPr>
              <w:spacing w:after="0"/>
              <w:rPr>
                <w:sz w:val="16"/>
                <w:szCs w:val="16"/>
                <w:color w:val="auto"/>
              </w:rPr>
            </w:pPr>
          </w:p>
        </w:tc>
        <w:tc>
          <w:tcPr>
            <w:tcW w:w="2480" w:type="dxa"/>
            <w:vAlign w:val="bottom"/>
            <w:tcBorders>
              <w:bottom w:val="single" w:sz="8" w:color="auto"/>
              <w:right w:val="single" w:sz="8" w:color="auto"/>
            </w:tcBorders>
          </w:tcPr>
          <w:p>
            <w:pPr>
              <w:spacing w:after="0"/>
              <w:rPr>
                <w:sz w:val="16"/>
                <w:szCs w:val="16"/>
                <w:color w:val="auto"/>
              </w:rPr>
            </w:pPr>
          </w:p>
        </w:tc>
        <w:tc>
          <w:tcPr>
            <w:tcW w:w="40" w:type="dxa"/>
            <w:vAlign w:val="bottom"/>
            <w:tcBorders>
              <w:bottom w:val="single" w:sz="8" w:color="auto"/>
              <w:right w:val="single" w:sz="8" w:color="auto"/>
            </w:tcBorders>
          </w:tcPr>
          <w:p>
            <w:pPr>
              <w:spacing w:after="0"/>
              <w:rPr>
                <w:sz w:val="16"/>
                <w:szCs w:val="16"/>
                <w:color w:val="auto"/>
              </w:rPr>
            </w:pPr>
          </w:p>
        </w:tc>
      </w:tr>
      <w:tr>
        <w:trPr>
          <w:trHeight w:val="20"/>
        </w:trPr>
        <w:tc>
          <w:tcPr>
            <w:tcW w:w="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bl>
    <w:p>
      <w:pPr>
        <w:spacing w:after="0" w:line="234" w:lineRule="exact"/>
        <w:rPr>
          <w:sz w:val="20"/>
          <w:szCs w:val="20"/>
          <w:color w:val="auto"/>
        </w:rPr>
      </w:pPr>
    </w:p>
    <w:p>
      <w:pPr>
        <w:jc w:val="both"/>
        <w:spacing w:after="0" w:line="225" w:lineRule="auto"/>
        <w:rPr>
          <w:sz w:val="20"/>
          <w:szCs w:val="20"/>
          <w:color w:val="auto"/>
        </w:rPr>
      </w:pPr>
      <w:r>
        <w:rPr>
          <w:rFonts w:ascii="Arial" w:cs="Arial" w:eastAsia="Arial" w:hAnsi="Arial"/>
          <w:sz w:val="16"/>
          <w:szCs w:val="16"/>
          <w:color w:val="auto"/>
        </w:rPr>
        <w:t>For purposes of the foregoing, each change in the Commitment Fee Percentage resulting from a change in the Net First Lien Leverage Ratio shall be effective during the period commencing on and including the Business Day following the date of delivery to the Administrative Agent pursuant to Section 5.01(a) or 5.01(b) of the consolidated financial statements and related Compliance Certificate indicating such change in the Net First Lien Leverage Ratio and ending on the date immediately preceding the effective date of the next such change. Notwithstanding the foregoing, the Commitment Fee Percentage, at the option of the Administrative Agent or the Required Revolving Lenders, commencing upon written notice to the Borrower, shall be based on the rates per annum set forth in Category 1 if the Borrower fails to deliver the consolidated financial statements required to be delivered pursuant to Section 5.01(a) or 5.01(b) or any Compliance Certificate required to be delivered pursuant hereto, in each case, within the time periods specified herein for such delivery, during the period commencing on and including the day of the occurrence of a Default resulting from such failure and until the delivery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260"/>
          </w:cols>
          <w:pgMar w:left="320" w:top="1440" w:right="319" w:bottom="1440" w:gutter="0" w:footer="0" w:header="0"/>
        </w:sectPr>
      </w:pPr>
    </w:p>
    <w:bookmarkStart w:id="188" w:name="page189"/>
    <w:bookmarkEnd w:id="188"/>
    <w:p>
      <w:pPr>
        <w:spacing w:after="0" w:line="384" w:lineRule="exact"/>
        <w:rPr>
          <w:sz w:val="20"/>
          <w:szCs w:val="20"/>
          <w:color w:val="auto"/>
        </w:rPr>
      </w:pPr>
    </w:p>
    <w:p>
      <w:pPr>
        <w:jc w:val="both"/>
        <w:ind w:firstLine="568"/>
        <w:spacing w:after="0" w:line="22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Communications</w:t>
      </w:r>
      <w:r>
        <w:rPr>
          <w:rFonts w:ascii="Arial" w:cs="Arial" w:eastAsia="Arial" w:hAnsi="Arial"/>
          <w:sz w:val="17"/>
          <w:szCs w:val="17"/>
          <w:color w:val="auto"/>
        </w:rPr>
        <w:t>” means, collectively, any notice, demand, communication, information, document or other material provided by or on behalf of any Loan Party pursuant to any Loan Document or the transactions contemplated therein which is distributed by the Administrative Agent, any Lender or any Issuing Bank by means of electronic communications pursuant to this Section, including through an Approved Electronic Platform.</w:t>
      </w:r>
    </w:p>
    <w:p>
      <w:pPr>
        <w:spacing w:after="0" w:line="130" w:lineRule="exact"/>
        <w:rPr>
          <w:sz w:val="20"/>
          <w:szCs w:val="20"/>
          <w:color w:val="auto"/>
        </w:rPr>
      </w:pPr>
    </w:p>
    <w:p>
      <w:pPr>
        <w:jc w:val="both"/>
        <w:ind w:firstLine="568"/>
        <w:spacing w:after="0" w:line="24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 Income Amount</w:t>
      </w:r>
      <w:r>
        <w:rPr>
          <w:rFonts w:ascii="Arial" w:cs="Arial" w:eastAsia="Arial" w:hAnsi="Arial"/>
          <w:sz w:val="16"/>
          <w:szCs w:val="16"/>
          <w:color w:val="auto"/>
        </w:rPr>
        <w:t>” means, for a Tax Estimation Period, an amount, if positive, equal to the estimated net taxable income of Holdings for such Tax Estimation Period. For purposes of calculating the Company Income Amount, items of income, gain, loss and deduction resulting from adjustments to the tax basis of Holdings’ assets pursuant to Code Section 743(b) and adjustments pursuant to Code Section 704(c) shall not be taken into account.</w:t>
      </w:r>
    </w:p>
    <w:p>
      <w:pPr>
        <w:spacing w:after="0" w:line="125" w:lineRule="exact"/>
        <w:rPr>
          <w:sz w:val="20"/>
          <w:szCs w:val="20"/>
          <w:color w:val="auto"/>
        </w:rPr>
      </w:pPr>
    </w:p>
    <w:p>
      <w:pPr>
        <w:jc w:val="both"/>
        <w:ind w:firstLine="568"/>
        <w:spacing w:after="0" w:line="22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Competitor</w:t>
      </w:r>
      <w:r>
        <w:rPr>
          <w:rFonts w:ascii="Arial" w:cs="Arial" w:eastAsia="Arial" w:hAnsi="Arial"/>
          <w:sz w:val="16"/>
          <w:szCs w:val="16"/>
          <w:color w:val="auto"/>
        </w:rPr>
        <w:t>” means any Person (a)(i) engaged in trading financial assets through the use of an electronically automated trading system that generates order sets (which, for purposes of clarity, can consist of a single order) with the intention of (x) creating profit by providing two-sided liquidity to the market, (y) making a profit margin consistent with the business of making the bid-offer spread or less per unit of the financial asset(s) being traded (including by providing either one-sided or two sided liquidity to the market) or (z) creating simultaneous (within 500 milliseconds) order sets that are generated with the intention of locking in an arbitrage profit, (ii) engaging in algorithmic transactions (</w:t>
      </w:r>
      <w:r>
        <w:rPr>
          <w:rFonts w:ascii="Arial" w:cs="Arial" w:eastAsia="Arial" w:hAnsi="Arial"/>
          <w:sz w:val="16"/>
          <w:szCs w:val="16"/>
          <w:i w:val="1"/>
          <w:iCs w:val="1"/>
          <w:color w:val="auto"/>
        </w:rPr>
        <w:t>i.e.,</w:t>
      </w:r>
      <w:r>
        <w:rPr>
          <w:rFonts w:ascii="Arial" w:cs="Arial" w:eastAsia="Arial" w:hAnsi="Arial"/>
          <w:sz w:val="16"/>
          <w:szCs w:val="16"/>
          <w:color w:val="auto"/>
        </w:rPr>
        <w:t xml:space="preserve"> buying, selling, trading, or engaging in any other similar transaction where orders are determined by an automated model and placed on an automated basis) or customer facilitating transactions in any way involving any electronically tradeable product or commodity (including any security (equity or debt), derivatives, fixed income, cash, currency, or other financial instruments, or any other tangible or intangible item) through any exchange, electronic trading venue or platform, whether or not using proprietary trading methods or systems or (iii) engaging in the business of offering execution management software, multi-asset connectivity services for order routing or indications of interest, or trading and portfolio analytics, and (b) identified as a “Potential Competitor” on Part (B) of Schedule 1.01(a);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Person shall be deemed not to be a Competitor if the Loans or commitments in respect thereof will be held by or booked to any division or other identifiable unit or desk of such Person that, in the ordinary course of its business, holds commitments or extends credit of the type contemplated by this Agreement. Notwithstanding anything in this Agreement to the contrary, each Loan Party and the Lenders acknowledge and agree that the Administrative Agent will not have any responsibility or obligation to determine whether any Lender or potential Lender is a Competitor.</w:t>
      </w:r>
    </w:p>
    <w:p>
      <w:pPr>
        <w:spacing w:after="0" w:line="13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Compliance Certificate</w:t>
      </w:r>
      <w:r>
        <w:rPr>
          <w:rFonts w:ascii="Arial" w:cs="Arial" w:eastAsia="Arial" w:hAnsi="Arial"/>
          <w:sz w:val="17"/>
          <w:szCs w:val="17"/>
          <w:color w:val="auto"/>
        </w:rPr>
        <w:t>” means a certificate in the form of Exhibit S required to be delivered pursuant to Section 5.01(d).</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Consolidated EBITDA</w:t>
      </w:r>
      <w:r>
        <w:rPr>
          <w:rFonts w:ascii="Arial" w:cs="Arial" w:eastAsia="Arial" w:hAnsi="Arial"/>
          <w:sz w:val="17"/>
          <w:szCs w:val="17"/>
          <w:color w:val="auto"/>
        </w:rPr>
        <w:t>” means, for any period, the Consolidated Net Income for such period, plus:</w:t>
      </w:r>
    </w:p>
    <w:p>
      <w:pPr>
        <w:spacing w:after="0" w:line="166" w:lineRule="exact"/>
        <w:rPr>
          <w:sz w:val="20"/>
          <w:szCs w:val="20"/>
          <w:color w:val="auto"/>
        </w:rPr>
      </w:pPr>
    </w:p>
    <w:p>
      <w:pPr>
        <w:ind w:right="20" w:firstLine="563"/>
        <w:spacing w:after="0" w:line="237" w:lineRule="auto"/>
        <w:tabs>
          <w:tab w:leader="none" w:pos="971" w:val="left"/>
        </w:tabs>
        <w:numPr>
          <w:ilvl w:val="0"/>
          <w:numId w:val="79"/>
        </w:numPr>
        <w:rPr>
          <w:rFonts w:ascii="Arial" w:cs="Arial" w:eastAsia="Arial" w:hAnsi="Arial"/>
          <w:sz w:val="17"/>
          <w:szCs w:val="17"/>
          <w:color w:val="auto"/>
        </w:rPr>
      </w:pPr>
      <w:r>
        <w:rPr>
          <w:rFonts w:ascii="Arial" w:cs="Arial" w:eastAsia="Arial" w:hAnsi="Arial"/>
          <w:sz w:val="17"/>
          <w:szCs w:val="17"/>
          <w:color w:val="auto"/>
        </w:rPr>
        <w:t>without duplication and to the extent already deducted (and not added back or excluded) in arriving at such Consolidated Net Income, the sum of the following amounts for such period:</w:t>
      </w:r>
    </w:p>
    <w:p>
      <w:pPr>
        <w:spacing w:after="0" w:line="134" w:lineRule="exact"/>
        <w:rPr>
          <w:rFonts w:ascii="Arial" w:cs="Arial" w:eastAsia="Arial" w:hAnsi="Arial"/>
          <w:sz w:val="17"/>
          <w:szCs w:val="17"/>
          <w:color w:val="auto"/>
        </w:rPr>
      </w:pPr>
    </w:p>
    <w:p>
      <w:pPr>
        <w:jc w:val="both"/>
        <w:ind w:left="560" w:firstLine="571"/>
        <w:spacing w:after="0" w:line="225" w:lineRule="auto"/>
        <w:tabs>
          <w:tab w:leader="none" w:pos="1522" w:val="left"/>
        </w:tabs>
        <w:numPr>
          <w:ilvl w:val="1"/>
          <w:numId w:val="79"/>
        </w:numPr>
        <w:rPr>
          <w:rFonts w:ascii="Arial" w:cs="Arial" w:eastAsia="Arial" w:hAnsi="Arial"/>
          <w:sz w:val="17"/>
          <w:szCs w:val="17"/>
          <w:color w:val="auto"/>
        </w:rPr>
      </w:pPr>
      <w:r>
        <w:rPr>
          <w:rFonts w:ascii="Arial" w:cs="Arial" w:eastAsia="Arial" w:hAnsi="Arial"/>
          <w:sz w:val="17"/>
          <w:szCs w:val="17"/>
          <w:color w:val="auto"/>
        </w:rPr>
        <w:t>total interest expense and, to the extent not reflected in such total interest expense, any losses on hedging obligations or other derivative instruments entered into for the purpose of hedging interest rate risk (other than in the ordinary course of the trading business of Holdings and its Restricted Subsidiaries), net of interest income and gains on such hedging obligations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260"/>
          </w:cols>
          <w:pgMar w:left="320" w:top="1440" w:right="319" w:bottom="1440" w:gutter="0" w:footer="0" w:header="0"/>
        </w:sectPr>
      </w:pPr>
    </w:p>
    <w:bookmarkStart w:id="189" w:name="page190"/>
    <w:bookmarkEnd w:id="189"/>
    <w:p>
      <w:pPr>
        <w:spacing w:after="0" w:line="390" w:lineRule="exact"/>
        <w:rPr>
          <w:sz w:val="20"/>
          <w:szCs w:val="20"/>
          <w:color w:val="auto"/>
        </w:rPr>
      </w:pPr>
    </w:p>
    <w:p>
      <w:pPr>
        <w:spacing w:after="0"/>
        <w:rPr>
          <w:sz w:val="20"/>
          <w:szCs w:val="20"/>
          <w:color w:val="auto"/>
        </w:rPr>
      </w:pPr>
      <w:r>
        <w:rPr>
          <w:rFonts w:ascii="Arial" w:cs="Arial" w:eastAsia="Arial" w:hAnsi="Arial"/>
          <w:sz w:val="17"/>
          <w:szCs w:val="17"/>
          <w:color w:val="auto"/>
        </w:rPr>
        <w:t>such derivative instruments, and bank and letter of credit fees and costs of surety bonds in connection with financing activities;</w:t>
      </w:r>
    </w:p>
    <w:p>
      <w:pPr>
        <w:spacing w:after="0" w:line="160" w:lineRule="exact"/>
        <w:rPr>
          <w:sz w:val="20"/>
          <w:szCs w:val="20"/>
          <w:color w:val="auto"/>
        </w:rPr>
      </w:pPr>
    </w:p>
    <w:p>
      <w:pPr>
        <w:jc w:val="both"/>
        <w:ind w:right="20" w:firstLine="571"/>
        <w:spacing w:after="0" w:line="225" w:lineRule="auto"/>
        <w:tabs>
          <w:tab w:leader="none" w:pos="990" w:val="left"/>
        </w:tabs>
        <w:numPr>
          <w:ilvl w:val="0"/>
          <w:numId w:val="80"/>
        </w:numPr>
        <w:rPr>
          <w:rFonts w:ascii="Arial" w:cs="Arial" w:eastAsia="Arial" w:hAnsi="Arial"/>
          <w:sz w:val="17"/>
          <w:szCs w:val="17"/>
          <w:color w:val="auto"/>
        </w:rPr>
      </w:pPr>
      <w:r>
        <w:rPr>
          <w:rFonts w:ascii="Arial" w:cs="Arial" w:eastAsia="Arial" w:hAnsi="Arial"/>
          <w:sz w:val="17"/>
          <w:szCs w:val="17"/>
          <w:color w:val="auto"/>
        </w:rPr>
        <w:t>without duplication among periods, provision for (x) taxes based on income, profits or capital, including federal, foreign, state, franchise, excise and similar taxes paid or accrued during such period (including in respect of repatriated funds) and (y) without duplication of the foregoing, the amount of any distribution in respect of the foregoing items pursuant to Section 6.08(a)(vi) and (a)(vii)(B);</w:t>
      </w:r>
    </w:p>
    <w:p>
      <w:pPr>
        <w:spacing w:after="0" w:line="132" w:lineRule="exact"/>
        <w:rPr>
          <w:rFonts w:ascii="Arial" w:cs="Arial" w:eastAsia="Arial" w:hAnsi="Arial"/>
          <w:sz w:val="17"/>
          <w:szCs w:val="17"/>
          <w:color w:val="auto"/>
        </w:rPr>
      </w:pPr>
    </w:p>
    <w:p>
      <w:pPr>
        <w:ind w:left="1020" w:hanging="449"/>
        <w:spacing w:after="0"/>
        <w:tabs>
          <w:tab w:leader="none" w:pos="1020" w:val="left"/>
        </w:tabs>
        <w:numPr>
          <w:ilvl w:val="0"/>
          <w:numId w:val="80"/>
        </w:numPr>
        <w:rPr>
          <w:rFonts w:ascii="Arial" w:cs="Arial" w:eastAsia="Arial" w:hAnsi="Arial"/>
          <w:sz w:val="16"/>
          <w:szCs w:val="16"/>
          <w:color w:val="auto"/>
        </w:rPr>
      </w:pPr>
      <w:r>
        <w:rPr>
          <w:rFonts w:ascii="Arial" w:cs="Arial" w:eastAsia="Arial" w:hAnsi="Arial"/>
          <w:sz w:val="16"/>
          <w:szCs w:val="16"/>
          <w:color w:val="auto"/>
        </w:rPr>
        <w:t>depreciation and amortization (including amortization of Capitalized Software Expenditures and amortization of deferred financing fees or</w:t>
      </w:r>
    </w:p>
    <w:p>
      <w:pPr>
        <w:spacing w:after="0"/>
        <w:rPr>
          <w:rFonts w:ascii="Arial" w:cs="Arial" w:eastAsia="Arial" w:hAnsi="Arial"/>
          <w:sz w:val="16"/>
          <w:szCs w:val="16"/>
          <w:color w:val="auto"/>
        </w:rPr>
      </w:pPr>
      <w:r>
        <w:rPr>
          <w:rFonts w:ascii="Arial" w:cs="Arial" w:eastAsia="Arial" w:hAnsi="Arial"/>
          <w:sz w:val="17"/>
          <w:szCs w:val="17"/>
          <w:color w:val="auto"/>
        </w:rPr>
        <w:t>costs);</w:t>
      </w:r>
    </w:p>
    <w:p>
      <w:pPr>
        <w:spacing w:after="0" w:line="145" w:lineRule="exact"/>
        <w:rPr>
          <w:rFonts w:ascii="Arial" w:cs="Arial" w:eastAsia="Arial" w:hAnsi="Arial"/>
          <w:sz w:val="16"/>
          <w:szCs w:val="16"/>
          <w:color w:val="auto"/>
        </w:rPr>
      </w:pPr>
    </w:p>
    <w:p>
      <w:pPr>
        <w:ind w:left="1000" w:hanging="429"/>
        <w:spacing w:after="0"/>
        <w:tabs>
          <w:tab w:leader="none" w:pos="10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Non-Cash Charges;</w:t>
      </w:r>
    </w:p>
    <w:p>
      <w:pPr>
        <w:spacing w:after="0" w:line="159" w:lineRule="exact"/>
        <w:rPr>
          <w:rFonts w:ascii="Arial" w:cs="Arial" w:eastAsia="Arial" w:hAnsi="Arial"/>
          <w:sz w:val="17"/>
          <w:szCs w:val="17"/>
          <w:color w:val="auto"/>
        </w:rPr>
      </w:pPr>
    </w:p>
    <w:p>
      <w:pPr>
        <w:ind w:left="940" w:hanging="369"/>
        <w:spacing w:after="0"/>
        <w:tabs>
          <w:tab w:leader="none" w:pos="940" w:val="left"/>
        </w:tabs>
        <w:numPr>
          <w:ilvl w:val="0"/>
          <w:numId w:val="80"/>
        </w:numPr>
        <w:rPr>
          <w:rFonts w:ascii="Arial" w:cs="Arial" w:eastAsia="Arial" w:hAnsi="Arial"/>
          <w:sz w:val="17"/>
          <w:szCs w:val="17"/>
          <w:color w:val="auto"/>
        </w:rPr>
      </w:pPr>
      <w:r>
        <w:rPr>
          <w:rFonts w:ascii="Arial" w:cs="Arial" w:eastAsia="Arial" w:hAnsi="Arial"/>
          <w:sz w:val="17"/>
          <w:szCs w:val="17"/>
          <w:color w:val="auto"/>
        </w:rPr>
        <w:t>extraordinary losses in accordance with GAAP;</w:t>
      </w:r>
    </w:p>
    <w:p>
      <w:pPr>
        <w:spacing w:after="0" w:line="159" w:lineRule="exact"/>
        <w:rPr>
          <w:rFonts w:ascii="Arial" w:cs="Arial" w:eastAsia="Arial" w:hAnsi="Arial"/>
          <w:sz w:val="17"/>
          <w:szCs w:val="17"/>
          <w:color w:val="auto"/>
        </w:rPr>
      </w:pPr>
    </w:p>
    <w:p>
      <w:pPr>
        <w:jc w:val="both"/>
        <w:ind w:firstLine="571"/>
        <w:spacing w:after="0" w:line="226" w:lineRule="auto"/>
        <w:tabs>
          <w:tab w:leader="none" w:pos="997" w:val="left"/>
        </w:tabs>
        <w:numPr>
          <w:ilvl w:val="0"/>
          <w:numId w:val="80"/>
        </w:numPr>
        <w:rPr>
          <w:rFonts w:ascii="Arial" w:cs="Arial" w:eastAsia="Arial" w:hAnsi="Arial"/>
          <w:sz w:val="16"/>
          <w:szCs w:val="16"/>
          <w:color w:val="auto"/>
        </w:rPr>
      </w:pPr>
      <w:r>
        <w:rPr>
          <w:rFonts w:ascii="Arial" w:cs="Arial" w:eastAsia="Arial" w:hAnsi="Arial"/>
          <w:sz w:val="16"/>
          <w:szCs w:val="16"/>
          <w:color w:val="auto"/>
        </w:rPr>
        <w:t>unusual, infrequent or non-recurring charges (including any unusual, infrequent or non-recurring operating expenses directly attributable to the implementation of cost savings initiatives and business optimization programs), severance, relocation costs, integration and facilities’ opening costs, signing costs, retention or completion bonuses (other than bonuses paid in the ordinary course of business of Holdings and its Restricted Subsidiaries), transition costs, costs related to closure/consolidation of facilities and curtailments, modifications to pension and post-retirement employee benefit plans (including any settlement of pension liabilities), new product design, development and introductions (including Intellectual Property development), establishment, implementation, replacement, development or upgrade of operational, reporting and information technology systems and technology initiatives, other system establishment costs and contract termination costs;</w:t>
      </w:r>
    </w:p>
    <w:p>
      <w:pPr>
        <w:spacing w:after="0" w:line="136" w:lineRule="exact"/>
        <w:rPr>
          <w:rFonts w:ascii="Arial" w:cs="Arial" w:eastAsia="Arial" w:hAnsi="Arial"/>
          <w:sz w:val="16"/>
          <w:szCs w:val="16"/>
          <w:color w:val="auto"/>
        </w:rPr>
      </w:pPr>
    </w:p>
    <w:p>
      <w:pPr>
        <w:ind w:firstLine="571"/>
        <w:spacing w:after="0" w:line="237" w:lineRule="auto"/>
        <w:tabs>
          <w:tab w:leader="none" w:pos="1074" w:val="left"/>
        </w:tabs>
        <w:numPr>
          <w:ilvl w:val="0"/>
          <w:numId w:val="80"/>
        </w:numPr>
        <w:rPr>
          <w:rFonts w:ascii="Arial" w:cs="Arial" w:eastAsia="Arial" w:hAnsi="Arial"/>
          <w:sz w:val="17"/>
          <w:szCs w:val="17"/>
          <w:color w:val="auto"/>
        </w:rPr>
      </w:pPr>
      <w:r>
        <w:rPr>
          <w:rFonts w:ascii="Arial" w:cs="Arial" w:eastAsia="Arial" w:hAnsi="Arial"/>
          <w:sz w:val="17"/>
          <w:szCs w:val="17"/>
          <w:color w:val="auto"/>
        </w:rPr>
        <w:t>restructuring charges, accruals or reserves (including restructuring costs related to acquisitions after the Closing Date and adjustments to existing reserves);</w:t>
      </w:r>
    </w:p>
    <w:p>
      <w:pPr>
        <w:spacing w:after="0" w:line="134" w:lineRule="exact"/>
        <w:rPr>
          <w:rFonts w:ascii="Arial" w:cs="Arial" w:eastAsia="Arial" w:hAnsi="Arial"/>
          <w:sz w:val="17"/>
          <w:szCs w:val="17"/>
          <w:color w:val="auto"/>
        </w:rPr>
      </w:pPr>
    </w:p>
    <w:p>
      <w:pPr>
        <w:ind w:firstLine="571"/>
        <w:spacing w:after="0" w:line="237" w:lineRule="auto"/>
        <w:tabs>
          <w:tab w:leader="none" w:pos="1091"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amount of any minority interest expense consisting of subsidiary income attributable to minority equity interests of third parties in any Non-Wholly Owned Subsidiary of Holdings deducted (and not added back in such period to Consolidated Net Income);</w:t>
      </w:r>
    </w:p>
    <w:p>
      <w:pPr>
        <w:spacing w:after="0" w:line="134" w:lineRule="exact"/>
        <w:rPr>
          <w:rFonts w:ascii="Arial" w:cs="Arial" w:eastAsia="Arial" w:hAnsi="Arial"/>
          <w:sz w:val="17"/>
          <w:szCs w:val="17"/>
          <w:color w:val="auto"/>
        </w:rPr>
      </w:pPr>
    </w:p>
    <w:p>
      <w:pPr>
        <w:jc w:val="both"/>
        <w:ind w:firstLine="571"/>
        <w:spacing w:after="0" w:line="220" w:lineRule="auto"/>
        <w:tabs>
          <w:tab w:leader="none" w:pos="1082"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amount of expenses relating to payments made to option holders of Holdings or any of its direct or indirect parent companies in connection with, or as a result of, any distribution being made to shareholders of such Person or its direct or indirect parent companies, which payments are being made to compensate such option holders as though they were shareholders at the time of, and entitled to share in, such distribution, in each case to the extent permitted by the Loan Documents;</w:t>
      </w:r>
    </w:p>
    <w:p>
      <w:pPr>
        <w:spacing w:after="0" w:line="135" w:lineRule="exact"/>
        <w:rPr>
          <w:rFonts w:ascii="Arial" w:cs="Arial" w:eastAsia="Arial" w:hAnsi="Arial"/>
          <w:sz w:val="17"/>
          <w:szCs w:val="17"/>
          <w:color w:val="auto"/>
        </w:rPr>
      </w:pPr>
    </w:p>
    <w:p>
      <w:pPr>
        <w:ind w:left="940" w:hanging="369"/>
        <w:spacing w:after="0"/>
        <w:tabs>
          <w:tab w:leader="none" w:pos="940" w:val="left"/>
        </w:tabs>
        <w:numPr>
          <w:ilvl w:val="0"/>
          <w:numId w:val="80"/>
        </w:numPr>
        <w:rPr>
          <w:rFonts w:ascii="Arial" w:cs="Arial" w:eastAsia="Arial" w:hAnsi="Arial"/>
          <w:sz w:val="15"/>
          <w:szCs w:val="15"/>
          <w:color w:val="auto"/>
        </w:rPr>
      </w:pPr>
      <w:r>
        <w:rPr>
          <w:rFonts w:ascii="Arial" w:cs="Arial" w:eastAsia="Arial" w:hAnsi="Arial"/>
          <w:sz w:val="15"/>
          <w:szCs w:val="15"/>
          <w:color w:val="auto"/>
        </w:rPr>
        <w:t>losses on asset sales, disposals or abandonments (other than asset sales, disposals or abandonments in the ordinary course of business);</w:t>
      </w:r>
    </w:p>
    <w:p>
      <w:pPr>
        <w:spacing w:after="0" w:line="182" w:lineRule="exact"/>
        <w:rPr>
          <w:rFonts w:ascii="Arial" w:cs="Arial" w:eastAsia="Arial" w:hAnsi="Arial"/>
          <w:sz w:val="15"/>
          <w:szCs w:val="15"/>
          <w:color w:val="auto"/>
        </w:rPr>
      </w:pPr>
    </w:p>
    <w:p>
      <w:pPr>
        <w:ind w:left="1000" w:hanging="429"/>
        <w:spacing w:after="0"/>
        <w:tabs>
          <w:tab w:leader="none" w:pos="10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amount of any net losses from discontinued operations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0700"/>
          </w:cols>
          <w:pgMar w:left="880" w:top="1440" w:right="319" w:bottom="1440" w:gutter="0" w:footer="0" w:header="0"/>
        </w:sectPr>
      </w:pPr>
    </w:p>
    <w:bookmarkStart w:id="190" w:name="page191"/>
    <w:bookmarkEnd w:id="190"/>
    <w:p>
      <w:pPr>
        <w:spacing w:after="0" w:line="390" w:lineRule="exact"/>
        <w:rPr>
          <w:sz w:val="20"/>
          <w:szCs w:val="20"/>
          <w:color w:val="auto"/>
        </w:rPr>
      </w:pPr>
    </w:p>
    <w:p>
      <w:pPr>
        <w:jc w:val="both"/>
        <w:ind w:right="20" w:firstLine="571"/>
        <w:spacing w:after="0" w:line="220" w:lineRule="auto"/>
        <w:tabs>
          <w:tab w:leader="none" w:pos="10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any non-cash loss attributable to the mark to market movement in the valuation of hedging obligations or other derivative instruments (to the extent the cash impact resulting from such loss has not been realized) (other than those entered into in the ordinary course of the trading business of the Borrower and its Restricted Subsidiaries) pursuant to Financial Accounting Standards Accounting Standards Codification No. 815–Derivatives and Hedging;</w:t>
      </w:r>
    </w:p>
    <w:p>
      <w:pPr>
        <w:spacing w:after="0" w:line="135" w:lineRule="exact"/>
        <w:rPr>
          <w:rFonts w:ascii="Arial" w:cs="Arial" w:eastAsia="Arial" w:hAnsi="Arial"/>
          <w:sz w:val="17"/>
          <w:szCs w:val="17"/>
          <w:color w:val="auto"/>
        </w:rPr>
      </w:pPr>
    </w:p>
    <w:p>
      <w:pPr>
        <w:jc w:val="both"/>
        <w:ind w:firstLine="571"/>
        <w:spacing w:after="0" w:line="225" w:lineRule="auto"/>
        <w:tabs>
          <w:tab w:leader="none" w:pos="1112" w:val="left"/>
        </w:tabs>
        <w:numPr>
          <w:ilvl w:val="0"/>
          <w:numId w:val="81"/>
        </w:numPr>
        <w:rPr>
          <w:rFonts w:ascii="Arial" w:cs="Arial" w:eastAsia="Arial" w:hAnsi="Arial"/>
          <w:sz w:val="17"/>
          <w:szCs w:val="17"/>
          <w:color w:val="auto"/>
        </w:rPr>
      </w:pPr>
      <w:r>
        <w:rPr>
          <w:rFonts w:ascii="Arial" w:cs="Arial" w:eastAsia="Arial" w:hAnsi="Arial"/>
          <w:sz w:val="17"/>
          <w:szCs w:val="17"/>
          <w:color w:val="auto"/>
        </w:rPr>
        <w:t>any loss relating to amounts paid in cash prior to the stated settlement date of any hedging obligation (other than any hedging obligation entered into in the ordinary course of the trading business of Holdings and its Restricted Subsidiaries) that has been reflected in Consolidated Net Income for such period;</w:t>
      </w:r>
    </w:p>
    <w:p>
      <w:pPr>
        <w:spacing w:after="0" w:line="136" w:lineRule="exact"/>
        <w:rPr>
          <w:rFonts w:ascii="Arial" w:cs="Arial" w:eastAsia="Arial" w:hAnsi="Arial"/>
          <w:sz w:val="17"/>
          <w:szCs w:val="17"/>
          <w:color w:val="auto"/>
        </w:rPr>
      </w:pPr>
    </w:p>
    <w:p>
      <w:pPr>
        <w:jc w:val="both"/>
        <w:ind w:right="20" w:firstLine="571"/>
        <w:spacing w:after="0" w:line="225" w:lineRule="auto"/>
        <w:tabs>
          <w:tab w:leader="none" w:pos="1096" w:val="left"/>
        </w:tabs>
        <w:numPr>
          <w:ilvl w:val="0"/>
          <w:numId w:val="81"/>
        </w:numPr>
        <w:rPr>
          <w:rFonts w:ascii="Arial" w:cs="Arial" w:eastAsia="Arial" w:hAnsi="Arial"/>
          <w:sz w:val="17"/>
          <w:szCs w:val="17"/>
          <w:color w:val="auto"/>
        </w:rPr>
      </w:pPr>
      <w:r>
        <w:rPr>
          <w:rFonts w:ascii="Arial" w:cs="Arial" w:eastAsia="Arial" w:hAnsi="Arial"/>
          <w:sz w:val="17"/>
          <w:szCs w:val="17"/>
          <w:color w:val="auto"/>
        </w:rPr>
        <w:t>any gain relating to hedging obligations (other than any hedging obligations entered into in the ordinary course of the trading business of Holdings and its Restricted Subsidiaries) associated with transactions realized in the current period that has been reflected in Consolidated Net Income in prior periods and excluded from Consolidated EBITDA pursuant to clauses (b)(v) and (b)(vi) below;</w:t>
      </w:r>
    </w:p>
    <w:p>
      <w:pPr>
        <w:spacing w:after="0" w:line="136" w:lineRule="exact"/>
        <w:rPr>
          <w:rFonts w:ascii="Arial" w:cs="Arial" w:eastAsia="Arial" w:hAnsi="Arial"/>
          <w:sz w:val="17"/>
          <w:szCs w:val="17"/>
          <w:color w:val="auto"/>
        </w:rPr>
      </w:pPr>
    </w:p>
    <w:p>
      <w:pPr>
        <w:jc w:val="both"/>
        <w:ind w:firstLine="571"/>
        <w:spacing w:after="0" w:line="216" w:lineRule="auto"/>
        <w:tabs>
          <w:tab w:leader="none" w:pos="1263" w:val="left"/>
        </w:tabs>
        <w:numPr>
          <w:ilvl w:val="0"/>
          <w:numId w:val="81"/>
        </w:numPr>
        <w:rPr>
          <w:rFonts w:ascii="Arial" w:cs="Arial" w:eastAsia="Arial" w:hAnsi="Arial"/>
          <w:sz w:val="17"/>
          <w:szCs w:val="17"/>
          <w:color w:val="auto"/>
        </w:rPr>
      </w:pPr>
      <w:r>
        <w:rPr>
          <w:rFonts w:ascii="Arial" w:cs="Arial" w:eastAsia="Arial" w:hAnsi="Arial"/>
          <w:sz w:val="17"/>
          <w:szCs w:val="17"/>
          <w:color w:val="auto"/>
        </w:rPr>
        <w:t>any expenses or charges related to any issuance of Equity Interests, Investment, acquisition, Disposition, recapitalization or the incurrence, modification or repayment of Indebtedness permitted to be incurred by this Agreement (including a refinancing thereof) (whether or not successful), in each case, outside the ordinary course of business, including (x) such fees, expenses or charges related to this Agreement, (y) any amendment or other modification of the Loans or other obligations under the Loan Documents or other Indebtedness and (z) commissions and other fees and charges (including any interest expense) related to any Permitted Securitization Financing; and</w:t>
      </w:r>
    </w:p>
    <w:p>
      <w:pPr>
        <w:spacing w:after="0" w:line="138" w:lineRule="exact"/>
        <w:rPr>
          <w:rFonts w:ascii="Arial" w:cs="Arial" w:eastAsia="Arial" w:hAnsi="Arial"/>
          <w:sz w:val="17"/>
          <w:szCs w:val="17"/>
          <w:color w:val="auto"/>
        </w:rPr>
      </w:pPr>
    </w:p>
    <w:p>
      <w:pPr>
        <w:ind w:firstLine="571"/>
        <w:spacing w:after="0" w:line="237" w:lineRule="auto"/>
        <w:tabs>
          <w:tab w:leader="none" w:pos="979"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amount of discount in connection with a Permitted Securitization Financing, including amortization of loan origination costs and amortization of portfolio discounts;</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less</w:t>
      </w:r>
    </w:p>
    <w:p>
      <w:pPr>
        <w:spacing w:after="0" w:line="160" w:lineRule="exact"/>
        <w:rPr>
          <w:sz w:val="20"/>
          <w:szCs w:val="20"/>
          <w:color w:val="auto"/>
        </w:rPr>
      </w:pPr>
    </w:p>
    <w:p>
      <w:pPr>
        <w:ind w:left="380" w:hanging="377"/>
        <w:spacing w:after="0"/>
        <w:tabs>
          <w:tab w:leader="none" w:pos="380" w:val="left"/>
        </w:tabs>
        <w:numPr>
          <w:ilvl w:val="0"/>
          <w:numId w:val="82"/>
        </w:numPr>
        <w:rPr>
          <w:rFonts w:ascii="Arial" w:cs="Arial" w:eastAsia="Arial" w:hAnsi="Arial"/>
          <w:sz w:val="16"/>
          <w:szCs w:val="16"/>
          <w:color w:val="auto"/>
        </w:rPr>
      </w:pPr>
      <w:r>
        <w:rPr>
          <w:rFonts w:ascii="Arial" w:cs="Arial" w:eastAsia="Arial" w:hAnsi="Arial"/>
          <w:sz w:val="16"/>
          <w:szCs w:val="16"/>
          <w:color w:val="auto"/>
        </w:rPr>
        <w:t>without duplication and to the extent included in arriving at such Consolidated Net Income, the sum of the following amounts for such period:</w:t>
      </w:r>
    </w:p>
    <w:p>
      <w:pPr>
        <w:spacing w:after="0" w:line="171" w:lineRule="exact"/>
        <w:rPr>
          <w:rFonts w:ascii="Arial" w:cs="Arial" w:eastAsia="Arial" w:hAnsi="Arial"/>
          <w:sz w:val="16"/>
          <w:szCs w:val="16"/>
          <w:color w:val="auto"/>
        </w:rPr>
      </w:pPr>
    </w:p>
    <w:p>
      <w:pPr>
        <w:ind w:left="900" w:hanging="329"/>
        <w:spacing w:after="0"/>
        <w:tabs>
          <w:tab w:leader="none" w:pos="900" w:val="left"/>
        </w:tabs>
        <w:numPr>
          <w:ilvl w:val="1"/>
          <w:numId w:val="82"/>
        </w:numPr>
        <w:rPr>
          <w:rFonts w:ascii="Arial" w:cs="Arial" w:eastAsia="Arial" w:hAnsi="Arial"/>
          <w:sz w:val="17"/>
          <w:szCs w:val="17"/>
          <w:color w:val="auto"/>
        </w:rPr>
      </w:pPr>
      <w:r>
        <w:rPr>
          <w:rFonts w:ascii="Arial" w:cs="Arial" w:eastAsia="Arial" w:hAnsi="Arial"/>
          <w:sz w:val="17"/>
          <w:szCs w:val="17"/>
          <w:color w:val="auto"/>
        </w:rPr>
        <w:t>extraordinary gains and unusual or non-recurring gains;</w:t>
      </w:r>
    </w:p>
    <w:p>
      <w:pPr>
        <w:spacing w:after="0" w:line="159" w:lineRule="exact"/>
        <w:rPr>
          <w:rFonts w:ascii="Arial" w:cs="Arial" w:eastAsia="Arial" w:hAnsi="Arial"/>
          <w:sz w:val="17"/>
          <w:szCs w:val="17"/>
          <w:color w:val="auto"/>
        </w:rPr>
      </w:pPr>
    </w:p>
    <w:p>
      <w:pPr>
        <w:ind w:right="20" w:firstLine="571"/>
        <w:spacing w:after="0" w:line="237" w:lineRule="auto"/>
        <w:tabs>
          <w:tab w:leader="none" w:pos="994" w:val="left"/>
        </w:tabs>
        <w:numPr>
          <w:ilvl w:val="1"/>
          <w:numId w:val="82"/>
        </w:numPr>
        <w:rPr>
          <w:rFonts w:ascii="Arial" w:cs="Arial" w:eastAsia="Arial" w:hAnsi="Arial"/>
          <w:sz w:val="17"/>
          <w:szCs w:val="17"/>
          <w:color w:val="auto"/>
        </w:rPr>
      </w:pPr>
      <w:r>
        <w:rPr>
          <w:rFonts w:ascii="Arial" w:cs="Arial" w:eastAsia="Arial" w:hAnsi="Arial"/>
          <w:sz w:val="17"/>
          <w:szCs w:val="17"/>
          <w:color w:val="auto"/>
        </w:rPr>
        <w:t>non-cash gains (excluding any non-cash gain to the extent it represents the reversal of an accrual or reserve for a potential cash item that reduced Consolidated Net Income or Consolidated EBITDA in any prior period);</w:t>
      </w:r>
    </w:p>
    <w:p>
      <w:pPr>
        <w:spacing w:after="0" w:line="134" w:lineRule="exact"/>
        <w:rPr>
          <w:rFonts w:ascii="Arial" w:cs="Arial" w:eastAsia="Arial" w:hAnsi="Arial"/>
          <w:sz w:val="17"/>
          <w:szCs w:val="17"/>
          <w:color w:val="auto"/>
        </w:rPr>
      </w:pPr>
    </w:p>
    <w:p>
      <w:pPr>
        <w:ind w:left="1000" w:hanging="429"/>
        <w:spacing w:after="0"/>
        <w:tabs>
          <w:tab w:leader="none" w:pos="1000" w:val="left"/>
        </w:tabs>
        <w:numPr>
          <w:ilvl w:val="1"/>
          <w:numId w:val="82"/>
        </w:numPr>
        <w:rPr>
          <w:rFonts w:ascii="Arial" w:cs="Arial" w:eastAsia="Arial" w:hAnsi="Arial"/>
          <w:sz w:val="15"/>
          <w:szCs w:val="15"/>
          <w:color w:val="auto"/>
        </w:rPr>
      </w:pPr>
      <w:r>
        <w:rPr>
          <w:rFonts w:ascii="Arial" w:cs="Arial" w:eastAsia="Arial" w:hAnsi="Arial"/>
          <w:sz w:val="15"/>
          <w:szCs w:val="15"/>
          <w:color w:val="auto"/>
        </w:rPr>
        <w:t>gains on asset sales, disposals or abandonments (other than asset sales, disposals or abandonments in the ordinary course of business);</w:t>
      </w:r>
    </w:p>
    <w:p>
      <w:pPr>
        <w:spacing w:after="0" w:line="182" w:lineRule="exact"/>
        <w:rPr>
          <w:rFonts w:ascii="Arial" w:cs="Arial" w:eastAsia="Arial" w:hAnsi="Arial"/>
          <w:sz w:val="15"/>
          <w:szCs w:val="15"/>
          <w:color w:val="auto"/>
        </w:rPr>
      </w:pPr>
    </w:p>
    <w:p>
      <w:pPr>
        <w:ind w:left="1000" w:hanging="429"/>
        <w:spacing w:after="0"/>
        <w:tabs>
          <w:tab w:leader="none" w:pos="1000" w:val="left"/>
        </w:tabs>
        <w:numPr>
          <w:ilvl w:val="1"/>
          <w:numId w:val="82"/>
        </w:numPr>
        <w:rPr>
          <w:rFonts w:ascii="Arial" w:cs="Arial" w:eastAsia="Arial" w:hAnsi="Arial"/>
          <w:sz w:val="17"/>
          <w:szCs w:val="17"/>
          <w:color w:val="auto"/>
        </w:rPr>
      </w:pPr>
      <w:r>
        <w:rPr>
          <w:rFonts w:ascii="Arial" w:cs="Arial" w:eastAsia="Arial" w:hAnsi="Arial"/>
          <w:sz w:val="17"/>
          <w:szCs w:val="17"/>
          <w:color w:val="auto"/>
        </w:rPr>
        <w:t>the amount of any net income from discontinued operations in accordance with GAAP;</w:t>
      </w:r>
    </w:p>
    <w:p>
      <w:pPr>
        <w:spacing w:after="0" w:line="159" w:lineRule="exact"/>
        <w:rPr>
          <w:rFonts w:ascii="Arial" w:cs="Arial" w:eastAsia="Arial" w:hAnsi="Arial"/>
          <w:sz w:val="17"/>
          <w:szCs w:val="17"/>
          <w:color w:val="auto"/>
        </w:rPr>
      </w:pPr>
    </w:p>
    <w:p>
      <w:pPr>
        <w:jc w:val="both"/>
        <w:ind w:firstLine="571"/>
        <w:spacing w:after="0" w:line="225" w:lineRule="auto"/>
        <w:tabs>
          <w:tab w:leader="none" w:pos="976" w:val="left"/>
        </w:tabs>
        <w:numPr>
          <w:ilvl w:val="1"/>
          <w:numId w:val="82"/>
        </w:numPr>
        <w:rPr>
          <w:rFonts w:ascii="Arial" w:cs="Arial" w:eastAsia="Arial" w:hAnsi="Arial"/>
          <w:sz w:val="17"/>
          <w:szCs w:val="17"/>
          <w:color w:val="auto"/>
        </w:rPr>
      </w:pPr>
      <w:r>
        <w:rPr>
          <w:rFonts w:ascii="Arial" w:cs="Arial" w:eastAsia="Arial" w:hAnsi="Arial"/>
          <w:sz w:val="17"/>
          <w:szCs w:val="17"/>
          <w:color w:val="auto"/>
        </w:rPr>
        <w:t>any non-cash gain attributable to the mark to market movement in the valuation of hedging obligations or other derivative instruments (to the extent the cash impact resulting from such gain has not been realized) (other than any hedging obligations or other derivative instruments entered into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0700"/>
          </w:cols>
          <w:pgMar w:left="880" w:top="1440" w:right="319" w:bottom="1440" w:gutter="0" w:footer="0" w:header="0"/>
        </w:sectPr>
      </w:pPr>
    </w:p>
    <w:bookmarkStart w:id="191" w:name="page192"/>
    <w:bookmarkEnd w:id="191"/>
    <w:p>
      <w:pPr>
        <w:spacing w:after="0" w:line="390" w:lineRule="exact"/>
        <w:rPr>
          <w:sz w:val="20"/>
          <w:szCs w:val="20"/>
          <w:color w:val="auto"/>
        </w:rPr>
      </w:pPr>
    </w:p>
    <w:p>
      <w:pPr>
        <w:ind w:left="560"/>
        <w:spacing w:after="0" w:line="237" w:lineRule="auto"/>
        <w:rPr>
          <w:sz w:val="20"/>
          <w:szCs w:val="20"/>
          <w:color w:val="auto"/>
        </w:rPr>
      </w:pPr>
      <w:r>
        <w:rPr>
          <w:rFonts w:ascii="Arial" w:cs="Arial" w:eastAsia="Arial" w:hAnsi="Arial"/>
          <w:sz w:val="17"/>
          <w:szCs w:val="17"/>
          <w:color w:val="auto"/>
        </w:rPr>
        <w:t>ordinary course of the trading business of Holdings and its Restricted Subsidiaries) pursuant to Financial Accounting Standards Accounting Standards Codification No. 815–Derivatives and Hedging;</w:t>
      </w:r>
    </w:p>
    <w:p>
      <w:pPr>
        <w:spacing w:after="0" w:line="135" w:lineRule="exact"/>
        <w:rPr>
          <w:sz w:val="20"/>
          <w:szCs w:val="20"/>
          <w:color w:val="auto"/>
        </w:rPr>
      </w:pPr>
    </w:p>
    <w:p>
      <w:pPr>
        <w:jc w:val="both"/>
        <w:ind w:left="560" w:right="20" w:firstLine="571"/>
        <w:spacing w:after="0" w:line="225" w:lineRule="auto"/>
        <w:tabs>
          <w:tab w:leader="none" w:pos="16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any gain relating to amounts received in cash prior to the stated settlement date of any hedging obligation (other than any hedging obligation entered into in the ordinary course of the trading business of Holdings and its Restricted Subsidiaries) that has been reflected in Consolidated Net Income for such period;</w:t>
      </w:r>
    </w:p>
    <w:p>
      <w:pPr>
        <w:spacing w:after="0" w:line="136" w:lineRule="exact"/>
        <w:rPr>
          <w:rFonts w:ascii="Arial" w:cs="Arial" w:eastAsia="Arial" w:hAnsi="Arial"/>
          <w:sz w:val="17"/>
          <w:szCs w:val="17"/>
          <w:color w:val="auto"/>
        </w:rPr>
      </w:pPr>
    </w:p>
    <w:p>
      <w:pPr>
        <w:jc w:val="both"/>
        <w:ind w:left="560" w:right="20" w:firstLine="571"/>
        <w:spacing w:after="0" w:line="225" w:lineRule="auto"/>
        <w:tabs>
          <w:tab w:leader="none" w:pos="1629" w:val="left"/>
        </w:tabs>
        <w:numPr>
          <w:ilvl w:val="0"/>
          <w:numId w:val="83"/>
        </w:numPr>
        <w:rPr>
          <w:rFonts w:ascii="Arial" w:cs="Arial" w:eastAsia="Arial" w:hAnsi="Arial"/>
          <w:sz w:val="17"/>
          <w:szCs w:val="17"/>
          <w:color w:val="auto"/>
        </w:rPr>
      </w:pPr>
      <w:r>
        <w:rPr>
          <w:rFonts w:ascii="Arial" w:cs="Arial" w:eastAsia="Arial" w:hAnsi="Arial"/>
          <w:sz w:val="17"/>
          <w:szCs w:val="17"/>
          <w:color w:val="auto"/>
        </w:rPr>
        <w:t>any loss relating to hedging obligations (other than any hedging obligations entered into in the ordinary course of the trading business of Holdings and its Restricted Subsidiaries) associated with transactions realized in the current period that has been reflected in Consolidated Net Income in prior periods and excluded from Consolidated EBITDA pursuant to clauses (a)(xiii) and (a)(xiv) above; and</w:t>
      </w:r>
    </w:p>
    <w:p>
      <w:pPr>
        <w:spacing w:after="0" w:line="136" w:lineRule="exact"/>
        <w:rPr>
          <w:rFonts w:ascii="Arial" w:cs="Arial" w:eastAsia="Arial" w:hAnsi="Arial"/>
          <w:sz w:val="17"/>
          <w:szCs w:val="17"/>
          <w:color w:val="auto"/>
        </w:rPr>
      </w:pPr>
    </w:p>
    <w:p>
      <w:pPr>
        <w:ind w:left="560" w:right="20" w:firstLine="571"/>
        <w:spacing w:after="0" w:line="237" w:lineRule="auto"/>
        <w:tabs>
          <w:tab w:leader="none" w:pos="1698"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amount of any minority interest income consisting of subsidiary loss attributable to minority equity interests of third parties in any Non-Wholly Owned Subsidiary of Holdings added (and not deducted in such period in calculating Consolidated Net Income);</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in each case, as determined on a consolidated basis for Holdings and the Restricted Subsidiaries in accordance with GAAP;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w:t>
      </w:r>
    </w:p>
    <w:p>
      <w:pPr>
        <w:spacing w:after="0" w:line="160" w:lineRule="exact"/>
        <w:rPr>
          <w:sz w:val="20"/>
          <w:szCs w:val="20"/>
          <w:color w:val="auto"/>
        </w:rPr>
      </w:pPr>
    </w:p>
    <w:p>
      <w:pPr>
        <w:jc w:val="both"/>
        <w:ind w:left="560" w:right="20" w:firstLine="571"/>
        <w:spacing w:after="0" w:line="220" w:lineRule="auto"/>
        <w:tabs>
          <w:tab w:leader="none" w:pos="1486" w:val="left"/>
        </w:tabs>
        <w:numPr>
          <w:ilvl w:val="0"/>
          <w:numId w:val="84"/>
        </w:numPr>
        <w:rPr>
          <w:rFonts w:ascii="Arial" w:cs="Arial" w:eastAsia="Arial" w:hAnsi="Arial"/>
          <w:sz w:val="17"/>
          <w:szCs w:val="17"/>
          <w:color w:val="auto"/>
        </w:rPr>
      </w:pPr>
      <w:r>
        <w:rPr>
          <w:rFonts w:ascii="Arial" w:cs="Arial" w:eastAsia="Arial" w:hAnsi="Arial"/>
          <w:sz w:val="17"/>
          <w:szCs w:val="17"/>
          <w:color w:val="auto"/>
        </w:rPr>
        <w:t>to the extent included in Consolidated Net Income, there shall be excluded in determining Consolidated EBITDA currency translation gains and losses related to currency remeasurements of Indebtedness (including the net loss or gain resulting from hedging agreements for currency exchange risk and revaluations of intercompany balances), other than any gains or losses related to foreign currency trading and hedging in the ordinary course of the trading business of Holdings and its Restricted Subsidiaries,</w:t>
      </w:r>
    </w:p>
    <w:p>
      <w:pPr>
        <w:spacing w:after="0" w:line="136" w:lineRule="exact"/>
        <w:rPr>
          <w:sz w:val="20"/>
          <w:szCs w:val="20"/>
          <w:color w:val="auto"/>
        </w:rPr>
      </w:pPr>
    </w:p>
    <w:p>
      <w:pPr>
        <w:jc w:val="both"/>
        <w:ind w:left="560" w:firstLine="571"/>
        <w:spacing w:after="0" w:line="264" w:lineRule="auto"/>
        <w:tabs>
          <w:tab w:leader="none" w:pos="1623" w:val="left"/>
        </w:tabs>
        <w:numPr>
          <w:ilvl w:val="0"/>
          <w:numId w:val="85"/>
        </w:numPr>
        <w:rPr>
          <w:rFonts w:ascii="Arial" w:cs="Arial" w:eastAsia="Arial" w:hAnsi="Arial"/>
          <w:sz w:val="15"/>
          <w:szCs w:val="15"/>
          <w:color w:val="auto"/>
        </w:rPr>
      </w:pPr>
      <w:r>
        <w:rPr>
          <w:rFonts w:ascii="Arial" w:cs="Arial" w:eastAsia="Arial" w:hAnsi="Arial"/>
          <w:sz w:val="15"/>
          <w:szCs w:val="15"/>
          <w:color w:val="auto"/>
        </w:rPr>
        <w:t>to the extent included in Consolidated Net Income, there shall be excluded in determining Consolidated EBITDA for any period any adjustments resulting from the application of Financial Accounting Standards Accounting Standards Codification No. 815–Derivatives and Hedging (other than with respect to any hedging obligations entered into in the ordinary course of the trading business of Holdings and its Restricted Subsidiaries),</w:t>
      </w:r>
    </w:p>
    <w:p>
      <w:pPr>
        <w:spacing w:after="0" w:line="117" w:lineRule="exact"/>
        <w:rPr>
          <w:sz w:val="20"/>
          <w:szCs w:val="20"/>
          <w:color w:val="auto"/>
        </w:rPr>
      </w:pPr>
    </w:p>
    <w:p>
      <w:pPr>
        <w:jc w:val="both"/>
        <w:ind w:left="560" w:firstLine="571"/>
        <w:spacing w:after="0" w:line="224" w:lineRule="auto"/>
        <w:tabs>
          <w:tab w:leader="none" w:pos="1673" w:val="left"/>
        </w:tabs>
        <w:numPr>
          <w:ilvl w:val="0"/>
          <w:numId w:val="86"/>
        </w:numPr>
        <w:rPr>
          <w:rFonts w:ascii="Arial" w:cs="Arial" w:eastAsia="Arial" w:hAnsi="Arial"/>
          <w:sz w:val="16"/>
          <w:szCs w:val="16"/>
          <w:color w:val="auto"/>
        </w:rPr>
      </w:pPr>
      <w:r>
        <w:rPr>
          <w:rFonts w:ascii="Arial" w:cs="Arial" w:eastAsia="Arial" w:hAnsi="Arial"/>
          <w:sz w:val="16"/>
          <w:szCs w:val="16"/>
          <w:color w:val="auto"/>
        </w:rPr>
        <w:t>to the extent not included in Consolidated Net Income, there shall be included in determining Consolidated EBITDA for any period, without duplication, (A) the Acquired EBITDA of any Person, property, business or asset acquired by Holdings or any Restricted Subsidiary during such period (other than any Unrestricted Subsidiary) to the extent not subsequently sold, transferred or otherwise disposed of (but not including the Acquired EBITDA of any related Person, property, business or assets to the extent not so acquired) (each such Person, property, business or asset acquired, including pursuant to a transaction consummated prior to the Closing Date, and not subsequently so disposed of, an “</w:t>
      </w:r>
      <w:r>
        <w:rPr>
          <w:rFonts w:ascii="Arial" w:cs="Arial" w:eastAsia="Arial" w:hAnsi="Arial"/>
          <w:sz w:val="16"/>
          <w:szCs w:val="16"/>
          <w:b w:val="1"/>
          <w:bCs w:val="1"/>
          <w:color w:val="auto"/>
        </w:rPr>
        <w:t>Acquired Entity or Business</w:t>
      </w:r>
      <w:r>
        <w:rPr>
          <w:rFonts w:ascii="Arial" w:cs="Arial" w:eastAsia="Arial" w:hAnsi="Arial"/>
          <w:sz w:val="16"/>
          <w:szCs w:val="16"/>
          <w:color w:val="auto"/>
        </w:rPr>
        <w:t>”), and the Acquired EBITDA of any Unrestricted Subsidiary that is converted into a Restricted Subsidiary during such period (each, a “</w:t>
      </w:r>
      <w:r>
        <w:rPr>
          <w:rFonts w:ascii="Arial" w:cs="Arial" w:eastAsia="Arial" w:hAnsi="Arial"/>
          <w:sz w:val="16"/>
          <w:szCs w:val="16"/>
          <w:b w:val="1"/>
          <w:bCs w:val="1"/>
          <w:color w:val="auto"/>
        </w:rPr>
        <w:t>Converted Restricted</w:t>
      </w:r>
      <w:r>
        <w:rPr>
          <w:rFonts w:ascii="Arial" w:cs="Arial" w:eastAsia="Arial" w:hAnsi="Arial"/>
          <w:sz w:val="16"/>
          <w:szCs w:val="16"/>
          <w:color w:val="auto"/>
        </w:rPr>
        <w:t xml:space="preserve"> </w:t>
      </w:r>
      <w:r>
        <w:rPr>
          <w:rFonts w:ascii="Arial" w:cs="Arial" w:eastAsia="Arial" w:hAnsi="Arial"/>
          <w:sz w:val="16"/>
          <w:szCs w:val="16"/>
          <w:b w:val="1"/>
          <w:bCs w:val="1"/>
          <w:color w:val="auto"/>
        </w:rPr>
        <w:t>Subsidiary</w:t>
      </w:r>
      <w:r>
        <w:rPr>
          <w:rFonts w:ascii="Arial" w:cs="Arial" w:eastAsia="Arial" w:hAnsi="Arial"/>
          <w:sz w:val="16"/>
          <w:szCs w:val="16"/>
          <w:color w:val="auto"/>
        </w:rPr>
        <w:t>”), in each case based on the Acquired EBITDA of such Pro Forma Entity for such period (including the portion thereof occurring prior to</w:t>
      </w:r>
      <w:r>
        <w:rPr>
          <w:rFonts w:ascii="Arial" w:cs="Arial" w:eastAsia="Arial" w:hAnsi="Arial"/>
          <w:sz w:val="16"/>
          <w:szCs w:val="16"/>
          <w:b w:val="1"/>
          <w:bCs w:val="1"/>
          <w:color w:val="auto"/>
        </w:rPr>
        <w:t xml:space="preserve"> </w:t>
      </w:r>
      <w:r>
        <w:rPr>
          <w:rFonts w:ascii="Arial" w:cs="Arial" w:eastAsia="Arial" w:hAnsi="Arial"/>
          <w:sz w:val="16"/>
          <w:szCs w:val="16"/>
          <w:color w:val="auto"/>
        </w:rPr>
        <w:t>such acquisition or conversion) determined on a historical Pro Forma Basis and (B) an adjustment in respect of each Pro Forma Entity equal to the amount of the Pro Forma Adjustment with respect to such Pro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260"/>
          </w:cols>
          <w:pgMar w:left="320" w:top="1440" w:right="319" w:bottom="1440" w:gutter="0" w:footer="0" w:header="0"/>
        </w:sectPr>
      </w:pPr>
    </w:p>
    <w:bookmarkStart w:id="192" w:name="page193"/>
    <w:bookmarkEnd w:id="192"/>
    <w:p>
      <w:pPr>
        <w:spacing w:after="0" w:line="390" w:lineRule="exact"/>
        <w:rPr>
          <w:sz w:val="20"/>
          <w:szCs w:val="20"/>
          <w:color w:val="auto"/>
        </w:rPr>
      </w:pPr>
    </w:p>
    <w:p>
      <w:pPr>
        <w:jc w:val="both"/>
        <w:ind w:left="560" w:right="20"/>
        <w:spacing w:after="0" w:line="237" w:lineRule="auto"/>
        <w:rPr>
          <w:sz w:val="20"/>
          <w:szCs w:val="20"/>
          <w:color w:val="auto"/>
        </w:rPr>
      </w:pPr>
      <w:r>
        <w:rPr>
          <w:rFonts w:ascii="Arial" w:cs="Arial" w:eastAsia="Arial" w:hAnsi="Arial"/>
          <w:sz w:val="17"/>
          <w:szCs w:val="17"/>
          <w:color w:val="auto"/>
        </w:rPr>
        <w:t>Forma Entity for such period (including the portion thereof occurring prior to such acquisition or conversion) as specified in a certificate from a Financial Officer delivered to the Administrative Agent (for further delivery to the Lenders); and</w:t>
      </w:r>
    </w:p>
    <w:p>
      <w:pPr>
        <w:spacing w:after="0" w:line="135" w:lineRule="exact"/>
        <w:rPr>
          <w:sz w:val="20"/>
          <w:szCs w:val="20"/>
          <w:color w:val="auto"/>
        </w:rPr>
      </w:pPr>
    </w:p>
    <w:p>
      <w:pPr>
        <w:jc w:val="both"/>
        <w:ind w:left="560" w:firstLine="568"/>
        <w:spacing w:after="0" w:line="222" w:lineRule="auto"/>
        <w:rPr>
          <w:sz w:val="20"/>
          <w:szCs w:val="20"/>
          <w:color w:val="auto"/>
        </w:rPr>
      </w:pPr>
      <w:r>
        <w:rPr>
          <w:rFonts w:ascii="Arial" w:cs="Arial" w:eastAsia="Arial" w:hAnsi="Arial"/>
          <w:sz w:val="16"/>
          <w:szCs w:val="16"/>
          <w:color w:val="auto"/>
        </w:rPr>
        <w:t>(IV) there shall be (A) to the extent included in Consolidated Net Income, excluded in determining Consolidated EBITDA for any period the Disposed EBITDA of any Person, property, business or asset (other than any Unrestricted Subsidiary) sold, transferred or otherwise disposed of, closed or classified as discontinued operations by Holdings or any Restricted Subsidiary during such period (each such Person, property, business or asset so sold, transferred or otherwise disposed of, closed or classified, a “</w:t>
      </w:r>
      <w:r>
        <w:rPr>
          <w:rFonts w:ascii="Arial" w:cs="Arial" w:eastAsia="Arial" w:hAnsi="Arial"/>
          <w:sz w:val="16"/>
          <w:szCs w:val="16"/>
          <w:b w:val="1"/>
          <w:bCs w:val="1"/>
          <w:color w:val="auto"/>
        </w:rPr>
        <w:t>Sold Entity or Business</w:t>
      </w:r>
      <w:r>
        <w:rPr>
          <w:rFonts w:ascii="Arial" w:cs="Arial" w:eastAsia="Arial" w:hAnsi="Arial"/>
          <w:sz w:val="16"/>
          <w:szCs w:val="16"/>
          <w:color w:val="auto"/>
        </w:rPr>
        <w:t>”), and the Disposed EBITDA of any Restricted Subsidiary that is converted into an Unrestricted Subsidiary during such period (each, a “</w:t>
      </w:r>
      <w:r>
        <w:rPr>
          <w:rFonts w:ascii="Arial" w:cs="Arial" w:eastAsia="Arial" w:hAnsi="Arial"/>
          <w:sz w:val="16"/>
          <w:szCs w:val="16"/>
          <w:b w:val="1"/>
          <w:bCs w:val="1"/>
          <w:color w:val="auto"/>
        </w:rPr>
        <w:t>Converted Unrestricted Subsidiary</w:t>
      </w:r>
      <w:r>
        <w:rPr>
          <w:rFonts w:ascii="Arial" w:cs="Arial" w:eastAsia="Arial" w:hAnsi="Arial"/>
          <w:sz w:val="16"/>
          <w:szCs w:val="16"/>
          <w:color w:val="auto"/>
        </w:rPr>
        <w:t>”), in each case based on the Disposed EBITDA of such Sold Entity or Business or Converted Unrestricted Subsidiary for such period (including the portion thereof occurring prior to such sale, transfer, disposition, closure, classification or conversion) determined on a historical pro forma basis and (B) to the extent not included in Consolidated Net Income, included in determining Consolidated EBITDA for any period in which a Sold Entity or Business is disposed or Converted Unrestricted Subsidiary is converted, an adjustment equal to the Pro Forma Disposal Adjustment with respect to such Sold Entity or Business or Converted Unrestricted Subsidiary (including the portion thereof occurring prior to such disposal or conversion) as specified in a certificate from a Financial Officer delivered to the Administrative Agent (for further delivery to the Lenders).</w:t>
      </w:r>
    </w:p>
    <w:p>
      <w:pPr>
        <w:spacing w:after="0" w:line="135" w:lineRule="exact"/>
        <w:rPr>
          <w:sz w:val="20"/>
          <w:szCs w:val="20"/>
          <w:color w:val="auto"/>
        </w:rPr>
      </w:pPr>
    </w:p>
    <w:p>
      <w:pPr>
        <w:jc w:val="both"/>
        <w:ind w:firstLine="568"/>
        <w:spacing w:after="0" w:line="22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Consolidated First Lien Debt</w:t>
      </w:r>
      <w:r>
        <w:rPr>
          <w:rFonts w:ascii="Arial" w:cs="Arial" w:eastAsia="Arial" w:hAnsi="Arial"/>
          <w:sz w:val="17"/>
          <w:szCs w:val="17"/>
          <w:color w:val="auto"/>
        </w:rPr>
        <w:t xml:space="preserve">” means, as of any date of determination, the aggregate amount of Consolidated Total Debt outstanding on such date, without duplication (x) constituting the Loan Document Obligations that are secured by a first priority Lien on the Collateral or (y) that is secured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with the Initial Term Loans by a first priority Lien on the Collateral.</w:t>
      </w:r>
    </w:p>
    <w:p>
      <w:pPr>
        <w:spacing w:after="0" w:line="130" w:lineRule="exact"/>
        <w:rPr>
          <w:sz w:val="20"/>
          <w:szCs w:val="20"/>
          <w:color w:val="auto"/>
        </w:rPr>
      </w:pPr>
    </w:p>
    <w:p>
      <w:pPr>
        <w:jc w:val="both"/>
        <w:ind w:right="20" w:firstLine="568"/>
        <w:spacing w:after="0" w:line="22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Consolidated First Lien Net Debt</w:t>
      </w:r>
      <w:r>
        <w:rPr>
          <w:rFonts w:ascii="Arial" w:cs="Arial" w:eastAsia="Arial" w:hAnsi="Arial"/>
          <w:sz w:val="17"/>
          <w:szCs w:val="17"/>
          <w:color w:val="auto"/>
        </w:rPr>
        <w:t>” means, as of any date of determination, (a) the amount of Consolidated First Lien Debt as of such date, less (b) all unrestricted cash and Permitted Investments on the balance sheet of Holdings to the extent not subject to any Liens (other than Liens permitted under Section 6.02 but excluding any Liens permitted by Section 6.02(iii), Section 6.02(xv) and Section 6.02(xx)) and the use thereof for application to the payment of Indebtedness is not prohibited by law or contract binding on Holdings.</w:t>
      </w:r>
    </w:p>
    <w:p>
      <w:pPr>
        <w:spacing w:after="0" w:line="129" w:lineRule="exact"/>
        <w:rPr>
          <w:sz w:val="20"/>
          <w:szCs w:val="20"/>
          <w:color w:val="auto"/>
        </w:rPr>
      </w:pPr>
    </w:p>
    <w:p>
      <w:pPr>
        <w:jc w:val="both"/>
        <w:ind w:firstLine="568"/>
        <w:spacing w:after="0" w:line="21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Consolidated Interest Expense</w:t>
      </w:r>
      <w:r>
        <w:rPr>
          <w:rFonts w:ascii="Arial" w:cs="Arial" w:eastAsia="Arial" w:hAnsi="Arial"/>
          <w:sz w:val="17"/>
          <w:szCs w:val="17"/>
          <w:color w:val="auto"/>
        </w:rPr>
        <w:t>” means, for any period, the cash interest expense (including that attributable to Capitalized Leases), net of cash interest income (excluding cash interest income relating to any asset or property that secures any Trading Debt), of Holdings and the Restricted Subsidiaries, determined on a consolidated basis in accordance with GAAP, with respect to all outstanding Indebtedness of Holdings and the Restricted Subsidiaries (excluding Trading Debt), including all commissions, discounts and other fees and charges owed with respect to letters of credit and bankers’ acceptance financing and net costs under hedging agreements, but excluding, for the avoidance of doubt, (i) amortization of deferred financing costs, debt issuance costs, commissions, fees and expenses, pay-in-kind interest expense and any other amounts of non-cash interest (including as a result of the effects of acquisition method accounting), (ii) the accretion or accrual of discounted liabilities during such period, (iii) any interest in respect of items excluded from Indebtedness in the proviso to the definition thereof, (iv) non-cash interest expense attributable to the movement of the mark-to-market valuation of obligations under hedging agreements or other derivative instruments pursuant to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260"/>
          </w:cols>
          <w:pgMar w:left="320" w:top="1440" w:right="319" w:bottom="1440" w:gutter="0" w:footer="0" w:header="0"/>
        </w:sectPr>
      </w:pPr>
    </w:p>
    <w:bookmarkStart w:id="193" w:name="page194"/>
    <w:bookmarkEnd w:id="193"/>
    <w:p>
      <w:pPr>
        <w:spacing w:after="0" w:line="390" w:lineRule="exact"/>
        <w:rPr>
          <w:sz w:val="20"/>
          <w:szCs w:val="20"/>
          <w:color w:val="auto"/>
        </w:rPr>
      </w:pPr>
    </w:p>
    <w:p>
      <w:pPr>
        <w:jc w:val="both"/>
        <w:ind w:right="20"/>
        <w:spacing w:after="0" w:line="225" w:lineRule="auto"/>
        <w:rPr>
          <w:sz w:val="20"/>
          <w:szCs w:val="20"/>
          <w:color w:val="auto"/>
        </w:rPr>
      </w:pPr>
      <w:r>
        <w:rPr>
          <w:rFonts w:ascii="Arial" w:cs="Arial" w:eastAsia="Arial" w:hAnsi="Arial"/>
          <w:sz w:val="17"/>
          <w:szCs w:val="17"/>
          <w:color w:val="auto"/>
        </w:rPr>
        <w:t>Accounting Standards Accounting Standards Codification No. 815-Derivatives and Hedging, (v) any one-time cash costs associated with breakage in respect of hedging agreements for interest rates, and (vi) all non-recurring cash interest expense consisting of liquidated damages for failure to timely comply with registration rights obligations, all as calculated on a consolidated basis in accordance with GAAP.</w:t>
      </w:r>
    </w:p>
    <w:p>
      <w:pPr>
        <w:spacing w:after="0" w:line="131" w:lineRule="exact"/>
        <w:rPr>
          <w:sz w:val="20"/>
          <w:szCs w:val="20"/>
          <w:color w:val="auto"/>
        </w:rPr>
      </w:pPr>
    </w:p>
    <w:p>
      <w:pPr>
        <w:jc w:val="both"/>
        <w:ind w:firstLine="568"/>
        <w:spacing w:after="0" w:line="22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Consolidated Net Income</w:t>
      </w:r>
      <w:r>
        <w:rPr>
          <w:rFonts w:ascii="Arial" w:cs="Arial" w:eastAsia="Arial" w:hAnsi="Arial"/>
          <w:sz w:val="16"/>
          <w:szCs w:val="16"/>
          <w:color w:val="auto"/>
        </w:rPr>
        <w:t>” means, for any period, the net income (loss) of Holdings and the Restricted Subsidiaries for such period determined on a consolidated basis in accordance with GAAP, excluding, without duplication, (a) extraordinary items for such period, (b) the cumulative effect of a change in accounting principles during such period to the extent included in Consolidated Net Income, (c) [reserved], (d) any fees and expenses (including any transaction or retention bonus) incurred during such period, or any amortization thereof for such period, in connection with any acquisition, Investment, asset disposition, issuance or repayment of debt, issuance of equity securities, refinancing transaction or amendment or other modification of any debt instrument (in each case, including any such transaction consummated prior to the Closing Date and any such transaction undertaken but not completed) and any charges or non-recurring merger costs incurred during such period as a result of any such transaction, (e) any income (loss) for such period attributable to the early extinguishment of Indebtedness, hedging agreements or other derivative instruments (other than any income (loss) attributable to Trading Debt or hedging agreements or other derivative instruments entered into in the ordinary course of the trading business of Holdings and its Restricted Subsidiaries), (f) accruals and reserves that are established or adjusted as a result of the Transactions in accordance with GAAP (including any adjustment of estimated payouts on existing earn-outs) or changes as a result of the adoption or modification of accounting policies during such period, (g) non-cash stock-based award compensation expenses, (h) any income (loss) attributable to deferred compensation plans or trusts and (i) any income (loss) from Investments recorded using the equity method. There shall be excluded from Consolidated Net Income for any period the effects from applying acquisition method accounting, including applying acquisition method accounting to inventory, property and equipment, leases, software and other intangible assets and deferred revenue (including deferred costs related thereto and deferred rent) required or permitted by GAAP and related authoritative pronouncements (including the effects of such adjustments pushed down to Holdings and the Restricted Subsidiaries), as a result of any acquisition consummated prior to the Closing Date and any Permitted Acquisition or other Investment permitted hereunder or the amortization or write-off of any amounts thereof.</w:t>
      </w:r>
    </w:p>
    <w:p>
      <w:pPr>
        <w:spacing w:after="0" w:line="146" w:lineRule="exact"/>
        <w:rPr>
          <w:sz w:val="20"/>
          <w:szCs w:val="20"/>
          <w:color w:val="auto"/>
        </w:rPr>
      </w:pPr>
    </w:p>
    <w:p>
      <w:pPr>
        <w:jc w:val="both"/>
        <w:ind w:right="20" w:firstLine="568"/>
        <w:spacing w:after="0" w:line="230" w:lineRule="auto"/>
        <w:rPr>
          <w:sz w:val="20"/>
          <w:szCs w:val="20"/>
          <w:color w:val="auto"/>
        </w:rPr>
      </w:pPr>
      <w:r>
        <w:rPr>
          <w:rFonts w:ascii="Arial" w:cs="Arial" w:eastAsia="Arial" w:hAnsi="Arial"/>
          <w:sz w:val="16"/>
          <w:szCs w:val="16"/>
          <w:color w:val="auto"/>
        </w:rPr>
        <w:t>In addition, to the extent not already included in Consolidated Net Income, Consolidated Net Income shall include (i) the amount of proceeds received or due from business interruption insurance or reimbursement of expenses and charges that are covered by indemnification and other reimbursement provisions in connection with any acquisition or other Investment or any disposition of any asset permitted hereunder and (ii) income from Investments in joint ventures in an amount equal to the greater of (A) the proportionate share of the Borrower or the applicable Restricted Subsidiary in the income of such joint venture and (B) the amount of actual distributions made by such joint venture to the Borrower or the applicable Restricted Subsidiary.</w:t>
      </w:r>
    </w:p>
    <w:p>
      <w:pPr>
        <w:spacing w:after="0" w:line="131" w:lineRule="exact"/>
        <w:rPr>
          <w:sz w:val="20"/>
          <w:szCs w:val="20"/>
          <w:color w:val="auto"/>
        </w:rPr>
      </w:pPr>
    </w:p>
    <w:p>
      <w:pPr>
        <w:jc w:val="both"/>
        <w:ind w:right="20" w:firstLine="568"/>
        <w:spacing w:after="0" w:line="22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Consolidated Total Debt</w:t>
      </w:r>
      <w:r>
        <w:rPr>
          <w:rFonts w:ascii="Arial" w:cs="Arial" w:eastAsia="Arial" w:hAnsi="Arial"/>
          <w:sz w:val="17"/>
          <w:szCs w:val="17"/>
          <w:color w:val="auto"/>
        </w:rPr>
        <w:t>” means, as of any date of determination, the aggregate amount of Indebtedness of Holdings and the Restricted Subsidiaries outstanding on such date, determined on a consolidated basis in accordance with GAAP (but excluding the effects of any discounting of Indebtedness resulting from the application of acquisition method accounting in connection with any Permitted Acquisition or other Investment permitted hereunder) consisting only of Indebtedness for borrowed money, unreimbursed obligations under letters of credit, obligations in respect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260"/>
          </w:cols>
          <w:pgMar w:left="320" w:top="1440" w:right="319" w:bottom="1440" w:gutter="0" w:footer="0" w:header="0"/>
        </w:sectPr>
      </w:pPr>
    </w:p>
    <w:bookmarkStart w:id="194" w:name="page195"/>
    <w:bookmarkEnd w:id="194"/>
    <w:p>
      <w:pPr>
        <w:spacing w:after="0" w:line="390" w:lineRule="exact"/>
        <w:rPr>
          <w:sz w:val="20"/>
          <w:szCs w:val="20"/>
          <w:color w:val="auto"/>
        </w:rPr>
      </w:pPr>
    </w:p>
    <w:p>
      <w:pPr>
        <w:spacing w:after="0"/>
        <w:rPr>
          <w:sz w:val="20"/>
          <w:szCs w:val="20"/>
          <w:color w:val="auto"/>
        </w:rPr>
      </w:pPr>
      <w:r>
        <w:rPr>
          <w:rFonts w:ascii="Arial" w:cs="Arial" w:eastAsia="Arial" w:hAnsi="Arial"/>
          <w:sz w:val="17"/>
          <w:szCs w:val="17"/>
          <w:color w:val="auto"/>
        </w:rPr>
        <w:t>of Capitalized Leases and debt obligations evidenced by promissory notes or similar instruments (and excluding, in any event, all Trading Debt).</w:t>
      </w:r>
    </w:p>
    <w:p>
      <w:pPr>
        <w:spacing w:after="0" w:line="154" w:lineRule="exact"/>
        <w:rPr>
          <w:sz w:val="20"/>
          <w:szCs w:val="20"/>
          <w:color w:val="auto"/>
        </w:rPr>
      </w:pPr>
    </w:p>
    <w:p>
      <w:pPr>
        <w:jc w:val="both"/>
        <w:ind w:firstLine="568"/>
        <w:spacing w:after="0" w:line="22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Consolidated Total Net Debt</w:t>
      </w:r>
      <w:r>
        <w:rPr>
          <w:rFonts w:ascii="Arial" w:cs="Arial" w:eastAsia="Arial" w:hAnsi="Arial"/>
          <w:sz w:val="17"/>
          <w:szCs w:val="17"/>
          <w:color w:val="auto"/>
        </w:rPr>
        <w:t>” means (a) the amount of Consolidated Total Debt as of such date, less (b) all unrestricted cash and Permitted Investments on the balance sheet of Holdings to the extent not subject to any Liens (other than Liens permitted under Section 6.02 but excluding any Liens permitted by Section 6.02(iii), Section 6.02(xv) and Section 6.02(xx)) and the use thereof for application to the payment of Indebtedness is not prohibited by law or contract binding on Holdings.</w:t>
      </w:r>
    </w:p>
    <w:p>
      <w:pPr>
        <w:spacing w:after="0" w:line="12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Contract Consideration</w:t>
      </w:r>
      <w:r>
        <w:rPr>
          <w:rFonts w:ascii="Arial" w:cs="Arial" w:eastAsia="Arial" w:hAnsi="Arial"/>
          <w:sz w:val="17"/>
          <w:szCs w:val="17"/>
          <w:color w:val="auto"/>
        </w:rPr>
        <w:t>” has the meaning assigned to such term in clause (b)(x) of the definition of “Excess Cash Flow.”</w:t>
      </w:r>
    </w:p>
    <w:p>
      <w:pPr>
        <w:spacing w:after="0" w:line="160" w:lineRule="exact"/>
        <w:rPr>
          <w:sz w:val="20"/>
          <w:szCs w:val="20"/>
          <w:color w:val="auto"/>
        </w:rPr>
      </w:pPr>
    </w:p>
    <w:p>
      <w:pPr>
        <w:jc w:val="both"/>
        <w:ind w:right="20" w:firstLine="568"/>
        <w:spacing w:after="0" w:line="22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Control</w:t>
      </w:r>
      <w:r>
        <w:rPr>
          <w:rFonts w:ascii="Arial" w:cs="Arial" w:eastAsia="Arial" w:hAnsi="Arial"/>
          <w:sz w:val="17"/>
          <w:szCs w:val="17"/>
          <w:color w:val="auto"/>
        </w:rPr>
        <w:t>” means the possession, directly or indirectly, of the power to direct or cause the direction of the management or policies, or the dismissal or appointment of the management, of a Person, whether through the ability to exercise voting power, by contract or otherwise. “</w:t>
      </w:r>
      <w:r>
        <w:rPr>
          <w:rFonts w:ascii="Arial" w:cs="Arial" w:eastAsia="Arial" w:hAnsi="Arial"/>
          <w:sz w:val="17"/>
          <w:szCs w:val="17"/>
          <w:b w:val="1"/>
          <w:bCs w:val="1"/>
          <w:color w:val="auto"/>
        </w:rPr>
        <w:t>Controlling</w:t>
      </w:r>
      <w:r>
        <w:rPr>
          <w:rFonts w:ascii="Arial" w:cs="Arial" w:eastAsia="Arial" w:hAnsi="Arial"/>
          <w:sz w:val="17"/>
          <w:szCs w:val="17"/>
          <w:color w:val="auto"/>
        </w:rPr>
        <w:t>” and “</w:t>
      </w:r>
      <w:r>
        <w:rPr>
          <w:rFonts w:ascii="Arial" w:cs="Arial" w:eastAsia="Arial" w:hAnsi="Arial"/>
          <w:sz w:val="17"/>
          <w:szCs w:val="17"/>
          <w:b w:val="1"/>
          <w:bCs w:val="1"/>
          <w:color w:val="auto"/>
        </w:rPr>
        <w:t>Controlled</w:t>
      </w:r>
      <w:r>
        <w:rPr>
          <w:rFonts w:ascii="Arial" w:cs="Arial" w:eastAsia="Arial" w:hAnsi="Arial"/>
          <w:sz w:val="17"/>
          <w:szCs w:val="17"/>
          <w:color w:val="auto"/>
        </w:rPr>
        <w:t>” have meanings correlative thereto.</w:t>
      </w:r>
    </w:p>
    <w:p>
      <w:pPr>
        <w:spacing w:after="0" w:line="13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Converted Restricted Subsidiary</w:t>
      </w:r>
      <w:r>
        <w:rPr>
          <w:rFonts w:ascii="Arial" w:cs="Arial" w:eastAsia="Arial" w:hAnsi="Arial"/>
          <w:sz w:val="17"/>
          <w:szCs w:val="17"/>
          <w:color w:val="auto"/>
        </w:rPr>
        <w:t>” has the meaning assigned to such term in the definition of “Consolidated EBITDA.”</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Converted Unrestricted Subsidiary</w:t>
      </w:r>
      <w:r>
        <w:rPr>
          <w:rFonts w:ascii="Arial" w:cs="Arial" w:eastAsia="Arial" w:hAnsi="Arial"/>
          <w:sz w:val="17"/>
          <w:szCs w:val="17"/>
          <w:color w:val="auto"/>
        </w:rPr>
        <w:t>” has the meaning assigned to such term in the definition of “Consolidated EBITDA.”</w:t>
      </w:r>
    </w:p>
    <w:p>
      <w:pPr>
        <w:spacing w:after="0" w:line="160" w:lineRule="exact"/>
        <w:rPr>
          <w:sz w:val="20"/>
          <w:szCs w:val="20"/>
          <w:color w:val="auto"/>
        </w:rPr>
      </w:pPr>
    </w:p>
    <w:p>
      <w:pPr>
        <w:jc w:val="both"/>
        <w:ind w:firstLine="568"/>
        <w:spacing w:after="0" w:line="24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Corresponding Tenor</w:t>
      </w:r>
      <w:r>
        <w:rPr>
          <w:rFonts w:ascii="Arial" w:cs="Arial" w:eastAsia="Arial" w:hAnsi="Arial"/>
          <w:sz w:val="17"/>
          <w:szCs w:val="17"/>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2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Covered Entity</w:t>
      </w:r>
      <w:r>
        <w:rPr>
          <w:rFonts w:ascii="Arial" w:cs="Arial" w:eastAsia="Arial" w:hAnsi="Arial"/>
          <w:sz w:val="17"/>
          <w:szCs w:val="17"/>
          <w:color w:val="auto"/>
        </w:rPr>
        <w:t>” has the meaning assigned to such term in Section 9.21(b).</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Covered Party</w:t>
      </w:r>
      <w:r>
        <w:rPr>
          <w:rFonts w:ascii="Arial" w:cs="Arial" w:eastAsia="Arial" w:hAnsi="Arial"/>
          <w:sz w:val="17"/>
          <w:szCs w:val="17"/>
          <w:color w:val="auto"/>
        </w:rPr>
        <w:t>” has the meaning assigned to such term in Section 9.21(a).</w:t>
      </w:r>
    </w:p>
    <w:p>
      <w:pPr>
        <w:spacing w:after="0" w:line="160" w:lineRule="exact"/>
        <w:rPr>
          <w:sz w:val="20"/>
          <w:szCs w:val="20"/>
          <w:color w:val="auto"/>
        </w:rPr>
      </w:pPr>
    </w:p>
    <w:p>
      <w:pPr>
        <w:jc w:val="both"/>
        <w:ind w:firstLine="568"/>
        <w:spacing w:after="0" w:line="22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Credit Agreement Refinancing Indebtedness</w:t>
      </w:r>
      <w:r>
        <w:rPr>
          <w:rFonts w:ascii="Arial" w:cs="Arial" w:eastAsia="Arial" w:hAnsi="Arial"/>
          <w:sz w:val="16"/>
          <w:szCs w:val="16"/>
          <w:color w:val="auto"/>
        </w:rPr>
        <w:t>” means (a) Permitted First Priority Refinancing Debt, (b) Permitted Junior Lien Refinancing Debt, (c) Permitted Unsecured Refinancing Debt or (d) Indebtedness incurred or Other Revolving Commitments obtained pursuant to a Refinancing Amendment, in each case, issued, incurred or otherwise obtained (including by means of the extension or renewal of existing Indebtedness) in exchange for, or to extend, renew, replace or refinance, in whole or part, existing Term Loans, outstanding Revolving Loans or (in the case of Other Revolving Commitments obtained pursuant to a Refinancing Amendment) Revolving Commitments, outstanding loans under any Incremental Revolving Facility or undrawn commitments under any Incremental Revolving Facility (“</w:t>
      </w:r>
      <w:r>
        <w:rPr>
          <w:rFonts w:ascii="Arial" w:cs="Arial" w:eastAsia="Arial" w:hAnsi="Arial"/>
          <w:sz w:val="16"/>
          <w:szCs w:val="16"/>
          <w:b w:val="1"/>
          <w:bCs w:val="1"/>
          <w:color w:val="auto"/>
        </w:rPr>
        <w:t>Refinanced Debt</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such extending, renewing, replacing or refinancing Indebtedness (including, if such Indebtedness includes any Other Revolving Commitments, the unused portion of such Other Revolving Commitments) is in an original aggregate principal amount not greater than the sum of the aggregate principal amount of the Refinanced Debt (and, in the case of Refinanced Debt consisting, in whole or in part, of unused commitments under any Incremental Revolving Facility or Other Revolving Commitments, the amount thereof) plus all accrued and unpaid interest and fees thereon and expenses incurred in connection with such extension, renewal, replacement or refinancing, (ii) such Indebtedness has a maturity that is equal to or later than and, except in the case of Other Revolving Commitments, a Weighted Average Life to Maturity equal to or greater than the Refinanced Debt;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this clause (ii) shall not apply to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260"/>
          </w:cols>
          <w:pgMar w:left="320" w:top="1440" w:right="319" w:bottom="1440" w:gutter="0" w:footer="0" w:header="0"/>
        </w:sectPr>
      </w:pPr>
    </w:p>
    <w:bookmarkStart w:id="195" w:name="page196"/>
    <w:bookmarkEnd w:id="195"/>
    <w:p>
      <w:pPr>
        <w:spacing w:after="0" w:line="390" w:lineRule="exact"/>
        <w:rPr>
          <w:sz w:val="20"/>
          <w:szCs w:val="20"/>
          <w:color w:val="auto"/>
        </w:rPr>
      </w:pPr>
    </w:p>
    <w:p>
      <w:pPr>
        <w:jc w:val="both"/>
        <w:spacing w:after="0" w:line="211" w:lineRule="auto"/>
        <w:rPr>
          <w:sz w:val="20"/>
          <w:szCs w:val="20"/>
          <w:color w:val="auto"/>
        </w:rPr>
      </w:pPr>
      <w:r>
        <w:rPr>
          <w:rFonts w:ascii="Arial" w:cs="Arial" w:eastAsia="Arial" w:hAnsi="Arial"/>
          <w:sz w:val="17"/>
          <w:szCs w:val="17"/>
          <w:color w:val="auto"/>
        </w:rPr>
        <w:t xml:space="preserve">incurred in the form of Customary Bridge Loans (provided that any loans, notes, securities or other debt which are exchanged for or otherwise replace such Customary Bridge Loans shall be subject to the requirements of this clause (ii) to the extent otherwise applicable) and/or Indebtedness in an aggregate principal amount outstanding that is not in excess of the then remaining capacity under the Inside Maturity Basket, and (iii) such Refinanced Debt shall be repaid, defeased or satisfied and discharged, and all accrued interest, fees and premiums (if any) in connection therewith shall be paid, on the date such Credit Agreement Refinancing Indebtedness is issued, incurred or obtained;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to the extent that such Refinanced Debt consists, in whole or in part, of commitments under any Incremental Revolving Facility or Other Revolving Commitments (or loans incurred pursuant to any Incremental Revolving Facility or Other Revolving Loans), such commitments shall be terminated, and all accrued fees in connection therewith shall be paid, on the date such Credit Agreement Refinancing Indebtedness is issued, incurred or obtained.</w:t>
      </w:r>
    </w:p>
    <w:p>
      <w:pPr>
        <w:spacing w:after="0" w:line="13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Credit Party</w:t>
      </w:r>
      <w:r>
        <w:rPr>
          <w:rFonts w:ascii="Arial" w:cs="Arial" w:eastAsia="Arial" w:hAnsi="Arial"/>
          <w:sz w:val="17"/>
          <w:szCs w:val="17"/>
          <w:color w:val="auto"/>
        </w:rPr>
        <w:t>” means the Administrative Agent, the Issuing Banks, the Swingline Lender or any other Lender.</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Cumulative Credit</w:t>
      </w:r>
      <w:r>
        <w:rPr>
          <w:rFonts w:ascii="Arial" w:cs="Arial" w:eastAsia="Arial" w:hAnsi="Arial"/>
          <w:sz w:val="17"/>
          <w:szCs w:val="17"/>
          <w:color w:val="auto"/>
        </w:rPr>
        <w:t>” means at any time, an amount equal to:</w:t>
      </w:r>
    </w:p>
    <w:p>
      <w:pPr>
        <w:spacing w:after="0" w:line="161" w:lineRule="exact"/>
        <w:rPr>
          <w:sz w:val="20"/>
          <w:szCs w:val="20"/>
          <w:color w:val="auto"/>
        </w:rPr>
      </w:pPr>
    </w:p>
    <w:p>
      <w:pPr>
        <w:ind w:left="1540" w:hanging="409"/>
        <w:spacing w:after="0"/>
        <w:tabs>
          <w:tab w:leader="none" w:pos="154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greater of $250,000,000 and 25% of Consolidated EBITDA calculated on a Pro Forma Basis for the most recently ended Test Period;</w:t>
      </w:r>
    </w:p>
    <w:p>
      <w:pPr>
        <w:ind w:left="560"/>
        <w:spacing w:after="0"/>
        <w:rPr>
          <w:sz w:val="20"/>
          <w:szCs w:val="20"/>
          <w:color w:val="auto"/>
        </w:rPr>
      </w:pPr>
      <w:r>
        <w:rPr>
          <w:rFonts w:ascii="Arial" w:cs="Arial" w:eastAsia="Arial" w:hAnsi="Arial"/>
          <w:sz w:val="17"/>
          <w:szCs w:val="17"/>
          <w:i w:val="1"/>
          <w:iCs w:val="1"/>
          <w:color w:val="auto"/>
        </w:rPr>
        <w:t>plus</w:t>
      </w:r>
    </w:p>
    <w:p>
      <w:pPr>
        <w:spacing w:after="0" w:line="146" w:lineRule="exact"/>
        <w:rPr>
          <w:sz w:val="20"/>
          <w:szCs w:val="20"/>
          <w:color w:val="auto"/>
        </w:rPr>
      </w:pPr>
    </w:p>
    <w:p>
      <w:pPr>
        <w:jc w:val="both"/>
        <w:ind w:left="560" w:firstLine="571"/>
        <w:spacing w:after="0" w:line="234" w:lineRule="auto"/>
        <w:tabs>
          <w:tab w:leader="none" w:pos="1548" w:val="left"/>
        </w:tabs>
        <w:numPr>
          <w:ilvl w:val="0"/>
          <w:numId w:val="88"/>
        </w:numPr>
        <w:rPr>
          <w:rFonts w:ascii="Arial" w:cs="Arial" w:eastAsia="Arial" w:hAnsi="Arial"/>
          <w:sz w:val="16"/>
          <w:szCs w:val="16"/>
          <w:color w:val="auto"/>
        </w:rPr>
      </w:pPr>
      <w:r>
        <w:rPr>
          <w:rFonts w:ascii="Arial" w:cs="Arial" w:eastAsia="Arial" w:hAnsi="Arial"/>
          <w:sz w:val="16"/>
          <w:szCs w:val="16"/>
          <w:color w:val="auto"/>
        </w:rPr>
        <w:t xml:space="preserve">50% of Consolidated Net Income (or 100% of losses) for the period (taken as a single period) commencing with the fiscal quarter ended December 31, 2019 and ending on and including the last day of the most recently ended Test Period for which for which (A) with respect to any of the first three fiscal quarters in a given fiscal year, the Borrower has delivered financial statements pursuant to Section 5.01(b) or (B) with respect to the fourth fiscal quarter of any fiscal year, the Borrower has delivered financial statements pursuant to Section 5.01(a); </w:t>
      </w:r>
      <w:r>
        <w:rPr>
          <w:rFonts w:ascii="Arial" w:cs="Arial" w:eastAsia="Arial" w:hAnsi="Arial"/>
          <w:sz w:val="16"/>
          <w:szCs w:val="16"/>
          <w:i w:val="1"/>
          <w:iCs w:val="1"/>
          <w:color w:val="auto"/>
        </w:rPr>
        <w:t>plus</w:t>
      </w:r>
    </w:p>
    <w:p>
      <w:pPr>
        <w:spacing w:after="0" w:line="134" w:lineRule="exact"/>
        <w:rPr>
          <w:rFonts w:ascii="Arial" w:cs="Arial" w:eastAsia="Arial" w:hAnsi="Arial"/>
          <w:sz w:val="16"/>
          <w:szCs w:val="16"/>
          <w:color w:val="auto"/>
        </w:rPr>
      </w:pPr>
    </w:p>
    <w:p>
      <w:pPr>
        <w:jc w:val="both"/>
        <w:ind w:left="560" w:right="20" w:firstLine="571"/>
        <w:spacing w:after="0" w:line="225" w:lineRule="auto"/>
        <w:tabs>
          <w:tab w:leader="none" w:pos="1528" w:val="left"/>
        </w:tabs>
        <w:numPr>
          <w:ilvl w:val="0"/>
          <w:numId w:val="88"/>
        </w:numPr>
        <w:rPr>
          <w:rFonts w:ascii="Arial" w:cs="Arial" w:eastAsia="Arial" w:hAnsi="Arial"/>
          <w:sz w:val="17"/>
          <w:szCs w:val="17"/>
          <w:color w:val="auto"/>
        </w:rPr>
      </w:pPr>
      <w:r>
        <w:rPr>
          <w:rFonts w:ascii="Arial" w:cs="Arial" w:eastAsia="Arial" w:hAnsi="Arial"/>
          <w:sz w:val="17"/>
          <w:szCs w:val="17"/>
          <w:color w:val="auto"/>
        </w:rPr>
        <w:t xml:space="preserve">the aggregate amount of the Net Proceeds of the issuance or sale by Holdings of Qualified Equity Interests (other than to the Borrower or any of its Restricted Subsidiaries) that is contributed to the Borrower or any of its Restricted Subsidiaries after the Closing Date (other than Cure Amounts and the Net Proceeds of any such issuance made pursuant to Section 6.04(p)); </w:t>
      </w:r>
      <w:r>
        <w:rPr>
          <w:rFonts w:ascii="Arial" w:cs="Arial" w:eastAsia="Arial" w:hAnsi="Arial"/>
          <w:sz w:val="17"/>
          <w:szCs w:val="17"/>
          <w:i w:val="1"/>
          <w:iCs w:val="1"/>
          <w:color w:val="auto"/>
        </w:rPr>
        <w:t>plus</w:t>
      </w:r>
    </w:p>
    <w:p>
      <w:pPr>
        <w:spacing w:after="0" w:line="136" w:lineRule="exact"/>
        <w:rPr>
          <w:rFonts w:ascii="Arial" w:cs="Arial" w:eastAsia="Arial" w:hAnsi="Arial"/>
          <w:sz w:val="17"/>
          <w:szCs w:val="17"/>
          <w:color w:val="auto"/>
        </w:rPr>
      </w:pPr>
    </w:p>
    <w:p>
      <w:pPr>
        <w:ind w:left="560" w:right="20" w:firstLine="571"/>
        <w:spacing w:after="0" w:line="237" w:lineRule="auto"/>
        <w:tabs>
          <w:tab w:leader="none" w:pos="1591" w:val="left"/>
        </w:tabs>
        <w:numPr>
          <w:ilvl w:val="0"/>
          <w:numId w:val="88"/>
        </w:numPr>
        <w:rPr>
          <w:rFonts w:ascii="Arial" w:cs="Arial" w:eastAsia="Arial" w:hAnsi="Arial"/>
          <w:sz w:val="17"/>
          <w:szCs w:val="17"/>
          <w:color w:val="auto"/>
        </w:rPr>
      </w:pPr>
      <w:r>
        <w:rPr>
          <w:rFonts w:ascii="Arial" w:cs="Arial" w:eastAsia="Arial" w:hAnsi="Arial"/>
          <w:sz w:val="17"/>
          <w:szCs w:val="17"/>
          <w:color w:val="auto"/>
        </w:rPr>
        <w:t xml:space="preserve">the aggregate amount of cash and the fair market value of assets contributed to the Borrower after the Closing Date (other than Cure Amount or any contribution from a Restricted Subsidiary); </w:t>
      </w:r>
      <w:r>
        <w:rPr>
          <w:rFonts w:ascii="Arial" w:cs="Arial" w:eastAsia="Arial" w:hAnsi="Arial"/>
          <w:sz w:val="17"/>
          <w:szCs w:val="17"/>
          <w:i w:val="1"/>
          <w:iCs w:val="1"/>
          <w:color w:val="auto"/>
        </w:rPr>
        <w:t>plus</w:t>
      </w:r>
    </w:p>
    <w:p>
      <w:pPr>
        <w:spacing w:after="0" w:line="134" w:lineRule="exact"/>
        <w:rPr>
          <w:rFonts w:ascii="Arial" w:cs="Arial" w:eastAsia="Arial" w:hAnsi="Arial"/>
          <w:sz w:val="17"/>
          <w:szCs w:val="17"/>
          <w:color w:val="auto"/>
        </w:rPr>
      </w:pPr>
    </w:p>
    <w:p>
      <w:pPr>
        <w:ind w:left="560" w:right="20" w:firstLine="571"/>
        <w:spacing w:after="0" w:line="237" w:lineRule="auto"/>
        <w:tabs>
          <w:tab w:leader="none" w:pos="1585"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aggregate amount of Indebtedness of the Borrower and its Restricted Subsidiaries converted to or exchanged for Qualified Equity Interests of the Borrower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case of an exchange, the applicable Indebtedness is promptly cancelled); </w:t>
      </w:r>
      <w:r>
        <w:rPr>
          <w:rFonts w:ascii="Arial" w:cs="Arial" w:eastAsia="Arial" w:hAnsi="Arial"/>
          <w:sz w:val="17"/>
          <w:szCs w:val="17"/>
          <w:i w:val="1"/>
          <w:iCs w:val="1"/>
          <w:color w:val="auto"/>
        </w:rPr>
        <w:t>plus</w:t>
      </w:r>
    </w:p>
    <w:p>
      <w:pPr>
        <w:spacing w:after="0" w:line="134" w:lineRule="exact"/>
        <w:rPr>
          <w:rFonts w:ascii="Arial" w:cs="Arial" w:eastAsia="Arial" w:hAnsi="Arial"/>
          <w:sz w:val="17"/>
          <w:szCs w:val="17"/>
          <w:color w:val="auto"/>
        </w:rPr>
      </w:pPr>
    </w:p>
    <w:p>
      <w:pPr>
        <w:jc w:val="both"/>
        <w:ind w:left="560" w:right="20" w:firstLine="571"/>
        <w:spacing w:after="0" w:line="234" w:lineRule="auto"/>
        <w:tabs>
          <w:tab w:leader="none" w:pos="1566" w:val="left"/>
        </w:tabs>
        <w:numPr>
          <w:ilvl w:val="0"/>
          <w:numId w:val="88"/>
        </w:numPr>
        <w:rPr>
          <w:rFonts w:ascii="Arial" w:cs="Arial" w:eastAsia="Arial" w:hAnsi="Arial"/>
          <w:sz w:val="16"/>
          <w:szCs w:val="16"/>
          <w:color w:val="auto"/>
        </w:rPr>
      </w:pPr>
      <w:r>
        <w:rPr>
          <w:rFonts w:ascii="Arial" w:cs="Arial" w:eastAsia="Arial" w:hAnsi="Arial"/>
          <w:sz w:val="16"/>
          <w:szCs w:val="16"/>
          <w:color w:val="auto"/>
        </w:rPr>
        <w:t xml:space="preserve">to the extent actually received by the Borrower or any Restricted Subsidiary, an amount equal to (i) any returns (including dividends, interest, distributions, returns of principal, repayments, income and similar amounts and cancellations of guarantees or otherwise) in cash or other property (valued at the fair market value thereof as reasonably determined by the Borrower), in respect of, and (ii) cash or other property (valued at the fair market value thereof as reasonably determined by the Borrower) for the Disposition of, any Investments made pursuant to Section 6.04(n)(ii); </w:t>
      </w:r>
      <w:r>
        <w:rPr>
          <w:rFonts w:ascii="Arial" w:cs="Arial" w:eastAsia="Arial" w:hAnsi="Arial"/>
          <w:sz w:val="16"/>
          <w:szCs w:val="16"/>
          <w:i w:val="1"/>
          <w:iCs w:val="1"/>
          <w:color w:val="auto"/>
        </w:rPr>
        <w:t>plus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260"/>
          </w:cols>
          <w:pgMar w:left="320" w:top="1440" w:right="319" w:bottom="1440" w:gutter="0" w:footer="0" w:header="0"/>
        </w:sectPr>
      </w:pPr>
    </w:p>
    <w:bookmarkStart w:id="196" w:name="page197"/>
    <w:bookmarkEnd w:id="196"/>
    <w:p>
      <w:pPr>
        <w:spacing w:after="0" w:line="390" w:lineRule="exact"/>
        <w:rPr>
          <w:sz w:val="20"/>
          <w:szCs w:val="20"/>
          <w:color w:val="auto"/>
        </w:rPr>
      </w:pPr>
    </w:p>
    <w:p>
      <w:pPr>
        <w:jc w:val="both"/>
        <w:ind w:left="560" w:firstLine="571"/>
        <w:spacing w:after="0" w:line="230" w:lineRule="auto"/>
        <w:tabs>
          <w:tab w:leader="none" w:pos="1518" w:val="left"/>
        </w:tabs>
        <w:numPr>
          <w:ilvl w:val="0"/>
          <w:numId w:val="89"/>
        </w:numPr>
        <w:rPr>
          <w:rFonts w:ascii="Arial" w:cs="Arial" w:eastAsia="Arial" w:hAnsi="Arial"/>
          <w:sz w:val="16"/>
          <w:szCs w:val="16"/>
          <w:color w:val="auto"/>
        </w:rPr>
      </w:pPr>
      <w:r>
        <w:rPr>
          <w:rFonts w:ascii="Arial" w:cs="Arial" w:eastAsia="Arial" w:hAnsi="Arial"/>
          <w:sz w:val="16"/>
          <w:szCs w:val="16"/>
          <w:color w:val="auto"/>
        </w:rPr>
        <w:t xml:space="preserve">in the event any Unrestricted Subsidiary has been re-designated as a Restricted Subsidiary or merged, consolidated or amalgamated with or into, or transferred or conveyed all or substantially all of its assets to, or is liquidated into, the Borrower or any Restricted Subsidiary, an amount equal to the lesser of (i) the fair market value of the Investments of the Borrower and its Restricted Subsidiaries made pursuant to Section 6.04(n)(ii) in such Unrestricted Subsidiary at the time of such re-designation, combination, transfer or liquidation and (ii) the amount originally invested by the Borrower and its Restricted Subsidiaries in such Unrestricted Subsidiary pursuant to Section 6.04(n)(ii); </w:t>
      </w:r>
      <w:r>
        <w:rPr>
          <w:rFonts w:ascii="Arial" w:cs="Arial" w:eastAsia="Arial" w:hAnsi="Arial"/>
          <w:sz w:val="16"/>
          <w:szCs w:val="16"/>
          <w:i w:val="1"/>
          <w:iCs w:val="1"/>
          <w:color w:val="auto"/>
        </w:rPr>
        <w:t>plus</w:t>
      </w:r>
    </w:p>
    <w:p>
      <w:pPr>
        <w:spacing w:after="0" w:line="136" w:lineRule="exact"/>
        <w:rPr>
          <w:rFonts w:ascii="Arial" w:cs="Arial" w:eastAsia="Arial" w:hAnsi="Arial"/>
          <w:sz w:val="16"/>
          <w:szCs w:val="16"/>
          <w:color w:val="auto"/>
        </w:rPr>
      </w:pPr>
    </w:p>
    <w:p>
      <w:pPr>
        <w:ind w:left="1500" w:hanging="369"/>
        <w:spacing w:after="0"/>
        <w:tabs>
          <w:tab w:leader="none" w:pos="1500" w:val="left"/>
        </w:tabs>
        <w:numPr>
          <w:ilvl w:val="0"/>
          <w:numId w:val="89"/>
        </w:numPr>
        <w:rPr>
          <w:rFonts w:ascii="Arial" w:cs="Arial" w:eastAsia="Arial" w:hAnsi="Arial"/>
          <w:sz w:val="17"/>
          <w:szCs w:val="17"/>
          <w:color w:val="auto"/>
        </w:rPr>
      </w:pPr>
      <w:r>
        <w:rPr>
          <w:rFonts w:ascii="Arial" w:cs="Arial" w:eastAsia="Arial" w:hAnsi="Arial"/>
          <w:sz w:val="17"/>
          <w:szCs w:val="17"/>
          <w:color w:val="auto"/>
        </w:rPr>
        <w:t>an amount equal to Retained Asset Sale Proceeds; plus</w:t>
      </w:r>
    </w:p>
    <w:p>
      <w:pPr>
        <w:spacing w:after="0" w:line="159" w:lineRule="exact"/>
        <w:rPr>
          <w:rFonts w:ascii="Arial" w:cs="Arial" w:eastAsia="Arial" w:hAnsi="Arial"/>
          <w:sz w:val="17"/>
          <w:szCs w:val="17"/>
          <w:color w:val="auto"/>
        </w:rPr>
      </w:pPr>
    </w:p>
    <w:p>
      <w:pPr>
        <w:ind w:left="1520" w:hanging="389"/>
        <w:spacing w:after="0"/>
        <w:tabs>
          <w:tab w:leader="none" w:pos="1520" w:val="left"/>
        </w:tabs>
        <w:numPr>
          <w:ilvl w:val="0"/>
          <w:numId w:val="89"/>
        </w:numPr>
        <w:rPr>
          <w:rFonts w:ascii="Arial" w:cs="Arial" w:eastAsia="Arial" w:hAnsi="Arial"/>
          <w:sz w:val="17"/>
          <w:szCs w:val="17"/>
          <w:color w:val="auto"/>
        </w:rPr>
      </w:pPr>
      <w:r>
        <w:rPr>
          <w:rFonts w:ascii="Arial" w:cs="Arial" w:eastAsia="Arial" w:hAnsi="Arial"/>
          <w:sz w:val="17"/>
          <w:szCs w:val="17"/>
          <w:color w:val="auto"/>
        </w:rPr>
        <w:t xml:space="preserve">an amount equal to Declined Proceeds; </w:t>
      </w:r>
      <w:r>
        <w:rPr>
          <w:rFonts w:ascii="Arial" w:cs="Arial" w:eastAsia="Arial" w:hAnsi="Arial"/>
          <w:sz w:val="17"/>
          <w:szCs w:val="17"/>
          <w:i w:val="1"/>
          <w:iCs w:val="1"/>
          <w:color w:val="auto"/>
        </w:rPr>
        <w:t>minus</w:t>
      </w:r>
    </w:p>
    <w:p>
      <w:pPr>
        <w:spacing w:after="0" w:line="159" w:lineRule="exact"/>
        <w:rPr>
          <w:rFonts w:ascii="Arial" w:cs="Arial" w:eastAsia="Arial" w:hAnsi="Arial"/>
          <w:sz w:val="17"/>
          <w:szCs w:val="17"/>
          <w:color w:val="auto"/>
        </w:rPr>
      </w:pPr>
    </w:p>
    <w:p>
      <w:pPr>
        <w:jc w:val="both"/>
        <w:ind w:left="560" w:right="20" w:firstLine="571"/>
        <w:spacing w:after="0" w:line="216" w:lineRule="auto"/>
        <w:tabs>
          <w:tab w:leader="none" w:pos="1541" w:val="left"/>
        </w:tabs>
        <w:numPr>
          <w:ilvl w:val="0"/>
          <w:numId w:val="89"/>
        </w:numPr>
        <w:rPr>
          <w:rFonts w:ascii="Arial" w:cs="Arial" w:eastAsia="Arial" w:hAnsi="Arial"/>
          <w:sz w:val="17"/>
          <w:szCs w:val="17"/>
          <w:color w:val="auto"/>
        </w:rPr>
      </w:pPr>
      <w:r>
        <w:rPr>
          <w:rFonts w:ascii="Arial" w:cs="Arial" w:eastAsia="Arial" w:hAnsi="Arial"/>
          <w:sz w:val="17"/>
          <w:szCs w:val="17"/>
          <w:color w:val="auto"/>
        </w:rPr>
        <w:t xml:space="preserve">the aggregate amount of Investments (net of amounts received in respect of such Investments, whether as principal, interest, dividends, repayments, cancellations of guarantees or otherwise) made prior to such time pursuant to Section 6.04(n)(ii), Restricted Payments made prior to such time pursuant to paragraph Section 6.08(a)(viii) (or loans or advances made in lieu thereof pursuant to Section 6.04(k) or Indebtedness incurred using the Available RP Capacity Amount in lieu thereof) and payments in respect of any Junior Financing made prior to such time pursuant to Section 6.08(b)(iv); </w:t>
      </w:r>
      <w:r>
        <w:rPr>
          <w:rFonts w:ascii="Arial" w:cs="Arial" w:eastAsia="Arial" w:hAnsi="Arial"/>
          <w:sz w:val="17"/>
          <w:szCs w:val="17"/>
          <w:i w:val="1"/>
          <w:iCs w:val="1"/>
          <w:color w:val="auto"/>
        </w:rPr>
        <w:t>minus</w:t>
      </w:r>
    </w:p>
    <w:p>
      <w:pPr>
        <w:spacing w:after="0" w:line="138" w:lineRule="exact"/>
        <w:rPr>
          <w:rFonts w:ascii="Arial" w:cs="Arial" w:eastAsia="Arial" w:hAnsi="Arial"/>
          <w:sz w:val="17"/>
          <w:szCs w:val="17"/>
          <w:color w:val="auto"/>
        </w:rPr>
      </w:pPr>
    </w:p>
    <w:p>
      <w:pPr>
        <w:ind w:left="1500" w:hanging="369"/>
        <w:spacing w:after="0"/>
        <w:tabs>
          <w:tab w:leader="none" w:pos="1500" w:val="left"/>
        </w:tabs>
        <w:numPr>
          <w:ilvl w:val="0"/>
          <w:numId w:val="89"/>
        </w:numPr>
        <w:rPr>
          <w:rFonts w:ascii="Arial" w:cs="Arial" w:eastAsia="Arial" w:hAnsi="Arial"/>
          <w:sz w:val="16"/>
          <w:szCs w:val="16"/>
          <w:color w:val="auto"/>
        </w:rPr>
      </w:pPr>
      <w:r>
        <w:rPr>
          <w:rFonts w:ascii="Arial" w:cs="Arial" w:eastAsia="Arial" w:hAnsi="Arial"/>
          <w:sz w:val="16"/>
          <w:szCs w:val="16"/>
          <w:color w:val="auto"/>
        </w:rPr>
        <w:t>payments pursuant to Section 6.08(a)(iii) (but not in excess of the amount which would reduce the Cumulative Credit to below $0).</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Cure Amount</w:t>
      </w:r>
      <w:r>
        <w:rPr>
          <w:rFonts w:ascii="Arial" w:cs="Arial" w:eastAsia="Arial" w:hAnsi="Arial"/>
          <w:sz w:val="17"/>
          <w:szCs w:val="17"/>
          <w:color w:val="auto"/>
        </w:rPr>
        <w:t>” has the meaning assigned to such term in Section 7.02(a).</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Cure Deadline</w:t>
      </w:r>
      <w:r>
        <w:rPr>
          <w:rFonts w:ascii="Arial" w:cs="Arial" w:eastAsia="Arial" w:hAnsi="Arial"/>
          <w:sz w:val="17"/>
          <w:szCs w:val="17"/>
          <w:color w:val="auto"/>
        </w:rPr>
        <w:t>” has the meaning assigned to such term in Section 7.02(a).</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Cure Notice</w:t>
      </w:r>
      <w:r>
        <w:rPr>
          <w:rFonts w:ascii="Arial" w:cs="Arial" w:eastAsia="Arial" w:hAnsi="Arial"/>
          <w:sz w:val="17"/>
          <w:szCs w:val="17"/>
          <w:color w:val="auto"/>
        </w:rPr>
        <w:t>” has the meaning assigned to such term in Section 7.02(a).</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Cure Right</w:t>
      </w:r>
      <w:r>
        <w:rPr>
          <w:rFonts w:ascii="Arial" w:cs="Arial" w:eastAsia="Arial" w:hAnsi="Arial"/>
          <w:sz w:val="17"/>
          <w:szCs w:val="17"/>
          <w:color w:val="auto"/>
        </w:rPr>
        <w:t>” has the meaning assigned to such term in Section 7.02(a).</w:t>
      </w:r>
    </w:p>
    <w:p>
      <w:pPr>
        <w:spacing w:after="0" w:line="160" w:lineRule="exact"/>
        <w:rPr>
          <w:sz w:val="20"/>
          <w:szCs w:val="20"/>
          <w:color w:val="auto"/>
        </w:rPr>
      </w:pPr>
    </w:p>
    <w:p>
      <w:pPr>
        <w:jc w:val="both"/>
        <w:ind w:right="20" w:firstLine="568"/>
        <w:spacing w:after="0" w:line="22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Customary Bridge Loans</w:t>
      </w:r>
      <w:r>
        <w:rPr>
          <w:rFonts w:ascii="Arial" w:cs="Arial" w:eastAsia="Arial" w:hAnsi="Arial"/>
          <w:sz w:val="17"/>
          <w:szCs w:val="17"/>
          <w:color w:val="auto"/>
        </w:rPr>
        <w:t>” means customary bridge loans with a maturity date of no more than one year from incurrence that are convertible or exchangeable into other debt instruments (but, for the avoidance of doubt, not any loans, securities or other debt which are exchanged for or otherwise replace such bridge loans).</w:t>
      </w:r>
    </w:p>
    <w:p>
      <w:pPr>
        <w:spacing w:after="0" w:line="130" w:lineRule="exact"/>
        <w:rPr>
          <w:sz w:val="20"/>
          <w:szCs w:val="20"/>
          <w:color w:val="auto"/>
        </w:rPr>
      </w:pPr>
    </w:p>
    <w:p>
      <w:pPr>
        <w:jc w:val="both"/>
        <w:ind w:right="20" w:firstLine="568"/>
        <w:spacing w:after="0" w:line="23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Daily Simple SOFR</w:t>
      </w:r>
      <w:r>
        <w:rPr>
          <w:rFonts w:ascii="Arial" w:cs="Arial" w:eastAsia="Arial" w:hAnsi="Arial"/>
          <w:sz w:val="16"/>
          <w:szCs w:val="16"/>
          <w:color w:val="auto"/>
        </w:rPr>
        <w:t>” means, for any day (a “</w:t>
      </w:r>
      <w:r>
        <w:rPr>
          <w:rFonts w:ascii="Arial" w:cs="Arial" w:eastAsia="Arial" w:hAnsi="Arial"/>
          <w:sz w:val="16"/>
          <w:szCs w:val="16"/>
          <w:b w:val="1"/>
          <w:bCs w:val="1"/>
          <w:color w:val="auto"/>
        </w:rPr>
        <w:t>SOFR Rate Day</w:t>
      </w:r>
      <w:r>
        <w:rPr>
          <w:rFonts w:ascii="Arial" w:cs="Arial" w:eastAsia="Arial" w:hAnsi="Arial"/>
          <w:sz w:val="16"/>
          <w:szCs w:val="16"/>
          <w:color w:val="auto"/>
        </w:rPr>
        <w:t>”), a rate per annum equal to SOFR for the day (such day, “</w:t>
      </w:r>
      <w:r>
        <w:rPr>
          <w:rFonts w:ascii="Arial" w:cs="Arial" w:eastAsia="Arial" w:hAnsi="Arial"/>
          <w:sz w:val="16"/>
          <w:szCs w:val="16"/>
          <w:b w:val="1"/>
          <w:bCs w:val="1"/>
          <w:color w:val="auto"/>
        </w:rPr>
        <w:t>SOFR Determination</w:t>
      </w:r>
      <w:r>
        <w:rPr>
          <w:rFonts w:ascii="Arial" w:cs="Arial" w:eastAsia="Arial" w:hAnsi="Arial"/>
          <w:sz w:val="16"/>
          <w:szCs w:val="16"/>
          <w:color w:val="auto"/>
        </w:rPr>
        <w:t xml:space="preserve"> </w:t>
      </w:r>
      <w:r>
        <w:rPr>
          <w:rFonts w:ascii="Arial" w:cs="Arial" w:eastAsia="Arial" w:hAnsi="Arial"/>
          <w:sz w:val="16"/>
          <w:szCs w:val="16"/>
          <w:b w:val="1"/>
          <w:bCs w:val="1"/>
          <w:color w:val="auto"/>
        </w:rPr>
        <w:t>Date</w:t>
      </w:r>
      <w:r>
        <w:rPr>
          <w:rFonts w:ascii="Arial" w:cs="Arial" w:eastAsia="Arial" w:hAnsi="Arial"/>
          <w:sz w:val="16"/>
          <w:szCs w:val="16"/>
          <w:color w:val="auto"/>
        </w:rPr>
        <w:t>”) that is five (5) U.S. Government Securities Business Days prior to, (i) if such SOFR Rate Day is a U.S. Government Securities Business Day, such SOFR</w:t>
      </w:r>
      <w:r>
        <w:rPr>
          <w:rFonts w:ascii="Arial" w:cs="Arial" w:eastAsia="Arial" w:hAnsi="Arial"/>
          <w:sz w:val="16"/>
          <w:szCs w:val="16"/>
          <w:b w:val="1"/>
          <w:bCs w:val="1"/>
          <w:color w:val="auto"/>
        </w:rPr>
        <w:t xml:space="preserve"> </w:t>
      </w:r>
      <w:r>
        <w:rPr>
          <w:rFonts w:ascii="Arial" w:cs="Arial" w:eastAsia="Arial" w:hAnsi="Arial"/>
          <w:sz w:val="16"/>
          <w:szCs w:val="16"/>
          <w:color w:val="auto"/>
        </w:rPr>
        <w:t>Rate Day or (ii) if such SOFR Rate Day is not a U.S. Government Securities Business Day, the U.S. Government Securities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Borrower.</w:t>
      </w:r>
    </w:p>
    <w:p>
      <w:pPr>
        <w:spacing w:after="0" w:line="129" w:lineRule="exact"/>
        <w:rPr>
          <w:sz w:val="20"/>
          <w:szCs w:val="20"/>
          <w:color w:val="auto"/>
        </w:rPr>
      </w:pPr>
    </w:p>
    <w:p>
      <w:pPr>
        <w:jc w:val="both"/>
        <w:ind w:firstLine="568"/>
        <w:spacing w:after="0" w:line="22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Debtor Relief Laws</w:t>
      </w:r>
      <w:r>
        <w:rPr>
          <w:rFonts w:ascii="Arial" w:cs="Arial" w:eastAsia="Arial" w:hAnsi="Arial"/>
          <w:sz w:val="17"/>
          <w:szCs w:val="17"/>
          <w:color w:val="auto"/>
        </w:rPr>
        <w:t>” means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260"/>
          </w:cols>
          <w:pgMar w:left="320" w:top="1440" w:right="319" w:bottom="1440" w:gutter="0" w:footer="0" w:header="0"/>
        </w:sectPr>
      </w:pPr>
    </w:p>
    <w:bookmarkStart w:id="197" w:name="page198"/>
    <w:bookmarkEnd w:id="197"/>
    <w:p>
      <w:pPr>
        <w:spacing w:after="0" w:line="38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Declined Proceeds</w:t>
      </w:r>
      <w:r>
        <w:rPr>
          <w:rFonts w:ascii="Arial" w:cs="Arial" w:eastAsia="Arial" w:hAnsi="Arial"/>
          <w:sz w:val="17"/>
          <w:szCs w:val="17"/>
          <w:color w:val="auto"/>
        </w:rPr>
        <w:t>” has the meaning assigned to such term in Section 2.09(d).</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Deemed Date</w:t>
      </w:r>
      <w:r>
        <w:rPr>
          <w:rFonts w:ascii="Arial" w:cs="Arial" w:eastAsia="Arial" w:hAnsi="Arial"/>
          <w:sz w:val="17"/>
          <w:szCs w:val="17"/>
          <w:color w:val="auto"/>
        </w:rPr>
        <w:t>” has the meaning assigned to such term in Section 6.01.</w:t>
      </w:r>
    </w:p>
    <w:p>
      <w:pPr>
        <w:spacing w:after="0" w:line="160" w:lineRule="exact"/>
        <w:rPr>
          <w:sz w:val="20"/>
          <w:szCs w:val="20"/>
          <w:color w:val="auto"/>
        </w:rPr>
      </w:pPr>
    </w:p>
    <w:p>
      <w:pPr>
        <w:jc w:val="both"/>
        <w:ind w:right="20" w:firstLine="568"/>
        <w:spacing w:after="0" w:line="24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Default</w:t>
      </w:r>
      <w:r>
        <w:rPr>
          <w:rFonts w:ascii="Arial" w:cs="Arial" w:eastAsia="Arial" w:hAnsi="Arial"/>
          <w:sz w:val="17"/>
          <w:szCs w:val="17"/>
          <w:color w:val="auto"/>
        </w:rPr>
        <w:t>” means any event or condition that constitutes an Event of Default or that upon notice, lapse of time or both would, unless cured or waived, become an Event of Default.</w:t>
      </w:r>
    </w:p>
    <w:p>
      <w:pPr>
        <w:spacing w:after="0" w:line="12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Default Right</w:t>
      </w:r>
      <w:r>
        <w:rPr>
          <w:rFonts w:ascii="Arial" w:cs="Arial" w:eastAsia="Arial" w:hAnsi="Arial"/>
          <w:sz w:val="17"/>
          <w:szCs w:val="17"/>
          <w:color w:val="auto"/>
        </w:rPr>
        <w:t>” has the meaning assigned to such term in Section 9.21(b).</w:t>
      </w:r>
    </w:p>
    <w:p>
      <w:pPr>
        <w:spacing w:after="0" w:line="160" w:lineRule="exact"/>
        <w:rPr>
          <w:sz w:val="20"/>
          <w:szCs w:val="20"/>
          <w:color w:val="auto"/>
        </w:rPr>
      </w:pPr>
    </w:p>
    <w:p>
      <w:pPr>
        <w:jc w:val="both"/>
        <w:ind w:firstLine="568"/>
        <w:spacing w:after="0" w:line="22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Defaulting Lender</w:t>
      </w:r>
      <w:r>
        <w:rPr>
          <w:rFonts w:ascii="Arial" w:cs="Arial" w:eastAsia="Arial" w:hAnsi="Arial"/>
          <w:sz w:val="16"/>
          <w:szCs w:val="16"/>
          <w:color w:val="auto"/>
        </w:rPr>
        <w:t xml:space="preserve">” means any Revolving Lender that (a) has failed, within one Business Day of the date required to be funded or paid, to (i) fund any portion of its Revolving Loans, (ii) fund any portion of its participations in Letters of Credit or Swingline Loans or (iii) pay over to any Credit Party any other amount required to be paid by it hereunder, unless, in the case of clause (i) above, such Lender notifies the Administrative Agent in writing that such failure is the result of such Lender’s good faith determination that a condition precedent to funding a loan under this Agreement (specifically identified and including the particular default, if any) has not been satisfied, (b) has notified the Borrower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agreements in which it commits to extend credit, (c) has failed, within three Business Days after request by the Administrative Agent or the Borrower, acting in good faith, to provide a certification in writing from an authorized officer of such Lender that it will comply with its obligations (and is financially able to meet such obligations) to fund prospective Revolving Loans and participations in then outstanding Letters of Credit or Swingline Loans under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Lender shall cease to be a Defaulting Lender pursuant to this clause (c) upon the Administrative Agent’s or the Borrower’s receipt, as applicable, of such certification in form and substance satisfactory to it and the Administrative Agent, or (d) has, or has a Lender Parent that has, (i) become the subject of a Bankruptcy Event or (ii) become subject to a Bail-In Action. Any determination by the Administrative Agent made in writing to the Borrower and each Lender that a Lender is a Defaulting Lender under any one or more of clauses (a) through (d) above shall be conclusive and binding absent manifest error.</w:t>
      </w:r>
    </w:p>
    <w:p>
      <w:pPr>
        <w:spacing w:after="0" w:line="13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Designated Affiliate</w:t>
      </w:r>
      <w:r>
        <w:rPr>
          <w:rFonts w:ascii="Arial" w:cs="Arial" w:eastAsia="Arial" w:hAnsi="Arial"/>
          <w:sz w:val="17"/>
          <w:szCs w:val="17"/>
          <w:color w:val="auto"/>
        </w:rPr>
        <w:t>” has the meaning assigned to such term in Section 9.02(e).</w:t>
      </w:r>
    </w:p>
    <w:p>
      <w:pPr>
        <w:spacing w:after="0" w:line="160" w:lineRule="exact"/>
        <w:rPr>
          <w:sz w:val="20"/>
          <w:szCs w:val="20"/>
          <w:color w:val="auto"/>
        </w:rPr>
      </w:pPr>
    </w:p>
    <w:p>
      <w:pPr>
        <w:jc w:val="both"/>
        <w:ind w:right="20" w:firstLine="568"/>
        <w:spacing w:after="0" w:line="22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Designated Non-Cash Consideration</w:t>
      </w:r>
      <w:r>
        <w:rPr>
          <w:rFonts w:ascii="Arial" w:cs="Arial" w:eastAsia="Arial" w:hAnsi="Arial"/>
          <w:sz w:val="17"/>
          <w:szCs w:val="17"/>
          <w:color w:val="auto"/>
        </w:rPr>
        <w:t>” means the fair market value of non-cash consideration received by Holdings, any Intermediate Parent, the Borrower or a Subsidiary in connection with a Disposition pursuant to Section 6.05(k) that is designated as Designated Non-Cash Consideration pursuant to a certificate of a Responsible Officer of Holdings, setting forth the basis of such valuation (which amount will be reduced by the fair market value of the portion of the non-cash consideration converted to cash).</w:t>
      </w:r>
    </w:p>
    <w:p>
      <w:pPr>
        <w:spacing w:after="0" w:line="12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Designation Date</w:t>
      </w:r>
      <w:r>
        <w:rPr>
          <w:rFonts w:ascii="Arial" w:cs="Arial" w:eastAsia="Arial" w:hAnsi="Arial"/>
          <w:sz w:val="17"/>
          <w:szCs w:val="17"/>
          <w:color w:val="auto"/>
        </w:rPr>
        <w:t>” has the meaning assigned to such term in Section 5.13.</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Discount Prepayment Accepting Lender</w:t>
      </w:r>
      <w:r>
        <w:rPr>
          <w:rFonts w:ascii="Arial" w:cs="Arial" w:eastAsia="Arial" w:hAnsi="Arial"/>
          <w:sz w:val="17"/>
          <w:szCs w:val="17"/>
          <w:color w:val="auto"/>
        </w:rPr>
        <w:t>” has the meaning assigned to such term in Section 2.09(a)(ii)(B)(2).</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Discount Range</w:t>
      </w:r>
      <w:r>
        <w:rPr>
          <w:rFonts w:ascii="Arial" w:cs="Arial" w:eastAsia="Arial" w:hAnsi="Arial"/>
          <w:sz w:val="17"/>
          <w:szCs w:val="17"/>
          <w:color w:val="auto"/>
        </w:rPr>
        <w:t>” has the meaning assigned to such term in Section 2.09(a)(ii)(C)(1).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260"/>
          </w:cols>
          <w:pgMar w:left="320" w:top="1440" w:right="319" w:bottom="1440" w:gutter="0" w:footer="0" w:header="0"/>
        </w:sectPr>
      </w:pPr>
    </w:p>
    <w:bookmarkStart w:id="198" w:name="page199"/>
    <w:bookmarkEnd w:id="198"/>
    <w:p>
      <w:pPr>
        <w:spacing w:after="0" w:line="38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Discount Range Prepayment Amount</w:t>
      </w:r>
      <w:r>
        <w:rPr>
          <w:rFonts w:ascii="Arial" w:cs="Arial" w:eastAsia="Arial" w:hAnsi="Arial"/>
          <w:sz w:val="17"/>
          <w:szCs w:val="17"/>
          <w:color w:val="auto"/>
        </w:rPr>
        <w:t>” has the meaning assigned to such term in Section 2.09(a)(ii)(C)(1).</w:t>
      </w:r>
    </w:p>
    <w:p>
      <w:pPr>
        <w:spacing w:after="0" w:line="160" w:lineRule="exact"/>
        <w:rPr>
          <w:sz w:val="20"/>
          <w:szCs w:val="20"/>
          <w:color w:val="auto"/>
        </w:rPr>
      </w:pPr>
    </w:p>
    <w:p>
      <w:pPr>
        <w:jc w:val="both"/>
        <w:ind w:right="20" w:firstLine="568"/>
        <w:spacing w:after="0" w:line="24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Discount Range Prepayment Notice</w:t>
      </w:r>
      <w:r>
        <w:rPr>
          <w:rFonts w:ascii="Arial" w:cs="Arial" w:eastAsia="Arial" w:hAnsi="Arial"/>
          <w:sz w:val="17"/>
          <w:szCs w:val="17"/>
          <w:color w:val="auto"/>
        </w:rPr>
        <w:t>” means a written notice of a Borrower Solicitation of Discount Range Prepayment Offers made pursuant to Section 2.09(a)(ii)(C) substantially in the form of Exhibit K.</w:t>
      </w:r>
    </w:p>
    <w:p>
      <w:pPr>
        <w:spacing w:after="0" w:line="128" w:lineRule="exact"/>
        <w:rPr>
          <w:sz w:val="20"/>
          <w:szCs w:val="20"/>
          <w:color w:val="auto"/>
        </w:rPr>
      </w:pPr>
    </w:p>
    <w:p>
      <w:pPr>
        <w:jc w:val="both"/>
        <w:ind w:right="20" w:firstLine="568"/>
        <w:spacing w:after="0" w:line="24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Discount Range Prepayment Offer</w:t>
      </w:r>
      <w:r>
        <w:rPr>
          <w:rFonts w:ascii="Arial" w:cs="Arial" w:eastAsia="Arial" w:hAnsi="Arial"/>
          <w:sz w:val="17"/>
          <w:szCs w:val="17"/>
          <w:color w:val="auto"/>
        </w:rPr>
        <w:t>” means the irrevocable written offer by a Term Lender, substantially in the form of Exhibit L, submitted in response to an invitation to submit offers following the Auction Agent’s receipt of a Discount Range Prepayment Notice.</w:t>
      </w:r>
    </w:p>
    <w:p>
      <w:pPr>
        <w:spacing w:after="0" w:line="12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Discount Range Prepayment Response Date</w:t>
      </w:r>
      <w:r>
        <w:rPr>
          <w:rFonts w:ascii="Arial" w:cs="Arial" w:eastAsia="Arial" w:hAnsi="Arial"/>
          <w:sz w:val="17"/>
          <w:szCs w:val="17"/>
          <w:color w:val="auto"/>
        </w:rPr>
        <w:t>” has the meaning assigned to such term in Section 2.09(a)(ii)(C)(1).</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Discount Range Proration</w:t>
      </w:r>
      <w:r>
        <w:rPr>
          <w:rFonts w:ascii="Arial" w:cs="Arial" w:eastAsia="Arial" w:hAnsi="Arial"/>
          <w:sz w:val="17"/>
          <w:szCs w:val="17"/>
          <w:color w:val="auto"/>
        </w:rPr>
        <w:t>” has the meaning assigned to such term in Section 2.09(a)(ii)(C)(3).</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Discounted Prepayment Determination Date</w:t>
      </w:r>
      <w:r>
        <w:rPr>
          <w:rFonts w:ascii="Arial" w:cs="Arial" w:eastAsia="Arial" w:hAnsi="Arial"/>
          <w:sz w:val="17"/>
          <w:szCs w:val="17"/>
          <w:color w:val="auto"/>
        </w:rPr>
        <w:t>” has the meaning assigned to such term in Section 2.09(a)(ii)(D)(3).</w:t>
      </w:r>
    </w:p>
    <w:p>
      <w:pPr>
        <w:spacing w:after="0" w:line="160" w:lineRule="exact"/>
        <w:rPr>
          <w:sz w:val="20"/>
          <w:szCs w:val="20"/>
          <w:color w:val="auto"/>
        </w:rPr>
      </w:pPr>
    </w:p>
    <w:p>
      <w:pPr>
        <w:jc w:val="both"/>
        <w:ind w:firstLine="568"/>
        <w:spacing w:after="0" w:line="22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Discounted Prepayment Effective Date</w:t>
      </w:r>
      <w:r>
        <w:rPr>
          <w:rFonts w:ascii="Arial" w:cs="Arial" w:eastAsia="Arial" w:hAnsi="Arial"/>
          <w:sz w:val="17"/>
          <w:szCs w:val="17"/>
          <w:color w:val="auto"/>
        </w:rPr>
        <w:t>” means in the case of a Borrower Offer of Specified Discount Prepayment, Borrower Solicitation of Discount Range Prepayment Offer or Borrower Solicitation of Discounted Prepayment Offer, five (5) Business Days following the receipt by each relevant Term Lender of notice from the Auction Agent in accordance with Section 2.09(a)(ii)(B), Section 2.09(a)(ii)(C) or Section 2.09(a)(ii)(D), as applicable unless a shorter period is agreed to between the Borrower and the Auction Agent.</w:t>
      </w:r>
    </w:p>
    <w:p>
      <w:pPr>
        <w:spacing w:after="0" w:line="12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Discounted Term Loan Prepayment</w:t>
      </w:r>
      <w:r>
        <w:rPr>
          <w:rFonts w:ascii="Arial" w:cs="Arial" w:eastAsia="Arial" w:hAnsi="Arial"/>
          <w:sz w:val="17"/>
          <w:szCs w:val="17"/>
          <w:color w:val="auto"/>
        </w:rPr>
        <w:t>” has the meaning assigned to such term in Section 2.09(a)(ii)(A).</w:t>
      </w:r>
    </w:p>
    <w:p>
      <w:pPr>
        <w:spacing w:after="0" w:line="160" w:lineRule="exact"/>
        <w:rPr>
          <w:sz w:val="20"/>
          <w:szCs w:val="20"/>
          <w:color w:val="auto"/>
        </w:rPr>
      </w:pPr>
    </w:p>
    <w:p>
      <w:pPr>
        <w:jc w:val="both"/>
        <w:ind w:firstLine="568"/>
        <w:spacing w:after="0" w:line="21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Disposed EBITDA</w:t>
      </w:r>
      <w:r>
        <w:rPr>
          <w:rFonts w:ascii="Arial" w:cs="Arial" w:eastAsia="Arial" w:hAnsi="Arial"/>
          <w:sz w:val="17"/>
          <w:szCs w:val="17"/>
          <w:color w:val="auto"/>
        </w:rPr>
        <w:t>” means, with respect to any Sold Entity or Business or Converted Unrestricted Subsidiary for any period, the amount for such period of Consolidated EBITDA of such Sold Entity or Business or Converted Unrestricted Subsidiary (determined as if references to Holdings and the Restricted Subsidiaries in the definition of the term “Consolidated EBITDA” (and in the component financial definitions used therein) were references to such Sold Entity or Business and its subsidiaries or to such Converted Unrestricted Subsidiary and its subsidiaries), all as determined on a consolidated basis for such Sold Entity or Business or Converted Unrestricted Subsidiary.</w:t>
      </w:r>
    </w:p>
    <w:p>
      <w:pPr>
        <w:spacing w:after="0" w:line="13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Disposition</w:t>
      </w:r>
      <w:r>
        <w:rPr>
          <w:rFonts w:ascii="Arial" w:cs="Arial" w:eastAsia="Arial" w:hAnsi="Arial"/>
          <w:sz w:val="17"/>
          <w:szCs w:val="17"/>
          <w:color w:val="auto"/>
        </w:rPr>
        <w:t>” has the meaning assigned to such term in Section 6.05.</w:t>
      </w:r>
    </w:p>
    <w:p>
      <w:pPr>
        <w:spacing w:after="0" w:line="160" w:lineRule="exact"/>
        <w:rPr>
          <w:sz w:val="20"/>
          <w:szCs w:val="20"/>
          <w:color w:val="auto"/>
        </w:rPr>
      </w:pPr>
    </w:p>
    <w:p>
      <w:pPr>
        <w:jc w:val="both"/>
        <w:ind w:right="20" w:firstLine="568"/>
        <w:spacing w:after="0" w:line="22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Disqualified Equity Interest</w:t>
      </w:r>
      <w:r>
        <w:rPr>
          <w:rFonts w:ascii="Arial" w:cs="Arial" w:eastAsia="Arial" w:hAnsi="Arial"/>
          <w:sz w:val="17"/>
          <w:szCs w:val="17"/>
          <w:color w:val="auto"/>
        </w:rPr>
        <w:t>” means, with respect to any Person, any Equity Interest in such Person that by its terms (or by the terms of any security into which it is convertible or for which it is exchangeable, either mandatorily or at the option of the holder thereof), or upon the happening of any event or condition:</w:t>
      </w:r>
    </w:p>
    <w:p>
      <w:pPr>
        <w:spacing w:after="0" w:line="136" w:lineRule="exact"/>
        <w:rPr>
          <w:sz w:val="20"/>
          <w:szCs w:val="20"/>
          <w:color w:val="auto"/>
        </w:rPr>
      </w:pPr>
    </w:p>
    <w:p>
      <w:pPr>
        <w:ind w:left="560" w:firstLine="571"/>
        <w:spacing w:after="0" w:line="264" w:lineRule="auto"/>
        <w:tabs>
          <w:tab w:leader="none" w:pos="1549" w:val="left"/>
        </w:tabs>
        <w:numPr>
          <w:ilvl w:val="0"/>
          <w:numId w:val="90"/>
        </w:numPr>
        <w:rPr>
          <w:rFonts w:ascii="Arial" w:cs="Arial" w:eastAsia="Arial" w:hAnsi="Arial"/>
          <w:sz w:val="16"/>
          <w:szCs w:val="16"/>
          <w:color w:val="auto"/>
        </w:rPr>
      </w:pPr>
      <w:r>
        <w:rPr>
          <w:rFonts w:ascii="Arial" w:cs="Arial" w:eastAsia="Arial" w:hAnsi="Arial"/>
          <w:sz w:val="16"/>
          <w:szCs w:val="16"/>
          <w:color w:val="auto"/>
        </w:rPr>
        <w:t>matures or is mandatorily redeemable (other than solely for Equity Interests in such Person or in VFI that do not constitute Disqualified Equity Interests and cash in lieu of fractional shares of such Equity Interests), whether pursuant to a sinking fund obligation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260"/>
          </w:cols>
          <w:pgMar w:left="320" w:top="1440" w:right="319" w:bottom="1440" w:gutter="0" w:footer="0" w:header="0"/>
        </w:sectPr>
      </w:pPr>
    </w:p>
    <w:bookmarkStart w:id="199" w:name="page200"/>
    <w:bookmarkEnd w:id="199"/>
    <w:p>
      <w:pPr>
        <w:spacing w:after="0" w:line="390" w:lineRule="exact"/>
        <w:rPr>
          <w:sz w:val="20"/>
          <w:szCs w:val="20"/>
          <w:color w:val="auto"/>
        </w:rPr>
      </w:pPr>
    </w:p>
    <w:p>
      <w:pPr>
        <w:jc w:val="both"/>
        <w:ind w:left="560" w:firstLine="571"/>
        <w:spacing w:after="0" w:line="225" w:lineRule="auto"/>
        <w:tabs>
          <w:tab w:leader="none" w:pos="1559" w:val="left"/>
        </w:tabs>
        <w:numPr>
          <w:ilvl w:val="0"/>
          <w:numId w:val="91"/>
        </w:numPr>
        <w:rPr>
          <w:rFonts w:ascii="Arial" w:cs="Arial" w:eastAsia="Arial" w:hAnsi="Arial"/>
          <w:sz w:val="17"/>
          <w:szCs w:val="17"/>
          <w:color w:val="auto"/>
        </w:rPr>
      </w:pPr>
      <w:r>
        <w:rPr>
          <w:rFonts w:ascii="Arial" w:cs="Arial" w:eastAsia="Arial" w:hAnsi="Arial"/>
          <w:sz w:val="17"/>
          <w:szCs w:val="17"/>
          <w:color w:val="auto"/>
        </w:rPr>
        <w:t>is convertible or exchangeable, either mandatorily or at the option of the holder thereof, for Indebtedness or Equity Interests (other than solely for Equity Interests in such Person or in VFI that do not constitute Disqualified Equity Interests and cash in lieu of fractional shares of such Equity Interests);</w:t>
      </w:r>
    </w:p>
    <w:p>
      <w:pPr>
        <w:spacing w:after="0" w:line="136" w:lineRule="exact"/>
        <w:rPr>
          <w:rFonts w:ascii="Arial" w:cs="Arial" w:eastAsia="Arial" w:hAnsi="Arial"/>
          <w:sz w:val="17"/>
          <w:szCs w:val="17"/>
          <w:color w:val="auto"/>
        </w:rPr>
      </w:pPr>
    </w:p>
    <w:p>
      <w:pPr>
        <w:ind w:left="1500" w:hanging="369"/>
        <w:spacing w:after="0"/>
        <w:tabs>
          <w:tab w:leader="none" w:pos="1500" w:val="left"/>
        </w:tabs>
        <w:numPr>
          <w:ilvl w:val="0"/>
          <w:numId w:val="91"/>
        </w:numPr>
        <w:rPr>
          <w:rFonts w:ascii="Arial" w:cs="Arial" w:eastAsia="Arial" w:hAnsi="Arial"/>
          <w:sz w:val="17"/>
          <w:szCs w:val="17"/>
          <w:color w:val="auto"/>
        </w:rPr>
      </w:pPr>
      <w:r>
        <w:rPr>
          <w:rFonts w:ascii="Arial" w:cs="Arial" w:eastAsia="Arial" w:hAnsi="Arial"/>
          <w:sz w:val="17"/>
          <w:szCs w:val="17"/>
          <w:color w:val="auto"/>
        </w:rPr>
        <w:t>provides for the scheduled payments of dividends in cash; or</w:t>
      </w:r>
    </w:p>
    <w:p>
      <w:pPr>
        <w:spacing w:after="0" w:line="159" w:lineRule="exact"/>
        <w:rPr>
          <w:rFonts w:ascii="Arial" w:cs="Arial" w:eastAsia="Arial" w:hAnsi="Arial"/>
          <w:sz w:val="17"/>
          <w:szCs w:val="17"/>
          <w:color w:val="auto"/>
        </w:rPr>
      </w:pPr>
    </w:p>
    <w:p>
      <w:pPr>
        <w:jc w:val="both"/>
        <w:ind w:left="560" w:firstLine="571"/>
        <w:spacing w:after="0" w:line="225" w:lineRule="auto"/>
        <w:tabs>
          <w:tab w:leader="none" w:pos="1509" w:val="left"/>
        </w:tabs>
        <w:numPr>
          <w:ilvl w:val="0"/>
          <w:numId w:val="91"/>
        </w:numPr>
        <w:rPr>
          <w:rFonts w:ascii="Arial" w:cs="Arial" w:eastAsia="Arial" w:hAnsi="Arial"/>
          <w:sz w:val="17"/>
          <w:szCs w:val="17"/>
          <w:color w:val="auto"/>
        </w:rPr>
      </w:pPr>
      <w:r>
        <w:rPr>
          <w:rFonts w:ascii="Arial" w:cs="Arial" w:eastAsia="Arial" w:hAnsi="Arial"/>
          <w:sz w:val="17"/>
          <w:szCs w:val="17"/>
          <w:color w:val="auto"/>
        </w:rPr>
        <w:t>is redeemable (other than solely for Equity Interests in such Person or in VFI that do not constitute Disqualified Equity Interests and cash in lieu of fractional shares of such Equity Interests) or is required to be repurchased by such Person or VFI or any of its Affiliates, in whole or in part, at the option of the holder thereof;</w:t>
      </w:r>
    </w:p>
    <w:p>
      <w:pPr>
        <w:spacing w:after="0" w:line="137" w:lineRule="exact"/>
        <w:rPr>
          <w:sz w:val="20"/>
          <w:szCs w:val="20"/>
          <w:color w:val="auto"/>
        </w:rPr>
      </w:pPr>
    </w:p>
    <w:p>
      <w:pPr>
        <w:jc w:val="both"/>
        <w:spacing w:after="0" w:line="225" w:lineRule="auto"/>
        <w:rPr>
          <w:sz w:val="20"/>
          <w:szCs w:val="20"/>
          <w:color w:val="auto"/>
        </w:rPr>
      </w:pPr>
      <w:r>
        <w:rPr>
          <w:rFonts w:ascii="Arial" w:cs="Arial" w:eastAsia="Arial" w:hAnsi="Arial"/>
          <w:sz w:val="16"/>
          <w:szCs w:val="16"/>
          <w:color w:val="auto"/>
        </w:rPr>
        <w:t xml:space="preserve">in each case, on or prior to the date 91 days after the Latest Maturity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 an Equity Interest in any Person that would not constitute a Disqualified Equity Interest but for terms thereof giving holders thereof the right to require such Person to redeem or purchase such Equity Interest upon the occurrence of an “asset sale” or a “change of control” shall not constitute a Disqualified Equity Interest if any such requirement becomes operative only after repayment in full of all the Loans and all other Loan Document Obligations that are accrued and payable, the cancellation or expiration with no pending drawings of all Letters of Credit and the termination of the Commitments and (ii) if an Equity Interest in any Person is issued pursuant to any plan for the benefit of employees of Holdings (or any direct or indirect parent thereof) or any of its subsidiaries or by any such plan to such employees, such Equity Interest shall not constitute a Disqualified Equity Interest solely because it may be required to be repurchased by Holdings (or any direct or indirect parent company thereof) or any of its subsidiaries in order to satisfy applicable statutory or regulatory obligations of such Person.</w:t>
      </w:r>
    </w:p>
    <w:p>
      <w:pPr>
        <w:spacing w:after="0" w:line="129" w:lineRule="exact"/>
        <w:rPr>
          <w:sz w:val="20"/>
          <w:szCs w:val="20"/>
          <w:color w:val="auto"/>
        </w:rPr>
      </w:pPr>
    </w:p>
    <w:p>
      <w:pPr>
        <w:jc w:val="both"/>
        <w:ind w:firstLine="568"/>
        <w:spacing w:after="0" w:line="23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Disqualified Lender</w:t>
      </w:r>
      <w:r>
        <w:rPr>
          <w:rFonts w:ascii="Arial" w:cs="Arial" w:eastAsia="Arial" w:hAnsi="Arial"/>
          <w:sz w:val="15"/>
          <w:szCs w:val="15"/>
          <w:color w:val="auto"/>
        </w:rPr>
        <w:t xml:space="preserve">” (a) means each Person identified as a “Disqualified Lender” on Part A of Schedule 1.01(a), which Schedule may be provided to any Lender or prospective Lender upon request and (b) any affiliate of the entities described in the preceding clause (a) that is clearly identifiable as an affiliate of such entity solely on the basis of its name (other than, with respect to this clause (b), any bona fide debt fund affiliate thereof that is primarily engaged in, or that advises funds or other investment vehicles that are engaged in making, purchasing, holding or otherwise investing in commercial loans, bonds and similar extensions of credit or securities in the ordinary course of business so long as no personnel of such debt fund affiliate is involved with any investment in the applicable person or entity described in the preceding clause (a) or the management, control or operation of such person or entity, possesses, directly or indirectly, the power to direct or cause the direction of the investment policies of such debt fund);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no such updates pursuant to clause (b) shall be deemed to retroactively disqualify any assignment or participation interest to the extent such assignment or participation interest was acquired by a party that was not a Disqualified Lender at the time of such assignment or participation, as the case may be. Notwithstanding anything in this Agreement to the contrary, each Loan Party and the Lenders acknowledge and agree that the Administrative Agent will not have any responsibility or obligation to determine whether any Lender or potential Lender is a Disqualified Lender and the Administrative Agent will not have any liability with respect to any assignment made to a Disqualified Lender.</w:t>
      </w:r>
    </w:p>
    <w:p>
      <w:pPr>
        <w:spacing w:after="0" w:line="13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dollars</w:t>
      </w:r>
      <w:r>
        <w:rPr>
          <w:rFonts w:ascii="Arial" w:cs="Arial" w:eastAsia="Arial" w:hAnsi="Arial"/>
          <w:sz w:val="17"/>
          <w:szCs w:val="17"/>
          <w:color w:val="auto"/>
        </w:rPr>
        <w:t>” or “</w:t>
      </w:r>
      <w:r>
        <w:rPr>
          <w:rFonts w:ascii="Arial" w:cs="Arial" w:eastAsia="Arial" w:hAnsi="Arial"/>
          <w:sz w:val="17"/>
          <w:szCs w:val="17"/>
          <w:b w:val="1"/>
          <w:bCs w:val="1"/>
          <w:color w:val="auto"/>
        </w:rPr>
        <w:t>$</w:t>
      </w:r>
      <w:r>
        <w:rPr>
          <w:rFonts w:ascii="Arial" w:cs="Arial" w:eastAsia="Arial" w:hAnsi="Arial"/>
          <w:sz w:val="17"/>
          <w:szCs w:val="17"/>
          <w:color w:val="auto"/>
        </w:rPr>
        <w:t>” refers to lawful money of the United States of America.</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Domestic Subsidiary</w:t>
      </w:r>
      <w:r>
        <w:rPr>
          <w:rFonts w:ascii="Arial" w:cs="Arial" w:eastAsia="Arial" w:hAnsi="Arial"/>
          <w:sz w:val="17"/>
          <w:szCs w:val="17"/>
          <w:color w:val="auto"/>
        </w:rPr>
        <w:t>” means any Subsidiary that is not a Foreign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260"/>
          </w:cols>
          <w:pgMar w:left="320" w:top="1440" w:right="319" w:bottom="1440" w:gutter="0" w:footer="0" w:header="0"/>
        </w:sectPr>
      </w:pPr>
    </w:p>
    <w:bookmarkStart w:id="200" w:name="page201"/>
    <w:bookmarkEnd w:id="200"/>
    <w:p>
      <w:pPr>
        <w:spacing w:after="0" w:line="384" w:lineRule="exact"/>
        <w:rPr>
          <w:sz w:val="20"/>
          <w:szCs w:val="20"/>
          <w:color w:val="auto"/>
        </w:rPr>
      </w:pPr>
    </w:p>
    <w:p>
      <w:pPr>
        <w:jc w:val="both"/>
        <w:ind w:firstLine="568"/>
        <w:spacing w:after="0" w:line="22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ECF Percentage</w:t>
      </w:r>
      <w:r>
        <w:rPr>
          <w:rFonts w:ascii="Arial" w:cs="Arial" w:eastAsia="Arial" w:hAnsi="Arial"/>
          <w:sz w:val="17"/>
          <w:szCs w:val="17"/>
          <w:color w:val="auto"/>
        </w:rPr>
        <w:t>” means, with respect to any prepayment required by Section 2.09(c) with respect to any applicable period of the Borrower, if the Net First Lien Leverage Ratio (prior to giving effect to the applicable prepayment pursuant to Section 2.09(c)) as of the end of such applicable period is (a) greater than 3.50 to 1.00, 50% of Excess Cash Flow for such period, (b) equal to or less than 3.50 to 1.00 but greater than 3.00 to 1.00, 25% of Excess Cash Flow for such period and (c) equal to or less than 3.00 to 1.00, 0% of Excess Cash Flow for such period.</w:t>
      </w:r>
    </w:p>
    <w:p>
      <w:pPr>
        <w:spacing w:after="0" w:line="129" w:lineRule="exact"/>
        <w:rPr>
          <w:sz w:val="20"/>
          <w:szCs w:val="20"/>
          <w:color w:val="auto"/>
        </w:rPr>
      </w:pPr>
    </w:p>
    <w:p>
      <w:pPr>
        <w:jc w:val="both"/>
        <w:ind w:right="20" w:firstLine="568"/>
        <w:spacing w:after="0" w:line="22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EEA Financial Institution</w:t>
      </w:r>
      <w:r>
        <w:rPr>
          <w:rFonts w:ascii="Arial" w:cs="Arial" w:eastAsia="Arial" w:hAnsi="Arial"/>
          <w:sz w:val="17"/>
          <w:szCs w:val="17"/>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 (a) or (b) of this definition and is subject to consolidated supervision with its parent.</w:t>
      </w:r>
    </w:p>
    <w:p>
      <w:pPr>
        <w:spacing w:after="0" w:line="12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EEA Member Country</w:t>
      </w:r>
      <w:r>
        <w:rPr>
          <w:rFonts w:ascii="Arial" w:cs="Arial" w:eastAsia="Arial" w:hAnsi="Arial"/>
          <w:sz w:val="17"/>
          <w:szCs w:val="17"/>
          <w:color w:val="auto"/>
        </w:rPr>
        <w:t>” means any of the member states of the European Union, Iceland, Liechtenstein, and Norway.</w:t>
      </w:r>
    </w:p>
    <w:p>
      <w:pPr>
        <w:spacing w:after="0" w:line="160" w:lineRule="exact"/>
        <w:rPr>
          <w:sz w:val="20"/>
          <w:szCs w:val="20"/>
          <w:color w:val="auto"/>
        </w:rPr>
      </w:pPr>
    </w:p>
    <w:p>
      <w:pPr>
        <w:jc w:val="both"/>
        <w:ind w:right="20" w:firstLine="568"/>
        <w:spacing w:after="0" w:line="24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EEA Resolution Authority</w:t>
      </w:r>
      <w:r>
        <w:rPr>
          <w:rFonts w:ascii="Arial" w:cs="Arial" w:eastAsia="Arial" w:hAnsi="Arial"/>
          <w:sz w:val="17"/>
          <w:szCs w:val="17"/>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28" w:lineRule="exact"/>
        <w:rPr>
          <w:sz w:val="20"/>
          <w:szCs w:val="20"/>
          <w:color w:val="auto"/>
        </w:rPr>
      </w:pPr>
    </w:p>
    <w:p>
      <w:pPr>
        <w:jc w:val="both"/>
        <w:ind w:firstLine="568"/>
        <w:spacing w:after="0" w:line="24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Electronic Signature</w:t>
      </w:r>
      <w:r>
        <w:rPr>
          <w:rFonts w:ascii="Arial" w:cs="Arial" w:eastAsia="Arial" w:hAnsi="Arial"/>
          <w:sz w:val="17"/>
          <w:szCs w:val="17"/>
          <w:color w:val="auto"/>
        </w:rPr>
        <w:t>” means an electronic sound, symbol, or process attached to, or associated with, a contract or other record and adopted by a Person with the intent to sign, authenticate or accept such contract or record.</w:t>
      </w:r>
    </w:p>
    <w:p>
      <w:pPr>
        <w:spacing w:after="0" w:line="128" w:lineRule="exact"/>
        <w:rPr>
          <w:sz w:val="20"/>
          <w:szCs w:val="20"/>
          <w:color w:val="auto"/>
        </w:rPr>
      </w:pPr>
    </w:p>
    <w:p>
      <w:pPr>
        <w:jc w:val="both"/>
        <w:ind w:firstLine="568"/>
        <w:spacing w:after="0" w:line="22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Eligible Assignee</w:t>
      </w:r>
      <w:r>
        <w:rPr>
          <w:rFonts w:ascii="Arial" w:cs="Arial" w:eastAsia="Arial" w:hAnsi="Arial"/>
          <w:sz w:val="17"/>
          <w:szCs w:val="17"/>
          <w:color w:val="auto"/>
        </w:rPr>
        <w:t>” means (a) a Lender, (b) an Affiliate of a Lender, (c) an Approved Fund and (d) any other Person (other than Holdings, any Intermediate Parent, the Borrower or any of their subsidiaries, any VV Holder, any Affiliate of Vincent Viola (including any trust established for the benefit of his spouse or children) or any Disqualified Lender), other than, in each case, a natural person.</w:t>
      </w:r>
    </w:p>
    <w:p>
      <w:pPr>
        <w:spacing w:after="0" w:line="130" w:lineRule="exact"/>
        <w:rPr>
          <w:sz w:val="20"/>
          <w:szCs w:val="20"/>
          <w:color w:val="auto"/>
        </w:rPr>
      </w:pPr>
    </w:p>
    <w:p>
      <w:pPr>
        <w:jc w:val="both"/>
        <w:ind w:firstLine="568"/>
        <w:spacing w:after="0" w:line="21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Employee Holding Vehicles</w:t>
      </w:r>
      <w:r>
        <w:rPr>
          <w:rFonts w:ascii="Arial" w:cs="Arial" w:eastAsia="Arial" w:hAnsi="Arial"/>
          <w:sz w:val="17"/>
          <w:szCs w:val="17"/>
          <w:color w:val="auto"/>
        </w:rPr>
        <w:t>” means, collectively, Virtu Employee Holdco LLC, a Delaware limited liability company, Virtu East MIP LLC, a Delaware limited liability company, and any other similar entity, the equityholders of which are current and former officers, directors and employees of Holdings (or any direct or indirect parent thereof), the Borrower and the Restricted Subsidiaries, or their permitted transferees (or their respective estates, executors, trustees, administrators, heirs, legatees or distributees), which entity is formed to hold Equity Interests of Holdings (or any of Holdings’ direct or indirect parent companies) on behalf of such officers, directors and employees.</w:t>
      </w:r>
    </w:p>
    <w:p>
      <w:pPr>
        <w:spacing w:after="0" w:line="130" w:lineRule="exact"/>
        <w:rPr>
          <w:sz w:val="20"/>
          <w:szCs w:val="20"/>
          <w:color w:val="auto"/>
        </w:rPr>
      </w:pPr>
    </w:p>
    <w:p>
      <w:pPr>
        <w:jc w:val="both"/>
        <w:ind w:right="20" w:firstLine="568"/>
        <w:spacing w:after="0" w:line="27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Engagement Letter</w:t>
      </w:r>
      <w:r>
        <w:rPr>
          <w:rFonts w:ascii="Arial" w:cs="Arial" w:eastAsia="Arial" w:hAnsi="Arial"/>
          <w:sz w:val="16"/>
          <w:szCs w:val="16"/>
          <w:color w:val="auto"/>
        </w:rPr>
        <w:t>” means that certain Engagement Letter, dated January 3, 2022, by and among JPMorgan Chase Bank, N.A., Goldman Sachs Bank USA, Royal Bank of Canada, Barclays Bank PLC, Jefferies Finance LLC, BMO Capital Markets Corp., CIBC World Markets Corp. and Holdings.</w:t>
      </w:r>
    </w:p>
    <w:p>
      <w:pPr>
        <w:spacing w:after="0" w:line="105" w:lineRule="exact"/>
        <w:rPr>
          <w:sz w:val="20"/>
          <w:szCs w:val="20"/>
          <w:color w:val="auto"/>
        </w:rPr>
      </w:pPr>
    </w:p>
    <w:p>
      <w:pPr>
        <w:jc w:val="both"/>
        <w:ind w:firstLine="568"/>
        <w:spacing w:after="0" w:line="23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Environmental Laws</w:t>
      </w:r>
      <w:r>
        <w:rPr>
          <w:rFonts w:ascii="Arial" w:cs="Arial" w:eastAsia="Arial" w:hAnsi="Arial"/>
          <w:sz w:val="16"/>
          <w:szCs w:val="16"/>
          <w:color w:val="auto"/>
        </w:rPr>
        <w:t>” means all applicable treaties, rules, regulations, codes, ordinances, judgments, orders, decrees, Governmental Approvals and other applicable Requirements of Law, and all applicable injunctions or binding agreements issued, promulgated or entered into by or with any Governmental Authority, in each instance relating to the protection of the environment, to preservation or reclamation of natural resources, to the Release or threatened Release of any Hazardous Materials or to the extent relating to exposure to Hazardous Materials, to health or safety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260"/>
          </w:cols>
          <w:pgMar w:left="320" w:top="1440" w:right="319" w:bottom="1440" w:gutter="0" w:footer="0" w:header="0"/>
        </w:sectPr>
      </w:pPr>
    </w:p>
    <w:bookmarkStart w:id="201" w:name="page202"/>
    <w:bookmarkEnd w:id="201"/>
    <w:p>
      <w:pPr>
        <w:spacing w:after="0" w:line="384" w:lineRule="exact"/>
        <w:rPr>
          <w:sz w:val="20"/>
          <w:szCs w:val="20"/>
          <w:color w:val="auto"/>
        </w:rPr>
      </w:pPr>
    </w:p>
    <w:p>
      <w:pPr>
        <w:jc w:val="both"/>
        <w:ind w:right="20" w:firstLine="568"/>
        <w:spacing w:after="0" w:line="21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Environmental Liability</w:t>
      </w:r>
      <w:r>
        <w:rPr>
          <w:rFonts w:ascii="Arial" w:cs="Arial" w:eastAsia="Arial" w:hAnsi="Arial"/>
          <w:sz w:val="17"/>
          <w:szCs w:val="17"/>
          <w:color w:val="auto"/>
        </w:rPr>
        <w:t>” means any liability, obligation, loss, claim, action, order or cost, contingent or otherwise (including any liability for damages, costs of medical monitoring, costs of environmental remediation or restoration, administrative oversight costs, consultants’ fees, fines, penalties and indemnities), of Holdings, any Intermediate Parent, the Borrower or any Subsidiary directly or indirectly resulting from or based upon (a) any actual or alleged violation of any Environmental Law or permit, license or approval issued thereunder, (b) Environmental Laws and the generation, use, handling, transportation, storage, treatment or disposal of any Hazardous Materials, (c) exposure to any Hazardous Materials, (d) the Release or threatened Release of any Hazardous Material or (e) any contract, agreement or other written consensual arrangement pursuant to which liability is assumed or imposed with respect to any of the foregoing.</w:t>
      </w:r>
    </w:p>
    <w:p>
      <w:pPr>
        <w:spacing w:after="0" w:line="130" w:lineRule="exact"/>
        <w:rPr>
          <w:sz w:val="20"/>
          <w:szCs w:val="20"/>
          <w:color w:val="auto"/>
        </w:rPr>
      </w:pPr>
    </w:p>
    <w:p>
      <w:pPr>
        <w:jc w:val="both"/>
        <w:ind w:right="20" w:firstLine="568"/>
        <w:spacing w:after="0" w:line="24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Equity Interests</w:t>
      </w:r>
      <w:r>
        <w:rPr>
          <w:rFonts w:ascii="Arial" w:cs="Arial" w:eastAsia="Arial" w:hAnsi="Arial"/>
          <w:sz w:val="17"/>
          <w:szCs w:val="17"/>
          <w:color w:val="auto"/>
        </w:rPr>
        <w:t>” means shares of capital stock, partnership interests, membership interests in a limited liability company, beneficial interests in a trust or other equity ownership interests in a Person.</w:t>
      </w:r>
    </w:p>
    <w:p>
      <w:pPr>
        <w:spacing w:after="0" w:line="128" w:lineRule="exact"/>
        <w:rPr>
          <w:sz w:val="20"/>
          <w:szCs w:val="20"/>
          <w:color w:val="auto"/>
        </w:rPr>
      </w:pPr>
    </w:p>
    <w:p>
      <w:pPr>
        <w:jc w:val="both"/>
        <w:ind w:right="20" w:firstLine="568"/>
        <w:spacing w:after="0" w:line="24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ERISA</w:t>
      </w:r>
      <w:r>
        <w:rPr>
          <w:rFonts w:ascii="Arial" w:cs="Arial" w:eastAsia="Arial" w:hAnsi="Arial"/>
          <w:sz w:val="17"/>
          <w:szCs w:val="17"/>
          <w:color w:val="auto"/>
        </w:rPr>
        <w:t>” means the Employee Retirement Income Security Act of 1974, as amended from time to time, and the rules and regulations promulgated thereunder.</w:t>
      </w:r>
    </w:p>
    <w:p>
      <w:pPr>
        <w:spacing w:after="0" w:line="128" w:lineRule="exact"/>
        <w:rPr>
          <w:sz w:val="20"/>
          <w:szCs w:val="20"/>
          <w:color w:val="auto"/>
        </w:rPr>
      </w:pPr>
    </w:p>
    <w:p>
      <w:pPr>
        <w:jc w:val="both"/>
        <w:ind w:right="20" w:firstLine="568"/>
        <w:spacing w:after="0" w:line="22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ERISA Affiliate</w:t>
      </w:r>
      <w:r>
        <w:rPr>
          <w:rFonts w:ascii="Arial" w:cs="Arial" w:eastAsia="Arial" w:hAnsi="Arial"/>
          <w:sz w:val="17"/>
          <w:szCs w:val="17"/>
          <w:color w:val="auto"/>
        </w:rPr>
        <w:t>” means any trade or business (whether or not incorporated) that, together with the Borrower or any Subsidiary, is treated as a single employer under Section 414(b) or 414(c) of the Code or, solely for purposes of Section 302 of ERISA and Section 412 of the Code, is treated as a single employer under Section 414 of the Code.</w:t>
      </w:r>
    </w:p>
    <w:p>
      <w:pPr>
        <w:spacing w:after="0" w:line="130" w:lineRule="exact"/>
        <w:rPr>
          <w:sz w:val="20"/>
          <w:szCs w:val="20"/>
          <w:color w:val="auto"/>
        </w:rPr>
      </w:pPr>
    </w:p>
    <w:p>
      <w:pPr>
        <w:jc w:val="both"/>
        <w:ind w:right="20" w:firstLine="568"/>
        <w:spacing w:after="0" w:line="22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ERISA Event</w:t>
      </w:r>
      <w:r>
        <w:rPr>
          <w:rFonts w:ascii="Arial" w:cs="Arial" w:eastAsia="Arial" w:hAnsi="Arial"/>
          <w:sz w:val="16"/>
          <w:szCs w:val="16"/>
          <w:color w:val="auto"/>
        </w:rPr>
        <w:t>” means (a) any “reportable event,” as defined in Section 4043 of ERISA or the regulations issued thereunder with respect to a Plan (other than an event for which the 30 day notice period is waived); (b) any failure by any Plan to satisfy the minimum funding standard (within the meaning of Section 412 of the Code or Section 302 of ERISA) applicable to such Plan, in each case whether or not waived; (c) the filing pursuant to Section 412(c) of the Code or Section 302(c) of ERISA of an application for a waiver of the minimum funding standard with respect to any Plan; (d) a determination that any Plan is, or is expected to be, in “at-risk” status (as defined in Section 303(i)(4) of ERISA or Section 430(i)(4) of the Code); (e) the incurrence by the Borrower or any ERISA Affiliate of any liability under Title IV of ERISA with respect to the termination of any Plan; (f) the receipt by the Borrower or any ERISA Affiliate from the PBGC or a plan administrator of any notice relating to an intention to terminate any Plan or Plans or to appoint a trustee to administer any Plan; (g) the incurrence by the Borrower or any ERISA Affiliate of any liability with respect to the withdrawal or partial withdrawal (including under Section 4062(e) of ERISA) from any Plan or Multiemployer Plan; or (h) the receipt by the Borrower or any ERISA Affiliate of any notice, or the receipt by any Multiemployer Plan from the Borrower or any ERISA Affiliate of any notice, concerning the imposition of Withdrawal Liability or a determination that a Multiemployer Plan is, or is expected to be, insolvent or in reorganization, within the meaning of Title IV of ERISA or in endangered or critical status, within the meaning of Section 305 of ERISA.</w:t>
      </w:r>
    </w:p>
    <w:p>
      <w:pPr>
        <w:spacing w:after="0" w:line="132" w:lineRule="exact"/>
        <w:rPr>
          <w:sz w:val="20"/>
          <w:szCs w:val="20"/>
          <w:color w:val="auto"/>
        </w:rPr>
      </w:pPr>
    </w:p>
    <w:p>
      <w:pPr>
        <w:jc w:val="both"/>
        <w:ind w:firstLine="568"/>
        <w:spacing w:after="0" w:line="21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Ethically Screened Affiliate</w:t>
      </w:r>
      <w:r>
        <w:rPr>
          <w:rFonts w:ascii="Arial" w:cs="Arial" w:eastAsia="Arial" w:hAnsi="Arial"/>
          <w:sz w:val="17"/>
          <w:szCs w:val="17"/>
          <w:color w:val="auto"/>
        </w:rPr>
        <w:t>” means, with respect to any Person, any Affiliate of such Person that (i) is managed as to day-to-day matters (but excluding, for the avoidance of doubt, as to strategic direction and similar matters) independently from such Person and any other Affiliate of such Person that is not an Ethically Screened Affiliate, (ii) has in place customary information screens between it and such Person and any other Affiliate of such Person that is not an Ethically Screened Affiliate and (iii) such Person or any other Affiliate of such Person that is not an Ethically Screened Affiliate does not direct or cause the direction of the investment policies of such entity, nor does such Person’s or any such other Affiliate’s investment decisions influence the investment decisions of such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260"/>
          </w:cols>
          <w:pgMar w:left="320" w:top="1440" w:right="319" w:bottom="1440" w:gutter="0" w:footer="0" w:header="0"/>
        </w:sectPr>
      </w:pPr>
    </w:p>
    <w:bookmarkStart w:id="202" w:name="page203"/>
    <w:bookmarkEnd w:id="202"/>
    <w:p>
      <w:pPr>
        <w:spacing w:after="0" w:line="384" w:lineRule="exact"/>
        <w:rPr>
          <w:sz w:val="20"/>
          <w:szCs w:val="20"/>
          <w:color w:val="auto"/>
        </w:rPr>
      </w:pPr>
    </w:p>
    <w:p>
      <w:pPr>
        <w:ind w:firstLine="568"/>
        <w:spacing w:after="0" w:line="24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EU Bail-in Legislation Schedule</w:t>
      </w:r>
      <w:r>
        <w:rPr>
          <w:rFonts w:ascii="Arial" w:cs="Arial" w:eastAsia="Arial" w:hAnsi="Arial"/>
          <w:sz w:val="17"/>
          <w:szCs w:val="17"/>
          <w:color w:val="auto"/>
        </w:rPr>
        <w:t>” means the EU Bail-In Legislation Schedule published by the Loan Market Association (or any successor Person), as in effect from time to time.</w:t>
      </w:r>
    </w:p>
    <w:p>
      <w:pPr>
        <w:spacing w:after="0" w:line="12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Event of Default</w:t>
      </w:r>
      <w:r>
        <w:rPr>
          <w:rFonts w:ascii="Arial" w:cs="Arial" w:eastAsia="Arial" w:hAnsi="Arial"/>
          <w:sz w:val="17"/>
          <w:szCs w:val="17"/>
          <w:color w:val="auto"/>
        </w:rPr>
        <w:t>” has the meaning assigned to such term in Section 7.01.</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Excess Cash Flow</w:t>
      </w:r>
      <w:r>
        <w:rPr>
          <w:rFonts w:ascii="Arial" w:cs="Arial" w:eastAsia="Arial" w:hAnsi="Arial"/>
          <w:sz w:val="17"/>
          <w:szCs w:val="17"/>
          <w:color w:val="auto"/>
        </w:rPr>
        <w:t>” means, for any period, an amount equal to the excess of:</w:t>
      </w:r>
    </w:p>
    <w:p>
      <w:pPr>
        <w:spacing w:after="0" w:line="166" w:lineRule="exact"/>
        <w:rPr>
          <w:sz w:val="20"/>
          <w:szCs w:val="20"/>
          <w:color w:val="auto"/>
        </w:rPr>
      </w:pPr>
    </w:p>
    <w:p>
      <w:pPr>
        <w:ind w:left="920" w:hanging="357"/>
        <w:spacing w:after="0"/>
        <w:tabs>
          <w:tab w:leader="none" w:pos="92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sum, without duplication, of:</w:t>
      </w:r>
    </w:p>
    <w:p>
      <w:pPr>
        <w:spacing w:after="0" w:line="159" w:lineRule="exact"/>
        <w:rPr>
          <w:rFonts w:ascii="Arial" w:cs="Arial" w:eastAsia="Arial" w:hAnsi="Arial"/>
          <w:sz w:val="17"/>
          <w:szCs w:val="17"/>
          <w:color w:val="auto"/>
        </w:rPr>
      </w:pPr>
    </w:p>
    <w:p>
      <w:pPr>
        <w:ind w:left="1460" w:hanging="329"/>
        <w:spacing w:after="0"/>
        <w:tabs>
          <w:tab w:leader="none" w:pos="1460" w:val="left"/>
        </w:tabs>
        <w:numPr>
          <w:ilvl w:val="1"/>
          <w:numId w:val="92"/>
        </w:numPr>
        <w:rPr>
          <w:rFonts w:ascii="Arial" w:cs="Arial" w:eastAsia="Arial" w:hAnsi="Arial"/>
          <w:sz w:val="17"/>
          <w:szCs w:val="17"/>
          <w:color w:val="auto"/>
        </w:rPr>
      </w:pPr>
      <w:r>
        <w:rPr>
          <w:rFonts w:ascii="Arial" w:cs="Arial" w:eastAsia="Arial" w:hAnsi="Arial"/>
          <w:sz w:val="17"/>
          <w:szCs w:val="17"/>
          <w:color w:val="auto"/>
        </w:rPr>
        <w:t>Consolidated Net Income for such period,</w:t>
      </w:r>
    </w:p>
    <w:p>
      <w:pPr>
        <w:spacing w:after="0" w:line="159" w:lineRule="exact"/>
        <w:rPr>
          <w:rFonts w:ascii="Arial" w:cs="Arial" w:eastAsia="Arial" w:hAnsi="Arial"/>
          <w:sz w:val="17"/>
          <w:szCs w:val="17"/>
          <w:color w:val="auto"/>
        </w:rPr>
      </w:pPr>
    </w:p>
    <w:p>
      <w:pPr>
        <w:ind w:left="560" w:right="20" w:firstLine="571"/>
        <w:spacing w:after="0" w:line="237" w:lineRule="auto"/>
        <w:tabs>
          <w:tab w:leader="none" w:pos="1553" w:val="left"/>
        </w:tabs>
        <w:numPr>
          <w:ilvl w:val="1"/>
          <w:numId w:val="92"/>
        </w:numPr>
        <w:rPr>
          <w:rFonts w:ascii="Arial" w:cs="Arial" w:eastAsia="Arial" w:hAnsi="Arial"/>
          <w:sz w:val="17"/>
          <w:szCs w:val="17"/>
          <w:color w:val="auto"/>
        </w:rPr>
      </w:pPr>
      <w:r>
        <w:rPr>
          <w:rFonts w:ascii="Arial" w:cs="Arial" w:eastAsia="Arial" w:hAnsi="Arial"/>
          <w:sz w:val="17"/>
          <w:szCs w:val="17"/>
          <w:color w:val="auto"/>
        </w:rPr>
        <w:t>an amount equal to the amount of all Non-Cash Charges (including in respect of depreciation and amortization) to the extent deducted in arriving at such Consolidated Net Income,</w:t>
      </w:r>
    </w:p>
    <w:p>
      <w:pPr>
        <w:spacing w:after="0" w:line="134" w:lineRule="exact"/>
        <w:rPr>
          <w:rFonts w:ascii="Arial" w:cs="Arial" w:eastAsia="Arial" w:hAnsi="Arial"/>
          <w:sz w:val="17"/>
          <w:szCs w:val="17"/>
          <w:color w:val="auto"/>
        </w:rPr>
      </w:pPr>
    </w:p>
    <w:p>
      <w:pPr>
        <w:ind w:left="560" w:right="20" w:firstLine="571"/>
        <w:spacing w:after="0" w:line="237" w:lineRule="auto"/>
        <w:tabs>
          <w:tab w:leader="none" w:pos="1590" w:val="left"/>
        </w:tabs>
        <w:numPr>
          <w:ilvl w:val="1"/>
          <w:numId w:val="92"/>
        </w:numPr>
        <w:rPr>
          <w:rFonts w:ascii="Arial" w:cs="Arial" w:eastAsia="Arial" w:hAnsi="Arial"/>
          <w:sz w:val="17"/>
          <w:szCs w:val="17"/>
          <w:color w:val="auto"/>
        </w:rPr>
      </w:pPr>
      <w:r>
        <w:rPr>
          <w:rFonts w:ascii="Arial" w:cs="Arial" w:eastAsia="Arial" w:hAnsi="Arial"/>
          <w:sz w:val="17"/>
          <w:szCs w:val="17"/>
          <w:color w:val="auto"/>
        </w:rPr>
        <w:t>an amount equal to the aggregate net non-cash loss on dispositions by Holdings and the Restricted Subsidiaries during such period (other than dispositions in the ordinary course of business) to the extent deducted in arriving at such Consolidated Net Income;</w:t>
      </w:r>
    </w:p>
    <w:p>
      <w:pPr>
        <w:spacing w:after="0" w:line="134" w:lineRule="exact"/>
        <w:rPr>
          <w:rFonts w:ascii="Arial" w:cs="Arial" w:eastAsia="Arial" w:hAnsi="Arial"/>
          <w:sz w:val="17"/>
          <w:szCs w:val="17"/>
          <w:color w:val="auto"/>
        </w:rPr>
      </w:pPr>
    </w:p>
    <w:p>
      <w:pPr>
        <w:ind w:left="560" w:right="20" w:firstLine="571"/>
        <w:spacing w:after="0" w:line="237" w:lineRule="auto"/>
        <w:tabs>
          <w:tab w:leader="none" w:pos="1558" w:val="left"/>
        </w:tabs>
        <w:numPr>
          <w:ilvl w:val="1"/>
          <w:numId w:val="92"/>
        </w:numPr>
        <w:rPr>
          <w:rFonts w:ascii="Arial" w:cs="Arial" w:eastAsia="Arial" w:hAnsi="Arial"/>
          <w:sz w:val="17"/>
          <w:szCs w:val="17"/>
          <w:color w:val="auto"/>
        </w:rPr>
      </w:pPr>
      <w:r>
        <w:rPr>
          <w:rFonts w:ascii="Arial" w:cs="Arial" w:eastAsia="Arial" w:hAnsi="Arial"/>
          <w:sz w:val="17"/>
          <w:szCs w:val="17"/>
          <w:color w:val="auto"/>
        </w:rPr>
        <w:t>the amount of tax expenses deducted in determining Consolidated Net Income for such period to the extent they exceed the amount of cash taxes paid in such period; and</w:t>
      </w:r>
    </w:p>
    <w:p>
      <w:pPr>
        <w:spacing w:after="0" w:line="134" w:lineRule="exact"/>
        <w:rPr>
          <w:rFonts w:ascii="Arial" w:cs="Arial" w:eastAsia="Arial" w:hAnsi="Arial"/>
          <w:sz w:val="17"/>
          <w:szCs w:val="17"/>
          <w:color w:val="auto"/>
        </w:rPr>
      </w:pPr>
    </w:p>
    <w:p>
      <w:pPr>
        <w:ind w:left="1500" w:hanging="369"/>
        <w:spacing w:after="0"/>
        <w:tabs>
          <w:tab w:leader="none" w:pos="1500" w:val="left"/>
        </w:tabs>
        <w:numPr>
          <w:ilvl w:val="1"/>
          <w:numId w:val="92"/>
        </w:numPr>
        <w:rPr>
          <w:rFonts w:ascii="Arial" w:cs="Arial" w:eastAsia="Arial" w:hAnsi="Arial"/>
          <w:sz w:val="17"/>
          <w:szCs w:val="17"/>
          <w:color w:val="auto"/>
        </w:rPr>
      </w:pPr>
      <w:r>
        <w:rPr>
          <w:rFonts w:ascii="Arial" w:cs="Arial" w:eastAsia="Arial" w:hAnsi="Arial"/>
          <w:sz w:val="17"/>
          <w:szCs w:val="17"/>
          <w:color w:val="auto"/>
        </w:rPr>
        <w:t>extraordinary cash gains during such period;</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over</w:t>
      </w:r>
    </w:p>
    <w:p>
      <w:pPr>
        <w:spacing w:after="0" w:line="160" w:lineRule="exact"/>
        <w:rPr>
          <w:sz w:val="20"/>
          <w:szCs w:val="20"/>
          <w:color w:val="auto"/>
        </w:rPr>
      </w:pPr>
    </w:p>
    <w:p>
      <w:pPr>
        <w:ind w:left="940" w:hanging="377"/>
        <w:spacing w:after="0"/>
        <w:tabs>
          <w:tab w:leader="none" w:pos="94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sum, without duplication, of:</w:t>
      </w:r>
    </w:p>
    <w:p>
      <w:pPr>
        <w:spacing w:after="0" w:line="159" w:lineRule="exact"/>
        <w:rPr>
          <w:rFonts w:ascii="Arial" w:cs="Arial" w:eastAsia="Arial" w:hAnsi="Arial"/>
          <w:sz w:val="17"/>
          <w:szCs w:val="17"/>
          <w:color w:val="auto"/>
        </w:rPr>
      </w:pPr>
    </w:p>
    <w:p>
      <w:pPr>
        <w:jc w:val="both"/>
        <w:ind w:left="560" w:right="20" w:firstLine="571"/>
        <w:spacing w:after="0" w:line="220" w:lineRule="auto"/>
        <w:tabs>
          <w:tab w:leader="none" w:pos="1568" w:val="left"/>
        </w:tabs>
        <w:numPr>
          <w:ilvl w:val="1"/>
          <w:numId w:val="93"/>
        </w:numPr>
        <w:rPr>
          <w:rFonts w:ascii="Arial" w:cs="Arial" w:eastAsia="Arial" w:hAnsi="Arial"/>
          <w:sz w:val="17"/>
          <w:szCs w:val="17"/>
          <w:color w:val="auto"/>
        </w:rPr>
      </w:pPr>
      <w:r>
        <w:rPr>
          <w:rFonts w:ascii="Arial" w:cs="Arial" w:eastAsia="Arial" w:hAnsi="Arial"/>
          <w:sz w:val="17"/>
          <w:szCs w:val="17"/>
          <w:color w:val="auto"/>
        </w:rPr>
        <w:t>an amount equal to the amount of all non-cash credits included in arriving at such Consolidated Net Income (including any amounts included in Consolidated Net Income pursuant to the last sentence of the definition of “Consolidated Net Income” to the extent such amounts are due but not received during such period) and cash charges included in clauses (a) through (i) of the definition of “Consolidated Net Income” to the extent financed with internally generated funds of Holdings and the Restricted Subsidiaries,</w:t>
      </w:r>
    </w:p>
    <w:p>
      <w:pPr>
        <w:spacing w:after="0" w:line="135" w:lineRule="exact"/>
        <w:rPr>
          <w:rFonts w:ascii="Arial" w:cs="Arial" w:eastAsia="Arial" w:hAnsi="Arial"/>
          <w:sz w:val="17"/>
          <w:szCs w:val="17"/>
          <w:color w:val="auto"/>
        </w:rPr>
      </w:pPr>
    </w:p>
    <w:p>
      <w:pPr>
        <w:jc w:val="both"/>
        <w:ind w:left="560" w:firstLine="571"/>
        <w:spacing w:after="0" w:line="225" w:lineRule="auto"/>
        <w:tabs>
          <w:tab w:leader="none" w:pos="1557" w:val="left"/>
        </w:tabs>
        <w:numPr>
          <w:ilvl w:val="1"/>
          <w:numId w:val="93"/>
        </w:numPr>
        <w:rPr>
          <w:rFonts w:ascii="Arial" w:cs="Arial" w:eastAsia="Arial" w:hAnsi="Arial"/>
          <w:sz w:val="17"/>
          <w:szCs w:val="17"/>
          <w:color w:val="auto"/>
        </w:rPr>
      </w:pPr>
      <w:r>
        <w:rPr>
          <w:rFonts w:ascii="Arial" w:cs="Arial" w:eastAsia="Arial" w:hAnsi="Arial"/>
          <w:sz w:val="17"/>
          <w:szCs w:val="17"/>
          <w:color w:val="auto"/>
        </w:rPr>
        <w:t>without duplication of amounts deducted pursuant to clause (x) below in prior fiscal periods, the amount of capital expenditures made in cash during such period to the extent financed with internally generated funds of Holdings and the Restricted Subsidiaries (other than asset sale proceeds, casualty proceeds, condemnation proceeds or other funds that would not be included in Consolidated Net Income),</w:t>
      </w:r>
    </w:p>
    <w:p>
      <w:pPr>
        <w:spacing w:after="0" w:line="136" w:lineRule="exact"/>
        <w:rPr>
          <w:rFonts w:ascii="Arial" w:cs="Arial" w:eastAsia="Arial" w:hAnsi="Arial"/>
          <w:sz w:val="17"/>
          <w:szCs w:val="17"/>
          <w:color w:val="auto"/>
        </w:rPr>
      </w:pPr>
    </w:p>
    <w:p>
      <w:pPr>
        <w:jc w:val="both"/>
        <w:ind w:left="560" w:firstLine="571"/>
        <w:spacing w:after="0" w:line="230" w:lineRule="auto"/>
        <w:tabs>
          <w:tab w:leader="none" w:pos="1571" w:val="left"/>
        </w:tabs>
        <w:numPr>
          <w:ilvl w:val="1"/>
          <w:numId w:val="93"/>
        </w:numPr>
        <w:rPr>
          <w:rFonts w:ascii="Arial" w:cs="Arial" w:eastAsia="Arial" w:hAnsi="Arial"/>
          <w:sz w:val="16"/>
          <w:szCs w:val="16"/>
          <w:color w:val="auto"/>
        </w:rPr>
      </w:pPr>
      <w:r>
        <w:rPr>
          <w:rFonts w:ascii="Arial" w:cs="Arial" w:eastAsia="Arial" w:hAnsi="Arial"/>
          <w:sz w:val="16"/>
          <w:szCs w:val="16"/>
          <w:color w:val="auto"/>
        </w:rPr>
        <w:t>the aggregate amount of all principal payments of Indebtedness (other than the payment prior to its stated maturity of (x) any Indebtedness that is subordinated in right of payment to the Loan Document Obligations, (y) any Indebtedness that is secured by a junior Lien on the Collateral and (z) unsecured Indebtedness of the Borrower and its Restricted Subsidiaries) of the Borrower and the Restricted Subsidiaries (including (A) the principal component of payments in respect of Capitalized Leases and (B) the amount of any mandatory prepayment of Term Loans pursuant to Section 2.09(b) with the Net Proceeds from an event of the type specified in clause (a) of the definition of “Prepayment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260"/>
          </w:cols>
          <w:pgMar w:left="320" w:top="1440" w:right="319" w:bottom="1440" w:gutter="0" w:footer="0" w:header="0"/>
        </w:sectPr>
      </w:pPr>
    </w:p>
    <w:bookmarkStart w:id="203" w:name="page204"/>
    <w:bookmarkEnd w:id="203"/>
    <w:p>
      <w:pPr>
        <w:spacing w:after="0" w:line="390" w:lineRule="exact"/>
        <w:rPr>
          <w:sz w:val="20"/>
          <w:szCs w:val="20"/>
          <w:color w:val="auto"/>
        </w:rPr>
      </w:pPr>
    </w:p>
    <w:p>
      <w:pPr>
        <w:jc w:val="both"/>
        <w:spacing w:after="0" w:line="214" w:lineRule="auto"/>
        <w:rPr>
          <w:sz w:val="20"/>
          <w:szCs w:val="20"/>
          <w:color w:val="auto"/>
        </w:rPr>
      </w:pPr>
      <w:r>
        <w:rPr>
          <w:rFonts w:ascii="Arial" w:cs="Arial" w:eastAsia="Arial" w:hAnsi="Arial"/>
          <w:sz w:val="17"/>
          <w:szCs w:val="17"/>
          <w:color w:val="auto"/>
        </w:rPr>
        <w:t>Event” to the extent required due to a disposition that resulted in an increase to Consolidated Net Income and not in excess of the amount of such increase but excluding (X) all other prepayments of Term Loans and (Y) all prepayments of revolving loans (including any Revolving Loans and Swingline Loans) and any Trading Debt unless accompanied by a permanent reduction of commitments or termination of a credit line in respect of such revolving loans or such Trading Debt) made during such period, to the extent financed with internally generated funds of Holdings and the Restricted Subsidiaries (it being agreed that any amount not permitted to be deducted pursuant to this clause (b)(iii) may not be deducted pursuant to any other provision of this clause (b)),</w:t>
      </w:r>
    </w:p>
    <w:p>
      <w:pPr>
        <w:spacing w:after="0" w:line="138" w:lineRule="exact"/>
        <w:rPr>
          <w:sz w:val="20"/>
          <w:szCs w:val="20"/>
          <w:color w:val="auto"/>
        </w:rPr>
      </w:pPr>
    </w:p>
    <w:p>
      <w:pPr>
        <w:ind w:firstLine="571"/>
        <w:spacing w:after="0" w:line="237" w:lineRule="auto"/>
        <w:tabs>
          <w:tab w:leader="none" w:pos="1018" w:val="left"/>
        </w:tabs>
        <w:numPr>
          <w:ilvl w:val="0"/>
          <w:numId w:val="94"/>
        </w:numPr>
        <w:rPr>
          <w:rFonts w:ascii="Arial" w:cs="Arial" w:eastAsia="Arial" w:hAnsi="Arial"/>
          <w:sz w:val="17"/>
          <w:szCs w:val="17"/>
          <w:color w:val="auto"/>
        </w:rPr>
      </w:pPr>
      <w:r>
        <w:rPr>
          <w:rFonts w:ascii="Arial" w:cs="Arial" w:eastAsia="Arial" w:hAnsi="Arial"/>
          <w:sz w:val="17"/>
          <w:szCs w:val="17"/>
          <w:color w:val="auto"/>
        </w:rPr>
        <w:t>an amount equal to the aggregate net non-cash gain on dispositions by Holdings and the Restricted Subsidiaries during such period (other than dispositions in the ordinary course of business) to the extent included in arriving at such Consolidated Net Income,</w:t>
      </w:r>
    </w:p>
    <w:p>
      <w:pPr>
        <w:spacing w:after="0" w:line="134" w:lineRule="exact"/>
        <w:rPr>
          <w:rFonts w:ascii="Arial" w:cs="Arial" w:eastAsia="Arial" w:hAnsi="Arial"/>
          <w:sz w:val="17"/>
          <w:szCs w:val="17"/>
          <w:color w:val="auto"/>
        </w:rPr>
      </w:pPr>
    </w:p>
    <w:p>
      <w:pPr>
        <w:jc w:val="both"/>
        <w:ind w:right="20" w:firstLine="571"/>
        <w:spacing w:after="0" w:line="225" w:lineRule="auto"/>
        <w:tabs>
          <w:tab w:leader="none" w:pos="1041" w:val="left"/>
        </w:tabs>
        <w:numPr>
          <w:ilvl w:val="0"/>
          <w:numId w:val="94"/>
        </w:numPr>
        <w:rPr>
          <w:rFonts w:ascii="Arial" w:cs="Arial" w:eastAsia="Arial" w:hAnsi="Arial"/>
          <w:sz w:val="17"/>
          <w:szCs w:val="17"/>
          <w:color w:val="auto"/>
        </w:rPr>
      </w:pPr>
      <w:r>
        <w:rPr>
          <w:rFonts w:ascii="Arial" w:cs="Arial" w:eastAsia="Arial" w:hAnsi="Arial"/>
          <w:sz w:val="17"/>
          <w:szCs w:val="17"/>
          <w:color w:val="auto"/>
        </w:rPr>
        <w:t>cash payments by Holdings and the Restricted Subsidiaries during such period in respect of long-term liabilities of Holdings and the Restricted Subsidiaries other than Indebtedness and that were made with internally generated funds of Holdings and the Restricted Subsidiaries, to the extent that such payments were not expensed in arriving at such Consolidated Net Income,</w:t>
      </w:r>
    </w:p>
    <w:p>
      <w:pPr>
        <w:spacing w:after="0" w:line="136" w:lineRule="exact"/>
        <w:rPr>
          <w:rFonts w:ascii="Arial" w:cs="Arial" w:eastAsia="Arial" w:hAnsi="Arial"/>
          <w:sz w:val="17"/>
          <w:szCs w:val="17"/>
          <w:color w:val="auto"/>
        </w:rPr>
      </w:pPr>
    </w:p>
    <w:p>
      <w:pPr>
        <w:jc w:val="both"/>
        <w:ind w:firstLine="571"/>
        <w:spacing w:after="0" w:line="234" w:lineRule="auto"/>
        <w:tabs>
          <w:tab w:leader="none" w:pos="1029" w:val="left"/>
        </w:tabs>
        <w:numPr>
          <w:ilvl w:val="0"/>
          <w:numId w:val="94"/>
        </w:numPr>
        <w:rPr>
          <w:rFonts w:ascii="Arial" w:cs="Arial" w:eastAsia="Arial" w:hAnsi="Arial"/>
          <w:sz w:val="16"/>
          <w:szCs w:val="16"/>
          <w:color w:val="auto"/>
        </w:rPr>
      </w:pPr>
      <w:r>
        <w:rPr>
          <w:rFonts w:ascii="Arial" w:cs="Arial" w:eastAsia="Arial" w:hAnsi="Arial"/>
          <w:sz w:val="16"/>
          <w:szCs w:val="16"/>
          <w:color w:val="auto"/>
        </w:rPr>
        <w:t>without duplication of amounts deducted pursuant to clause (x) below in prior fiscal periods, the amount of Investments and acquisitions made in cash during such period pursuant to Section 6.04 (other than (1) to the extent made pursuant to Section 6.04(a) and (2) any Investment by Holdings or any Restricted Subsidiary in Holdings or any Restricted Subsidiary) to the extent that such Investments and acquisitions were financed with internally generated funds of Holdings and the Restricted Subsidiaries and were not expensed in arriving at such Consolidated Net Income,</w:t>
      </w:r>
    </w:p>
    <w:p>
      <w:pPr>
        <w:spacing w:after="0" w:line="134" w:lineRule="exact"/>
        <w:rPr>
          <w:rFonts w:ascii="Arial" w:cs="Arial" w:eastAsia="Arial" w:hAnsi="Arial"/>
          <w:sz w:val="16"/>
          <w:szCs w:val="16"/>
          <w:color w:val="auto"/>
        </w:rPr>
      </w:pPr>
    </w:p>
    <w:p>
      <w:pPr>
        <w:jc w:val="both"/>
        <w:ind w:firstLine="571"/>
        <w:spacing w:after="0" w:line="225" w:lineRule="auto"/>
        <w:tabs>
          <w:tab w:leader="none" w:pos="1064"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amount of dividends, distributions and other restricted payments paid in cash during such period by the Borrower pursuant to Section 6.08 (including any Permitted Tax Distribution) to the extent such payments were financed with internally generated funds of Holdings and the Restricted Subsidiaries,</w:t>
      </w:r>
    </w:p>
    <w:p>
      <w:pPr>
        <w:spacing w:after="0" w:line="136" w:lineRule="exact"/>
        <w:rPr>
          <w:rFonts w:ascii="Arial" w:cs="Arial" w:eastAsia="Arial" w:hAnsi="Arial"/>
          <w:sz w:val="17"/>
          <w:szCs w:val="17"/>
          <w:color w:val="auto"/>
        </w:rPr>
      </w:pPr>
    </w:p>
    <w:p>
      <w:pPr>
        <w:jc w:val="both"/>
        <w:ind w:firstLine="571"/>
        <w:spacing w:after="0" w:line="225" w:lineRule="auto"/>
        <w:tabs>
          <w:tab w:leader="none" w:pos="1136"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aggregate amount of expenditures actually made by Holdings and the Restricted Subsidiaries in cash during such period (including expenditures for the payment of financing fees) to the extent that such expenditures are not expensed during such period and were financed with internally generated funds of Holdings and the Restricted Subsidiaries,</w:t>
      </w:r>
    </w:p>
    <w:p>
      <w:pPr>
        <w:spacing w:after="0" w:line="136" w:lineRule="exact"/>
        <w:rPr>
          <w:rFonts w:ascii="Arial" w:cs="Arial" w:eastAsia="Arial" w:hAnsi="Arial"/>
          <w:sz w:val="17"/>
          <w:szCs w:val="17"/>
          <w:color w:val="auto"/>
        </w:rPr>
      </w:pPr>
    </w:p>
    <w:p>
      <w:pPr>
        <w:jc w:val="both"/>
        <w:ind w:firstLine="571"/>
        <w:spacing w:after="0"/>
        <w:tabs>
          <w:tab w:leader="none" w:pos="1011"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aggregate amount of any premium, make-whole or penalty payments actually paid in cash by Holdings and the Restricted Subsidiaries during such period that are required to be made in connection with any prepayment of Indebtedness to the extent that such payments are not expensed during such period or any previous period and were financed with internally generated funds of Holdings and the Restricted Subsidiaries,</w:t>
      </w:r>
    </w:p>
    <w:p>
      <w:pPr>
        <w:spacing w:after="0" w:line="134" w:lineRule="exact"/>
        <w:rPr>
          <w:rFonts w:ascii="Arial" w:cs="Arial" w:eastAsia="Arial" w:hAnsi="Arial"/>
          <w:sz w:val="16"/>
          <w:szCs w:val="16"/>
          <w:color w:val="auto"/>
        </w:rPr>
      </w:pPr>
    </w:p>
    <w:p>
      <w:pPr>
        <w:jc w:val="both"/>
        <w:ind w:firstLine="571"/>
        <w:spacing w:after="0" w:line="225" w:lineRule="auto"/>
        <w:tabs>
          <w:tab w:leader="none" w:pos="944" w:val="left"/>
        </w:tabs>
        <w:numPr>
          <w:ilvl w:val="0"/>
          <w:numId w:val="94"/>
        </w:numPr>
        <w:rPr>
          <w:rFonts w:ascii="Arial" w:cs="Arial" w:eastAsia="Arial" w:hAnsi="Arial"/>
          <w:sz w:val="17"/>
          <w:szCs w:val="17"/>
          <w:color w:val="auto"/>
        </w:rPr>
      </w:pPr>
      <w:r>
        <w:rPr>
          <w:rFonts w:ascii="Arial" w:cs="Arial" w:eastAsia="Arial" w:hAnsi="Arial"/>
          <w:sz w:val="17"/>
          <w:szCs w:val="17"/>
          <w:color w:val="auto"/>
        </w:rPr>
        <w:t>without duplication of amounts deducted from Excess Cash Flow in prior periods, the aggregate consideration required to be paid in cash by Holdings or any of the Restricted Subsidiaries pursuant to binding contracts (which may include, among other things, letters of intent or purchase orders) (the “</w:t>
      </w:r>
      <w:r>
        <w:rPr>
          <w:rFonts w:ascii="Arial" w:cs="Arial" w:eastAsia="Arial" w:hAnsi="Arial"/>
          <w:sz w:val="17"/>
          <w:szCs w:val="17"/>
          <w:b w:val="1"/>
          <w:bCs w:val="1"/>
          <w:color w:val="auto"/>
        </w:rPr>
        <w:t>Contract Consideration</w:t>
      </w:r>
      <w:r>
        <w:rPr>
          <w:rFonts w:ascii="Arial" w:cs="Arial" w:eastAsia="Arial" w:hAnsi="Arial"/>
          <w:sz w:val="17"/>
          <w:szCs w:val="17"/>
          <w:color w:val="auto"/>
        </w:rPr>
        <w:t>”) entered into prior to or during such period relating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0700"/>
          </w:cols>
          <w:pgMar w:left="880" w:top="1440" w:right="319" w:bottom="1440" w:gutter="0" w:footer="0" w:header="0"/>
        </w:sectPr>
      </w:pPr>
    </w:p>
    <w:bookmarkStart w:id="204" w:name="page205"/>
    <w:bookmarkEnd w:id="204"/>
    <w:p>
      <w:pPr>
        <w:spacing w:after="0" w:line="390" w:lineRule="exact"/>
        <w:rPr>
          <w:sz w:val="20"/>
          <w:szCs w:val="20"/>
          <w:color w:val="auto"/>
        </w:rPr>
      </w:pPr>
    </w:p>
    <w:p>
      <w:pPr>
        <w:jc w:val="both"/>
        <w:ind w:left="560"/>
        <w:spacing w:after="0" w:line="213" w:lineRule="auto"/>
        <w:rPr>
          <w:sz w:val="20"/>
          <w:szCs w:val="20"/>
          <w:color w:val="auto"/>
        </w:rPr>
      </w:pPr>
      <w:r>
        <w:rPr>
          <w:rFonts w:ascii="Arial" w:cs="Arial" w:eastAsia="Arial" w:hAnsi="Arial"/>
          <w:sz w:val="17"/>
          <w:szCs w:val="17"/>
          <w:color w:val="auto"/>
        </w:rPr>
        <w:t xml:space="preserve">Permitted Acquisitions, other Investments or capital expenditures (including Capitalized Software Expenditures or other purchases of intellectual property but excluding any contracts where the counterparty is Holdings or any of the Restricted Subsidiaries) to be consummated or made during the period of four consecutive fiscal quarters of Holdings following the end of such period,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to the extent the aggregate amount of internally generated funds actually utilized to finance such Permitted Acquisitions, Investments or capital expenditures during such period of four consecutive fiscal quarters is less than the Contract Consideration, the amount of such shortfall shall be added to the calculation of Excess Cash Flow at the earliest to occur of the (A) abandonment of such planned expenditure, (B) making of such planned expenditure and (C) end of such period of four consecutive fiscal quarters,</w:t>
      </w:r>
    </w:p>
    <w:p>
      <w:pPr>
        <w:spacing w:after="0" w:line="135" w:lineRule="exact"/>
        <w:rPr>
          <w:sz w:val="20"/>
          <w:szCs w:val="20"/>
          <w:color w:val="auto"/>
        </w:rPr>
      </w:pPr>
    </w:p>
    <w:p>
      <w:pPr>
        <w:ind w:left="560" w:right="20" w:firstLine="571"/>
        <w:spacing w:after="0" w:line="237" w:lineRule="auto"/>
        <w:tabs>
          <w:tab w:leader="none" w:pos="1596"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amount of cash taxes paid in such period to the extent they exceed the amount of tax expense deducted in determining Consolidated Net Income for such period, and</w:t>
      </w:r>
    </w:p>
    <w:p>
      <w:pPr>
        <w:spacing w:after="0" w:line="134" w:lineRule="exact"/>
        <w:rPr>
          <w:rFonts w:ascii="Arial" w:cs="Arial" w:eastAsia="Arial" w:hAnsi="Arial"/>
          <w:sz w:val="17"/>
          <w:szCs w:val="17"/>
          <w:color w:val="auto"/>
        </w:rPr>
      </w:pPr>
    </w:p>
    <w:p>
      <w:pPr>
        <w:ind w:left="1600" w:hanging="469"/>
        <w:spacing w:after="0"/>
        <w:tabs>
          <w:tab w:leader="none" w:pos="16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extraordinary cash losses for such period.</w:t>
      </w:r>
    </w:p>
    <w:p>
      <w:pPr>
        <w:spacing w:after="0" w:line="15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Excess Cash Flow Period</w:t>
      </w:r>
      <w:r>
        <w:rPr>
          <w:rFonts w:ascii="Arial" w:cs="Arial" w:eastAsia="Arial" w:hAnsi="Arial"/>
          <w:sz w:val="17"/>
          <w:szCs w:val="17"/>
          <w:color w:val="auto"/>
        </w:rPr>
        <w:t>” has the meaning assigned to such term in Section 2.09(c).</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Exchange Act</w:t>
      </w:r>
      <w:r>
        <w:rPr>
          <w:rFonts w:ascii="Arial" w:cs="Arial" w:eastAsia="Arial" w:hAnsi="Arial"/>
          <w:sz w:val="17"/>
          <w:szCs w:val="17"/>
          <w:color w:val="auto"/>
        </w:rPr>
        <w:t>” means the United States Securities Exchange Act of 1934, as amended from time to time.</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Excluded Affiliate</w:t>
      </w:r>
      <w:r>
        <w:rPr>
          <w:rFonts w:ascii="Arial" w:cs="Arial" w:eastAsia="Arial" w:hAnsi="Arial"/>
          <w:sz w:val="17"/>
          <w:szCs w:val="17"/>
          <w:color w:val="auto"/>
        </w:rPr>
        <w:t>” has the meaning assigned to such term in Section 9.02(e).</w:t>
      </w:r>
    </w:p>
    <w:p>
      <w:pPr>
        <w:spacing w:after="0" w:line="160" w:lineRule="exact"/>
        <w:rPr>
          <w:sz w:val="20"/>
          <w:szCs w:val="20"/>
          <w:color w:val="auto"/>
        </w:rPr>
      </w:pPr>
    </w:p>
    <w:p>
      <w:pPr>
        <w:jc w:val="both"/>
        <w:ind w:firstLine="568"/>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Excluded Assets</w:t>
      </w:r>
      <w:r>
        <w:rPr>
          <w:rFonts w:ascii="Arial" w:cs="Arial" w:eastAsia="Arial" w:hAnsi="Arial"/>
          <w:sz w:val="15"/>
          <w:szCs w:val="15"/>
          <w:color w:val="auto"/>
        </w:rPr>
        <w:t>” means (a) (i) any fee-owned real property with a fair market value of less than $10,000,000 or any real property that is located in an area determined by the Federal Emergency Management Agency to have special flood hazards and (ii) all leasehold interests in real property, (b) motor vehicles and other assets subject to certificates of title or ownership (but only to the extent that a security interest in any such asset cannot be perfected by filing of a financing statement), (c) any commercial tort claims or letter of credit rights having a value of less than $10,000,000 (but only to the extent that a security interest in any such asset cannot be perfected by filing of a financing statement), (d) Excluded Securities, (e) any lease, license or other agreement with any Person if, to the extent and for so long as the grant of a Lien thereon to secure the Secured Obligations constitutes a breach of or a default under, or creates an enforceable right of termination in favor of any party (other than Holdings or any Restricted Subsidiary) to, such lease, license or other agreement (but only to the extent any of the foregoing is not rendered ineffective by, or is otherwise unenforceable under, the Uniform Commercial Code or any Requirements of Law), (f) any asset subject to a Lien of the type permitted by Section 6.02(iv) (whether or not incurred pursuant to such Section) or a Lien permitted by Section 6.02(xi) or Section 6.02(xx), in each case if, to the extent and for so long as the grant of a Lien thereon to secure the Secured Obligations constitutes a breach of or a default under, or creates a right of termination in favor of any party (other than Holdings or any Restricted Subsidiary) to, any agreement pursuant to which such Lien has been created (but only to the extent any of the foregoing is not rendered ineffective by, or is otherwise unenforceable under, the Uniform Commercial Code or any Requirements of Law), (g) any intent-to-use trademark applications filed in the United States Patent and Trademark Office prior to the filing and acceptance of a “Statement of Use” or “Amendment to Allege Use” with respect thereto, to the extent, if any, that, and solely during the period, if any, in which the grant or a security interest therein would impair the validity or enforceability of such intent-to-use trademark application under applicable federal law, (h) any asset with respect to which Holdings with the written consent of the Administrative Agent (not to be unreasonably withheld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260"/>
          </w:cols>
          <w:pgMar w:left="320" w:top="1440" w:right="319" w:bottom="1440" w:gutter="0" w:footer="0" w:header="0"/>
        </w:sectPr>
      </w:pPr>
    </w:p>
    <w:bookmarkStart w:id="205" w:name="page206"/>
    <w:bookmarkEnd w:id="205"/>
    <w:p>
      <w:pPr>
        <w:spacing w:after="0" w:line="390" w:lineRule="exact"/>
        <w:rPr>
          <w:sz w:val="20"/>
          <w:szCs w:val="20"/>
          <w:color w:val="auto"/>
        </w:rPr>
      </w:pPr>
    </w:p>
    <w:p>
      <w:pPr>
        <w:jc w:val="both"/>
        <w:spacing w:after="0" w:line="223" w:lineRule="auto"/>
        <w:rPr>
          <w:sz w:val="20"/>
          <w:szCs w:val="20"/>
          <w:color w:val="auto"/>
        </w:rPr>
      </w:pPr>
      <w:r>
        <w:rPr>
          <w:rFonts w:ascii="Arial" w:cs="Arial" w:eastAsia="Arial" w:hAnsi="Arial"/>
          <w:sz w:val="16"/>
          <w:szCs w:val="16"/>
          <w:color w:val="auto"/>
        </w:rPr>
        <w:t>delayed) shall have provided to the Administrative Agent a certificate of a Financial Officer to the effect that, based on the advice of outside counsel or tax advisors of national recognition, the grant of a Lien thereon to secure the Secured Obligations would result in adverse tax consequences (including as a result of the operation of Section 956 of the Code or any similar law or regulation in any applicable jurisdiction) to Holdings and its Restricted Subsidiaries (other than on account of any Taxes payable in connection with filings, recordings, registrations, stampings and any similar acts in connection with the creation or perfection of Liens) that shall have been reasonably determined by Holdings to be material to Holdings and its Restricted Subsidiaries, (i) any asset if, to the extent and for so long as the grant of a Lien thereon to secure the Secured Obligations is prohibited by any Requirements of Law (other than to the extent that any such prohibition would be rendered ineffective pursuant to the Uniform Commercial Code or any other applicable Requirements of Law), (j) any cash and cash equivalents only to the extent, and for so long as, such cash and cash equivalents are subject to a Lien permitted by Section 6.02(xv)(y) and (k) Securitization Assets sold to any Special Purpose Securitization Subsidiary, or otherwise pledged, factored, transferred or sold, in connection with any Permitted Securitization Financing, and any other related assets subject to Liens securing Permitted Securitization Financings.</w:t>
      </w:r>
    </w:p>
    <w:p>
      <w:pPr>
        <w:spacing w:after="0" w:line="131" w:lineRule="exact"/>
        <w:rPr>
          <w:sz w:val="20"/>
          <w:szCs w:val="20"/>
          <w:color w:val="auto"/>
        </w:rPr>
      </w:pPr>
    </w:p>
    <w:p>
      <w:pPr>
        <w:jc w:val="both"/>
        <w:ind w:firstLine="568"/>
        <w:spacing w:after="0" w:line="24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Domestic Subsidiary</w:t>
      </w:r>
      <w:r>
        <w:rPr>
          <w:rFonts w:ascii="Arial" w:cs="Arial" w:eastAsia="Arial" w:hAnsi="Arial"/>
          <w:sz w:val="16"/>
          <w:szCs w:val="16"/>
          <w:color w:val="auto"/>
        </w:rPr>
        <w:t>” means: (i) any direct or indirect Domestic Subsidiary of a direct or indirect Foreign Subsidiary of the Borrower that is a “controlled foreign corporation” within the meaning of Section 957 of the Code (a “</w:t>
      </w:r>
      <w:r>
        <w:rPr>
          <w:rFonts w:ascii="Arial" w:cs="Arial" w:eastAsia="Arial" w:hAnsi="Arial"/>
          <w:sz w:val="16"/>
          <w:szCs w:val="16"/>
          <w:b w:val="1"/>
          <w:bCs w:val="1"/>
          <w:color w:val="auto"/>
        </w:rPr>
        <w:t>CFC</w:t>
      </w:r>
      <w:r>
        <w:rPr>
          <w:rFonts w:ascii="Arial" w:cs="Arial" w:eastAsia="Arial" w:hAnsi="Arial"/>
          <w:sz w:val="16"/>
          <w:szCs w:val="16"/>
          <w:color w:val="auto"/>
        </w:rPr>
        <w:t>”) and (ii) any direct or indirect U.S. subsidiary of the Borrower that has no material assets other than equity of one or more direct or indirect non-U.S. subsidiaries that are CFCs (a “</w:t>
      </w:r>
      <w:r>
        <w:rPr>
          <w:rFonts w:ascii="Arial" w:cs="Arial" w:eastAsia="Arial" w:hAnsi="Arial"/>
          <w:sz w:val="16"/>
          <w:szCs w:val="16"/>
          <w:b w:val="1"/>
          <w:bCs w:val="1"/>
          <w:color w:val="auto"/>
        </w:rPr>
        <w:t>FSHCO</w:t>
      </w:r>
      <w:r>
        <w:rPr>
          <w:rFonts w:ascii="Arial" w:cs="Arial" w:eastAsia="Arial" w:hAnsi="Arial"/>
          <w:sz w:val="16"/>
          <w:szCs w:val="16"/>
          <w:color w:val="auto"/>
        </w:rPr>
        <w:t>”).</w:t>
      </w:r>
    </w:p>
    <w:p>
      <w:pPr>
        <w:spacing w:after="0" w:line="125" w:lineRule="exact"/>
        <w:rPr>
          <w:sz w:val="20"/>
          <w:szCs w:val="20"/>
          <w:color w:val="auto"/>
        </w:rPr>
      </w:pPr>
    </w:p>
    <w:p>
      <w:pPr>
        <w:jc w:val="both"/>
        <w:ind w:firstLine="568"/>
        <w:spacing w:after="0" w:line="22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Securities</w:t>
      </w:r>
      <w:r>
        <w:rPr>
          <w:rFonts w:ascii="Arial" w:cs="Arial" w:eastAsia="Arial" w:hAnsi="Arial"/>
          <w:sz w:val="16"/>
          <w:szCs w:val="16"/>
          <w:color w:val="auto"/>
        </w:rPr>
        <w:t xml:space="preserve">” shall mean any of the following: (a) any Equity Interests or Indebtedness with respect to which the Administrative Agent and the Borrower reasonably agree that the cost or other consequences of pledging such Equity Interests or Indebtedness to secure the Secured Obligations would be excessive in relation to the value to be afforded thereby; (b) in the case of any pledge of voting Equity Interests of any Foreign Subsidiary (in each case, that is owned directly by the Borrower or a Subsidiary Loan Party) to secure the Secured Obligations, any voting Equity Interest of such Foreign Subsidiary in excess of 65% of such outstanding voting Equity Interests; (c) in the case of any pledge of voting Equity Interests of any FSHCO (in each case, that is owned directly by the Borrower or a Subsidiary Loan Party) to secure the Secured Obligations, any voting Equity Interest of such FSHCO in excess of 65% of such outstanding voting Equity Interests; (d) any Equity Interests or Indebtedness to the extent the pledge thereof would be prohibited by any Requirement of Law after giving effect to the anti-assignment provisions of the Uniform Commercial Code of any applicable jurisdiction; (e) any Equity Interests of any Person that is not a Wholly Owned Subsidiary of the Borrower to the extent (A) that a pledge thereof to secure the Secured Obligations is prohibited by (i) any applicable organizational documents, joint venture agreement or shareholder agreement or (ii) any other contractual obligation with an unaffiliated third party not in violation of clause (a) of Section 6.10 binding on such Equity Interests to the extent in existence on the Closing Date or on the date of acquisition thereof and not entered into in contemplation thereof (other than, in this subclause (A)(ii), customary non-assignment provisions which are ineffective under the Uniform Commercial Code or other applicable Requirements of Law), (B) any organizational documents, joint venture agreement or shareholder agreement (or other contractual obligation referred to in subclause (A)(ii) above) prohibits such a pledge without the consent of any other party; </w:t>
      </w:r>
      <w:r>
        <w:rPr>
          <w:rFonts w:ascii="Arial" w:cs="Arial" w:eastAsia="Arial" w:hAnsi="Arial"/>
          <w:sz w:val="16"/>
          <w:szCs w:val="16"/>
          <w:i w:val="1"/>
          <w:iCs w:val="1"/>
          <w:color w:val="auto"/>
        </w:rPr>
        <w:t>provided</w:t>
      </w:r>
      <w:r>
        <w:rPr>
          <w:rFonts w:ascii="Arial" w:cs="Arial" w:eastAsia="Arial" w:hAnsi="Arial"/>
          <w:sz w:val="16"/>
          <w:szCs w:val="16"/>
          <w:color w:val="auto"/>
        </w:rPr>
        <w:t>, that this clause (B) shall not apply if (1) such other party is a Holdings or any Restricted Subsidiary or (2) consent has been obtained to consummate such pledge (it being understood that the foregoing shall not be deemed to obligate the Borrower or any Subsidiary to obtain any such consent) and shall only apply for so long as such organizational documents, joint venture agreement or shareholder agreement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260"/>
          </w:cols>
          <w:pgMar w:left="320" w:top="1440" w:right="319" w:bottom="1440" w:gutter="0" w:footer="0" w:header="0"/>
        </w:sectPr>
      </w:pPr>
    </w:p>
    <w:bookmarkStart w:id="206" w:name="page207"/>
    <w:bookmarkEnd w:id="206"/>
    <w:p>
      <w:pPr>
        <w:spacing w:after="0" w:line="390" w:lineRule="exact"/>
        <w:rPr>
          <w:sz w:val="20"/>
          <w:szCs w:val="20"/>
          <w:color w:val="auto"/>
        </w:rPr>
      </w:pPr>
    </w:p>
    <w:p>
      <w:pPr>
        <w:jc w:val="both"/>
        <w:spacing w:after="0" w:line="230" w:lineRule="auto"/>
        <w:rPr>
          <w:sz w:val="20"/>
          <w:szCs w:val="20"/>
          <w:color w:val="auto"/>
        </w:rPr>
      </w:pPr>
      <w:r>
        <w:rPr>
          <w:rFonts w:ascii="Arial" w:cs="Arial" w:eastAsia="Arial" w:hAnsi="Arial"/>
          <w:sz w:val="16"/>
          <w:szCs w:val="16"/>
          <w:color w:val="auto"/>
        </w:rPr>
        <w:t>replacement or renewal thereof is in effect, or (C) a pledge thereof to secure the Secured Obligations would give any other party (other than a Loan Party or a Wholly Owned Subsidiary) to any organizational documents, joint venture agreement or shareholder agreement governing such Equity Interests (or other contractual obligation referred to in subclause (A)(ii) above) the right to terminate its obligations thereunder (other than, in the case of other contractual obligations referred to in subclause (A)(ii), customary non-assignment provisions which are ineffective under the Uniform Commercial Code or other applicable Requirement of Law); and (f) any Equity Interests of any Unrestricted Subsidiary or any Special Purpose Securitization Subsidiary.</w:t>
      </w:r>
    </w:p>
    <w:p>
      <w:pPr>
        <w:spacing w:after="0" w:line="107" w:lineRule="exact"/>
        <w:rPr>
          <w:sz w:val="20"/>
          <w:szCs w:val="20"/>
          <w:color w:val="auto"/>
        </w:rPr>
      </w:pPr>
    </w:p>
    <w:p>
      <w:pPr>
        <w:jc w:val="both"/>
        <w:ind w:firstLine="568"/>
        <w:spacing w:after="0" w:line="237"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Excluded Subsidiary</w:t>
      </w:r>
      <w:r>
        <w:rPr>
          <w:rFonts w:ascii="Arial" w:cs="Arial" w:eastAsia="Arial" w:hAnsi="Arial"/>
          <w:sz w:val="15"/>
          <w:szCs w:val="15"/>
          <w:color w:val="auto"/>
        </w:rPr>
        <w:t>” means (a) any Subsidiary that is not a Wholly Owned Subsidiary of Holdings on the Closing Date (or, if later, the date it first becomes a Subsidiary), (b) any Subsidiary that is prohibited by any contractual obligation existing on the Closing Date (or, if later, the date it first becomes a Subsidiary, so long as such prohibition was not incurred in connection with or in contemplation of the acquisition of such Subsidiary), from guaranteeing the Secured Obligations, (c) any Subsidiary that is prohibited by any Requirement of Law from guaranteeing the Secured Obligations or that would require the consent, approval, license or authorization of any Governmental Authority or any Regulatory Supervising Organization to guarantee the Secured Obligations (unless such consent, approval, license or authorization has been received), (d) any Subsidiary to the extent such Subsidiary guaranteeing the Secured Obligations would result in a material adverse tax consequence to the Borrower and its Subsidiaries (including as a result of the operation of Section 956 of the Code or any similar law or regulation in any applicable jurisdiction) as reasonably determined by the Borrower with the consent of the Administrative Agent (such consent not to be unreasonably withheld or delayed), (e) and any Subsidiary that would be required to be registered as an “investment company” under the Investment Company Act of 1940, as amended, and the rules and the regulations of the SEC thereunder, as a result of being a Guarantor (for so long as such Subsidiary would be required to so register as a result of being a Guarantor), (f) any other Subsidiary excused from becoming a Loan Party pursuant to the last paragraph of the definition of the term “Collateral and Guarantee Requirement”, (g) any Special Purpose Securitization Subsidiary, and (h) any not-for-profit subsidiary.</w:t>
      </w:r>
    </w:p>
    <w:p>
      <w:pPr>
        <w:spacing w:after="0" w:line="134" w:lineRule="exact"/>
        <w:rPr>
          <w:sz w:val="20"/>
          <w:szCs w:val="20"/>
          <w:color w:val="auto"/>
        </w:rPr>
      </w:pPr>
    </w:p>
    <w:p>
      <w:pPr>
        <w:jc w:val="both"/>
        <w:ind w:firstLine="568"/>
        <w:spacing w:after="0" w:line="237"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Excluded Taxes</w:t>
      </w:r>
      <w:r>
        <w:rPr>
          <w:rFonts w:ascii="Arial" w:cs="Arial" w:eastAsia="Arial" w:hAnsi="Arial"/>
          <w:sz w:val="15"/>
          <w:szCs w:val="15"/>
          <w:color w:val="auto"/>
        </w:rPr>
        <w:t>” means, with respect to the Administrative Agent, any Lender, any Issuing Bank or any other recipient of any payment to be made by or on account of any obligation of any Loan Party hereunder or under any other Loan Document, (a) Taxes imposed on (or measured by) its net income (however denominated) and franchise Taxes imposed on it (in lieu of net income Taxes), in each case, imposed as a result of (i) such recipient being organized under the laws of, or having its principal office located in or, in the case of any Lender, having its applicable lending office located in, the jurisdiction imposing such Tax, or (ii) a present or former connection between such recipient and the jurisdiction imposing such Tax (other than a connection arising from such recipient having executed, delivered, or become a party to, performed its obligations or received payments under, received or perfected a security interest under, sold or assigned an interest in, engaged in any other transaction pursuant to, or enforced, any Loan Documents), (b) any branch profits Tax imposed by the United States of America or any similar Tax imposed by any other jurisdiction described in clause (a) above, (c) in the case of a Lender, any withholding Tax that is attributable to such Lender’s failure to comply with Section 2.15(e), (d) except in the case of an assignee or lending office pursuant to a request by the Borrower under Section 2.17, any U.S. federal withholding Taxes imposed due to a Requirement of Law in effect at the time a Lender becomes a party hereto (or designates a new lending office), except to the extent that such Lender (or its assignor, if any) was entitled, at the time of designation of a new lending office (or assignment), to receive additional amounts with respect to such withholding Tax under Section 2.15(a) and (e) any withholding Taxes imposed under FATCA.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260"/>
          </w:cols>
          <w:pgMar w:left="320" w:top="1440" w:right="319" w:bottom="1440" w:gutter="0" w:footer="0" w:header="0"/>
        </w:sectPr>
      </w:pPr>
    </w:p>
    <w:bookmarkStart w:id="207" w:name="page208"/>
    <w:bookmarkEnd w:id="207"/>
    <w:p>
      <w:pPr>
        <w:spacing w:after="0" w:line="384" w:lineRule="exact"/>
        <w:rPr>
          <w:sz w:val="20"/>
          <w:szCs w:val="20"/>
          <w:color w:val="auto"/>
        </w:rPr>
      </w:pPr>
    </w:p>
    <w:p>
      <w:pPr>
        <w:jc w:val="both"/>
        <w:ind w:firstLine="568"/>
        <w:spacing w:after="0" w:line="22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Existing Credit Agreement</w:t>
      </w:r>
      <w:r>
        <w:rPr>
          <w:rFonts w:ascii="Arial" w:cs="Arial" w:eastAsia="Arial" w:hAnsi="Arial"/>
          <w:sz w:val="17"/>
          <w:szCs w:val="17"/>
          <w:color w:val="auto"/>
        </w:rPr>
        <w:t>” means that certain Credit Agreement, dated as of March 1, 2019 (as amended, modified or supplemented prior to the Closing Date), among Holdings, the Borrower, Impala Borrower LLC, a Delaware limited liability company, the lenders party thereto and Jefferies Finance LLC, as administrative agent and collateral agent.</w:t>
      </w:r>
    </w:p>
    <w:p>
      <w:pPr>
        <w:spacing w:after="0" w:line="130" w:lineRule="exact"/>
        <w:rPr>
          <w:sz w:val="20"/>
          <w:szCs w:val="20"/>
          <w:color w:val="auto"/>
        </w:rPr>
      </w:pPr>
    </w:p>
    <w:p>
      <w:pPr>
        <w:jc w:val="both"/>
        <w:ind w:right="20" w:firstLine="568"/>
        <w:spacing w:after="0" w:line="24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Existing Credit Agreement Refinancing</w:t>
      </w:r>
      <w:r>
        <w:rPr>
          <w:rFonts w:ascii="Arial" w:cs="Arial" w:eastAsia="Arial" w:hAnsi="Arial"/>
          <w:sz w:val="17"/>
          <w:szCs w:val="17"/>
          <w:color w:val="auto"/>
        </w:rPr>
        <w:t>” means the repayment of all the existing Indebtedness outstanding under the Existing Credit Agreement and the termination of all guarantees and releases of all security interests with respect thereto.</w:t>
      </w:r>
    </w:p>
    <w:p>
      <w:pPr>
        <w:spacing w:after="0" w:line="128" w:lineRule="exact"/>
        <w:rPr>
          <w:sz w:val="20"/>
          <w:szCs w:val="20"/>
          <w:color w:val="auto"/>
        </w:rPr>
      </w:pPr>
    </w:p>
    <w:p>
      <w:pPr>
        <w:jc w:val="both"/>
        <w:ind w:firstLine="568"/>
        <w:spacing w:after="0" w:line="24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Existing Yen Bonds</w:t>
      </w:r>
      <w:r>
        <w:rPr>
          <w:rFonts w:ascii="Arial" w:cs="Arial" w:eastAsia="Arial" w:hAnsi="Arial"/>
          <w:sz w:val="17"/>
          <w:szCs w:val="17"/>
          <w:color w:val="auto"/>
        </w:rPr>
        <w:t>” means the Borrower’s Japanese Yen Bonds issued on July 25, 2016 in the aggregate principal amount of JPY 3,500,000,000 in favor of SBI Life Insurance Co., Ltd. and SBI Insurance Col., Ltd., and guaranteed by Holdings.</w:t>
      </w:r>
    </w:p>
    <w:p>
      <w:pPr>
        <w:spacing w:after="0" w:line="12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Extension Notice</w:t>
      </w:r>
      <w:r>
        <w:rPr>
          <w:rFonts w:ascii="Arial" w:cs="Arial" w:eastAsia="Arial" w:hAnsi="Arial"/>
          <w:sz w:val="17"/>
          <w:szCs w:val="17"/>
          <w:color w:val="auto"/>
        </w:rPr>
        <w:t>” has the meaning assigned to such term in Section 2.19(b).</w:t>
      </w:r>
    </w:p>
    <w:p>
      <w:pPr>
        <w:spacing w:after="0" w:line="160" w:lineRule="exact"/>
        <w:rPr>
          <w:sz w:val="20"/>
          <w:szCs w:val="20"/>
          <w:color w:val="auto"/>
        </w:rPr>
      </w:pPr>
    </w:p>
    <w:p>
      <w:pPr>
        <w:jc w:val="both"/>
        <w:ind w:right="20" w:firstLine="568"/>
        <w:spacing w:after="0" w:line="21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FATCA</w:t>
      </w:r>
      <w:r>
        <w:rPr>
          <w:rFonts w:ascii="Arial" w:cs="Arial" w:eastAsia="Arial" w:hAnsi="Arial"/>
          <w:sz w:val="17"/>
          <w:szCs w:val="17"/>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Code, as of the date of this Agreement (or any amended or successor version described above), and any intergovernmental agreement, treaty or convention among Governmental Authorities (and any related fiscal or regulatory legislation, rules or official practices) implementing the foregoing.</w:t>
      </w:r>
    </w:p>
    <w:p>
      <w:pPr>
        <w:spacing w:after="0" w:line="13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FCPA</w:t>
      </w:r>
      <w:r>
        <w:rPr>
          <w:rFonts w:ascii="Arial" w:cs="Arial" w:eastAsia="Arial" w:hAnsi="Arial"/>
          <w:sz w:val="17"/>
          <w:szCs w:val="17"/>
          <w:color w:val="auto"/>
        </w:rPr>
        <w:t>” has the meaning assigned to such term in Section 3.19(b).</w:t>
      </w:r>
    </w:p>
    <w:p>
      <w:pPr>
        <w:spacing w:after="0" w:line="160" w:lineRule="exact"/>
        <w:rPr>
          <w:sz w:val="20"/>
          <w:szCs w:val="20"/>
          <w:color w:val="auto"/>
        </w:rPr>
      </w:pPr>
    </w:p>
    <w:p>
      <w:pPr>
        <w:jc w:val="both"/>
        <w:ind w:right="20" w:firstLine="568"/>
        <w:spacing w:after="0" w:line="23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Federal Funds Effective Rate</w:t>
      </w:r>
      <w:r>
        <w:rPr>
          <w:rFonts w:ascii="Arial" w:cs="Arial" w:eastAsia="Arial" w:hAnsi="Arial"/>
          <w:sz w:val="16"/>
          <w:szCs w:val="16"/>
          <w:color w:val="auto"/>
        </w:rPr>
        <w:t xml:space="preserve">” means, for any day, the rate calculated by the NYFRB based on such day’s federal funds transactions by depositary institutions, as determined in such manner as shall be set forth on the NYFRB’s Website from time to time, as published on the next succeeding Business Day by the NYFRB as the effective federal funds rate;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notwithstanding the foregoing, the Federal Funds Effective Rate will be deemed to be 0.00% per annum if the Federal Funds Effective Rate determined pursuant to this definition would otherwise be less than 0.00% per annum.</w:t>
      </w:r>
    </w:p>
    <w:p>
      <w:pPr>
        <w:spacing w:after="0" w:line="12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Financial Covenant Standstill</w:t>
      </w:r>
      <w:r>
        <w:rPr>
          <w:rFonts w:ascii="Arial" w:cs="Arial" w:eastAsia="Arial" w:hAnsi="Arial"/>
          <w:sz w:val="17"/>
          <w:szCs w:val="17"/>
          <w:color w:val="auto"/>
        </w:rPr>
        <w:t>” has the meaning assigned to such term in Section 7.01(d).</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Financial Officer</w:t>
      </w:r>
      <w:r>
        <w:rPr>
          <w:rFonts w:ascii="Arial" w:cs="Arial" w:eastAsia="Arial" w:hAnsi="Arial"/>
          <w:sz w:val="17"/>
          <w:szCs w:val="17"/>
          <w:color w:val="auto"/>
        </w:rPr>
        <w:t>” means the chief financial officer, chief operating officer, principal accounting officer, treasurer or controller of Holdings.</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Financial Performance Covenant</w:t>
      </w:r>
      <w:r>
        <w:rPr>
          <w:rFonts w:ascii="Arial" w:cs="Arial" w:eastAsia="Arial" w:hAnsi="Arial"/>
          <w:sz w:val="17"/>
          <w:szCs w:val="17"/>
          <w:color w:val="auto"/>
        </w:rPr>
        <w:t>” means the covenant set forth in Section 6.12.</w:t>
      </w:r>
    </w:p>
    <w:p>
      <w:pPr>
        <w:spacing w:after="0" w:line="160" w:lineRule="exact"/>
        <w:rPr>
          <w:sz w:val="20"/>
          <w:szCs w:val="20"/>
          <w:color w:val="auto"/>
        </w:rPr>
      </w:pPr>
    </w:p>
    <w:p>
      <w:pPr>
        <w:jc w:val="both"/>
        <w:ind w:right="20" w:firstLine="568"/>
        <w:spacing w:after="0" w:line="22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Financial Performance Covenant Test Period</w:t>
      </w:r>
      <w:r>
        <w:rPr>
          <w:rFonts w:ascii="Arial" w:cs="Arial" w:eastAsia="Arial" w:hAnsi="Arial"/>
          <w:sz w:val="17"/>
          <w:szCs w:val="17"/>
          <w:color w:val="auto"/>
        </w:rPr>
        <w:t>” means any Test Period (commencing with the Test Period ending on the last day of the first full fiscal quarter occurring after the Closing Date) on the last day of which the aggregate Revolving Exposure (excluding the aggregate undrawn amount of any outstanding Letters of Credit in an amount not to exceed $20,000,000 and any Letters of Credit that have been cash collateralized pursuant to the terms of this Agreement) is greater than 35% of the aggregate Revolving Commitments then in effect.</w:t>
      </w:r>
    </w:p>
    <w:p>
      <w:pPr>
        <w:spacing w:after="0" w:line="12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Financial Statements</w:t>
      </w:r>
      <w:r>
        <w:rPr>
          <w:rFonts w:ascii="Arial" w:cs="Arial" w:eastAsia="Arial" w:hAnsi="Arial"/>
          <w:sz w:val="17"/>
          <w:szCs w:val="17"/>
          <w:color w:val="auto"/>
        </w:rPr>
        <w:t>” means, collectively, the Audited Financial Statements and the Unaudited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260"/>
          </w:cols>
          <w:pgMar w:left="320" w:top="1440" w:right="319" w:bottom="1440" w:gutter="0" w:footer="0" w:header="0"/>
        </w:sectPr>
      </w:pPr>
    </w:p>
    <w:bookmarkStart w:id="208" w:name="page209"/>
    <w:bookmarkEnd w:id="208"/>
    <w:p>
      <w:pPr>
        <w:spacing w:after="0" w:line="384" w:lineRule="exact"/>
        <w:rPr>
          <w:sz w:val="20"/>
          <w:szCs w:val="20"/>
          <w:color w:val="auto"/>
        </w:rPr>
      </w:pPr>
    </w:p>
    <w:p>
      <w:pPr>
        <w:jc w:val="both"/>
        <w:ind w:right="20" w:firstLine="568"/>
        <w:spacing w:after="0" w:line="24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Financing Transactions</w:t>
      </w:r>
      <w:r>
        <w:rPr>
          <w:rFonts w:ascii="Arial" w:cs="Arial" w:eastAsia="Arial" w:hAnsi="Arial"/>
          <w:sz w:val="17"/>
          <w:szCs w:val="17"/>
          <w:color w:val="auto"/>
        </w:rPr>
        <w:t>” means the execution, delivery and performance by each Loan Party of the Loan Documents to which it is to be a party, the borrowing of Loans hereunder and the use of the proceeds thereof.</w:t>
      </w:r>
    </w:p>
    <w:p>
      <w:pPr>
        <w:spacing w:after="0" w:line="12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First Lien Incurrence Ratio</w:t>
      </w:r>
      <w:r>
        <w:rPr>
          <w:rFonts w:ascii="Arial" w:cs="Arial" w:eastAsia="Arial" w:hAnsi="Arial"/>
          <w:sz w:val="17"/>
          <w:szCs w:val="17"/>
          <w:color w:val="auto"/>
        </w:rPr>
        <w:t>” has the meaning assigned to such term in the definition of “Incremental Cap.”</w:t>
      </w:r>
    </w:p>
    <w:p>
      <w:pPr>
        <w:spacing w:after="0" w:line="160" w:lineRule="exact"/>
        <w:rPr>
          <w:sz w:val="20"/>
          <w:szCs w:val="20"/>
          <w:color w:val="auto"/>
        </w:rPr>
      </w:pPr>
    </w:p>
    <w:p>
      <w:pPr>
        <w:jc w:val="both"/>
        <w:ind w:firstLine="568"/>
        <w:spacing w:after="0" w:line="23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First Lien Intercreditor Agreement</w:t>
      </w:r>
      <w:r>
        <w:rPr>
          <w:rFonts w:ascii="Arial" w:cs="Arial" w:eastAsia="Arial" w:hAnsi="Arial"/>
          <w:sz w:val="16"/>
          <w:szCs w:val="16"/>
          <w:color w:val="auto"/>
        </w:rPr>
        <w:t>” means the First Lien Intercreditor Agreement substantially in the form of Exhibit F-1 among the Administrative Agent and one or more Senior Representatives for holders of Permitted First Priority Refinancing Debt, any pari passu Lien secured Indebtedness incurred pursuant to Section 6.01(a)(viii) or Section 6.01(a)(ix) or any pari passu Lien secured Incremental Equivalent Debt incurred pursuant to Section 6.01(a)(xxii), executed by the Administrative Agent and the Loan Parties, with such modifications thereto the Administrative Agent may reasonably agree.</w:t>
      </w:r>
    </w:p>
    <w:p>
      <w:pPr>
        <w:spacing w:after="0" w:line="12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Fixed Charge Coverage Incurrence Ratio</w:t>
      </w:r>
      <w:r>
        <w:rPr>
          <w:rFonts w:ascii="Arial" w:cs="Arial" w:eastAsia="Arial" w:hAnsi="Arial"/>
          <w:sz w:val="17"/>
          <w:szCs w:val="17"/>
          <w:color w:val="auto"/>
        </w:rPr>
        <w:t>” has the meaning assigned to such term in the definition of “Incremental Cap.”</w:t>
      </w:r>
    </w:p>
    <w:p>
      <w:pPr>
        <w:spacing w:after="0" w:line="160" w:lineRule="exact"/>
        <w:rPr>
          <w:sz w:val="20"/>
          <w:szCs w:val="20"/>
          <w:color w:val="auto"/>
        </w:rPr>
      </w:pPr>
    </w:p>
    <w:p>
      <w:pPr>
        <w:jc w:val="both"/>
        <w:ind w:right="20" w:firstLine="568"/>
        <w:spacing w:after="0" w:line="27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Fixed Charge Coverage Ratio</w:t>
      </w:r>
      <w:r>
        <w:rPr>
          <w:rFonts w:ascii="Arial" w:cs="Arial" w:eastAsia="Arial" w:hAnsi="Arial"/>
          <w:sz w:val="16"/>
          <w:szCs w:val="16"/>
          <w:color w:val="auto"/>
        </w:rPr>
        <w:t xml:space="preserve">” means, on any date, the ratio of (a) Consolidated EBITDA for the Test Period most recently ended to (b) Fixed Charges for such Test Period;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Fixed Charge Coverage Ratio shall be determined for the relevant Test Period on a Pro Forma Basis.</w:t>
      </w:r>
    </w:p>
    <w:p>
      <w:pPr>
        <w:spacing w:after="0" w:line="10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Fixed Charges</w:t>
      </w:r>
      <w:r>
        <w:rPr>
          <w:rFonts w:ascii="Arial" w:cs="Arial" w:eastAsia="Arial" w:hAnsi="Arial"/>
          <w:sz w:val="17"/>
          <w:szCs w:val="17"/>
          <w:color w:val="auto"/>
        </w:rPr>
        <w:t>” means, for any period, the sum without duplication, of the following for such period:</w:t>
      </w:r>
    </w:p>
    <w:p>
      <w:pPr>
        <w:spacing w:after="0" w:line="166" w:lineRule="exact"/>
        <w:rPr>
          <w:sz w:val="20"/>
          <w:szCs w:val="20"/>
          <w:color w:val="auto"/>
        </w:rPr>
      </w:pPr>
    </w:p>
    <w:p>
      <w:pPr>
        <w:ind w:left="920" w:hanging="357"/>
        <w:spacing w:after="0"/>
        <w:tabs>
          <w:tab w:leader="none" w:pos="92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Consolidated Interest Expense for such period, plus</w:t>
      </w:r>
    </w:p>
    <w:p>
      <w:pPr>
        <w:spacing w:after="0" w:line="159" w:lineRule="exact"/>
        <w:rPr>
          <w:rFonts w:ascii="Arial" w:cs="Arial" w:eastAsia="Arial" w:hAnsi="Arial"/>
          <w:sz w:val="17"/>
          <w:szCs w:val="17"/>
          <w:color w:val="auto"/>
        </w:rPr>
      </w:pPr>
    </w:p>
    <w:p>
      <w:pPr>
        <w:jc w:val="both"/>
        <w:ind w:right="20" w:firstLine="563"/>
        <w:spacing w:after="0" w:line="225" w:lineRule="auto"/>
        <w:tabs>
          <w:tab w:leader="none" w:pos="995"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sum of all dividends, whether paid or accrued and whether or not in cash, on any series of preferred stock of Holdings, the Borrower or any Restricted Subsidiary (other than dividends payable solely in Equity Interests of Holdings (other than Disqualified Equity Interests)) or to Holdings, the Borrower or any Restricted Subsidiary made during such period.</w:t>
      </w:r>
    </w:p>
    <w:p>
      <w:pPr>
        <w:spacing w:after="0" w:line="131" w:lineRule="exact"/>
        <w:rPr>
          <w:sz w:val="20"/>
          <w:szCs w:val="20"/>
          <w:color w:val="auto"/>
        </w:rPr>
      </w:pPr>
    </w:p>
    <w:p>
      <w:pPr>
        <w:jc w:val="both"/>
        <w:ind w:right="20" w:firstLine="568"/>
        <w:spacing w:after="0" w:line="22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Floor</w:t>
      </w:r>
      <w:r>
        <w:rPr>
          <w:rFonts w:ascii="Arial" w:cs="Arial" w:eastAsia="Arial" w:hAnsi="Arial"/>
          <w:sz w:val="17"/>
          <w:szCs w:val="17"/>
          <w:color w:val="auto"/>
        </w:rPr>
        <w:t>” means the benchmark rate floor, if any, provided in this Agreement initially (as of the execution of this Agreement, the modification, amendment or renewal of this Agreement or otherwise) with respect to the Adjusted Term SOFR Rate. For the avoidance of doubt, the initial Floor for the Adjusted Term SOFR Rate shall be (i) in respect of the Initial Term Loans, 0.50% and (ii) in respect of the Initial Revolving Loans, 0%.</w:t>
      </w:r>
    </w:p>
    <w:p>
      <w:pPr>
        <w:spacing w:after="0" w:line="10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Flow-Through Entity</w:t>
      </w:r>
      <w:r>
        <w:rPr>
          <w:rFonts w:ascii="Arial" w:cs="Arial" w:eastAsia="Arial" w:hAnsi="Arial"/>
          <w:sz w:val="17"/>
          <w:szCs w:val="17"/>
          <w:color w:val="auto"/>
        </w:rPr>
        <w:t>” has the meaning assigned to such term in Section 6.08(a)(vi).</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Foreign Prepayment Event</w:t>
      </w:r>
      <w:r>
        <w:rPr>
          <w:rFonts w:ascii="Arial" w:cs="Arial" w:eastAsia="Arial" w:hAnsi="Arial"/>
          <w:sz w:val="17"/>
          <w:szCs w:val="17"/>
          <w:color w:val="auto"/>
        </w:rPr>
        <w:t>” has the meaning assigned to such term in Section 2.09(f).</w:t>
      </w:r>
    </w:p>
    <w:p>
      <w:pPr>
        <w:spacing w:after="0" w:line="160" w:lineRule="exact"/>
        <w:rPr>
          <w:sz w:val="20"/>
          <w:szCs w:val="20"/>
          <w:color w:val="auto"/>
        </w:rPr>
      </w:pPr>
    </w:p>
    <w:p>
      <w:pPr>
        <w:jc w:val="both"/>
        <w:ind w:right="20" w:firstLine="568"/>
        <w:spacing w:after="0" w:line="24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Foreign Subsidiary</w:t>
      </w:r>
      <w:r>
        <w:rPr>
          <w:rFonts w:ascii="Arial" w:cs="Arial" w:eastAsia="Arial" w:hAnsi="Arial"/>
          <w:sz w:val="17"/>
          <w:szCs w:val="17"/>
          <w:color w:val="auto"/>
        </w:rPr>
        <w:t>” means any Subsidiary that is organized under the laws of a jurisdiction other than the United States of America, any State thereof or the District of Columbia.</w:t>
      </w:r>
    </w:p>
    <w:p>
      <w:pPr>
        <w:spacing w:after="0" w:line="12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FSHCO</w:t>
      </w:r>
      <w:r>
        <w:rPr>
          <w:rFonts w:ascii="Arial" w:cs="Arial" w:eastAsia="Arial" w:hAnsi="Arial"/>
          <w:sz w:val="17"/>
          <w:szCs w:val="17"/>
          <w:color w:val="auto"/>
        </w:rPr>
        <w:t>” has the meaning assigned to such term in the definition of “Excluded Domestic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260"/>
          </w:cols>
          <w:pgMar w:left="320" w:top="1440" w:right="319" w:bottom="1440" w:gutter="0" w:footer="0" w:header="0"/>
        </w:sectPr>
      </w:pPr>
    </w:p>
    <w:bookmarkStart w:id="209" w:name="page210"/>
    <w:bookmarkEnd w:id="209"/>
    <w:p>
      <w:pPr>
        <w:spacing w:after="0" w:line="3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GAAP</w:t>
      </w:r>
      <w:r>
        <w:rPr>
          <w:rFonts w:ascii="Arial" w:cs="Arial" w:eastAsia="Arial" w:hAnsi="Arial"/>
          <w:sz w:val="16"/>
          <w:szCs w:val="16"/>
          <w:color w:val="auto"/>
        </w:rPr>
        <w:t>” means generally accepted accounting principles in the United States of America, as in effect from time to time but subject to Section 1.04.</w:t>
      </w:r>
    </w:p>
    <w:p>
      <w:pPr>
        <w:spacing w:after="0" w:line="171" w:lineRule="exact"/>
        <w:rPr>
          <w:sz w:val="20"/>
          <w:szCs w:val="20"/>
          <w:color w:val="auto"/>
        </w:rPr>
      </w:pPr>
    </w:p>
    <w:p>
      <w:pPr>
        <w:jc w:val="both"/>
        <w:ind w:firstLine="568"/>
        <w:spacing w:after="0" w:line="24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Governmental Approvals</w:t>
      </w:r>
      <w:r>
        <w:rPr>
          <w:rFonts w:ascii="Arial" w:cs="Arial" w:eastAsia="Arial" w:hAnsi="Arial"/>
          <w:sz w:val="17"/>
          <w:szCs w:val="17"/>
          <w:color w:val="auto"/>
        </w:rPr>
        <w:t>” means all authorizations, consents, approvals, permits, licenses and exemptions of, registrations and filings with, and reports to, Governmental Authorities or Regulatory Supervising Organizations.</w:t>
      </w:r>
    </w:p>
    <w:p>
      <w:pPr>
        <w:spacing w:after="0" w:line="128" w:lineRule="exact"/>
        <w:rPr>
          <w:sz w:val="20"/>
          <w:szCs w:val="20"/>
          <w:color w:val="auto"/>
        </w:rPr>
      </w:pPr>
    </w:p>
    <w:p>
      <w:pPr>
        <w:jc w:val="both"/>
        <w:ind w:firstLine="568"/>
        <w:spacing w:after="0" w:line="22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Governmental Authority</w:t>
      </w:r>
      <w:r>
        <w:rPr>
          <w:rFonts w:ascii="Arial" w:cs="Arial" w:eastAsia="Arial" w:hAnsi="Arial"/>
          <w:sz w:val="17"/>
          <w:szCs w:val="17"/>
          <w:color w:val="auto"/>
        </w:rPr>
        <w:t>” means the government of the United States of America or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29" w:lineRule="exact"/>
        <w:rPr>
          <w:sz w:val="20"/>
          <w:szCs w:val="20"/>
          <w:color w:val="auto"/>
        </w:rPr>
      </w:pPr>
    </w:p>
    <w:p>
      <w:pPr>
        <w:jc w:val="both"/>
        <w:ind w:firstLine="568"/>
        <w:spacing w:after="0" w:line="22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Guarantee</w:t>
      </w:r>
      <w:r>
        <w:rPr>
          <w:rFonts w:ascii="Arial" w:cs="Arial" w:eastAsia="Arial" w:hAnsi="Arial"/>
          <w:sz w:val="16"/>
          <w:szCs w:val="16"/>
          <w:color w:val="auto"/>
        </w:rPr>
        <w:t>” of or by any Person (the “</w:t>
      </w:r>
      <w:r>
        <w:rPr>
          <w:rFonts w:ascii="Arial" w:cs="Arial" w:eastAsia="Arial" w:hAnsi="Arial"/>
          <w:sz w:val="16"/>
          <w:szCs w:val="16"/>
          <w:b w:val="1"/>
          <w:bCs w:val="1"/>
          <w:color w:val="auto"/>
        </w:rPr>
        <w:t>Guarantor</w:t>
      </w:r>
      <w:r>
        <w:rPr>
          <w:rFonts w:ascii="Arial" w:cs="Arial" w:eastAsia="Arial" w:hAnsi="Arial"/>
          <w:sz w:val="16"/>
          <w:szCs w:val="16"/>
          <w:color w:val="auto"/>
        </w:rPr>
        <w:t>” or “</w:t>
      </w:r>
      <w:r>
        <w:rPr>
          <w:rFonts w:ascii="Arial" w:cs="Arial" w:eastAsia="Arial" w:hAnsi="Arial"/>
          <w:sz w:val="16"/>
          <w:szCs w:val="16"/>
          <w:b w:val="1"/>
          <w:bCs w:val="1"/>
          <w:color w:val="auto"/>
        </w:rPr>
        <w:t>guarantor</w:t>
      </w:r>
      <w:r>
        <w:rPr>
          <w:rFonts w:ascii="Arial" w:cs="Arial" w:eastAsia="Arial" w:hAnsi="Arial"/>
          <w:sz w:val="16"/>
          <w:szCs w:val="16"/>
          <w:color w:val="auto"/>
        </w:rPr>
        <w:t>”) means any obligation, contingent or otherwise, of the guarantor guaranteeing or having the economic effect of guaranteeing any Indebtedness of any other Person (the “</w:t>
      </w:r>
      <w:r>
        <w:rPr>
          <w:rFonts w:ascii="Arial" w:cs="Arial" w:eastAsia="Arial" w:hAnsi="Arial"/>
          <w:sz w:val="16"/>
          <w:szCs w:val="16"/>
          <w:b w:val="1"/>
          <w:bCs w:val="1"/>
          <w:color w:val="auto"/>
        </w:rPr>
        <w:t>primary obligor</w:t>
      </w:r>
      <w:r>
        <w:rPr>
          <w:rFonts w:ascii="Arial" w:cs="Arial" w:eastAsia="Arial" w:hAnsi="Arial"/>
          <w:sz w:val="16"/>
          <w:szCs w:val="16"/>
          <w:color w:val="auto"/>
        </w:rPr>
        <w:t xml:space="preserve">”) in any manner, whether directly or indirectly, and including any obligation of the guarantor, direct or indirect, (a) to purchase or pay (or advance or supply funds for the purchase or payment of) such Indebtedness or to purchase (or to advance or supply funds for the purchase of) any security for the payment thereof, (b) to purchase or lease property, securities or services for the purpose of assuring the owner of such Indebtedness of the payment thereof, (c) to maintain working capital, equity capital or any other financial statement condition or liquidity of the primary obligor so as to enable the primary obligor to pay such Indebtedness or (d) as an account party in respect of any letter of credit or letter of guaranty issued to support such Indebtedness;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term “Guarantee” shall not include endorsements for collection or deposit in the ordinary course of business or customary and reasonable indemnity obligations in effect on the Closing Date or entered into in connection with any acquisition or disposition of assets permitted under this Agreement (other than such obligations with respect to Indebtedness).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in good faith by a Financial Officer. The term “Guarantee” as a verb has a corresponding meaning.</w:t>
      </w:r>
    </w:p>
    <w:p>
      <w:pPr>
        <w:spacing w:after="0" w:line="136" w:lineRule="exact"/>
        <w:rPr>
          <w:sz w:val="20"/>
          <w:szCs w:val="20"/>
          <w:color w:val="auto"/>
        </w:rPr>
      </w:pPr>
    </w:p>
    <w:p>
      <w:pPr>
        <w:jc w:val="both"/>
        <w:ind w:right="20" w:firstLine="568"/>
        <w:spacing w:after="0" w:line="24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Guarantee Agreement</w:t>
      </w:r>
      <w:r>
        <w:rPr>
          <w:rFonts w:ascii="Arial" w:cs="Arial" w:eastAsia="Arial" w:hAnsi="Arial"/>
          <w:sz w:val="17"/>
          <w:szCs w:val="17"/>
          <w:color w:val="auto"/>
        </w:rPr>
        <w:t>” means the Master Guarantee Agreement, dated as of January 13, 2022, among the Loan Parties and the Administrative Agent, substantially in the form of Exhibit B.</w:t>
      </w:r>
    </w:p>
    <w:p>
      <w:pPr>
        <w:spacing w:after="0" w:line="12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Guarantor</w:t>
      </w:r>
      <w:r>
        <w:rPr>
          <w:rFonts w:ascii="Arial" w:cs="Arial" w:eastAsia="Arial" w:hAnsi="Arial"/>
          <w:sz w:val="17"/>
          <w:szCs w:val="17"/>
          <w:color w:val="auto"/>
        </w:rPr>
        <w:t>” or “</w:t>
      </w:r>
      <w:r>
        <w:rPr>
          <w:rFonts w:ascii="Arial" w:cs="Arial" w:eastAsia="Arial" w:hAnsi="Arial"/>
          <w:sz w:val="17"/>
          <w:szCs w:val="17"/>
          <w:b w:val="1"/>
          <w:bCs w:val="1"/>
          <w:color w:val="auto"/>
        </w:rPr>
        <w:t>guarantor</w:t>
      </w:r>
      <w:r>
        <w:rPr>
          <w:rFonts w:ascii="Arial" w:cs="Arial" w:eastAsia="Arial" w:hAnsi="Arial"/>
          <w:sz w:val="17"/>
          <w:szCs w:val="17"/>
          <w:color w:val="auto"/>
        </w:rPr>
        <w:t>” has the meaning assigned to such term in the definition of “Guarantee.”</w:t>
      </w:r>
    </w:p>
    <w:p>
      <w:pPr>
        <w:spacing w:after="0" w:line="160" w:lineRule="exact"/>
        <w:rPr>
          <w:sz w:val="20"/>
          <w:szCs w:val="20"/>
          <w:color w:val="auto"/>
        </w:rPr>
      </w:pPr>
    </w:p>
    <w:p>
      <w:pPr>
        <w:jc w:val="both"/>
        <w:ind w:right="20" w:firstLine="568"/>
        <w:spacing w:after="0" w:line="24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Hazardous Materials</w:t>
      </w:r>
      <w:r>
        <w:rPr>
          <w:rFonts w:ascii="Arial" w:cs="Arial" w:eastAsia="Arial" w:hAnsi="Arial"/>
          <w:sz w:val="16"/>
          <w:szCs w:val="16"/>
          <w:color w:val="auto"/>
        </w:rPr>
        <w:t>” means all explosive, radioactive, hazardous or toxic substances, wastes or other pollutants, including petroleum or petroleum by-products or distillates, asbestos or asbestos -containing materials, polychlorinated biphenyls, radon gas, infectious or medical wastes and all other substances or wastes of any nature regulated as hazardous or toxic, or any other term of similar import, pursuant to any Environmental Law.</w:t>
      </w:r>
    </w:p>
    <w:p>
      <w:pPr>
        <w:spacing w:after="0" w:line="1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Holdings</w:t>
      </w:r>
      <w:r>
        <w:rPr>
          <w:rFonts w:ascii="Arial" w:cs="Arial" w:eastAsia="Arial" w:hAnsi="Arial"/>
          <w:sz w:val="17"/>
          <w:szCs w:val="17"/>
          <w:color w:val="auto"/>
        </w:rPr>
        <w:t>” has the meaning set forth in the preamble hereto.</w:t>
      </w:r>
    </w:p>
    <w:p>
      <w:pPr>
        <w:spacing w:after="0" w:line="160" w:lineRule="exact"/>
        <w:rPr>
          <w:sz w:val="20"/>
          <w:szCs w:val="20"/>
          <w:color w:val="auto"/>
        </w:rPr>
      </w:pPr>
    </w:p>
    <w:p>
      <w:pPr>
        <w:jc w:val="both"/>
        <w:ind w:firstLine="568"/>
        <w:spacing w:after="0" w:line="24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Holdings LLC Agreement</w:t>
      </w:r>
      <w:r>
        <w:rPr>
          <w:rFonts w:ascii="Arial" w:cs="Arial" w:eastAsia="Arial" w:hAnsi="Arial"/>
          <w:sz w:val="17"/>
          <w:szCs w:val="17"/>
          <w:color w:val="auto"/>
        </w:rPr>
        <w:t>” means the Limited Liability Company Agreement of Holdings pursuant to which the members of Holdings hold limited liability interests of Holdings, together with all exhibits and schedules thereto, as in effect as of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260"/>
          </w:cols>
          <w:pgMar w:left="320" w:top="1440" w:right="319" w:bottom="1440" w:gutter="0" w:footer="0" w:header="0"/>
        </w:sectPr>
      </w:pPr>
    </w:p>
    <w:bookmarkStart w:id="210" w:name="page211"/>
    <w:bookmarkEnd w:id="210"/>
    <w:p>
      <w:pPr>
        <w:spacing w:after="0" w:line="38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Identified Participating Lenders</w:t>
      </w:r>
      <w:r>
        <w:rPr>
          <w:rFonts w:ascii="Arial" w:cs="Arial" w:eastAsia="Arial" w:hAnsi="Arial"/>
          <w:sz w:val="17"/>
          <w:szCs w:val="17"/>
          <w:color w:val="auto"/>
        </w:rPr>
        <w:t>” has the meaning assigned to such term in Section 2.09(a)(ii)(C)(3).</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Identified Qualifying Lenders</w:t>
      </w:r>
      <w:r>
        <w:rPr>
          <w:rFonts w:ascii="Arial" w:cs="Arial" w:eastAsia="Arial" w:hAnsi="Arial"/>
          <w:sz w:val="17"/>
          <w:szCs w:val="17"/>
          <w:color w:val="auto"/>
        </w:rPr>
        <w:t>” has the meaning assigned to such term in Section 2.09(a)(ii)(D)(3).</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Immaterial Subsidiary</w:t>
      </w:r>
      <w:r>
        <w:rPr>
          <w:rFonts w:ascii="Arial" w:cs="Arial" w:eastAsia="Arial" w:hAnsi="Arial"/>
          <w:sz w:val="17"/>
          <w:szCs w:val="17"/>
          <w:color w:val="auto"/>
        </w:rPr>
        <w:t>” means any Subsidiary other than a Material Subsidiary.</w:t>
      </w:r>
    </w:p>
    <w:p>
      <w:pPr>
        <w:spacing w:after="0" w:line="160" w:lineRule="exact"/>
        <w:rPr>
          <w:sz w:val="20"/>
          <w:szCs w:val="20"/>
          <w:color w:val="auto"/>
        </w:rPr>
      </w:pPr>
    </w:p>
    <w:p>
      <w:pPr>
        <w:jc w:val="both"/>
        <w:ind w:firstLine="568"/>
        <w:spacing w:after="0" w:line="22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Increased Amount</w:t>
      </w:r>
      <w:r>
        <w:rPr>
          <w:rFonts w:ascii="Arial" w:cs="Arial" w:eastAsia="Arial" w:hAnsi="Arial"/>
          <w:sz w:val="17"/>
          <w:szCs w:val="17"/>
          <w:color w:val="auto"/>
        </w:rPr>
        <w:t>” of any Indebtedness shall mean any increase in the amount of such Indebtedness in connection with any accrual of interest, the accretion of accreted value, the amortization of original issue discount or deferred financing fees, the payment of interest or dividends in the form of additional Indebtedness or in the form of Equity Interests, as applicable, the accretion of original issue discount, deferred financing fees or liquidation preference and increases in the amount of Indebtedness outstanding solely as a result of fluctuations in the exchange rate of currencies.</w:t>
      </w:r>
    </w:p>
    <w:p>
      <w:pPr>
        <w:spacing w:after="0" w:line="129" w:lineRule="exact"/>
        <w:rPr>
          <w:sz w:val="20"/>
          <w:szCs w:val="20"/>
          <w:color w:val="auto"/>
        </w:rPr>
      </w:pPr>
    </w:p>
    <w:p>
      <w:pPr>
        <w:jc w:val="both"/>
        <w:ind w:firstLine="568"/>
        <w:spacing w:after="0" w:line="21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Incremental Cap</w:t>
      </w:r>
      <w:r>
        <w:rPr>
          <w:rFonts w:ascii="Arial" w:cs="Arial" w:eastAsia="Arial" w:hAnsi="Arial"/>
          <w:sz w:val="16"/>
          <w:szCs w:val="16"/>
          <w:color w:val="auto"/>
        </w:rPr>
        <w:t xml:space="preserve">” means, at any time, an aggregate principal amount not to exceed the sum of (a) the excess of (i) the greater of $1,000,000,000 and 100% of Consolidated EBITDA on a Pro Forma Basis for the most recently ended Test Period for which financial statements are available (as of the date of establishment or incurrence of the applicable Incremental Facility or Incremental Equivalent Debt (or, at the option of the Borrower, as of the date of establishment of the commitments in respect thereof, in which case such Incremental Facility or Incremental Equivalent Debt shall be deemed fully funded and incurred)), over (ii) the aggregate amount of Incremental Facilities established and Incremental Equivalent Debt incurred, in each case, after the Closing Date and prior to such time utilizing this clause (a), </w:t>
      </w:r>
      <w:r>
        <w:rPr>
          <w:rFonts w:ascii="Arial" w:cs="Arial" w:eastAsia="Arial" w:hAnsi="Arial"/>
          <w:sz w:val="16"/>
          <w:szCs w:val="16"/>
          <w:i w:val="1"/>
          <w:iCs w:val="1"/>
          <w:color w:val="auto"/>
        </w:rPr>
        <w:t>plus</w:t>
      </w:r>
      <w:r>
        <w:rPr>
          <w:rFonts w:ascii="Arial" w:cs="Arial" w:eastAsia="Arial" w:hAnsi="Arial"/>
          <w:sz w:val="16"/>
          <w:szCs w:val="16"/>
          <w:color w:val="auto"/>
        </w:rPr>
        <w:t xml:space="preserve"> (b) an additional amount so long as, in the case of this clause (b), on the date of incurrence thereof (or, at the option of the Borrower, on the date of establishment of the commitments in respect thereof), after giving effect to the incurrence of such Indebtedness and the use of the proceeds thereof (assuming, in the case of testing at time establishment of Commitments, that the committed amounts are fully drawn) (i) if such Incremental Facility or Incremental Equivalent Debt is secured by Liens on the Collateral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basis with the Liens on the Collateral securing the Initial Term Loans, either (A) the Net First Lien Leverage Ratio calculated on a Pro Forma Basis as of the end of the most recent Test Period for which financial statements are available does not exceed 2.50:1.00 (the “</w:t>
      </w:r>
      <w:r>
        <w:rPr>
          <w:rFonts w:ascii="Arial" w:cs="Arial" w:eastAsia="Arial" w:hAnsi="Arial"/>
          <w:sz w:val="16"/>
          <w:szCs w:val="16"/>
          <w:b w:val="1"/>
          <w:bCs w:val="1"/>
          <w:color w:val="auto"/>
        </w:rPr>
        <w:t>First Lien Incurrence Ratio</w:t>
      </w:r>
      <w:r>
        <w:rPr>
          <w:rFonts w:ascii="Arial" w:cs="Arial" w:eastAsia="Arial" w:hAnsi="Arial"/>
          <w:sz w:val="16"/>
          <w:szCs w:val="16"/>
          <w:color w:val="auto"/>
        </w:rPr>
        <w:t>”) or (B) in the case of any Incremental Facility or Incremental Equivalent Debt incurred in connection with a Permitted Acquisition or any other Investment permitted under Section 6.04 or New Project not prohibited hereunder (“</w:t>
      </w:r>
      <w:r>
        <w:rPr>
          <w:rFonts w:ascii="Arial" w:cs="Arial" w:eastAsia="Arial" w:hAnsi="Arial"/>
          <w:sz w:val="16"/>
          <w:szCs w:val="16"/>
          <w:b w:val="1"/>
          <w:bCs w:val="1"/>
          <w:color w:val="auto"/>
        </w:rPr>
        <w:t>Acquisition Debt</w:t>
      </w:r>
      <w:r>
        <w:rPr>
          <w:rFonts w:ascii="Arial" w:cs="Arial" w:eastAsia="Arial" w:hAnsi="Arial"/>
          <w:sz w:val="16"/>
          <w:szCs w:val="16"/>
          <w:color w:val="auto"/>
        </w:rPr>
        <w:t>”), the Net First Lien Leverage Ratio calculated on a Pro Forma Basis as of the end of the most recent Test Period for which financial statements are available either (x) does not exceed the First Lien Incurrence Ratio or (y) is not greater than the Net First Lien Leverage Ratio immediately prior to such incurrence of Indebtedness and Permitted Acquisition, other Investment or New Project, (ii) if such Incremental Facility or Incremental Equivalent Debt is secured by Liens on the Collateral on a junior basis to the Liens on the Collateral securing the Initial Term Loans, either (A) the Net Secured Leverage Ratio calculated on a Pro Forma Basis as of the end of the most recent Test Period for which financial statements are available does not exceed 3.00:1.00 (the “</w:t>
      </w:r>
      <w:r>
        <w:rPr>
          <w:rFonts w:ascii="Arial" w:cs="Arial" w:eastAsia="Arial" w:hAnsi="Arial"/>
          <w:sz w:val="16"/>
          <w:szCs w:val="16"/>
          <w:b w:val="1"/>
          <w:bCs w:val="1"/>
          <w:color w:val="auto"/>
        </w:rPr>
        <w:t>Secured</w:t>
      </w:r>
      <w:r>
        <w:rPr>
          <w:rFonts w:ascii="Arial" w:cs="Arial" w:eastAsia="Arial" w:hAnsi="Arial"/>
          <w:sz w:val="16"/>
          <w:szCs w:val="16"/>
          <w:color w:val="auto"/>
        </w:rPr>
        <w:t xml:space="preserve"> </w:t>
      </w:r>
      <w:r>
        <w:rPr>
          <w:rFonts w:ascii="Arial" w:cs="Arial" w:eastAsia="Arial" w:hAnsi="Arial"/>
          <w:sz w:val="16"/>
          <w:szCs w:val="16"/>
          <w:b w:val="1"/>
          <w:bCs w:val="1"/>
          <w:color w:val="auto"/>
        </w:rPr>
        <w:t>Leverage Incurrence Ratio</w:t>
      </w:r>
      <w:r>
        <w:rPr>
          <w:rFonts w:ascii="Arial" w:cs="Arial" w:eastAsia="Arial" w:hAnsi="Arial"/>
          <w:sz w:val="16"/>
          <w:szCs w:val="16"/>
          <w:color w:val="auto"/>
        </w:rPr>
        <w:t>”) or (B) in the case of any Incremental Facility or Incremental Equivalent Debt that is Acquisition Debt, the Net Secured Leverage</w:t>
      </w:r>
      <w:r>
        <w:rPr>
          <w:rFonts w:ascii="Arial" w:cs="Arial" w:eastAsia="Arial" w:hAnsi="Arial"/>
          <w:sz w:val="16"/>
          <w:szCs w:val="16"/>
          <w:b w:val="1"/>
          <w:bCs w:val="1"/>
          <w:color w:val="auto"/>
        </w:rPr>
        <w:t xml:space="preserve"> </w:t>
      </w:r>
      <w:r>
        <w:rPr>
          <w:rFonts w:ascii="Arial" w:cs="Arial" w:eastAsia="Arial" w:hAnsi="Arial"/>
          <w:sz w:val="16"/>
          <w:szCs w:val="16"/>
          <w:color w:val="auto"/>
        </w:rPr>
        <w:t>Ratio calculated on a Pro Forma Basis as of the end of the most recent Test Period for which financial statements are available either (x) does not exceed the Secured Leverage Incurrence Ratio or (y) is not greater than the Net Secured Leverage Ratio immediately prior to such incurrence of Indebtedness and Permitted Acquisition, other Investment or New Project, and (iii) if such Incremental Facility or Incremental Equivalent Debt is unsecured, either (A) (x) the Fixed Charge Coverage Ratio calculated on a Pro Forma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260"/>
          </w:cols>
          <w:pgMar w:left="320" w:top="1440" w:right="319" w:bottom="1440" w:gutter="0" w:footer="0" w:header="0"/>
        </w:sectPr>
      </w:pPr>
    </w:p>
    <w:bookmarkStart w:id="211" w:name="page212"/>
    <w:bookmarkEnd w:id="211"/>
    <w:p>
      <w:pPr>
        <w:spacing w:after="0" w:line="384" w:lineRule="exact"/>
        <w:rPr>
          <w:sz w:val="20"/>
          <w:szCs w:val="20"/>
          <w:color w:val="auto"/>
        </w:rPr>
      </w:pPr>
    </w:p>
    <w:p>
      <w:pPr>
        <w:jc w:val="both"/>
        <w:spacing w:after="0" w:line="218" w:lineRule="auto"/>
        <w:rPr>
          <w:sz w:val="20"/>
          <w:szCs w:val="20"/>
          <w:color w:val="auto"/>
        </w:rPr>
      </w:pPr>
      <w:r>
        <w:rPr>
          <w:rFonts w:ascii="Arial" w:cs="Arial" w:eastAsia="Arial" w:hAnsi="Arial"/>
          <w:sz w:val="16"/>
          <w:szCs w:val="16"/>
          <w:color w:val="auto"/>
        </w:rPr>
        <w:t>Basis as of the end of the most recent Test Period for which financial statements are available would be at least 2.00 to 1.00 (the “</w:t>
      </w:r>
      <w:r>
        <w:rPr>
          <w:rFonts w:ascii="Arial" w:cs="Arial" w:eastAsia="Arial" w:hAnsi="Arial"/>
          <w:sz w:val="16"/>
          <w:szCs w:val="16"/>
          <w:b w:val="1"/>
          <w:bCs w:val="1"/>
          <w:color w:val="auto"/>
        </w:rPr>
        <w:t>Fixed Charge Coverage</w:t>
      </w:r>
      <w:r>
        <w:rPr>
          <w:rFonts w:ascii="Arial" w:cs="Arial" w:eastAsia="Arial" w:hAnsi="Arial"/>
          <w:sz w:val="16"/>
          <w:szCs w:val="16"/>
          <w:color w:val="auto"/>
        </w:rPr>
        <w:t xml:space="preserve"> </w:t>
      </w:r>
      <w:r>
        <w:rPr>
          <w:rFonts w:ascii="Arial" w:cs="Arial" w:eastAsia="Arial" w:hAnsi="Arial"/>
          <w:sz w:val="16"/>
          <w:szCs w:val="16"/>
          <w:b w:val="1"/>
          <w:bCs w:val="1"/>
          <w:color w:val="auto"/>
        </w:rPr>
        <w:t>Incurrence Ratio</w:t>
      </w:r>
      <w:r>
        <w:rPr>
          <w:rFonts w:ascii="Arial" w:cs="Arial" w:eastAsia="Arial" w:hAnsi="Arial"/>
          <w:sz w:val="16"/>
          <w:szCs w:val="16"/>
          <w:color w:val="auto"/>
        </w:rPr>
        <w:t>”) or (y) the Net Total Leverage Ratio calculated on a Pro Forma Basis as of the end of the most recent Test Period for which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statements are available does not exceed 3.00:1.00 (the “</w:t>
      </w:r>
      <w:r>
        <w:rPr>
          <w:rFonts w:ascii="Arial" w:cs="Arial" w:eastAsia="Arial" w:hAnsi="Arial"/>
          <w:sz w:val="16"/>
          <w:szCs w:val="16"/>
          <w:b w:val="1"/>
          <w:bCs w:val="1"/>
          <w:color w:val="auto"/>
        </w:rPr>
        <w:t>Total Leverage Incurrence Ratio</w:t>
      </w:r>
      <w:r>
        <w:rPr>
          <w:rFonts w:ascii="Arial" w:cs="Arial" w:eastAsia="Arial" w:hAnsi="Arial"/>
          <w:sz w:val="16"/>
          <w:szCs w:val="16"/>
          <w:color w:val="auto"/>
        </w:rPr>
        <w:t>”) or (B) in the case of any Incremental Facility or Incremental Equivalent Debt that is Acquisition Debt, either (x) the Net Total Leverage Ratio calculated on a Pro Forma Basis as of the end of the most recent Test Period for which financial statements are available either (I) does not exceed the Total Leverage Incurrence Ratio or (II) is not greater than the Net Total Leverage Ratio immediately prior to such incurrence of Indebtedness and Permitted Acquisition, other Investment or New Project or (y) the Fixed Charge Coverage Ratio calculated on a Pro Forma Basis as of the end of the most recent Test Period for which financial statements are available would either (I) be not greater than the Fixed Charge Coverage Incurrence Ratio or (II) be at least equal to the Fixed Charge Coverage Ratio immediately prior to such incurrence of Indebtedness and Permitted Acquisition, other Investment or New Project (this clause (iii), the “</w:t>
      </w:r>
      <w:r>
        <w:rPr>
          <w:rFonts w:ascii="Arial" w:cs="Arial" w:eastAsia="Arial" w:hAnsi="Arial"/>
          <w:sz w:val="16"/>
          <w:szCs w:val="16"/>
          <w:b w:val="1"/>
          <w:bCs w:val="1"/>
          <w:color w:val="auto"/>
        </w:rPr>
        <w:t>Unsecured Leverage Test</w:t>
      </w:r>
      <w:r>
        <w:rPr>
          <w:rFonts w:ascii="Arial" w:cs="Arial" w:eastAsia="Arial" w:hAnsi="Arial"/>
          <w:sz w:val="16"/>
          <w:szCs w:val="16"/>
          <w:color w:val="auto"/>
        </w:rPr>
        <w:t xml:space="preserve">”), </w:t>
      </w:r>
      <w:r>
        <w:rPr>
          <w:rFonts w:ascii="Arial" w:cs="Arial" w:eastAsia="Arial" w:hAnsi="Arial"/>
          <w:sz w:val="16"/>
          <w:szCs w:val="16"/>
          <w:i w:val="1"/>
          <w:iCs w:val="1"/>
          <w:color w:val="auto"/>
        </w:rPr>
        <w:t>plus</w:t>
      </w:r>
      <w:r>
        <w:rPr>
          <w:rFonts w:ascii="Arial" w:cs="Arial" w:eastAsia="Arial" w:hAnsi="Arial"/>
          <w:sz w:val="16"/>
          <w:szCs w:val="16"/>
          <w:color w:val="auto"/>
        </w:rPr>
        <w:t xml:space="preserve"> (c) an amount equal to the excess of (i) the aggregate amount of any voluntary prepayments or repurchases of the Initial Term Loans, or Term Loans or Incremental Equivalent Debt in the form of term Indebtedness, in each case, that were incurred pursuant to clause (a) or (c) of this definition prior to such time and permanent reductions in the Revolving Commitment, or Incremental Revolving Commitment or Incremental Equivalent Debt in the form of revolving Indebtedness, in each case, that were incurred pursuant to clause (a) or (c) of this definition prior to such time (in each case, with credit given to the principal amount of the debt prepaid or repurchased or commitments permanently reduced), over (ii) the aggregate amount of Incremental Facilities established and Incremental Equivalent Debt incurred, in each case, after the Closing Date and prior to such time utilizing this clause (c), in each case assuming, in the case of the establishment of any Incremental Facilities constituting increases to the Revolving Facility or additional revolving credit facilities or other undrawn commitments, that such facilities were fully drawn on the date of effectiveness thereof, so long as, in the case of any such optional prepayment, such prepayment was not funded with the proceeds of any long-term Indebtedness (other than revolving indebtedness);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amount incurred under this clause (c) (other than any such amount in respect of prepayments or repurchases of (x) Indebtedness that was previously incurred under clause (a) above or (y) Indebtedness incurred under this clause (c) in respect of prepayments or repurchases of Indebtedness that was previously incurred under clause (a)) may only be utilized to incur indebtedness that is secured by a Lien ranking pari passu with or junior to the indebtedness being prepaid or repurchased;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for the avoidance of doubt, (A) unless the Borrower elects otherwise, amounts may be established or incurred utilizing clause (b) above prior to utilizing clause (a) or (c) above, (B) any calculation of the Net First Lien Leverage Ratio, the Net Secured Leverage Ratio, the Net Total Leverage Ratio and the Fixed Charge Coverage Ratio on a Pro Forma Basis pursuant to clause (b) above may be determined, at the option of the Borrower, without giving effect to (x) any simultaneous establishment or incurrence of any amounts utilizing clause (a) or (c) above and/or (y) if such Indebtedness is Acquisition Debt, without giving effect to any simultaneous establishment or incurrence of Indebtedness incurred under any basket or exception to Section 6.01 of this Agreement that is not subject to compliance with a financial ratio (but giving full pro forma effect to the use of proceeds of the entire amount of the Incremental Facility that will be incurred in reliance on any of clauses (a), (b) and (c) above and the related transactions) and (C) any Incremental Facility that was previously incurred in reliance on clause (a) or (c) above will, unless the Borrower elects otherwise, automatically be reclassified as having been incurred under the applicable sub-clause in clause (b) above so long as the requirements of such applicable sub-clause in clause (b) above are satisfied on a Pro Forma Basis at such time (and the available amount under the applicable clause (a) or (c) above shall be increased by the amount so reclassified).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260"/>
          </w:cols>
          <w:pgMar w:left="320" w:top="1440" w:right="319" w:bottom="1440" w:gutter="0" w:footer="0" w:header="0"/>
        </w:sectPr>
      </w:pPr>
    </w:p>
    <w:bookmarkStart w:id="212" w:name="page213"/>
    <w:bookmarkEnd w:id="212"/>
    <w:p>
      <w:pPr>
        <w:spacing w:after="0" w:line="390" w:lineRule="exact"/>
        <w:rPr>
          <w:sz w:val="20"/>
          <w:szCs w:val="20"/>
          <w:color w:val="auto"/>
        </w:rPr>
      </w:pPr>
    </w:p>
    <w:p>
      <w:pPr>
        <w:jc w:val="both"/>
        <w:ind w:firstLine="568"/>
        <w:spacing w:after="0" w:line="220" w:lineRule="auto"/>
        <w:rPr>
          <w:sz w:val="20"/>
          <w:szCs w:val="20"/>
          <w:color w:val="auto"/>
        </w:rPr>
      </w:pPr>
      <w:r>
        <w:rPr>
          <w:rFonts w:ascii="Arial" w:cs="Arial" w:eastAsia="Arial" w:hAnsi="Arial"/>
          <w:sz w:val="17"/>
          <w:szCs w:val="17"/>
          <w:color w:val="auto"/>
        </w:rPr>
        <w:t>When calculating any ratio for purposes of determining the “Incremental Cap” or the ability to incur any Indebtedness under Section 2.18, Section 6.01(a)(viii), Section 6.01(a)(ix) or Section 6.01(a)(xxii), Pro Forma Basis shall mean that such calculation shall be made after giving effect to the incurrence of the relevant Indebtedness and the use of proceeds thereof (assuming that the full amount of any revolving commitment being established at such time is fully drawn).</w:t>
      </w:r>
    </w:p>
    <w:p>
      <w:pPr>
        <w:spacing w:after="0" w:line="13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Incremental Equivalent Debt</w:t>
      </w:r>
      <w:r>
        <w:rPr>
          <w:rFonts w:ascii="Arial" w:cs="Arial" w:eastAsia="Arial" w:hAnsi="Arial"/>
          <w:sz w:val="17"/>
          <w:szCs w:val="17"/>
          <w:color w:val="auto"/>
        </w:rPr>
        <w:t>” has the meaning assigned to such term in Section 6.01(a)(xxii).</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Incremental Facility</w:t>
      </w:r>
      <w:r>
        <w:rPr>
          <w:rFonts w:ascii="Arial" w:cs="Arial" w:eastAsia="Arial" w:hAnsi="Arial"/>
          <w:sz w:val="17"/>
          <w:szCs w:val="17"/>
          <w:color w:val="auto"/>
        </w:rPr>
        <w:t>” has the meaning assigned to such term in Section 2.18(a)(ii).</w:t>
      </w:r>
    </w:p>
    <w:p>
      <w:pPr>
        <w:spacing w:after="0" w:line="160" w:lineRule="exact"/>
        <w:rPr>
          <w:sz w:val="20"/>
          <w:szCs w:val="20"/>
          <w:color w:val="auto"/>
        </w:rPr>
      </w:pPr>
    </w:p>
    <w:p>
      <w:pPr>
        <w:jc w:val="both"/>
        <w:ind w:firstLine="568"/>
        <w:spacing w:after="0" w:line="24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Incremental Revolving Commitment</w:t>
      </w:r>
      <w:r>
        <w:rPr>
          <w:rFonts w:ascii="Arial" w:cs="Arial" w:eastAsia="Arial" w:hAnsi="Arial"/>
          <w:sz w:val="17"/>
          <w:szCs w:val="17"/>
          <w:color w:val="auto"/>
        </w:rPr>
        <w:t>” means the commitment of the Additional Revolving Lenders to make loans pursuant to an Incremental Revolving Facility in accordance with Section 2.18.</w:t>
      </w:r>
    </w:p>
    <w:p>
      <w:pPr>
        <w:spacing w:after="0" w:line="12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Incremental Revolving Facilities</w:t>
      </w:r>
      <w:r>
        <w:rPr>
          <w:rFonts w:ascii="Arial" w:cs="Arial" w:eastAsia="Arial" w:hAnsi="Arial"/>
          <w:sz w:val="17"/>
          <w:szCs w:val="17"/>
          <w:color w:val="auto"/>
        </w:rPr>
        <w:t>” has the meaning assigned to such term in Section 2.18(a)(i).</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Incremental Revolving Facility Amendment</w:t>
      </w:r>
      <w:r>
        <w:rPr>
          <w:rFonts w:ascii="Arial" w:cs="Arial" w:eastAsia="Arial" w:hAnsi="Arial"/>
          <w:sz w:val="17"/>
          <w:szCs w:val="17"/>
          <w:color w:val="auto"/>
        </w:rPr>
        <w:t>” has the meaning assigned to such term in Section 2.18(b)(ii).</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Incremental Revolving Facility Closing Date</w:t>
      </w:r>
      <w:r>
        <w:rPr>
          <w:rFonts w:ascii="Arial" w:cs="Arial" w:eastAsia="Arial" w:hAnsi="Arial"/>
          <w:sz w:val="17"/>
          <w:szCs w:val="17"/>
          <w:color w:val="auto"/>
        </w:rPr>
        <w:t>” has the meaning assigned to such term in Section 2.18(b)(ii).</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Incremental Term Commitment</w:t>
      </w:r>
      <w:r>
        <w:rPr>
          <w:rFonts w:ascii="Arial" w:cs="Arial" w:eastAsia="Arial" w:hAnsi="Arial"/>
          <w:sz w:val="16"/>
          <w:szCs w:val="16"/>
          <w:color w:val="auto"/>
        </w:rPr>
        <w:t>” means the commitment of the Additional Term Lenders to make Incremental Term Loans pursuant to Section 2.18.</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Incremental Term Facility</w:t>
      </w:r>
      <w:r>
        <w:rPr>
          <w:rFonts w:ascii="Arial" w:cs="Arial" w:eastAsia="Arial" w:hAnsi="Arial"/>
          <w:sz w:val="17"/>
          <w:szCs w:val="17"/>
          <w:color w:val="auto"/>
        </w:rPr>
        <w:t>” has the meaning assigned to such term in Section 2.18(a)(ii).</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Incremental Term Facility Amendment</w:t>
      </w:r>
      <w:r>
        <w:rPr>
          <w:rFonts w:ascii="Arial" w:cs="Arial" w:eastAsia="Arial" w:hAnsi="Arial"/>
          <w:sz w:val="17"/>
          <w:szCs w:val="17"/>
          <w:color w:val="auto"/>
        </w:rPr>
        <w:t>” has the meaning assigned to such term in Section 2.18(b)(iii).</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Incremental Term Facility Closing Date</w:t>
      </w:r>
      <w:r>
        <w:rPr>
          <w:rFonts w:ascii="Arial" w:cs="Arial" w:eastAsia="Arial" w:hAnsi="Arial"/>
          <w:sz w:val="17"/>
          <w:szCs w:val="17"/>
          <w:color w:val="auto"/>
        </w:rPr>
        <w:t>” has the meaning assigned to such term in Section 2.18(b)(iii).</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Incremental Term Loans</w:t>
      </w:r>
      <w:r>
        <w:rPr>
          <w:rFonts w:ascii="Arial" w:cs="Arial" w:eastAsia="Arial" w:hAnsi="Arial"/>
          <w:sz w:val="17"/>
          <w:szCs w:val="17"/>
          <w:color w:val="auto"/>
        </w:rPr>
        <w:t>” means term loans established pursuant to Section 2.18(b).</w:t>
      </w:r>
    </w:p>
    <w:p>
      <w:pPr>
        <w:spacing w:after="0" w:line="160" w:lineRule="exact"/>
        <w:rPr>
          <w:sz w:val="20"/>
          <w:szCs w:val="20"/>
          <w:color w:val="auto"/>
        </w:rPr>
      </w:pPr>
    </w:p>
    <w:p>
      <w:pPr>
        <w:jc w:val="both"/>
        <w:ind w:firstLine="568"/>
        <w:spacing w:after="0" w:line="22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Indebtedness</w:t>
      </w:r>
      <w:r>
        <w:rPr>
          <w:rFonts w:ascii="Arial" w:cs="Arial" w:eastAsia="Arial" w:hAnsi="Arial"/>
          <w:sz w:val="16"/>
          <w:szCs w:val="16"/>
          <w:color w:val="auto"/>
        </w:rPr>
        <w:t xml:space="preserve">” of any Person means, without duplication, (a) all obligations of such Person for borrowed money, (b) all obligations of such Person evidenced by bonds, debentures, notes or similar instruments, (c) all obligations of such Person under conditional sale or other title retention agreements relating to property acquired by such Person, (d) all obligations of such Person in respect of the deferred purchase price of property or services, (e) all Indebtedness of others secured by (or for which the holder of such Indebtedness has an existing right, contingent or otherwise, to be secured by) any Lien on property owned or acquired by such Person, whether or not the Indebtedness secured thereby has been assumed, (f) all Guarantees by such Person of Indebtedness of others, (g) all Capital Lease Obligations of such Person, (h) all obligations, contingent or otherwise, of such Person as an account party in respect of letters of credit and letters of guaranty and (i) all obligations, contingent or otherwise, of such Person in respect of bankers’ acceptances;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term “Indebtedness” shall not include (A) deferred or prepaid revenue, (B) purchase price holdbacks in respect of a portion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240"/>
          </w:cols>
          <w:pgMar w:left="320" w:top="1440" w:right="339" w:bottom="1440" w:gutter="0" w:footer="0" w:header="0"/>
        </w:sectPr>
      </w:pPr>
    </w:p>
    <w:bookmarkStart w:id="213" w:name="page214"/>
    <w:bookmarkEnd w:id="213"/>
    <w:p>
      <w:pPr>
        <w:spacing w:after="0" w:line="390" w:lineRule="exact"/>
        <w:rPr>
          <w:sz w:val="20"/>
          <w:szCs w:val="20"/>
          <w:color w:val="auto"/>
        </w:rPr>
      </w:pPr>
    </w:p>
    <w:p>
      <w:pPr>
        <w:jc w:val="both"/>
        <w:spacing w:after="0" w:line="238" w:lineRule="auto"/>
        <w:rPr>
          <w:sz w:val="20"/>
          <w:szCs w:val="20"/>
          <w:color w:val="auto"/>
        </w:rPr>
      </w:pPr>
      <w:r>
        <w:rPr>
          <w:rFonts w:ascii="Arial" w:cs="Arial" w:eastAsia="Arial" w:hAnsi="Arial"/>
          <w:sz w:val="15"/>
          <w:szCs w:val="15"/>
          <w:color w:val="auto"/>
        </w:rPr>
        <w:t>purchase price of an asset to satisfy warranty or other unperformed obligations of the seller, (C) trade and other ordinary-course payables, accrued expenses, and intercompany liabilities arising in the ordinary course of business or consistent with past practice or industry norm, (D) purchase price holdbacks arising in the ordinary course of business or consistent with past practice or industry norm in respect of a portion of the purchase prices of an asset to satisfy unperformed obligations of the seller of such asset, (E) earn-out obligations until such obligations become a liability on the balance sheet of such Person in accordance with GAAP, (F) obligations in respect of Third Party Funds and (G) intercompany liabilities in connection with the cash management, tax and accounting operations of the Borrower and the Subsidiaries.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The amount of Indebtedness of any Person for purposes of clause (e) above shall (unless such Indebtedness has been assumed by such Person) be deemed to be equal to the lesser of (A) the aggregate unpaid amount of such Indebtedness and (B) the fair market value of the property encumbered thereby as determined by such Person in good faith.</w:t>
      </w:r>
    </w:p>
    <w:p>
      <w:pPr>
        <w:spacing w:after="0" w:line="130" w:lineRule="exact"/>
        <w:rPr>
          <w:sz w:val="20"/>
          <w:szCs w:val="20"/>
          <w:color w:val="auto"/>
        </w:rPr>
      </w:pPr>
    </w:p>
    <w:p>
      <w:pPr>
        <w:jc w:val="both"/>
        <w:ind w:right="20" w:firstLine="568"/>
        <w:spacing w:after="0" w:line="24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Indemnified Taxes</w:t>
      </w:r>
      <w:r>
        <w:rPr>
          <w:rFonts w:ascii="Arial" w:cs="Arial" w:eastAsia="Arial" w:hAnsi="Arial"/>
          <w:sz w:val="17"/>
          <w:szCs w:val="17"/>
          <w:color w:val="auto"/>
        </w:rPr>
        <w:t>” means Taxes, other than Excluded Taxes, imposed on or with respect to any payment made by or on account of any obligation of the Borrower under any Loan Document.</w:t>
      </w:r>
    </w:p>
    <w:p>
      <w:pPr>
        <w:spacing w:after="0" w:line="12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Indemnitee</w:t>
      </w:r>
      <w:r>
        <w:rPr>
          <w:rFonts w:ascii="Arial" w:cs="Arial" w:eastAsia="Arial" w:hAnsi="Arial"/>
          <w:sz w:val="17"/>
          <w:szCs w:val="17"/>
          <w:color w:val="auto"/>
        </w:rPr>
        <w:t>” has the meaning assigned to such term in Section 9.03(c).</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Information</w:t>
      </w:r>
      <w:r>
        <w:rPr>
          <w:rFonts w:ascii="Arial" w:cs="Arial" w:eastAsia="Arial" w:hAnsi="Arial"/>
          <w:sz w:val="17"/>
          <w:szCs w:val="17"/>
          <w:color w:val="auto"/>
        </w:rPr>
        <w:t>” has the meaning assigned to such term in Section 9.12(a).</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Information Materials</w:t>
      </w:r>
      <w:r>
        <w:rPr>
          <w:rFonts w:ascii="Arial" w:cs="Arial" w:eastAsia="Arial" w:hAnsi="Arial"/>
          <w:sz w:val="17"/>
          <w:szCs w:val="17"/>
          <w:color w:val="auto"/>
        </w:rPr>
        <w:t>” means the presentation to the Lenders dated January 4, 2022.</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Initial Revolving Loans</w:t>
      </w:r>
      <w:r>
        <w:rPr>
          <w:rFonts w:ascii="Arial" w:cs="Arial" w:eastAsia="Arial" w:hAnsi="Arial"/>
          <w:sz w:val="17"/>
          <w:szCs w:val="17"/>
          <w:color w:val="auto"/>
        </w:rPr>
        <w:t>” means Revolving Loans made pursuant to Revolving Commitments in effect as of the Closing Date.</w:t>
      </w:r>
    </w:p>
    <w:p>
      <w:pPr>
        <w:spacing w:after="0" w:line="160" w:lineRule="exact"/>
        <w:rPr>
          <w:sz w:val="20"/>
          <w:szCs w:val="20"/>
          <w:color w:val="auto"/>
        </w:rPr>
      </w:pPr>
    </w:p>
    <w:p>
      <w:pPr>
        <w:jc w:val="both"/>
        <w:ind w:right="20" w:firstLine="568"/>
        <w:spacing w:after="0" w:line="23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Initial Term Commitment</w:t>
      </w:r>
      <w:r>
        <w:rPr>
          <w:rFonts w:ascii="Arial" w:cs="Arial" w:eastAsia="Arial" w:hAnsi="Arial"/>
          <w:sz w:val="16"/>
          <w:szCs w:val="16"/>
          <w:color w:val="auto"/>
        </w:rPr>
        <w:t>” means with respect to each Lender the aggregate commitment, if any, of such Lender to make a Term Loan hereunder on the Closing Date, expressed as an amount representing the maximum principal amount, in the aggregate, of the Term Loan to be made by such Lender hereunder, as such commitment may be reduced or increased from time to time pursuant to assignments by or to such Lender pursuant to an Assignment and Assumption. The amount of each Lender’s Initial Term Commitment as of the Closing Date is set forth on Schedule 2.01.</w:t>
      </w:r>
    </w:p>
    <w:p>
      <w:pPr>
        <w:spacing w:after="0" w:line="12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Initial Term Lender</w:t>
      </w:r>
      <w:r>
        <w:rPr>
          <w:rFonts w:ascii="Arial" w:cs="Arial" w:eastAsia="Arial" w:hAnsi="Arial"/>
          <w:sz w:val="17"/>
          <w:szCs w:val="17"/>
          <w:color w:val="auto"/>
        </w:rPr>
        <w:t>” has the meaning assigned to such term in Section 2.01(a).</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Initial Term Loans</w:t>
      </w:r>
      <w:r>
        <w:rPr>
          <w:rFonts w:ascii="Arial" w:cs="Arial" w:eastAsia="Arial" w:hAnsi="Arial"/>
          <w:sz w:val="17"/>
          <w:szCs w:val="17"/>
          <w:color w:val="auto"/>
        </w:rPr>
        <w:t>” has the meaning assigned to such term in Section 2.01(a).</w:t>
      </w:r>
    </w:p>
    <w:p>
      <w:pPr>
        <w:spacing w:after="0" w:line="160" w:lineRule="exact"/>
        <w:rPr>
          <w:sz w:val="20"/>
          <w:szCs w:val="20"/>
          <w:color w:val="auto"/>
        </w:rPr>
      </w:pPr>
    </w:p>
    <w:p>
      <w:pPr>
        <w:jc w:val="both"/>
        <w:ind w:right="20" w:firstLine="568"/>
        <w:spacing w:after="0" w:line="22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Inside Maturity Basket</w:t>
      </w:r>
      <w:r>
        <w:rPr>
          <w:rFonts w:ascii="Arial" w:cs="Arial" w:eastAsia="Arial" w:hAnsi="Arial"/>
          <w:sz w:val="17"/>
          <w:szCs w:val="17"/>
          <w:color w:val="auto"/>
        </w:rPr>
        <w:t>” means Indebtedness with an aggregate outstanding principal amount not to exceed the greater of $400,000,000 and 40% of Consolidated EBITDA calculated on a Pro Forma Basis for the most recently ended Test Period for which financial statements are available; provided that any Indebtedness incurred in reliance on the Inside Maturity Basket shall not be scheduled to mature prior to the Revolving Maturity Date or have a Weighted Average Life to Maturity shorter than the Weighted Average Life to Maturity applicable to the Revolving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260"/>
          </w:cols>
          <w:pgMar w:left="320" w:top="1440" w:right="319" w:bottom="1440" w:gutter="0" w:footer="0" w:header="0"/>
        </w:sectPr>
      </w:pPr>
    </w:p>
    <w:bookmarkStart w:id="214" w:name="page215"/>
    <w:bookmarkEnd w:id="214"/>
    <w:p>
      <w:pPr>
        <w:spacing w:after="0" w:line="384" w:lineRule="exact"/>
        <w:rPr>
          <w:sz w:val="20"/>
          <w:szCs w:val="20"/>
          <w:color w:val="auto"/>
        </w:rPr>
      </w:pPr>
    </w:p>
    <w:p>
      <w:pPr>
        <w:jc w:val="both"/>
        <w:ind w:firstLine="568"/>
        <w:spacing w:after="0" w:line="21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Insolvent</w:t>
      </w:r>
      <w:r>
        <w:rPr>
          <w:rFonts w:ascii="Arial" w:cs="Arial" w:eastAsia="Arial" w:hAnsi="Arial"/>
          <w:sz w:val="17"/>
          <w:szCs w:val="17"/>
          <w:color w:val="auto"/>
        </w:rPr>
        <w:t>” means, with respect to any Person, that (i) the fair value of assets is less than the amount that will be required to pay the total liability on existing debts as they become absolute and matured, (ii) the present fair saleable value of assets is less than the amount that will be required to pay the probable liability on existing debts as they become absolute and matured, (iii) it is unable to pay its debts or other obligations as they generally become due, (iv) it ceases to pay its current obligations in the ordinary course of business as they generally become absolute and matured, or (v) its aggregate property is not, at a fair valuation, sufficient, or if disposed of at a fairly conducted sale under legal process, would not be, sufficient to enable payment of all obligations, due and accruing due. The term “debts” as used in this definition includes any legal liability, whether matured or unmatured, liquidated or unliquidated, absolute, fixed or contingent and “values of assets” shall mean the amount of which the assets (both tangible and intangible) in their entirety would change hands between a willing buyer and a willing seller, with a commercially reasonable period of time, each having reasonable knowledge of the relevant facts, with neither being under compulsion to act.</w:t>
      </w:r>
    </w:p>
    <w:p>
      <w:pPr>
        <w:spacing w:after="0" w:line="13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Intellectual Property</w:t>
      </w:r>
      <w:r>
        <w:rPr>
          <w:rFonts w:ascii="Arial" w:cs="Arial" w:eastAsia="Arial" w:hAnsi="Arial"/>
          <w:sz w:val="17"/>
          <w:szCs w:val="17"/>
          <w:color w:val="auto"/>
        </w:rPr>
        <w:t>” has the meaning assigned to such term in the Collateral Agreement.</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Interest Election Request</w:t>
      </w:r>
      <w:r>
        <w:rPr>
          <w:rFonts w:ascii="Arial" w:cs="Arial" w:eastAsia="Arial" w:hAnsi="Arial"/>
          <w:sz w:val="17"/>
          <w:szCs w:val="17"/>
          <w:color w:val="auto"/>
        </w:rPr>
        <w:t>” means a request by the Borrower to convert or continue a Borrowing in accordance with Section 2.05.</w:t>
      </w:r>
    </w:p>
    <w:p>
      <w:pPr>
        <w:spacing w:after="0" w:line="160" w:lineRule="exact"/>
        <w:rPr>
          <w:sz w:val="20"/>
          <w:szCs w:val="20"/>
          <w:color w:val="auto"/>
        </w:rPr>
      </w:pPr>
    </w:p>
    <w:p>
      <w:pPr>
        <w:jc w:val="both"/>
        <w:ind w:firstLine="568"/>
        <w:spacing w:after="0" w:line="21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Interest Payment Date</w:t>
      </w:r>
      <w:r>
        <w:rPr>
          <w:rFonts w:ascii="Arial" w:cs="Arial" w:eastAsia="Arial" w:hAnsi="Arial"/>
          <w:sz w:val="17"/>
          <w:szCs w:val="17"/>
          <w:color w:val="auto"/>
        </w:rPr>
        <w:t>” means (a) with respect to any ABR Loan (other than a Swingline Loan), the last day of each March, June, September and December and the Revolving Maturity Date or the Term Maturity Date, as applicable, (b) with respect to any Term Benchmark Loan, the last day of each Interest Period applicable to the Borrowing of which such Loan is a part and, in the case of a Term Benchmark Borrowing with an Interest Period of more than three months’ duration, each day prior to the last day of such Interest Period that occurs at intervals of three months’ duration after the first day of such Interest Period, and the Revolving Maturity Date or the Term Maturity Date, as applicable, and (c) with respect to any Swingline Loan, the day that such Loan is required to be repaid and the Revolving Maturity Date.</w:t>
      </w:r>
    </w:p>
    <w:p>
      <w:pPr>
        <w:spacing w:after="0" w:line="133" w:lineRule="exact"/>
        <w:rPr>
          <w:sz w:val="20"/>
          <w:szCs w:val="20"/>
          <w:color w:val="auto"/>
        </w:rPr>
      </w:pPr>
    </w:p>
    <w:p>
      <w:pPr>
        <w:jc w:val="both"/>
        <w:ind w:firstLine="568"/>
        <w:spacing w:after="0" w:line="21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Interest Period</w:t>
      </w:r>
      <w:r>
        <w:rPr>
          <w:rFonts w:ascii="Arial" w:cs="Arial" w:eastAsia="Arial" w:hAnsi="Arial"/>
          <w:sz w:val="17"/>
          <w:szCs w:val="17"/>
          <w:color w:val="auto"/>
        </w:rPr>
        <w:t xml:space="preserve">” means with respect to any Term Benchmark Borrowing, the period commencing on the date of such Borrowing and ending on the numerically corresponding day in the calendar month that is one, three or six months thereafter (in each case, subject to the availability for the Benchmark applicable to the relevant Loan or Commitment), as the Borrower may elect; </w:t>
      </w:r>
      <w:r>
        <w:rPr>
          <w:rFonts w:ascii="Arial" w:cs="Arial" w:eastAsia="Arial" w:hAnsi="Arial"/>
          <w:sz w:val="17"/>
          <w:szCs w:val="17"/>
          <w:i w:val="1"/>
          <w:iCs w:val="1"/>
          <w:color w:val="auto"/>
        </w:rPr>
        <w:t>provided</w:t>
      </w:r>
      <w:r>
        <w:rPr>
          <w:rFonts w:ascii="Arial" w:cs="Arial" w:eastAsia="Arial" w:hAnsi="Arial"/>
          <w:sz w:val="17"/>
          <w:szCs w:val="17"/>
          <w:color w:val="auto"/>
        </w:rPr>
        <w:t>,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(ii)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and (iii) no tenor that has been removed from this definition pursuant to Section 2.12(e) shall be available for specification in such Borrowing Request or Interest Election Request. For purposes hereof, the date of a Borrowing initially shall be the date on which such Borrowing is made and, in the case of a Revolving Borrowing, thereafter shall be the effective date of the most recent conversion or continuation of such Borrowing.</w:t>
      </w:r>
    </w:p>
    <w:p>
      <w:pPr>
        <w:spacing w:after="0" w:line="13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Intermediate Parent</w:t>
      </w:r>
      <w:r>
        <w:rPr>
          <w:rFonts w:ascii="Arial" w:cs="Arial" w:eastAsia="Arial" w:hAnsi="Arial"/>
          <w:sz w:val="17"/>
          <w:szCs w:val="17"/>
          <w:color w:val="auto"/>
        </w:rPr>
        <w:t>” means any Subsidiary of Holdings and of which the Borrower is a Subsidiary.</w:t>
      </w:r>
    </w:p>
    <w:p>
      <w:pPr>
        <w:spacing w:after="0" w:line="160" w:lineRule="exact"/>
        <w:rPr>
          <w:sz w:val="20"/>
          <w:szCs w:val="20"/>
          <w:color w:val="auto"/>
        </w:rPr>
      </w:pPr>
    </w:p>
    <w:p>
      <w:pPr>
        <w:jc w:val="both"/>
        <w:ind w:firstLine="568"/>
        <w:spacing w:after="0" w:line="24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Investment</w:t>
      </w:r>
      <w:r>
        <w:rPr>
          <w:rFonts w:ascii="Arial" w:cs="Arial" w:eastAsia="Arial" w:hAnsi="Arial"/>
          <w:sz w:val="17"/>
          <w:szCs w:val="17"/>
          <w:color w:val="auto"/>
        </w:rPr>
        <w:t>” means, as to any Person, any direct or indirect acquisition or investment by such Person, whether by means of (a) the purchase or other acquisition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260"/>
          </w:cols>
          <w:pgMar w:left="320" w:top="1440" w:right="319" w:bottom="1440" w:gutter="0" w:footer="0" w:header="0"/>
        </w:sectPr>
      </w:pPr>
    </w:p>
    <w:bookmarkStart w:id="215" w:name="page216"/>
    <w:bookmarkEnd w:id="215"/>
    <w:p>
      <w:pPr>
        <w:spacing w:after="0" w:line="390" w:lineRule="exact"/>
        <w:rPr>
          <w:sz w:val="20"/>
          <w:szCs w:val="20"/>
          <w:color w:val="auto"/>
        </w:rPr>
      </w:pPr>
    </w:p>
    <w:p>
      <w:pPr>
        <w:jc w:val="both"/>
        <w:spacing w:after="0" w:line="219" w:lineRule="auto"/>
        <w:rPr>
          <w:sz w:val="20"/>
          <w:szCs w:val="20"/>
          <w:color w:val="auto"/>
        </w:rPr>
      </w:pPr>
      <w:r>
        <w:rPr>
          <w:rFonts w:ascii="Arial" w:cs="Arial" w:eastAsia="Arial" w:hAnsi="Arial"/>
          <w:sz w:val="16"/>
          <w:szCs w:val="16"/>
          <w:color w:val="auto"/>
        </w:rPr>
        <w:t xml:space="preserve">Equity Interests or debt or other securities of another Person, (b) a loan, advance or capital contribution to, Guarantee or assumption of Indebtedness of, or purchase or other acquisition of any other debt or equity participation or interest in, another Person, including any partnership or joint venture interest in such other Person or (c) the purchase or other acquisition (in one transaction or a series of transactions) of all or substantially all of the property and assets or business of another Person or assets constituting a business unit, line of business or division of such Person. The amount, as of any date of determination, of (a) any Investment in the form of a loan or an advance shall be the principal amount thereof outstanding on such date, minus any cash payments actually received by such investor representing interest in respect of such Investment (to the extent any such payment to be deducted does not exceed the remaining principal amount of such Investment), but without any adjustment for write-downs or write-offs (including as a result of forgiveness of any portion thereof) with respect to such loan or advance after the date thereof, (b) any Investment in the form of a Guarantee shall be equal to the stated or determinable amount of the related primary obligation, or portion thereof, in respect of which such Guarantee is made or, if not stated or determinable, the maximum reasonably anticipated liability in respect thereof, as determined in good faith by a Financial Officer, (c) any Investment in the form of a transfer of Equity Interests or other non-cash property by the investor to the investee, including any such transfer in the form of a capital contribution, shall be the fair market value (as determined in good faith by a Financial Officer) of such Equity Interests or other property as of the time of the transfer, </w:t>
      </w:r>
      <w:r>
        <w:rPr>
          <w:rFonts w:ascii="Arial" w:cs="Arial" w:eastAsia="Arial" w:hAnsi="Arial"/>
          <w:sz w:val="16"/>
          <w:szCs w:val="16"/>
          <w:i w:val="1"/>
          <w:iCs w:val="1"/>
          <w:color w:val="auto"/>
        </w:rPr>
        <w:t>minus</w:t>
      </w:r>
      <w:r>
        <w:rPr>
          <w:rFonts w:ascii="Arial" w:cs="Arial" w:eastAsia="Arial" w:hAnsi="Arial"/>
          <w:sz w:val="16"/>
          <w:szCs w:val="16"/>
          <w:color w:val="auto"/>
        </w:rPr>
        <w:t xml:space="preserve"> any payments actually received by such investor representing a return of capital of, or dividends or other distributions in respect of, such Investment (to the extent such payments do not exceed, in the aggregate, the original amount of such Investment), but without any other adjustment for increases or decreases in value of, or write-ups, write-downs or write-offs with respect to, such Investment after the date of such Investment, and (d) any Investment (other than any Investment referred to in clause (a), (b) or (c) above) by the specified Person in the form of a purchase or other acquisition for value of any Equity Interests, evidences of Indebtedness or other securities of any other Person shall be the original cost of such Investment (including any Indebtedness assumed in connection therewith), </w:t>
      </w:r>
      <w:r>
        <w:rPr>
          <w:rFonts w:ascii="Arial" w:cs="Arial" w:eastAsia="Arial" w:hAnsi="Arial"/>
          <w:sz w:val="16"/>
          <w:szCs w:val="16"/>
          <w:i w:val="1"/>
          <w:iCs w:val="1"/>
          <w:color w:val="auto"/>
        </w:rPr>
        <w:t>plus</w:t>
      </w:r>
      <w:r>
        <w:rPr>
          <w:rFonts w:ascii="Arial" w:cs="Arial" w:eastAsia="Arial" w:hAnsi="Arial"/>
          <w:sz w:val="16"/>
          <w:szCs w:val="16"/>
          <w:color w:val="auto"/>
        </w:rPr>
        <w:t xml:space="preserve"> (i) the cost of all additions thereto and </w:t>
      </w:r>
      <w:r>
        <w:rPr>
          <w:rFonts w:ascii="Arial" w:cs="Arial" w:eastAsia="Arial" w:hAnsi="Arial"/>
          <w:sz w:val="16"/>
          <w:szCs w:val="16"/>
          <w:i w:val="1"/>
          <w:iCs w:val="1"/>
          <w:color w:val="auto"/>
        </w:rPr>
        <w:t>minus</w:t>
      </w:r>
      <w:r>
        <w:rPr>
          <w:rFonts w:ascii="Arial" w:cs="Arial" w:eastAsia="Arial" w:hAnsi="Arial"/>
          <w:sz w:val="16"/>
          <w:szCs w:val="16"/>
          <w:color w:val="auto"/>
        </w:rPr>
        <w:t xml:space="preserve"> (ii) the amount of any portion of such Investment that has been repaid to the investor in cash as a repayment of principal or a return of capital, and of any cash payments actually received by such investor representing interest, dividends or other distributions in respect of such Investment (to the extent the amounts referred to in clause (ii) do not, in the aggregate, exceed the original cost of such Investment plus the costs of additions thereto), but without any other adjustment for increases or decreases in value of, or write-ups, write-downs or write-offs with respect to, such Investment after the date of such Investment. For purposes of Section 6.04, if an Investment involves the acquisition of more than one Person, the amount of such Investment shall be allocated among the acquired Persons in accordance with GAAP;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pending the final determination of the amounts to be so allocated in accordance with GAAP, such allocation shall be as reasonably determined by a Financial Officer.</w:t>
      </w:r>
    </w:p>
    <w:p>
      <w:pPr>
        <w:spacing w:after="0" w:line="132" w:lineRule="exact"/>
        <w:rPr>
          <w:sz w:val="20"/>
          <w:szCs w:val="20"/>
          <w:color w:val="auto"/>
        </w:rPr>
      </w:pPr>
    </w:p>
    <w:p>
      <w:pPr>
        <w:jc w:val="both"/>
        <w:ind w:right="20" w:firstLine="568"/>
        <w:spacing w:after="0" w:line="22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ISDA Definitions</w:t>
      </w:r>
      <w:r>
        <w:rPr>
          <w:rFonts w:ascii="Arial" w:cs="Arial" w:eastAsia="Arial" w:hAnsi="Arial"/>
          <w:sz w:val="17"/>
          <w:szCs w:val="17"/>
          <w:color w:val="auto"/>
        </w:rPr>
        <w:t>”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30" w:lineRule="exact"/>
        <w:rPr>
          <w:sz w:val="20"/>
          <w:szCs w:val="20"/>
          <w:color w:val="auto"/>
        </w:rPr>
      </w:pPr>
    </w:p>
    <w:p>
      <w:pPr>
        <w:jc w:val="both"/>
        <w:ind w:right="20" w:firstLine="568"/>
        <w:spacing w:after="0" w:line="22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Issuing Bank</w:t>
      </w:r>
      <w:r>
        <w:rPr>
          <w:rFonts w:ascii="Arial" w:cs="Arial" w:eastAsia="Arial" w:hAnsi="Arial"/>
          <w:sz w:val="17"/>
          <w:szCs w:val="17"/>
          <w:color w:val="auto"/>
        </w:rPr>
        <w:t>” means each of (a) JPMorgan Chase Bank, N.A., Goldman Sachs Bank USA, Royal Bank of Canada, Barclays Bank PLC and Jefferies Finance LLC and (b) each other Revolving Lender that shall have become an Issuing Bank hereunder as provided in Section 2.22(i) (other than any Person that shall have ceased to be an Issuing Bank as provided in Section 2.22(j)) (in each case, through itself or through one of its designated affiliates or branch offices), in each case in its capacity as an issuer of Letters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260"/>
          </w:cols>
          <w:pgMar w:left="320" w:top="1440" w:right="319" w:bottom="1440" w:gutter="0" w:footer="0" w:header="0"/>
        </w:sectPr>
      </w:pPr>
    </w:p>
    <w:bookmarkStart w:id="216" w:name="page217"/>
    <w:bookmarkEnd w:id="216"/>
    <w:p>
      <w:pPr>
        <w:spacing w:after="0" w:line="390"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of Credit hereunder. Each reference herein to the “Issuing Bank” shall be deemed to be a reference to the relevant Issuing Bank. Each Issuing Bank may, in its discretion, arrange for one or more Letters of Credit to be issued by Affiliates of such Issuing Bank, in which case the term “Issuing Bank” shall include any such Affiliate with respect to Letters of Credit issued by such Affiliate. Jefferies Finance LLC will cause Letters of Credit to be issued by unaffiliated financial institutions and such Letters of Credit shall be treated as issued by Jefferies Finance LLC for all purposes under the Loan Documents.</w:t>
      </w:r>
    </w:p>
    <w:p>
      <w:pPr>
        <w:spacing w:after="0" w:line="129" w:lineRule="exact"/>
        <w:rPr>
          <w:sz w:val="20"/>
          <w:szCs w:val="20"/>
          <w:color w:val="auto"/>
        </w:rPr>
      </w:pPr>
    </w:p>
    <w:p>
      <w:pPr>
        <w:jc w:val="both"/>
        <w:ind w:firstLine="568"/>
        <w:spacing w:after="0" w:line="22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Joint Venture</w:t>
      </w:r>
      <w:r>
        <w:rPr>
          <w:rFonts w:ascii="Arial" w:cs="Arial" w:eastAsia="Arial" w:hAnsi="Arial"/>
          <w:sz w:val="17"/>
          <w:szCs w:val="17"/>
          <w:color w:val="auto"/>
        </w:rPr>
        <w:t>” means any Person, other than an individual or a Wholly Owned Subsidiary of the Borrower, in which the Borrower or a Restricted Subsidiary holds or acquires an ownership interest (whether by way of capital stock, partnership or limited liability company interest, or other evidence of ownership).</w:t>
      </w:r>
    </w:p>
    <w:p>
      <w:pPr>
        <w:spacing w:after="0" w:line="130" w:lineRule="exact"/>
        <w:rPr>
          <w:sz w:val="20"/>
          <w:szCs w:val="20"/>
          <w:color w:val="auto"/>
        </w:rPr>
      </w:pPr>
    </w:p>
    <w:p>
      <w:pPr>
        <w:jc w:val="both"/>
        <w:ind w:right="20" w:firstLine="568"/>
        <w:spacing w:after="0" w:line="24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Junior Financing</w:t>
      </w:r>
      <w:r>
        <w:rPr>
          <w:rFonts w:ascii="Arial" w:cs="Arial" w:eastAsia="Arial" w:hAnsi="Arial"/>
          <w:sz w:val="17"/>
          <w:szCs w:val="17"/>
          <w:color w:val="auto"/>
        </w:rPr>
        <w:t>” means any Subordinated Indebtedness and any Permitted Refinancing in respect of any of the foregoing owing by Holdings or a Restricted Subsidiary (other than intercompany Indebtedness owing to Holdings or a Restricted Subsidiary).</w:t>
      </w:r>
    </w:p>
    <w:p>
      <w:pPr>
        <w:spacing w:after="0" w:line="12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Junior Financing Prepayments</w:t>
      </w:r>
      <w:r>
        <w:rPr>
          <w:rFonts w:ascii="Arial" w:cs="Arial" w:eastAsia="Arial" w:hAnsi="Arial"/>
          <w:sz w:val="17"/>
          <w:szCs w:val="17"/>
          <w:color w:val="auto"/>
        </w:rPr>
        <w:t>” has the meaning assigned to such term in Section 6.08(b)(iv).</w:t>
      </w:r>
    </w:p>
    <w:p>
      <w:pPr>
        <w:spacing w:after="0" w:line="160" w:lineRule="exact"/>
        <w:rPr>
          <w:sz w:val="20"/>
          <w:szCs w:val="20"/>
          <w:color w:val="auto"/>
        </w:rPr>
      </w:pPr>
    </w:p>
    <w:p>
      <w:pPr>
        <w:jc w:val="both"/>
        <w:ind w:firstLine="568"/>
        <w:spacing w:after="0" w:line="23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Junior Lien Intercreditor Agreement</w:t>
      </w:r>
      <w:r>
        <w:rPr>
          <w:rFonts w:ascii="Arial" w:cs="Arial" w:eastAsia="Arial" w:hAnsi="Arial"/>
          <w:sz w:val="16"/>
          <w:szCs w:val="16"/>
          <w:color w:val="auto"/>
        </w:rPr>
        <w:t>” means the Junior Lien Intercreditor Agreement substantially in the form of Exhibit F-2 among the Administrative Agent and one or more Senior Representatives for holders of Permitted Junior Lien Refinancing Debt, any junior Lien secured Indebtedness incurred pursuant to Section 6.01(a)(viii) or Section 6.01(a)(ix) or any junior Lien secured Incremental Equivalent Debt incurred pursuant to Section 6.01(a) (xxii), executed by the Administrative Agent and the Loan Parties, with such modifications thereto as the Administrative Agent may reasonably agree.</w:t>
      </w:r>
    </w:p>
    <w:p>
      <w:pPr>
        <w:spacing w:after="0" w:line="129" w:lineRule="exact"/>
        <w:rPr>
          <w:sz w:val="20"/>
          <w:szCs w:val="20"/>
          <w:color w:val="auto"/>
        </w:rPr>
      </w:pPr>
    </w:p>
    <w:p>
      <w:pPr>
        <w:jc w:val="both"/>
        <w:ind w:right="20" w:firstLine="568"/>
        <w:spacing w:after="0" w:line="22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Latest Maturity Date</w:t>
      </w:r>
      <w:r>
        <w:rPr>
          <w:rFonts w:ascii="Arial" w:cs="Arial" w:eastAsia="Arial" w:hAnsi="Arial"/>
          <w:sz w:val="17"/>
          <w:szCs w:val="17"/>
          <w:color w:val="auto"/>
        </w:rPr>
        <w:t>” means, at any date of determination, the latest maturity or expiration date applicable to any Loan or Commitment hereunder at such time, including the latest maturity or expiration date of any Other Term Loan, any Other Term Commitment, any Other Revolving Loan or any Other Revolving Commitment, in each case as extended in accordance with this Agreement from time to time.</w:t>
      </w:r>
    </w:p>
    <w:p>
      <w:pPr>
        <w:spacing w:after="0" w:line="13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LC Cash Collateral Account</w:t>
      </w:r>
      <w:r>
        <w:rPr>
          <w:rFonts w:ascii="Arial" w:cs="Arial" w:eastAsia="Arial" w:hAnsi="Arial"/>
          <w:sz w:val="17"/>
          <w:szCs w:val="17"/>
          <w:color w:val="auto"/>
        </w:rPr>
        <w:t>” has the meaning assigned to such term in Section 2.22(a)(iii).</w:t>
      </w:r>
    </w:p>
    <w:p>
      <w:pPr>
        <w:spacing w:after="0" w:line="160" w:lineRule="exact"/>
        <w:rPr>
          <w:sz w:val="20"/>
          <w:szCs w:val="20"/>
          <w:color w:val="auto"/>
        </w:rPr>
      </w:pPr>
    </w:p>
    <w:p>
      <w:pPr>
        <w:jc w:val="both"/>
        <w:ind w:firstLine="568"/>
        <w:spacing w:after="0" w:line="24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LC Commitment</w:t>
      </w:r>
      <w:r>
        <w:rPr>
          <w:rFonts w:ascii="Arial" w:cs="Arial" w:eastAsia="Arial" w:hAnsi="Arial"/>
          <w:sz w:val="15"/>
          <w:szCs w:val="15"/>
          <w:color w:val="auto"/>
        </w:rPr>
        <w:t>” means, with respect to each Issuing Bank, the commitment of such Issuing Bank to issue Letters of Credit hereunder. The initial amount of each Issuing Bank’s LC Commitment is set forth on Schedule 1.01(b), or if an Issuing Bank has entered into an Assignment and Assumption or has otherwise assumed a LC Commitment after the Closing Date, the amount set forth for such Issuing Bank as its LC Commitment in the Register maintained by the Administrative Agent. The LC Commitment of an Issuing Bank may be modified from time to time by agreement between such Issuing Bank and the Borrower, and notified to the Administrative Agent. The aggregate amount of LC Commitments as of the Closing Date is $20,000,000 (the “</w:t>
      </w:r>
      <w:r>
        <w:rPr>
          <w:rFonts w:ascii="Arial" w:cs="Arial" w:eastAsia="Arial" w:hAnsi="Arial"/>
          <w:sz w:val="15"/>
          <w:szCs w:val="15"/>
          <w:b w:val="1"/>
          <w:bCs w:val="1"/>
          <w:color w:val="auto"/>
        </w:rPr>
        <w:t>Letter of Credit Sublimit</w:t>
      </w:r>
      <w:r>
        <w:rPr>
          <w:rFonts w:ascii="Arial" w:cs="Arial" w:eastAsia="Arial" w:hAnsi="Arial"/>
          <w:sz w:val="15"/>
          <w:szCs w:val="15"/>
          <w:color w:val="auto"/>
        </w:rPr>
        <w:t>”).</w:t>
      </w:r>
    </w:p>
    <w:p>
      <w:pPr>
        <w:spacing w:after="0" w:line="123"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LC Disbursement</w:t>
      </w:r>
      <w:r>
        <w:rPr>
          <w:rFonts w:ascii="Arial" w:cs="Arial" w:eastAsia="Arial" w:hAnsi="Arial"/>
          <w:sz w:val="17"/>
          <w:szCs w:val="17"/>
          <w:color w:val="auto"/>
        </w:rPr>
        <w:t>” means a payment made by an Issuing Bank pursuant to a Letter of Credit.</w:t>
      </w:r>
    </w:p>
    <w:p>
      <w:pPr>
        <w:spacing w:after="0" w:line="160" w:lineRule="exact"/>
        <w:rPr>
          <w:sz w:val="20"/>
          <w:szCs w:val="20"/>
          <w:color w:val="auto"/>
        </w:rPr>
      </w:pPr>
    </w:p>
    <w:p>
      <w:pPr>
        <w:jc w:val="both"/>
        <w:ind w:right="20" w:firstLine="568"/>
        <w:spacing w:after="0" w:line="24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LC Exposure</w:t>
      </w:r>
      <w:r>
        <w:rPr>
          <w:rFonts w:ascii="Arial" w:cs="Arial" w:eastAsia="Arial" w:hAnsi="Arial"/>
          <w:sz w:val="17"/>
          <w:szCs w:val="17"/>
          <w:color w:val="auto"/>
        </w:rPr>
        <w:t>” means, at any time, the sum of (a) the aggregate undrawn amount of all outstanding Letters of Credit at such time, plus (b) the aggregate amount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260"/>
          </w:cols>
          <w:pgMar w:left="320" w:top="1440" w:right="319" w:bottom="1440" w:gutter="0" w:footer="0" w:header="0"/>
        </w:sectPr>
      </w:pPr>
    </w:p>
    <w:bookmarkStart w:id="217" w:name="page218"/>
    <w:bookmarkEnd w:id="217"/>
    <w:p>
      <w:pPr>
        <w:spacing w:after="0" w:line="390" w:lineRule="exact"/>
        <w:rPr>
          <w:sz w:val="20"/>
          <w:szCs w:val="20"/>
          <w:color w:val="auto"/>
        </w:rPr>
      </w:pPr>
    </w:p>
    <w:p>
      <w:pPr>
        <w:jc w:val="both"/>
        <w:spacing w:after="0" w:line="224" w:lineRule="auto"/>
        <w:rPr>
          <w:sz w:val="20"/>
          <w:szCs w:val="20"/>
          <w:color w:val="auto"/>
        </w:rPr>
      </w:pPr>
      <w:r>
        <w:rPr>
          <w:rFonts w:ascii="Arial" w:cs="Arial" w:eastAsia="Arial" w:hAnsi="Arial"/>
          <w:sz w:val="16"/>
          <w:szCs w:val="16"/>
          <w:color w:val="auto"/>
        </w:rPr>
        <w:t>all LC Disbursements that have not yet been reimbursed by or on behalf of the Borrower at such time. The LC Exposure of any Lender at any time shall be its Applicable Percentage of the LC Exposure at such time. For all purposes of this Agreement, if on any date of determination a Letter of Credit has expired by its terms but any amount may still be drawn thereunder by reason of the operation of Article 29(a) of the Uniform Customs and Practice for Documentary Credits, International Chamber of Commerce Publication No. 600 (or such later version thereof as may be in effect at the applicable time) or Rule 3.13 or Rule 3.14 of the International Standby Practices, International Chamber of Commerce Publication No. 590 (or such later version thereof as may be in effect at the applicable time) or similar terms in other applicable rules or applicable law or in the Letter of Credit itself, or if compliant documents have been presented but not yet honored, such Letter of Credit shall be deemed to be “outstanding” and “undrawn” in the amount so remaining available to be paid, and the obligations of the Borrower and each Lender shall remain in full force and effect until the Issuing Banks and the Lenders shall have no further obligations to make any payments or disbursements under any circumstances with respect to any Letter of Credit.</w:t>
      </w:r>
    </w:p>
    <w:p>
      <w:pPr>
        <w:spacing w:after="0" w:line="13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LC Participants</w:t>
      </w:r>
      <w:r>
        <w:rPr>
          <w:rFonts w:ascii="Arial" w:cs="Arial" w:eastAsia="Arial" w:hAnsi="Arial"/>
          <w:sz w:val="17"/>
          <w:szCs w:val="17"/>
          <w:color w:val="auto"/>
        </w:rPr>
        <w:t>” means the collective reference to all the Revolving Lenders other than the applicable Issuing Bank.</w:t>
      </w:r>
    </w:p>
    <w:p>
      <w:pPr>
        <w:spacing w:after="0" w:line="160" w:lineRule="exact"/>
        <w:rPr>
          <w:sz w:val="20"/>
          <w:szCs w:val="20"/>
          <w:color w:val="auto"/>
        </w:rPr>
      </w:pPr>
    </w:p>
    <w:p>
      <w:pPr>
        <w:jc w:val="both"/>
        <w:ind w:right="20" w:firstLine="568"/>
        <w:spacing w:after="0" w:line="22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Lead Arranger</w:t>
      </w:r>
      <w:r>
        <w:rPr>
          <w:rFonts w:ascii="Arial" w:cs="Arial" w:eastAsia="Arial" w:hAnsi="Arial"/>
          <w:sz w:val="17"/>
          <w:szCs w:val="17"/>
          <w:color w:val="auto"/>
        </w:rPr>
        <w:t>” means each of JPMorgan Chase Bank, N.A., Goldman Sachs Bank USA, RBC Capital Markets, Barclays Bank PLC, Jefferies Finance LLC, BMO Capital Markets Corp. and CIBC World Markets Corp., in each case, in their capacity as joint lead arrangers and bookrunners in respect of the Initial Term Loans and the Revolving Facility.</w:t>
      </w:r>
    </w:p>
    <w:p>
      <w:pPr>
        <w:spacing w:after="0" w:line="13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Lender Parent</w:t>
      </w:r>
      <w:r>
        <w:rPr>
          <w:rFonts w:ascii="Arial" w:cs="Arial" w:eastAsia="Arial" w:hAnsi="Arial"/>
          <w:sz w:val="17"/>
          <w:szCs w:val="17"/>
          <w:color w:val="auto"/>
        </w:rPr>
        <w:t>” means, with respect to any Lender, any Person as to which such Lender is, directly or indirectly, a Subsidiary.</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Lender-Related Person</w:t>
      </w:r>
      <w:r>
        <w:rPr>
          <w:rFonts w:ascii="Arial" w:cs="Arial" w:eastAsia="Arial" w:hAnsi="Arial"/>
          <w:sz w:val="17"/>
          <w:szCs w:val="17"/>
          <w:color w:val="auto"/>
        </w:rPr>
        <w:t>” has the meaning assigned to such term in Section 9.03(b).</w:t>
      </w:r>
    </w:p>
    <w:p>
      <w:pPr>
        <w:spacing w:after="0" w:line="136" w:lineRule="exact"/>
        <w:rPr>
          <w:sz w:val="20"/>
          <w:szCs w:val="20"/>
          <w:color w:val="auto"/>
        </w:rPr>
      </w:pPr>
    </w:p>
    <w:p>
      <w:pPr>
        <w:jc w:val="both"/>
        <w:ind w:firstLine="568"/>
        <w:spacing w:after="0" w:line="22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Lenders</w:t>
      </w:r>
      <w:r>
        <w:rPr>
          <w:rFonts w:ascii="Arial" w:cs="Arial" w:eastAsia="Arial" w:hAnsi="Arial"/>
          <w:sz w:val="17"/>
          <w:szCs w:val="17"/>
          <w:color w:val="auto"/>
        </w:rPr>
        <w:t>” means the Persons listed on Schedule 2.01 and any other Person that shall have become a party hereto (as a lender) pursuant to an Assignment and Assumption, an Incremental Revolving Facility Amendment, an Incremental Term Facility Amendment or a Refinancing Amendment, in each case, other than any such Person that ceases to be a party hereto pursuant to an Assignment and Assumption. Unless the context requires otherwise, the term “Lenders” includes the Swingline Lender.</w:t>
      </w:r>
    </w:p>
    <w:p>
      <w:pPr>
        <w:spacing w:after="0" w:line="12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Letter of Credit Sublimit</w:t>
      </w:r>
      <w:r>
        <w:rPr>
          <w:rFonts w:ascii="Arial" w:cs="Arial" w:eastAsia="Arial" w:hAnsi="Arial"/>
          <w:sz w:val="17"/>
          <w:szCs w:val="17"/>
          <w:color w:val="auto"/>
        </w:rPr>
        <w:t>” has the meaning assigned to such term in the definition of the term “LC Commitment.”</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Letters of Credit</w:t>
      </w:r>
      <w:r>
        <w:rPr>
          <w:rFonts w:ascii="Arial" w:cs="Arial" w:eastAsia="Arial" w:hAnsi="Arial"/>
          <w:sz w:val="17"/>
          <w:szCs w:val="17"/>
          <w:color w:val="auto"/>
        </w:rPr>
        <w:t>” has the meaning assigned to such term in Section 2.22(a).</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Liabilities</w:t>
      </w:r>
      <w:r>
        <w:rPr>
          <w:rFonts w:ascii="Arial" w:cs="Arial" w:eastAsia="Arial" w:hAnsi="Arial"/>
          <w:sz w:val="17"/>
          <w:szCs w:val="17"/>
          <w:color w:val="auto"/>
        </w:rPr>
        <w:t>” means any losses, claims (including intraparty claims), demands, damages or liabilities of any kind.</w:t>
      </w:r>
    </w:p>
    <w:p>
      <w:pPr>
        <w:spacing w:after="0" w:line="160" w:lineRule="exact"/>
        <w:rPr>
          <w:sz w:val="20"/>
          <w:szCs w:val="20"/>
          <w:color w:val="auto"/>
        </w:rPr>
      </w:pPr>
    </w:p>
    <w:p>
      <w:pPr>
        <w:jc w:val="both"/>
        <w:ind w:right="20" w:firstLine="568"/>
        <w:spacing w:after="0" w:line="22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Lien</w:t>
      </w:r>
      <w:r>
        <w:rPr>
          <w:rFonts w:ascii="Arial" w:cs="Arial" w:eastAsia="Arial" w:hAnsi="Arial"/>
          <w:sz w:val="17"/>
          <w:szCs w:val="17"/>
          <w:color w:val="auto"/>
        </w:rPr>
        <w:t>” means, with respect to any asset, (a) any mortgage, deed of trust, lien, pledge, hypothecation, encumbrance, charge or security interest in, on or of such asset and (b) the interest of a vendor or a lessor under any conditional sale agreement, capital lease or title retention agreement (or any financing lease having substantially the same economic effect as any of the foregoing) relating to such asset.</w:t>
      </w:r>
    </w:p>
    <w:p>
      <w:pPr>
        <w:spacing w:after="0" w:line="130" w:lineRule="exact"/>
        <w:rPr>
          <w:sz w:val="20"/>
          <w:szCs w:val="20"/>
          <w:color w:val="auto"/>
        </w:rPr>
      </w:pPr>
    </w:p>
    <w:p>
      <w:pPr>
        <w:jc w:val="both"/>
        <w:ind w:right="20" w:firstLine="568"/>
        <w:spacing w:after="0" w:line="24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Limited Condition Acquisition</w:t>
      </w:r>
      <w:r>
        <w:rPr>
          <w:rFonts w:ascii="Arial" w:cs="Arial" w:eastAsia="Arial" w:hAnsi="Arial"/>
          <w:sz w:val="17"/>
          <w:szCs w:val="17"/>
          <w:color w:val="auto"/>
        </w:rPr>
        <w:t>” means any acquisition, including by way of merger, amalgamation or consolidation, which the Borrower or one or more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260"/>
          </w:cols>
          <w:pgMar w:left="320" w:top="1440" w:right="319" w:bottom="1440" w:gutter="0" w:footer="0" w:header="0"/>
        </w:sectPr>
      </w:pPr>
    </w:p>
    <w:bookmarkStart w:id="218" w:name="page219"/>
    <w:bookmarkEnd w:id="218"/>
    <w:p>
      <w:pPr>
        <w:spacing w:after="0" w:line="390"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Restricted Subsidiaries permitted pursuant to the Loan Documents has contractually committed to consummate, the terms of which do not condition the Borrower’s or such Restricted Subsidiary’s, as applicable, obligation to close such acquisition on the availability of, or on obtaining, third party financing.</w:t>
      </w:r>
    </w:p>
    <w:p>
      <w:pPr>
        <w:spacing w:after="0" w:line="110" w:lineRule="exact"/>
        <w:rPr>
          <w:sz w:val="20"/>
          <w:szCs w:val="20"/>
          <w:color w:val="auto"/>
        </w:rPr>
      </w:pPr>
    </w:p>
    <w:p>
      <w:pPr>
        <w:jc w:val="both"/>
        <w:ind w:firstLine="568"/>
        <w:spacing w:after="0" w:line="22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Limited Condition Transaction</w:t>
      </w:r>
      <w:r>
        <w:rPr>
          <w:rFonts w:ascii="Arial" w:cs="Arial" w:eastAsia="Arial" w:hAnsi="Arial"/>
          <w:sz w:val="17"/>
          <w:szCs w:val="17"/>
          <w:color w:val="auto"/>
        </w:rPr>
        <w:t>” means (i) a Limited Condition Acquisition, (ii) any redemption, repurchase, defeasance, satisfaction and discharge or repayment of indebtedness for which irrevocable notice may be given in advance of such redemption, repurchase, defeasance, satisfaction and discharge or repayment and/or (iii) any Restricted Payment as to which a declaration has been made.</w:t>
      </w:r>
    </w:p>
    <w:p>
      <w:pPr>
        <w:spacing w:after="0" w:line="13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Loan Document Obligations</w:t>
      </w:r>
      <w:r>
        <w:rPr>
          <w:rFonts w:ascii="Arial" w:cs="Arial" w:eastAsia="Arial" w:hAnsi="Arial"/>
          <w:sz w:val="17"/>
          <w:szCs w:val="17"/>
          <w:color w:val="auto"/>
        </w:rPr>
        <w:t>” has the meaning assigned to such term in the Collateral Agreement.</w:t>
      </w:r>
    </w:p>
    <w:p>
      <w:pPr>
        <w:spacing w:after="0" w:line="160" w:lineRule="exact"/>
        <w:rPr>
          <w:sz w:val="20"/>
          <w:szCs w:val="20"/>
          <w:color w:val="auto"/>
        </w:rPr>
      </w:pPr>
    </w:p>
    <w:p>
      <w:pPr>
        <w:jc w:val="both"/>
        <w:ind w:firstLine="568"/>
        <w:spacing w:after="0" w:line="22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Loan Documents</w:t>
      </w:r>
      <w:r>
        <w:rPr>
          <w:rFonts w:ascii="Arial" w:cs="Arial" w:eastAsia="Arial" w:hAnsi="Arial"/>
          <w:sz w:val="17"/>
          <w:szCs w:val="17"/>
          <w:color w:val="auto"/>
        </w:rPr>
        <w:t>” means this Agreement, any Refinancing Amendment, the Guarantee Agreement, the Collateral Agreement, the other Security Documents, the First Lien Intercreditor Agreement, any Junior Lien Intercreditor Agreement, any Notes delivered pursuant to Section 2.07(e) (except for purposes of Section 9.02), the Engagement Letter and any other agreement, document or instrument to which any Loan Party is a party and which is designated as a Loan Document.</w:t>
      </w:r>
    </w:p>
    <w:p>
      <w:pPr>
        <w:spacing w:after="0" w:line="12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Loan Parties</w:t>
      </w:r>
      <w:r>
        <w:rPr>
          <w:rFonts w:ascii="Arial" w:cs="Arial" w:eastAsia="Arial" w:hAnsi="Arial"/>
          <w:sz w:val="17"/>
          <w:szCs w:val="17"/>
          <w:color w:val="auto"/>
        </w:rPr>
        <w:t>” means Holdings, any Intermediate Parent, the Borrower and the Subsidiary Loan Parties.</w:t>
      </w:r>
    </w:p>
    <w:p>
      <w:pPr>
        <w:spacing w:after="0" w:line="160" w:lineRule="exact"/>
        <w:rPr>
          <w:sz w:val="20"/>
          <w:szCs w:val="20"/>
          <w:color w:val="auto"/>
        </w:rPr>
      </w:pPr>
    </w:p>
    <w:p>
      <w:pPr>
        <w:jc w:val="both"/>
        <w:ind w:right="20" w:firstLine="568"/>
        <w:spacing w:after="0" w:line="24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Loans</w:t>
      </w:r>
      <w:r>
        <w:rPr>
          <w:rFonts w:ascii="Arial" w:cs="Arial" w:eastAsia="Arial" w:hAnsi="Arial"/>
          <w:sz w:val="17"/>
          <w:szCs w:val="17"/>
          <w:color w:val="auto"/>
        </w:rPr>
        <w:t>” means the loans made by the Lenders to the Borrower pursuant to this Agreement. Unless the context otherwise requires, the term “Loans” includes Swingline Loans.</w:t>
      </w:r>
    </w:p>
    <w:p>
      <w:pPr>
        <w:spacing w:after="0" w:line="128" w:lineRule="exact"/>
        <w:rPr>
          <w:sz w:val="20"/>
          <w:szCs w:val="20"/>
          <w:color w:val="auto"/>
        </w:rPr>
      </w:pPr>
    </w:p>
    <w:p>
      <w:pPr>
        <w:jc w:val="both"/>
        <w:ind w:firstLine="568"/>
        <w:spacing w:after="0" w:line="21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Majority in Interest</w:t>
      </w:r>
      <w:r>
        <w:rPr>
          <w:rFonts w:ascii="Arial" w:cs="Arial" w:eastAsia="Arial" w:hAnsi="Arial"/>
          <w:sz w:val="17"/>
          <w:szCs w:val="17"/>
          <w:color w:val="auto"/>
        </w:rPr>
        <w:t xml:space="preserve">” means, when used in reference to Lenders of any Class, at any time, (a) in the case of the Revolving Lenders, Lenders having Revolving Exposures and unused Revolving Commitments representing more than 50% of the sum of the aggregate Revolving Exposures and the aggregate unused Revolving Commitments at such time and (b) in the case of the Term Lenders of any Class, Lenders holding outstanding Term Loans of such Class representing more than 50% of all Term Loans of such Class outstanding at such time,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the Loans, Revolving Exposures and unused Commitments of the Borrower or any Affiliate thereof and (b) whenever there are one or more Defaulting Lenders, the total outstanding Revolving Exposures of, and the unused Revolving Commitments of, each Defaulting Lender shall in each case be excluded for purposes of making a determination of the Majority in Interest.</w:t>
      </w:r>
    </w:p>
    <w:p>
      <w:pPr>
        <w:spacing w:after="0" w:line="130" w:lineRule="exact"/>
        <w:rPr>
          <w:sz w:val="20"/>
          <w:szCs w:val="20"/>
          <w:color w:val="auto"/>
        </w:rPr>
      </w:pPr>
    </w:p>
    <w:p>
      <w:pPr>
        <w:jc w:val="both"/>
        <w:ind w:right="20" w:firstLine="568"/>
        <w:spacing w:after="0" w:line="22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Material Adverse Effect</w:t>
      </w:r>
      <w:r>
        <w:rPr>
          <w:rFonts w:ascii="Arial" w:cs="Arial" w:eastAsia="Arial" w:hAnsi="Arial"/>
          <w:sz w:val="17"/>
          <w:szCs w:val="17"/>
          <w:color w:val="auto"/>
        </w:rPr>
        <w:t>” means any event, circumstance or condition that has had, or would reasonably be expected to have, a materially adverse effect on (a) the business, financial condition or results of operations of Holdings and its Restricted Subsidiaries, taken as a whole, (b) the ability of the Borrower and the other Loan Parties, taken as a whole, to perform their payment obligations under the Loan Documents or (c) the rights and remedies of the Administrative Agent and the Lenders under the Loan Documents.</w:t>
      </w:r>
    </w:p>
    <w:p>
      <w:pPr>
        <w:spacing w:after="0" w:line="129" w:lineRule="exact"/>
        <w:rPr>
          <w:sz w:val="20"/>
          <w:szCs w:val="20"/>
          <w:color w:val="auto"/>
        </w:rPr>
      </w:pPr>
    </w:p>
    <w:p>
      <w:pPr>
        <w:jc w:val="both"/>
        <w:ind w:right="20" w:firstLine="568"/>
        <w:spacing w:after="0" w:line="25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Material Indebtedness</w:t>
      </w:r>
      <w:r>
        <w:rPr>
          <w:rFonts w:ascii="Arial" w:cs="Arial" w:eastAsia="Arial" w:hAnsi="Arial"/>
          <w:sz w:val="15"/>
          <w:szCs w:val="15"/>
          <w:color w:val="auto"/>
        </w:rPr>
        <w:t>” means Indebtedness (other than the Loan Document Obligations), or obligations in respect of one or more Swap Agreements, of any one or more of Holdings and the Restricted Subsidiaries in an aggregate principal amount exceeding $50,000,000. For purposes of determining Material Indebtedness, the “principal amount” of the obligations in respect of any Swap Agreement at any time shall be the maximum aggregate amount (giving effect to any netting agreements) that Holdings or such Restricted Subsidiary would be required to pay if such Swap Agreement were terminated at such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260"/>
          </w:cols>
          <w:pgMar w:left="320" w:top="1440" w:right="319" w:bottom="1440" w:gutter="0" w:footer="0" w:header="0"/>
        </w:sectPr>
      </w:pPr>
    </w:p>
    <w:bookmarkStart w:id="219" w:name="page220"/>
    <w:bookmarkEnd w:id="219"/>
    <w:p>
      <w:pPr>
        <w:spacing w:after="0" w:line="384" w:lineRule="exact"/>
        <w:rPr>
          <w:sz w:val="20"/>
          <w:szCs w:val="20"/>
          <w:color w:val="auto"/>
        </w:rPr>
      </w:pPr>
    </w:p>
    <w:p>
      <w:pPr>
        <w:jc w:val="both"/>
        <w:ind w:right="20" w:firstLine="568"/>
        <w:spacing w:after="0" w:line="21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Material Subsidiary</w:t>
      </w:r>
      <w:r>
        <w:rPr>
          <w:rFonts w:ascii="Arial" w:cs="Arial" w:eastAsia="Arial" w:hAnsi="Arial"/>
          <w:sz w:val="17"/>
          <w:szCs w:val="17"/>
          <w:color w:val="auto"/>
        </w:rPr>
        <w:t xml:space="preserve">” means (i) each Wholly Owned Restricted Subsidiary that, as of the last day of the fiscal quarter of Holdings most recently ended, had revenues or total assets for such quarter in excess of 5% of the consolidated revenues or total assets, as applicable, of Holdings for such quarter and (ii) any group comprising Wholly Owned Restricted Subsidiaries that each would not have been a Material Subsidiary under clause (i) but that, taken together, as of the last day of the fiscal quarter of Holdings most recently ended, had revenues or total assets for such quarter in excess of 10% of the consolidated revenues or total assets, as applicable, of Holdings for such quarter;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solely for purposes of Sections 7.01(h) and (i) each such Subsidiary forming part of such group is subject to an Event of Default under one or more of such Sections.</w:t>
      </w:r>
    </w:p>
    <w:p>
      <w:pPr>
        <w:spacing w:after="0" w:line="133"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Maximum Rate</w:t>
      </w:r>
      <w:r>
        <w:rPr>
          <w:rFonts w:ascii="Arial" w:cs="Arial" w:eastAsia="Arial" w:hAnsi="Arial"/>
          <w:sz w:val="17"/>
          <w:szCs w:val="17"/>
          <w:color w:val="auto"/>
        </w:rPr>
        <w:t>” has the meaning assigned to such term in Section 9.16.</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MFN Protections</w:t>
      </w:r>
      <w:r>
        <w:rPr>
          <w:rFonts w:ascii="Arial" w:cs="Arial" w:eastAsia="Arial" w:hAnsi="Arial"/>
          <w:sz w:val="17"/>
          <w:szCs w:val="17"/>
          <w:color w:val="auto"/>
        </w:rPr>
        <w:t>” shall have the meaning assigned to such term in Section 2.18(a)(ii).</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Moody’s</w:t>
      </w:r>
      <w:r>
        <w:rPr>
          <w:rFonts w:ascii="Arial" w:cs="Arial" w:eastAsia="Arial" w:hAnsi="Arial"/>
          <w:sz w:val="17"/>
          <w:szCs w:val="17"/>
          <w:color w:val="auto"/>
        </w:rPr>
        <w:t>” means Moody’s Investors Service, Inc. and any successor to its rating agency business.</w:t>
      </w:r>
    </w:p>
    <w:p>
      <w:pPr>
        <w:spacing w:after="0" w:line="160" w:lineRule="exact"/>
        <w:rPr>
          <w:sz w:val="20"/>
          <w:szCs w:val="20"/>
          <w:color w:val="auto"/>
        </w:rPr>
      </w:pPr>
    </w:p>
    <w:p>
      <w:pPr>
        <w:jc w:val="both"/>
        <w:ind w:firstLine="568"/>
        <w:spacing w:after="0" w:line="21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Mortgage</w:t>
      </w:r>
      <w:r>
        <w:rPr>
          <w:rFonts w:ascii="Arial" w:cs="Arial" w:eastAsia="Arial" w:hAnsi="Arial"/>
          <w:sz w:val="17"/>
          <w:szCs w:val="17"/>
          <w:color w:val="auto"/>
        </w:rPr>
        <w:t>” means a mortgage, deed of trust, assignment of leases and rents, or other security document granting a Lien on any Mortgaged Property to secure the Secured Obligations. Each Mortgage shall be in form and substance reasonably satisfactory to the Administrative Agent and the Borrower, it being agreed that, if such Mortgaged Property is located in a jurisdiction that imposes a mortgage recording or similar tax and limiting the amount secured by such security document will permit the Loan Parties to pay a lower tax than would otherwise be payable, the amount secured by such security document shall be reasonably acceptable to the Administrative Agent but in no event exceeding One Hundred Percent (100%) of the value of the applicable Mortgaged Property as reasonably determined in good faith by the Loan Parties.</w:t>
      </w:r>
    </w:p>
    <w:p>
      <w:pPr>
        <w:spacing w:after="0" w:line="133" w:lineRule="exact"/>
        <w:rPr>
          <w:sz w:val="20"/>
          <w:szCs w:val="20"/>
          <w:color w:val="auto"/>
        </w:rPr>
      </w:pPr>
    </w:p>
    <w:p>
      <w:pPr>
        <w:jc w:val="both"/>
        <w:ind w:right="20" w:firstLine="568"/>
        <w:spacing w:after="0" w:line="24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Mortgaged Property</w:t>
      </w:r>
      <w:r>
        <w:rPr>
          <w:rFonts w:ascii="Arial" w:cs="Arial" w:eastAsia="Arial" w:hAnsi="Arial"/>
          <w:sz w:val="17"/>
          <w:szCs w:val="17"/>
          <w:color w:val="auto"/>
        </w:rPr>
        <w:t>” means each parcel of real property and the improvements thereto owned in fee by a Loan Party with respect to which a Mortgage is granted pursuant to Section 5.11 or Section 5.12.</w:t>
      </w:r>
    </w:p>
    <w:p>
      <w:pPr>
        <w:spacing w:after="0" w:line="12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Multiemployer Plan</w:t>
      </w:r>
      <w:r>
        <w:rPr>
          <w:rFonts w:ascii="Arial" w:cs="Arial" w:eastAsia="Arial" w:hAnsi="Arial"/>
          <w:sz w:val="17"/>
          <w:szCs w:val="17"/>
          <w:color w:val="auto"/>
        </w:rPr>
        <w:t>” means a multiemployer plan as defined in Section 4001(a)(3) of ERISA.</w:t>
      </w:r>
    </w:p>
    <w:p>
      <w:pPr>
        <w:spacing w:after="0" w:line="160" w:lineRule="exact"/>
        <w:rPr>
          <w:sz w:val="20"/>
          <w:szCs w:val="20"/>
          <w:color w:val="auto"/>
        </w:rPr>
      </w:pPr>
    </w:p>
    <w:p>
      <w:pPr>
        <w:jc w:val="both"/>
        <w:ind w:right="20" w:firstLine="568"/>
        <w:spacing w:after="0" w:line="27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Net First Lien Leverage Ratio</w:t>
      </w:r>
      <w:r>
        <w:rPr>
          <w:rFonts w:ascii="Arial" w:cs="Arial" w:eastAsia="Arial" w:hAnsi="Arial"/>
          <w:sz w:val="16"/>
          <w:szCs w:val="16"/>
          <w:color w:val="auto"/>
        </w:rPr>
        <w:t xml:space="preserve">” means, on any date, the ratio of (a) Consolidated First Lien Net Debt as of such date to (b) Consolidated EBITDA for the Test Period most recently ended;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Net First Lien Leverage Ratio shall be determined for the relevant Test Period on a Pro Forma Basis.</w:t>
      </w:r>
    </w:p>
    <w:p>
      <w:pPr>
        <w:spacing w:after="0" w:line="105" w:lineRule="exact"/>
        <w:rPr>
          <w:sz w:val="20"/>
          <w:szCs w:val="20"/>
          <w:color w:val="auto"/>
        </w:rPr>
      </w:pPr>
    </w:p>
    <w:p>
      <w:pPr>
        <w:jc w:val="both"/>
        <w:ind w:firstLine="568"/>
        <w:spacing w:after="0" w:line="2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Net Proceeds</w:t>
      </w:r>
      <w:r>
        <w:rPr>
          <w:rFonts w:ascii="Arial" w:cs="Arial" w:eastAsia="Arial" w:hAnsi="Arial"/>
          <w:sz w:val="17"/>
          <w:szCs w:val="17"/>
          <w:color w:val="auto"/>
        </w:rPr>
        <w:t xml:space="preserve">” means, with respect to any event, (a) the proceeds received in respect of such event in cash or Permitted Investments, including (i) any cash or Permitted Investments received in respect of any non-cash proceeds (including any cash payments received by way of deferred payment of principal pursuant to a note or installment receivable or purchase price adjustment or earn-out, but excluding any interest payments), but only as and when received, (ii) in the case of a casualty, insurance proceeds, and (iii) in the case of a condemnation or similar event, condemnation awards and similar payments, </w:t>
      </w:r>
      <w:r>
        <w:rPr>
          <w:rFonts w:ascii="Arial" w:cs="Arial" w:eastAsia="Arial" w:hAnsi="Arial"/>
          <w:sz w:val="17"/>
          <w:szCs w:val="17"/>
          <w:i w:val="1"/>
          <w:iCs w:val="1"/>
          <w:color w:val="auto"/>
        </w:rPr>
        <w:t>minus</w:t>
      </w:r>
      <w:r>
        <w:rPr>
          <w:rFonts w:ascii="Arial" w:cs="Arial" w:eastAsia="Arial" w:hAnsi="Arial"/>
          <w:sz w:val="17"/>
          <w:szCs w:val="17"/>
          <w:color w:val="auto"/>
        </w:rPr>
        <w:t xml:space="preserve"> (b) the sum of (i) all fees and out-of-pocket expenses paid by Holdings, any Intermediate Parent, the Borrower and its Restricted Subsidiaries in connection with such event (including attorney’s fees, investment banking fees, survey costs, title insurance premiums, and related search and recording charges, transfer taxes, deed or mortgage recording taxes, underwriting discounts and commissions, other customary expenses and brokerage, consultant, accountant and other customary fees),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260"/>
          </w:cols>
          <w:pgMar w:left="320" w:top="1440" w:right="319" w:bottom="1440" w:gutter="0" w:footer="0" w:header="0"/>
        </w:sectPr>
      </w:pPr>
    </w:p>
    <w:bookmarkStart w:id="220" w:name="page221"/>
    <w:bookmarkEnd w:id="220"/>
    <w:p>
      <w:pPr>
        <w:spacing w:after="0" w:line="390" w:lineRule="exact"/>
        <w:rPr>
          <w:sz w:val="20"/>
          <w:szCs w:val="20"/>
          <w:color w:val="auto"/>
        </w:rPr>
      </w:pPr>
    </w:p>
    <w:p>
      <w:pPr>
        <w:jc w:val="both"/>
        <w:ind w:left="5"/>
        <w:spacing w:after="0" w:line="221" w:lineRule="auto"/>
        <w:rPr>
          <w:sz w:val="20"/>
          <w:szCs w:val="20"/>
          <w:color w:val="auto"/>
        </w:rPr>
      </w:pPr>
      <w:r>
        <w:rPr>
          <w:rFonts w:ascii="Arial" w:cs="Arial" w:eastAsia="Arial" w:hAnsi="Arial"/>
          <w:sz w:val="16"/>
          <w:szCs w:val="16"/>
          <w:color w:val="auto"/>
        </w:rPr>
        <w:t xml:space="preserve">in the case of a sale, transfer or other disposition of an asset (including pursuant to a sale and leaseback transaction or a casualty or a condemnation or similar proceeding), (x) the amount of all payments that are permitted hereunder and are made by Holdings, any Intermediate Parent, the Borrower and its Restricted Subsidiaries as a result of such event to repay Indebtedness (other than the Loans, any Permitted First Priority Refinancing Debt, any Permitted Junior Lien Refinancing Debt, any secured Indebtedness incurred pursuant to Section 6.01(a)(viii) or Section 6.01(a)(ix) or any secured Incremental Equivalent Debt issued pursuant to Section 6.01(a)(xxii)) secured by such asset or otherwise subject to mandatory prepayment as a result of such event, (y) the pro rata portion of net cash proceeds thereof (calculated without regard to this clause (y)) attributable to minority interests and not available for distribution to or for the account of Holdings, any Intermediate Parent, the Borrower its Restricted Subsidiaries as a result thereof and (z) the amount of any liabilities directly associated with such asset and retained by the Borrower or any Restricted Subsidiary and (iii) the amount of all taxes paid (or reasonably estimated to be payable) including by the Borrower or Holdings, and the amount of any Permitted Tax Distributions related thereto, and the amount of any reserves established by Holdings, any Intermediate Parent, the Borrower and its Restricted Subsidiaries to fund contingent liabilities reasonably estimated to be payable, that are directly attributable to such event,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(x) if the amount of any such estimated taxes exceeds the amount of taxes actually required to be paid in cash in respect of such event, the aggregate amount of such excess shall constitute Net Proceeds at the time such taxes are actually paid and (y) any reduction at any time in the amount of any such reserves (other than as a result of payments made in respect thereof) shall be deemed to constitute the receipt by the Borrower at such time of Net Proceeds in the amount of such reduction.</w:t>
      </w:r>
    </w:p>
    <w:p>
      <w:pPr>
        <w:spacing w:after="0" w:line="132" w:lineRule="exact"/>
        <w:rPr>
          <w:sz w:val="20"/>
          <w:szCs w:val="20"/>
          <w:color w:val="auto"/>
        </w:rPr>
      </w:pPr>
    </w:p>
    <w:p>
      <w:pPr>
        <w:jc w:val="both"/>
        <w:ind w:left="5" w:right="20" w:firstLine="568"/>
        <w:spacing w:after="0" w:line="22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Net Secured Leverage Ratio</w:t>
      </w:r>
      <w:r>
        <w:rPr>
          <w:rFonts w:ascii="Arial" w:cs="Arial" w:eastAsia="Arial" w:hAnsi="Arial"/>
          <w:sz w:val="17"/>
          <w:szCs w:val="17"/>
          <w:color w:val="auto"/>
        </w:rPr>
        <w:t xml:space="preserve">” means, on any date, the ratio of (a) Consolidated Total Net Debt that is then secured, in whole or part, by Liens on the Collateral as of such date to (b) Consolidated EBITDA for the Test Period most recently ended;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Net Secured Leverage Ratio shall be determined for the relevant Test Period on a Pro Forma Basis;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Net Secured Leverage Ratio shall be determined for the relevant Test Period on a Pro Forma Basis.</w:t>
      </w:r>
    </w:p>
    <w:p>
      <w:pPr>
        <w:spacing w:after="0" w:line="129" w:lineRule="exact"/>
        <w:rPr>
          <w:sz w:val="20"/>
          <w:szCs w:val="20"/>
          <w:color w:val="auto"/>
        </w:rPr>
      </w:pPr>
    </w:p>
    <w:p>
      <w:pPr>
        <w:ind w:left="56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Net Short Lender</w:t>
      </w:r>
      <w:r>
        <w:rPr>
          <w:rFonts w:ascii="Arial" w:cs="Arial" w:eastAsia="Arial" w:hAnsi="Arial"/>
          <w:sz w:val="17"/>
          <w:szCs w:val="17"/>
          <w:color w:val="auto"/>
        </w:rPr>
        <w:t>” has the meaning assigned to such term in Section 9.02(e).</w:t>
      </w:r>
    </w:p>
    <w:p>
      <w:pPr>
        <w:spacing w:after="0" w:line="160" w:lineRule="exact"/>
        <w:rPr>
          <w:sz w:val="20"/>
          <w:szCs w:val="20"/>
          <w:color w:val="auto"/>
        </w:rPr>
      </w:pPr>
    </w:p>
    <w:p>
      <w:pPr>
        <w:jc w:val="both"/>
        <w:ind w:left="5" w:firstLine="568"/>
        <w:spacing w:after="0" w:line="22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Net Total Leverage Ratio</w:t>
      </w:r>
      <w:r>
        <w:rPr>
          <w:rFonts w:ascii="Arial" w:cs="Arial" w:eastAsia="Arial" w:hAnsi="Arial"/>
          <w:sz w:val="17"/>
          <w:szCs w:val="17"/>
          <w:color w:val="auto"/>
        </w:rPr>
        <w:t xml:space="preserve">” means, on any date, the ratio of (a) Consolidated Total Net Debt as of such date to (b) Consolidated EBITDA for the Test Period most recently ended;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Net Secured Leverage Ratio shall be determined for the relevant Test Period on a Pro Forma Basis;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Net Total Leverage Ratio shall be determined for the relevant Test Period on a Pro Forma Basis.</w:t>
      </w:r>
    </w:p>
    <w:p>
      <w:pPr>
        <w:spacing w:after="0" w:line="130" w:lineRule="exact"/>
        <w:rPr>
          <w:sz w:val="20"/>
          <w:szCs w:val="20"/>
          <w:color w:val="auto"/>
        </w:rPr>
      </w:pPr>
    </w:p>
    <w:p>
      <w:pPr>
        <w:jc w:val="both"/>
        <w:ind w:left="5" w:right="20" w:firstLine="568"/>
        <w:spacing w:after="0" w:line="22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New Project</w:t>
      </w:r>
      <w:r>
        <w:rPr>
          <w:rFonts w:ascii="Arial" w:cs="Arial" w:eastAsia="Arial" w:hAnsi="Arial"/>
          <w:sz w:val="16"/>
          <w:szCs w:val="16"/>
          <w:color w:val="auto"/>
        </w:rPr>
        <w:t>” means (a) each facility, branch or office which is either a new facility, branch or office or an expansion, relocation, remodeling or substantial modernization of an existing facility, branch or office owned by the Borrower or its Restricted Subsidiaries which in fact commences operations and</w:t>
      </w:r>
    </w:p>
    <w:p>
      <w:pPr>
        <w:ind w:left="5" w:right="20" w:hanging="5"/>
        <w:spacing w:after="0" w:line="228" w:lineRule="auto"/>
        <w:tabs>
          <w:tab w:leader="none" w:pos="253" w:val="left"/>
        </w:tabs>
        <w:numPr>
          <w:ilvl w:val="0"/>
          <w:numId w:val="97"/>
        </w:numPr>
        <w:rPr>
          <w:rFonts w:ascii="Arial" w:cs="Arial" w:eastAsia="Arial" w:hAnsi="Arial"/>
          <w:sz w:val="17"/>
          <w:szCs w:val="17"/>
          <w:color w:val="auto"/>
        </w:rPr>
      </w:pPr>
      <w:r>
        <w:rPr>
          <w:rFonts w:ascii="Arial" w:cs="Arial" w:eastAsia="Arial" w:hAnsi="Arial"/>
          <w:sz w:val="17"/>
          <w:szCs w:val="17"/>
          <w:color w:val="auto"/>
        </w:rPr>
        <w:t>each creation (in one or a series of related transactions) of a business unit to the extent such business unit commences operations or each expansion (in one or a series of related transactions) of business into a new market.</w:t>
      </w:r>
    </w:p>
    <w:p>
      <w:pPr>
        <w:spacing w:after="0" w:line="130" w:lineRule="exact"/>
        <w:rPr>
          <w:sz w:val="20"/>
          <w:szCs w:val="20"/>
          <w:color w:val="auto"/>
        </w:rPr>
      </w:pPr>
    </w:p>
    <w:p>
      <w:pPr>
        <w:jc w:val="both"/>
        <w:ind w:left="5" w:firstLine="568"/>
        <w:spacing w:after="0" w:line="23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Non-Cash Charges</w:t>
      </w:r>
      <w:r>
        <w:rPr>
          <w:rFonts w:ascii="Arial" w:cs="Arial" w:eastAsia="Arial" w:hAnsi="Arial"/>
          <w:sz w:val="16"/>
          <w:szCs w:val="16"/>
          <w:color w:val="auto"/>
        </w:rPr>
        <w:t>” means (a) any non-cash impairment charge or asset write-off or write-down related to intangible assets (including goodwill), long-lived assets, and Investments in debt and equity securities pursuant to GAAP, (b) all non-cash losses from Investments recorded using the equity method, (c) all Non-Cash Compensation Expenses, (d) the non-cash impact of acquisition method accounting, and (e) other non-cash charges (</w:t>
      </w:r>
      <w:r>
        <w:rPr>
          <w:rFonts w:ascii="Arial" w:cs="Arial" w:eastAsia="Arial" w:hAnsi="Arial"/>
          <w:sz w:val="16"/>
          <w:szCs w:val="16"/>
          <w:i w:val="1"/>
          <w:iCs w:val="1"/>
          <w:color w:val="auto"/>
        </w:rPr>
        <w:t>provided</w:t>
      </w:r>
      <w:r>
        <w:rPr>
          <w:rFonts w:ascii="Arial" w:cs="Arial" w:eastAsia="Arial" w:hAnsi="Arial"/>
          <w:sz w:val="16"/>
          <w:szCs w:val="16"/>
          <w:color w:val="auto"/>
        </w:rPr>
        <w:t>, in each case, that if any non-cash charges represent an accrual or reserve for potential cash items in any future period, the cash payment in respect thereof in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4"/>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1265"/>
          </w:cols>
          <w:pgMar w:left="315" w:top="1440" w:right="319" w:bottom="1440" w:gutter="0" w:footer="0" w:header="0"/>
        </w:sectPr>
      </w:pPr>
    </w:p>
    <w:bookmarkStart w:id="221" w:name="page222"/>
    <w:bookmarkEnd w:id="221"/>
    <w:p>
      <w:pPr>
        <w:spacing w:after="0" w:line="390" w:lineRule="exact"/>
        <w:rPr>
          <w:sz w:val="20"/>
          <w:szCs w:val="20"/>
          <w:color w:val="auto"/>
        </w:rPr>
      </w:pPr>
    </w:p>
    <w:p>
      <w:pPr>
        <w:spacing w:after="0"/>
        <w:rPr>
          <w:sz w:val="20"/>
          <w:szCs w:val="20"/>
          <w:color w:val="auto"/>
        </w:rPr>
      </w:pPr>
      <w:r>
        <w:rPr>
          <w:rFonts w:ascii="Arial" w:cs="Arial" w:eastAsia="Arial" w:hAnsi="Arial"/>
          <w:sz w:val="16"/>
          <w:szCs w:val="16"/>
          <w:color w:val="auto"/>
        </w:rPr>
        <w:t>future period shall be subtracted from Consolidated EBITDA to such extent, and excluding amortization of a prepaid cash item that was paid in a prior period).</w:t>
      </w:r>
    </w:p>
    <w:p>
      <w:pPr>
        <w:spacing w:after="0" w:line="165" w:lineRule="exact"/>
        <w:rPr>
          <w:sz w:val="20"/>
          <w:szCs w:val="20"/>
          <w:color w:val="auto"/>
        </w:rPr>
      </w:pPr>
    </w:p>
    <w:p>
      <w:pPr>
        <w:jc w:val="both"/>
        <w:ind w:right="20" w:firstLine="568"/>
        <w:spacing w:after="0" w:line="24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Non-Cash Compensation Expense</w:t>
      </w:r>
      <w:r>
        <w:rPr>
          <w:rFonts w:ascii="Arial" w:cs="Arial" w:eastAsia="Arial" w:hAnsi="Arial"/>
          <w:sz w:val="17"/>
          <w:szCs w:val="17"/>
          <w:color w:val="auto"/>
        </w:rPr>
        <w:t>” means any non-cash expenses and costs that result from the issuance of stock-based awards, partnership interest-based awards and similar incentive based compensation awards or arrangements.</w:t>
      </w:r>
    </w:p>
    <w:p>
      <w:pPr>
        <w:spacing w:after="0" w:line="12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Non-Consenting Lender</w:t>
      </w:r>
      <w:r>
        <w:rPr>
          <w:rFonts w:ascii="Arial" w:cs="Arial" w:eastAsia="Arial" w:hAnsi="Arial"/>
          <w:sz w:val="17"/>
          <w:szCs w:val="17"/>
          <w:color w:val="auto"/>
        </w:rPr>
        <w:t>” has the meaning assigned to such term in Section 9.02(c).</w:t>
      </w:r>
    </w:p>
    <w:p>
      <w:pPr>
        <w:spacing w:after="0" w:line="160" w:lineRule="exact"/>
        <w:rPr>
          <w:sz w:val="20"/>
          <w:szCs w:val="20"/>
          <w:color w:val="auto"/>
        </w:rPr>
      </w:pPr>
    </w:p>
    <w:p>
      <w:pPr>
        <w:jc w:val="both"/>
        <w:ind w:right="20" w:firstLine="568"/>
        <w:spacing w:after="0" w:line="24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Non-Loan Party Investment Amount</w:t>
      </w:r>
      <w:r>
        <w:rPr>
          <w:rFonts w:ascii="Arial" w:cs="Arial" w:eastAsia="Arial" w:hAnsi="Arial"/>
          <w:sz w:val="17"/>
          <w:szCs w:val="17"/>
          <w:color w:val="auto"/>
        </w:rPr>
        <w:t>” means, at any time, the greater of $300,000,000 and 40% of Consolidated EBITDA calculated on a Pro Forma Basis for the most recently ended Test Period for which financial statements are available.</w:t>
      </w:r>
    </w:p>
    <w:p>
      <w:pPr>
        <w:spacing w:after="0" w:line="12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Non-Wholly Owned Subsidiary</w:t>
      </w:r>
      <w:r>
        <w:rPr>
          <w:rFonts w:ascii="Arial" w:cs="Arial" w:eastAsia="Arial" w:hAnsi="Arial"/>
          <w:sz w:val="17"/>
          <w:szCs w:val="17"/>
          <w:color w:val="auto"/>
        </w:rPr>
        <w:t>” of any Person means any Subsidiary of such Person other than a Wholly Owned Subsidiary.</w:t>
      </w:r>
    </w:p>
    <w:p>
      <w:pPr>
        <w:spacing w:after="0" w:line="160" w:lineRule="exact"/>
        <w:rPr>
          <w:sz w:val="20"/>
          <w:szCs w:val="20"/>
          <w:color w:val="auto"/>
        </w:rPr>
      </w:pPr>
    </w:p>
    <w:p>
      <w:pPr>
        <w:jc w:val="both"/>
        <w:ind w:firstLine="568"/>
        <w:spacing w:after="0" w:line="24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Note</w:t>
      </w:r>
      <w:r>
        <w:rPr>
          <w:rFonts w:ascii="Arial" w:cs="Arial" w:eastAsia="Arial" w:hAnsi="Arial"/>
          <w:sz w:val="17"/>
          <w:szCs w:val="17"/>
          <w:color w:val="auto"/>
        </w:rPr>
        <w:t>” means a promissory note of the Borrower, in substantially the form of Exhibit E, payable to a Lender in a principal amount equal to the principal amount of the Revolving Commitment or Term Loans, as applicable, of such Lender.</w:t>
      </w:r>
    </w:p>
    <w:p>
      <w:pPr>
        <w:spacing w:after="0" w:line="12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NYFRB</w:t>
      </w:r>
      <w:r>
        <w:rPr>
          <w:rFonts w:ascii="Arial" w:cs="Arial" w:eastAsia="Arial" w:hAnsi="Arial"/>
          <w:sz w:val="17"/>
          <w:szCs w:val="17"/>
          <w:color w:val="auto"/>
        </w:rPr>
        <w:t>” means the Federal Reserve Bank of New York.</w:t>
      </w:r>
    </w:p>
    <w:p>
      <w:pPr>
        <w:spacing w:after="0" w:line="160" w:lineRule="exact"/>
        <w:rPr>
          <w:sz w:val="20"/>
          <w:szCs w:val="20"/>
          <w:color w:val="auto"/>
        </w:rPr>
      </w:pPr>
    </w:p>
    <w:p>
      <w:pPr>
        <w:jc w:val="both"/>
        <w:ind w:firstLine="568"/>
        <w:spacing w:after="0" w:line="21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NYFRB Rate</w:t>
      </w:r>
      <w:r>
        <w:rPr>
          <w:rFonts w:ascii="Arial" w:cs="Arial" w:eastAsia="Arial" w:hAnsi="Arial"/>
          <w:sz w:val="17"/>
          <w:szCs w:val="17"/>
          <w:color w:val="auto"/>
        </w:rPr>
        <w:t xml:space="preserve">” means, for any day, the greater of (a) the Federal Funds Effective Rate in effect on such day and (b) the Overnight Bank Funding Rate in effect on such date (or for any day that is not a Business Day, for the immediately preceding Business Day);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none of such rates for published for any day that is a Business Day, the term “NYFRB Rate” means the rate for a federal funds transaction quoted at 11:00 a.m. on such day received by the Administrative Agent from a Federal funds broker of recognized standing selected by it;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if any of the aforesaid rates shall be less than zero, such rate shall be deemed to be zero for purposes of this Agreement.</w:t>
      </w:r>
    </w:p>
    <w:p>
      <w:pPr>
        <w:spacing w:after="0" w:line="13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NYFRB’s Website</w:t>
      </w:r>
      <w:r>
        <w:rPr>
          <w:rFonts w:ascii="Arial" w:cs="Arial" w:eastAsia="Arial" w:hAnsi="Arial"/>
          <w:sz w:val="17"/>
          <w:szCs w:val="17"/>
          <w:color w:val="auto"/>
        </w:rPr>
        <w:t>” means the website of the NYFRB at http://www.newyorkfed.org, or any successor source.</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OFAC</w:t>
      </w:r>
      <w:r>
        <w:rPr>
          <w:rFonts w:ascii="Arial" w:cs="Arial" w:eastAsia="Arial" w:hAnsi="Arial"/>
          <w:sz w:val="17"/>
          <w:szCs w:val="17"/>
          <w:color w:val="auto"/>
        </w:rPr>
        <w:t>” has the meaning assigned to such term in Section 3.19(c).</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Offered Amount</w:t>
      </w:r>
      <w:r>
        <w:rPr>
          <w:rFonts w:ascii="Arial" w:cs="Arial" w:eastAsia="Arial" w:hAnsi="Arial"/>
          <w:sz w:val="17"/>
          <w:szCs w:val="17"/>
          <w:color w:val="auto"/>
        </w:rPr>
        <w:t>” has the meaning assigned to such term in Section 2.09(a)(ii)(D)(1).</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Offered Discount</w:t>
      </w:r>
      <w:r>
        <w:rPr>
          <w:rFonts w:ascii="Arial" w:cs="Arial" w:eastAsia="Arial" w:hAnsi="Arial"/>
          <w:sz w:val="17"/>
          <w:szCs w:val="17"/>
          <w:color w:val="auto"/>
        </w:rPr>
        <w:t>” has the meaning assigned to such term in Section 2.09(a)(ii)(D)(1).</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OID</w:t>
      </w:r>
      <w:r>
        <w:rPr>
          <w:rFonts w:ascii="Arial" w:cs="Arial" w:eastAsia="Arial" w:hAnsi="Arial"/>
          <w:sz w:val="17"/>
          <w:szCs w:val="17"/>
          <w:color w:val="auto"/>
        </w:rPr>
        <w:t>” has the meaning assigned to such term in Section 2.18(a)(ii).</w:t>
      </w:r>
    </w:p>
    <w:p>
      <w:pPr>
        <w:spacing w:after="0" w:line="160" w:lineRule="exact"/>
        <w:rPr>
          <w:sz w:val="20"/>
          <w:szCs w:val="20"/>
          <w:color w:val="auto"/>
        </w:rPr>
      </w:pPr>
    </w:p>
    <w:p>
      <w:pPr>
        <w:jc w:val="both"/>
        <w:ind w:right="20" w:firstLine="568"/>
        <w:spacing w:after="0" w:line="24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Organizational Documents</w:t>
      </w:r>
      <w:r>
        <w:rPr>
          <w:rFonts w:ascii="Arial" w:cs="Arial" w:eastAsia="Arial" w:hAnsi="Arial"/>
          <w:sz w:val="17"/>
          <w:szCs w:val="17"/>
          <w:color w:val="auto"/>
        </w:rPr>
        <w:t>” means, with respect to any Person, the charter, articles or certificate of organization or incorporation and bylaws or other organizational or governing documents of such Person.</w:t>
      </w:r>
    </w:p>
    <w:p>
      <w:pPr>
        <w:spacing w:after="0" w:line="12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Other First Lien Debt</w:t>
      </w:r>
      <w:r>
        <w:rPr>
          <w:rFonts w:ascii="Arial" w:cs="Arial" w:eastAsia="Arial" w:hAnsi="Arial"/>
          <w:sz w:val="17"/>
          <w:szCs w:val="17"/>
          <w:color w:val="auto"/>
        </w:rPr>
        <w:t>” shall mean obligations secured by Other First Liens.</w:t>
      </w:r>
    </w:p>
    <w:p>
      <w:pPr>
        <w:spacing w:after="0" w:line="136" w:lineRule="exact"/>
        <w:rPr>
          <w:sz w:val="20"/>
          <w:szCs w:val="20"/>
          <w:color w:val="auto"/>
        </w:rPr>
      </w:pPr>
    </w:p>
    <w:p>
      <w:pPr>
        <w:jc w:val="both"/>
        <w:ind w:right="20" w:firstLine="568"/>
        <w:spacing w:after="0" w:line="24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Other First Liens</w:t>
      </w:r>
      <w:r>
        <w:rPr>
          <w:rFonts w:ascii="Arial" w:cs="Arial" w:eastAsia="Arial" w:hAnsi="Arial"/>
          <w:sz w:val="17"/>
          <w:szCs w:val="17"/>
          <w:color w:val="auto"/>
        </w:rPr>
        <w:t xml:space="preserve">” shall mean Liens on the Collateral that rank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the Liens thereon securing the Initial Term Loans (and other Loan Document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1260"/>
          </w:cols>
          <w:pgMar w:left="320" w:top="1440" w:right="319" w:bottom="1440" w:gutter="0" w:footer="0" w:header="0"/>
        </w:sectPr>
      </w:pPr>
    </w:p>
    <w:bookmarkStart w:id="222" w:name="page223"/>
    <w:bookmarkEnd w:id="222"/>
    <w:p>
      <w:pPr>
        <w:spacing w:after="0" w:line="390" w:lineRule="exact"/>
        <w:rPr>
          <w:sz w:val="20"/>
          <w:szCs w:val="20"/>
          <w:color w:val="auto"/>
        </w:rPr>
      </w:pPr>
    </w:p>
    <w:p>
      <w:pPr>
        <w:jc w:val="both"/>
        <w:ind w:right="20"/>
        <w:spacing w:after="0" w:line="237" w:lineRule="auto"/>
        <w:rPr>
          <w:sz w:val="20"/>
          <w:szCs w:val="20"/>
          <w:color w:val="auto"/>
        </w:rPr>
      </w:pPr>
      <w:r>
        <w:rPr>
          <w:rFonts w:ascii="Arial" w:cs="Arial" w:eastAsia="Arial" w:hAnsi="Arial"/>
          <w:sz w:val="17"/>
          <w:szCs w:val="17"/>
          <w:color w:val="auto"/>
        </w:rPr>
        <w:t xml:space="preserve">that are secured by Liens on the Collateral that rank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the Liens thereon securing the Initial Term Loans) pursuant to the First Lien Intercreditor Agreement.</w:t>
      </w:r>
    </w:p>
    <w:p>
      <w:pPr>
        <w:spacing w:after="0" w:line="105" w:lineRule="exact"/>
        <w:rPr>
          <w:sz w:val="20"/>
          <w:szCs w:val="20"/>
          <w:color w:val="auto"/>
        </w:rPr>
      </w:pPr>
    </w:p>
    <w:p>
      <w:pPr>
        <w:jc w:val="both"/>
        <w:ind w:right="20" w:firstLine="568"/>
        <w:spacing w:after="0" w:line="24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Other Revolving Commitments</w:t>
      </w:r>
      <w:r>
        <w:rPr>
          <w:rFonts w:ascii="Arial" w:cs="Arial" w:eastAsia="Arial" w:hAnsi="Arial"/>
          <w:sz w:val="17"/>
          <w:szCs w:val="17"/>
          <w:color w:val="auto"/>
        </w:rPr>
        <w:t>” means one or more Classes of revolving credit commitments hereunder or extended Revolving Commitments that result from a Refinancing Amendment.</w:t>
      </w:r>
    </w:p>
    <w:p>
      <w:pPr>
        <w:spacing w:after="0" w:line="12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Other Revolving Loans</w:t>
      </w:r>
      <w:r>
        <w:rPr>
          <w:rFonts w:ascii="Arial" w:cs="Arial" w:eastAsia="Arial" w:hAnsi="Arial"/>
          <w:sz w:val="17"/>
          <w:szCs w:val="17"/>
          <w:color w:val="auto"/>
        </w:rPr>
        <w:t>” means the Revolving Loans made pursuant to any Other Revolving Commitment.</w:t>
      </w:r>
    </w:p>
    <w:p>
      <w:pPr>
        <w:spacing w:after="0" w:line="160" w:lineRule="exact"/>
        <w:rPr>
          <w:sz w:val="20"/>
          <w:szCs w:val="20"/>
          <w:color w:val="auto"/>
        </w:rPr>
      </w:pPr>
    </w:p>
    <w:p>
      <w:pPr>
        <w:jc w:val="both"/>
        <w:ind w:firstLine="568"/>
        <w:spacing w:after="0" w:line="22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Other Taxes</w:t>
      </w:r>
      <w:r>
        <w:rPr>
          <w:rFonts w:ascii="Arial" w:cs="Arial" w:eastAsia="Arial" w:hAnsi="Arial"/>
          <w:sz w:val="17"/>
          <w:szCs w:val="17"/>
          <w:color w:val="auto"/>
        </w:rPr>
        <w:t>” means any and all present or future recording, stamp, documentary, excise, transfer, sales, property, filing or similar Taxes, charges or levies arising from any payment made under any Loan Document or from the execution, delivery, performance, registration or enforcement of, from the receipt or perfection of a security interest under, or otherwise with respect to, any Loan Document.</w:t>
      </w:r>
    </w:p>
    <w:p>
      <w:pPr>
        <w:spacing w:after="0" w:line="13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Other Term Commitments</w:t>
      </w:r>
      <w:r>
        <w:rPr>
          <w:rFonts w:ascii="Arial" w:cs="Arial" w:eastAsia="Arial" w:hAnsi="Arial"/>
          <w:sz w:val="17"/>
          <w:szCs w:val="17"/>
          <w:color w:val="auto"/>
        </w:rPr>
        <w:t>” means one or more Classes of term loan commitments hereunder that result from a Refinancing Amendment.</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Other Term Loans</w:t>
      </w:r>
      <w:r>
        <w:rPr>
          <w:rFonts w:ascii="Arial" w:cs="Arial" w:eastAsia="Arial" w:hAnsi="Arial"/>
          <w:sz w:val="17"/>
          <w:szCs w:val="17"/>
          <w:color w:val="auto"/>
        </w:rPr>
        <w:t>” means one or more Classes of Term Loans that result from a Refinancing Amendment.</w:t>
      </w:r>
    </w:p>
    <w:p>
      <w:pPr>
        <w:spacing w:after="0" w:line="160" w:lineRule="exact"/>
        <w:rPr>
          <w:sz w:val="20"/>
          <w:szCs w:val="20"/>
          <w:color w:val="auto"/>
        </w:rPr>
      </w:pPr>
    </w:p>
    <w:p>
      <w:pPr>
        <w:jc w:val="both"/>
        <w:ind w:firstLine="568"/>
        <w:spacing w:after="0" w:line="24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Overnight Bank Funding Rate</w:t>
      </w:r>
      <w:r>
        <w:rPr>
          <w:rFonts w:ascii="Arial" w:cs="Arial" w:eastAsia="Arial" w:hAnsi="Arial"/>
          <w:sz w:val="16"/>
          <w:szCs w:val="16"/>
          <w:color w:val="auto"/>
        </w:rPr>
        <w:t>” means, for any day, the rate comprised of both overnight federal funds and overnight eurodollar transactions denominated in dollars by U.S.-managed banking offices of depository institutions, as such composite rate shall be determined by the NYFRB as set forth on the NYFRB’s Website from time to time, and published on the next succeeding Business Day by the NYFRB as an overnight bank funding rate.</w:t>
      </w:r>
    </w:p>
    <w:p>
      <w:pPr>
        <w:spacing w:after="0" w:line="1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Participant</w:t>
      </w:r>
      <w:r>
        <w:rPr>
          <w:rFonts w:ascii="Arial" w:cs="Arial" w:eastAsia="Arial" w:hAnsi="Arial"/>
          <w:sz w:val="17"/>
          <w:szCs w:val="17"/>
          <w:color w:val="auto"/>
        </w:rPr>
        <w:t>” has the meaning assigned to such term in Section 9.04(c)(i).</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Participant Register</w:t>
      </w:r>
      <w:r>
        <w:rPr>
          <w:rFonts w:ascii="Arial" w:cs="Arial" w:eastAsia="Arial" w:hAnsi="Arial"/>
          <w:sz w:val="17"/>
          <w:szCs w:val="17"/>
          <w:color w:val="auto"/>
        </w:rPr>
        <w:t>” has the meaning assigned to such term in Section 9.04(c)(ii).</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Participating Lender</w:t>
      </w:r>
      <w:r>
        <w:rPr>
          <w:rFonts w:ascii="Arial" w:cs="Arial" w:eastAsia="Arial" w:hAnsi="Arial"/>
          <w:sz w:val="17"/>
          <w:szCs w:val="17"/>
          <w:color w:val="auto"/>
        </w:rPr>
        <w:t>” has the meaning assigned to such term in Section 2.09(a)(ii)(C)(2).</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Payment</w:t>
      </w:r>
      <w:r>
        <w:rPr>
          <w:rFonts w:ascii="Arial" w:cs="Arial" w:eastAsia="Arial" w:hAnsi="Arial"/>
          <w:sz w:val="17"/>
          <w:szCs w:val="17"/>
          <w:color w:val="auto"/>
        </w:rPr>
        <w:t>” has the meaning assigned to such term in Section 8.01.</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Payment Notice</w:t>
      </w:r>
      <w:r>
        <w:rPr>
          <w:rFonts w:ascii="Arial" w:cs="Arial" w:eastAsia="Arial" w:hAnsi="Arial"/>
          <w:sz w:val="17"/>
          <w:szCs w:val="17"/>
          <w:color w:val="auto"/>
        </w:rPr>
        <w:t>” has the meaning assigned to such term in Section 8.01.</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PBGC</w:t>
      </w:r>
      <w:r>
        <w:rPr>
          <w:rFonts w:ascii="Arial" w:cs="Arial" w:eastAsia="Arial" w:hAnsi="Arial"/>
          <w:sz w:val="16"/>
          <w:szCs w:val="16"/>
          <w:color w:val="auto"/>
        </w:rPr>
        <w:t>” means the Pension Benefit Guaranty Corporation referred to and defined in ERISA and any successor entity performing similar functions.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Perfection Certificate</w:t>
      </w:r>
      <w:r>
        <w:rPr>
          <w:rFonts w:ascii="Arial" w:cs="Arial" w:eastAsia="Arial" w:hAnsi="Arial"/>
          <w:sz w:val="17"/>
          <w:szCs w:val="17"/>
          <w:color w:val="auto"/>
        </w:rPr>
        <w:t>” means a certificate substantially in the form of Exhibit C.</w:t>
      </w:r>
    </w:p>
    <w:p>
      <w:pPr>
        <w:spacing w:after="0" w:line="160" w:lineRule="exact"/>
        <w:rPr>
          <w:sz w:val="20"/>
          <w:szCs w:val="20"/>
          <w:color w:val="auto"/>
        </w:rPr>
      </w:pPr>
    </w:p>
    <w:p>
      <w:pPr>
        <w:jc w:val="both"/>
        <w:ind w:firstLine="568"/>
        <w:spacing w:after="0" w:line="21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Acquisition</w:t>
      </w:r>
      <w:r>
        <w:rPr>
          <w:rFonts w:ascii="Arial" w:cs="Arial" w:eastAsia="Arial" w:hAnsi="Arial"/>
          <w:sz w:val="17"/>
          <w:szCs w:val="17"/>
          <w:color w:val="auto"/>
        </w:rPr>
        <w:t xml:space="preserve">” means the purchase or other acquisition, by merger or otherwise, by Holdings or any Restricted Subsidiary of Equity Interests in, or all or substantially all the assets of (or all or substantially all the assets constituting a business unit, division, product line or line of business of), any Person;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(a) in the case of any purchase or other acquisition of Equity Interests in a Person, such Person, upon the consummation of such acquisition, will be</w:t>
      </w:r>
      <w:r>
        <w:rPr>
          <w:rFonts w:ascii="Arial" w:cs="Arial" w:eastAsia="Arial" w:hAnsi="Arial"/>
          <w:sz w:val="17"/>
          <w:szCs w:val="17"/>
          <w:i w:val="1"/>
          <w:iCs w:val="1"/>
          <w:color w:val="auto"/>
        </w:rPr>
        <w:t xml:space="preserve"> </w:t>
      </w:r>
      <w:r>
        <w:rPr>
          <w:rFonts w:ascii="Arial" w:cs="Arial" w:eastAsia="Arial" w:hAnsi="Arial"/>
          <w:sz w:val="17"/>
          <w:szCs w:val="17"/>
          <w:color w:val="auto"/>
        </w:rPr>
        <w:t>a Restricted Subsidiary (including as a result of a merger or consolidation between any Restricted Subsidiary and such Person), (b) all transactions related thereto are consummated in accordance with all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1260"/>
          </w:cols>
          <w:pgMar w:left="320" w:top="1440" w:right="319" w:bottom="1440" w:gutter="0" w:footer="0" w:header="0"/>
        </w:sectPr>
      </w:pPr>
    </w:p>
    <w:bookmarkStart w:id="223" w:name="page224"/>
    <w:bookmarkEnd w:id="223"/>
    <w:p>
      <w:pPr>
        <w:spacing w:after="0" w:line="390" w:lineRule="exact"/>
        <w:rPr>
          <w:sz w:val="20"/>
          <w:szCs w:val="20"/>
          <w:color w:val="auto"/>
        </w:rPr>
      </w:pPr>
    </w:p>
    <w:p>
      <w:pPr>
        <w:jc w:val="both"/>
        <w:spacing w:after="0" w:line="210" w:lineRule="auto"/>
        <w:rPr>
          <w:sz w:val="20"/>
          <w:szCs w:val="20"/>
          <w:color w:val="auto"/>
        </w:rPr>
      </w:pPr>
      <w:r>
        <w:rPr>
          <w:rFonts w:ascii="Arial" w:cs="Arial" w:eastAsia="Arial" w:hAnsi="Arial"/>
          <w:sz w:val="17"/>
          <w:szCs w:val="17"/>
          <w:color w:val="auto"/>
        </w:rPr>
        <w:t>of Law, (c) the business of such Person, or such assets, as the case may be, constitute a business permitted by Section 6.03(b), (d) with respect to each such purchase or other acquisition, all actions required to be taken with respect to such newly created or acquired Restricted Subsidiary (including each subsidiary thereof) or assets in order to satisfy the requirements set forth in clauses (a), (b), (c) and (d) of the definition of the term “Collateral and Guarantee Requirement” to the extent applicable shall have been taken (or arrangements for the taking of such actions reasonably satisfactory to the Administrative Agent shall have been made), (e) after giving effect to any such purchase or other acquisition and any incurrence or assumption of Indebtedness in connection therewith, (A) no Event of Default shall have occurred and be continuing (subject to Section 1.08 in connection with any Limited Condition Acquisition) and (B) the Borrower shall be in compliance with the Financial Performance Covenant (to the extent then in effect) on a Pro Forma Basis as of the end of the most recent Test Period and (f) Holdings shall have delivered to the Administrative Agent a certificate of a Financial Officer certifying that all the requirements set forth in this definition have been satisfied with respect to such purchase or other acquisition, together with reasonably detailed calculations demonstrating satisfaction of the requirement set forth in clause (e) above.</w:t>
      </w:r>
    </w:p>
    <w:p>
      <w:pPr>
        <w:spacing w:after="0" w:line="13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Encumbrances</w:t>
      </w:r>
      <w:r>
        <w:rPr>
          <w:rFonts w:ascii="Arial" w:cs="Arial" w:eastAsia="Arial" w:hAnsi="Arial"/>
          <w:sz w:val="17"/>
          <w:szCs w:val="17"/>
          <w:color w:val="auto"/>
        </w:rPr>
        <w:t>” means:</w:t>
      </w:r>
    </w:p>
    <w:p>
      <w:pPr>
        <w:spacing w:after="0" w:line="166" w:lineRule="exact"/>
        <w:rPr>
          <w:sz w:val="20"/>
          <w:szCs w:val="20"/>
          <w:color w:val="auto"/>
        </w:rPr>
      </w:pPr>
    </w:p>
    <w:p>
      <w:pPr>
        <w:jc w:val="both"/>
        <w:ind w:right="20" w:firstLine="563"/>
        <w:spacing w:after="0" w:line="225" w:lineRule="auto"/>
        <w:tabs>
          <w:tab w:leader="none" w:pos="936" w:val="left"/>
        </w:tabs>
        <w:numPr>
          <w:ilvl w:val="0"/>
          <w:numId w:val="98"/>
        </w:numPr>
        <w:rPr>
          <w:rFonts w:ascii="Arial" w:cs="Arial" w:eastAsia="Arial" w:hAnsi="Arial"/>
          <w:sz w:val="17"/>
          <w:szCs w:val="17"/>
          <w:color w:val="auto"/>
        </w:rPr>
      </w:pPr>
      <w:r>
        <w:rPr>
          <w:rFonts w:ascii="Arial" w:cs="Arial" w:eastAsia="Arial" w:hAnsi="Arial"/>
          <w:sz w:val="17"/>
          <w:szCs w:val="17"/>
          <w:color w:val="auto"/>
        </w:rPr>
        <w:t>Liens for taxes, assessments or governmental charges that are not overdue for a period of more than 30 days or that are being contested in good faith and by appropriate proceedings diligently conducted, if adequate reserves with respect thereto are maintained on the books of the applicable Person in accordance with GAAP;</w:t>
      </w:r>
    </w:p>
    <w:p>
      <w:pPr>
        <w:spacing w:after="0" w:line="136" w:lineRule="exact"/>
        <w:rPr>
          <w:rFonts w:ascii="Arial" w:cs="Arial" w:eastAsia="Arial" w:hAnsi="Arial"/>
          <w:sz w:val="17"/>
          <w:szCs w:val="17"/>
          <w:color w:val="auto"/>
        </w:rPr>
      </w:pPr>
    </w:p>
    <w:p>
      <w:pPr>
        <w:jc w:val="both"/>
        <w:ind w:firstLine="563"/>
        <w:spacing w:after="0" w:line="216" w:lineRule="auto"/>
        <w:tabs>
          <w:tab w:leader="none" w:pos="1024" w:val="left"/>
        </w:tabs>
        <w:numPr>
          <w:ilvl w:val="0"/>
          <w:numId w:val="98"/>
        </w:numPr>
        <w:rPr>
          <w:rFonts w:ascii="Arial" w:cs="Arial" w:eastAsia="Arial" w:hAnsi="Arial"/>
          <w:sz w:val="17"/>
          <w:szCs w:val="17"/>
          <w:color w:val="auto"/>
        </w:rPr>
      </w:pPr>
      <w:r>
        <w:rPr>
          <w:rFonts w:ascii="Arial" w:cs="Arial" w:eastAsia="Arial" w:hAnsi="Arial"/>
          <w:sz w:val="17"/>
          <w:szCs w:val="17"/>
          <w:color w:val="auto"/>
        </w:rPr>
        <w:t>Liens imposed by law, such as carriers’, warehousemen’s, mechanics’, materialmen’s, repairmen’s or construction contractors’ Liens and other similar Liens, in each case arising in the ordinary course of business that secure amounts not overdue for a period of more than 30 days or, if more than 30 days overdue, are unfiled and no other action has been taken to enforce such Lien or that are being contested in good faith and by appropriate proceedings diligently conducted, if adequate reserves with respect thereto are maintained on the books of the applicable Person in accordance with GAAP, in each case so long as such Liens do not individually or in the aggregate have a Material Adverse Effect;</w:t>
      </w:r>
    </w:p>
    <w:p>
      <w:pPr>
        <w:spacing w:after="0" w:line="138" w:lineRule="exact"/>
        <w:rPr>
          <w:rFonts w:ascii="Arial" w:cs="Arial" w:eastAsia="Arial" w:hAnsi="Arial"/>
          <w:sz w:val="17"/>
          <w:szCs w:val="17"/>
          <w:color w:val="auto"/>
        </w:rPr>
      </w:pPr>
    </w:p>
    <w:p>
      <w:pPr>
        <w:jc w:val="both"/>
        <w:ind w:firstLine="563"/>
        <w:spacing w:after="0"/>
        <w:tabs>
          <w:tab w:leader="none" w:pos="1000" w:val="left"/>
        </w:tabs>
        <w:numPr>
          <w:ilvl w:val="0"/>
          <w:numId w:val="98"/>
        </w:numPr>
        <w:rPr>
          <w:rFonts w:ascii="Arial" w:cs="Arial" w:eastAsia="Arial" w:hAnsi="Arial"/>
          <w:sz w:val="16"/>
          <w:szCs w:val="16"/>
          <w:color w:val="auto"/>
        </w:rPr>
      </w:pPr>
      <w:r>
        <w:rPr>
          <w:rFonts w:ascii="Arial" w:cs="Arial" w:eastAsia="Arial" w:hAnsi="Arial"/>
          <w:sz w:val="16"/>
          <w:szCs w:val="16"/>
          <w:color w:val="auto"/>
        </w:rPr>
        <w:t>Liens incurred or deposits made in the ordinary course of business (i) in connection with workers’ compensation, unemployment insurance and other social security legislation and (ii) securing liability for reimbursement or indemnification obligations of (including obligations in respect of letters of credit or bank guarantees for the benefit of) insurance carriers providing property, casualty or liability insurance to Holdings or any Restricted Subsidiary;</w:t>
      </w:r>
    </w:p>
    <w:p>
      <w:pPr>
        <w:spacing w:after="0" w:line="134" w:lineRule="exact"/>
        <w:rPr>
          <w:rFonts w:ascii="Arial" w:cs="Arial" w:eastAsia="Arial" w:hAnsi="Arial"/>
          <w:sz w:val="16"/>
          <w:szCs w:val="16"/>
          <w:color w:val="auto"/>
        </w:rPr>
      </w:pPr>
    </w:p>
    <w:p>
      <w:pPr>
        <w:jc w:val="both"/>
        <w:ind w:firstLine="563"/>
        <w:spacing w:after="0" w:line="225" w:lineRule="auto"/>
        <w:tabs>
          <w:tab w:leader="none" w:pos="963" w:val="left"/>
        </w:tabs>
        <w:numPr>
          <w:ilvl w:val="0"/>
          <w:numId w:val="98"/>
        </w:numPr>
        <w:rPr>
          <w:rFonts w:ascii="Arial" w:cs="Arial" w:eastAsia="Arial" w:hAnsi="Arial"/>
          <w:sz w:val="17"/>
          <w:szCs w:val="17"/>
          <w:color w:val="auto"/>
        </w:rPr>
      </w:pPr>
      <w:r>
        <w:rPr>
          <w:rFonts w:ascii="Arial" w:cs="Arial" w:eastAsia="Arial" w:hAnsi="Arial"/>
          <w:sz w:val="17"/>
          <w:szCs w:val="17"/>
          <w:color w:val="auto"/>
        </w:rPr>
        <w:t>Liens incurred or deposits made to secure the performance of bids, trade contracts, governmental contracts and leases, statutory obligations, surety, stay, customs and appeal bonds, performance bonds and other obligations of a like nature (including those to secure health, safety and environmental obligations), in each case incurred in the ordinary course of business;</w:t>
      </w:r>
    </w:p>
    <w:p>
      <w:pPr>
        <w:spacing w:after="0" w:line="136" w:lineRule="exact"/>
        <w:rPr>
          <w:rFonts w:ascii="Arial" w:cs="Arial" w:eastAsia="Arial" w:hAnsi="Arial"/>
          <w:sz w:val="17"/>
          <w:szCs w:val="17"/>
          <w:color w:val="auto"/>
        </w:rPr>
      </w:pPr>
    </w:p>
    <w:p>
      <w:pPr>
        <w:jc w:val="both"/>
        <w:ind w:firstLine="563"/>
        <w:spacing w:after="0" w:line="225" w:lineRule="auto"/>
        <w:tabs>
          <w:tab w:leader="none" w:pos="934" w:val="left"/>
        </w:tabs>
        <w:numPr>
          <w:ilvl w:val="0"/>
          <w:numId w:val="98"/>
        </w:numPr>
        <w:rPr>
          <w:rFonts w:ascii="Arial" w:cs="Arial" w:eastAsia="Arial" w:hAnsi="Arial"/>
          <w:sz w:val="17"/>
          <w:szCs w:val="17"/>
          <w:color w:val="auto"/>
        </w:rPr>
      </w:pPr>
      <w:r>
        <w:rPr>
          <w:rFonts w:ascii="Arial" w:cs="Arial" w:eastAsia="Arial" w:hAnsi="Arial"/>
          <w:sz w:val="17"/>
          <w:szCs w:val="17"/>
          <w:color w:val="auto"/>
        </w:rPr>
        <w:t>easements, rights-of-way, restrictions, encroachments, protrusions and other similar encumbrances and other title defects affecting real property that, in the aggregate, do not in any case materially interfere with the ordinary conduct of the business of Holdings and its Restricted Subsidiaries, taken as a whole, and zoning codes and other land use restrictions under applicable law;</w:t>
      </w:r>
    </w:p>
    <w:p>
      <w:pPr>
        <w:spacing w:after="0" w:line="136" w:lineRule="exact"/>
        <w:rPr>
          <w:rFonts w:ascii="Arial" w:cs="Arial" w:eastAsia="Arial" w:hAnsi="Arial"/>
          <w:sz w:val="17"/>
          <w:szCs w:val="17"/>
          <w:color w:val="auto"/>
        </w:rPr>
      </w:pPr>
    </w:p>
    <w:p>
      <w:pPr>
        <w:ind w:left="900" w:hanging="337"/>
        <w:spacing w:after="0"/>
        <w:tabs>
          <w:tab w:leader="none" w:pos="900" w:val="left"/>
        </w:tabs>
        <w:numPr>
          <w:ilvl w:val="0"/>
          <w:numId w:val="98"/>
        </w:numPr>
        <w:rPr>
          <w:rFonts w:ascii="Arial" w:cs="Arial" w:eastAsia="Arial" w:hAnsi="Arial"/>
          <w:sz w:val="17"/>
          <w:szCs w:val="17"/>
          <w:color w:val="auto"/>
        </w:rPr>
      </w:pPr>
      <w:r>
        <w:rPr>
          <w:rFonts w:ascii="Arial" w:cs="Arial" w:eastAsia="Arial" w:hAnsi="Arial"/>
          <w:sz w:val="17"/>
          <w:szCs w:val="17"/>
          <w:color w:val="auto"/>
        </w:rPr>
        <w:t>Liens securing, or otherwise arising from, judgments not constituting an Event of Default under Section 7.01(j);</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1260"/>
          </w:cols>
          <w:pgMar w:left="320" w:top="1440" w:right="319" w:bottom="1440" w:gutter="0" w:footer="0" w:header="0"/>
        </w:sectPr>
      </w:pPr>
    </w:p>
    <w:bookmarkStart w:id="224" w:name="page225"/>
    <w:bookmarkEnd w:id="224"/>
    <w:p>
      <w:pPr>
        <w:spacing w:after="0" w:line="390" w:lineRule="exact"/>
        <w:rPr>
          <w:sz w:val="20"/>
          <w:szCs w:val="20"/>
          <w:color w:val="auto"/>
        </w:rPr>
      </w:pPr>
    </w:p>
    <w:p>
      <w:pPr>
        <w:jc w:val="both"/>
        <w:ind w:firstLine="563"/>
        <w:spacing w:after="0" w:line="225" w:lineRule="auto"/>
        <w:tabs>
          <w:tab w:leader="none" w:pos="972" w:val="left"/>
        </w:tabs>
        <w:numPr>
          <w:ilvl w:val="0"/>
          <w:numId w:val="99"/>
        </w:numPr>
        <w:rPr>
          <w:rFonts w:ascii="Arial" w:cs="Arial" w:eastAsia="Arial" w:hAnsi="Arial"/>
          <w:sz w:val="17"/>
          <w:szCs w:val="17"/>
          <w:color w:val="auto"/>
        </w:rPr>
      </w:pPr>
      <w:r>
        <w:rPr>
          <w:rFonts w:ascii="Arial" w:cs="Arial" w:eastAsia="Arial" w:hAnsi="Arial"/>
          <w:sz w:val="17"/>
          <w:szCs w:val="17"/>
          <w:color w:val="auto"/>
        </w:rPr>
        <w:t xml:space="preserve">Liens on goods the purchase price of which is financed by a commercial letter of credit issued for the account of Holdings or any of its Restricted Subsidiaries;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Lien secures only the obligations of Holdings or such Restricted Subsidiaries in respect of such letter of credit to the extent such obligations are permitted by Section 6.01; and</w:t>
      </w:r>
    </w:p>
    <w:p>
      <w:pPr>
        <w:spacing w:after="0" w:line="136" w:lineRule="exact"/>
        <w:rPr>
          <w:rFonts w:ascii="Arial" w:cs="Arial" w:eastAsia="Arial" w:hAnsi="Arial"/>
          <w:sz w:val="17"/>
          <w:szCs w:val="17"/>
          <w:color w:val="auto"/>
        </w:rPr>
      </w:pPr>
    </w:p>
    <w:p>
      <w:pPr>
        <w:jc w:val="both"/>
        <w:ind w:right="20" w:firstLine="563"/>
        <w:spacing w:after="0" w:line="225" w:lineRule="auto"/>
        <w:tabs>
          <w:tab w:leader="none" w:pos="954" w:val="left"/>
        </w:tabs>
        <w:numPr>
          <w:ilvl w:val="0"/>
          <w:numId w:val="99"/>
        </w:numPr>
        <w:rPr>
          <w:rFonts w:ascii="Arial" w:cs="Arial" w:eastAsia="Arial" w:hAnsi="Arial"/>
          <w:sz w:val="17"/>
          <w:szCs w:val="17"/>
          <w:color w:val="auto"/>
        </w:rPr>
      </w:pPr>
      <w:r>
        <w:rPr>
          <w:rFonts w:ascii="Arial" w:cs="Arial" w:eastAsia="Arial" w:hAnsi="Arial"/>
          <w:sz w:val="17"/>
          <w:szCs w:val="17"/>
          <w:color w:val="auto"/>
        </w:rPr>
        <w:t xml:space="preserve">Liens arising from precautionary Uniform Commercial Code financing statements or similar filings made in respect of operating leases entered into by Holdings or any of its Restricted Subsidiaries;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term “Permitted Encumbrances” shall not include any Lien securing Indebtedness other than Liens referred to in clause (c) above securing obligations under letters of credit or bank guarantees and in clause (g) above.</w:t>
      </w:r>
    </w:p>
    <w:p>
      <w:pPr>
        <w:spacing w:after="0" w:line="131" w:lineRule="exact"/>
        <w:rPr>
          <w:sz w:val="20"/>
          <w:szCs w:val="20"/>
          <w:color w:val="auto"/>
        </w:rPr>
      </w:pPr>
    </w:p>
    <w:p>
      <w:pPr>
        <w:jc w:val="both"/>
        <w:ind w:right="20" w:firstLine="568"/>
        <w:spacing w:after="0" w:line="22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First Priority Refinancing Debt</w:t>
      </w:r>
      <w:r>
        <w:rPr>
          <w:rFonts w:ascii="Arial" w:cs="Arial" w:eastAsia="Arial" w:hAnsi="Arial"/>
          <w:sz w:val="16"/>
          <w:szCs w:val="16"/>
          <w:color w:val="auto"/>
        </w:rPr>
        <w:t xml:space="preserve">” means any secured Indebtedness incurred by the Borrower in the form of one or more series of senior secured notes;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such Indebtedness is secured by the Collateral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basis (but without regard to the control of remedies) with the Loan Document Obligations and is not secured by any property or assets of Holdings, any Intermediate Parent, the Borrower or any Subsidiary other than the Collateral, (ii) such Indebtedness constitutes Credit Agreement Refinancing Indebtedness, (iii) such Indebtedness does not mature or have scheduled amortization or payments of principal and is not subject to mandatory redemption, repurchase, prepayment or sinking fund obligation (except customary asset sale or change of control provisions), in each case prior to the date that is 91 days after the Latest Maturity Date at the time such Indebtedness is incurred, (iv) the security agreements relating to such Indebtedness are substantially the same as the Security Documents (with such material differences as are reasonably satisfactory to the Administrative Agent), (v) such Indebtedness is not at any time guaranteed by any Subsidiaries other than the Subsidiary Loan Parties and (vi) a Senior Representative acting on behalf of the holders of such Indebtedness shall have become party to the First Lien Intercreditor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Indebtedness is the initial Permitted First Priority Refinancing Debt incurred by the Borrower, then the Loan Parties, the Administrative Agent and the Senior Representative for such Indebtedness shall have executed and delivered the First Lien Intercreditor Agreement. Permitted First Priority Refinancing Debt will include any Registered Equivalent Notes issued in exchange therefor.</w:t>
      </w:r>
    </w:p>
    <w:p>
      <w:pPr>
        <w:spacing w:after="0" w:line="136" w:lineRule="exact"/>
        <w:rPr>
          <w:sz w:val="20"/>
          <w:szCs w:val="20"/>
          <w:color w:val="auto"/>
        </w:rPr>
      </w:pPr>
    </w:p>
    <w:p>
      <w:pPr>
        <w:jc w:val="both"/>
        <w:ind w:firstLine="568"/>
        <w:spacing w:after="0" w:line="21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Holders</w:t>
      </w:r>
      <w:r>
        <w:rPr>
          <w:rFonts w:ascii="Arial" w:cs="Arial" w:eastAsia="Arial" w:hAnsi="Arial"/>
          <w:sz w:val="17"/>
          <w:szCs w:val="17"/>
          <w:color w:val="auto"/>
        </w:rPr>
        <w:t>” means (i) the VV Holders, (ii) North Island Holdings I, LP and any Affiliate thereof, (iii) Aranda Investments Pte. Ltd. and any Affiliate thereof, (iv) any group (within the meaning of Section 13(d)(3) or Section 14(d)(2) of the Exchange Act or any successor provision) the members of which include any of the foregoing, so long as no Person or other ‘‘group’’ (other than Permitted Holders specified in clauses (i) through (iii) above) beneficially owns more than 50% on a fully diluted basis of the voting power held by such Permitted Holder group and (v) VFI and its Subsidiaries, so long as no ‘‘person’’ or ‘‘group’’ (as each such term is used in Section 13(d) of the Exchange Act)) other than one or more Permitted Holders specified in clauses (i) through (iv) above is or becomes the Beneficial Owner, directly or indirectly, of more than 50% of the Voting Stock of VFI or any such Subsidiary, measured by voting power rather than number of shares, units or the like.</w:t>
      </w:r>
    </w:p>
    <w:p>
      <w:pPr>
        <w:spacing w:after="0" w:line="13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Investments</w:t>
      </w:r>
      <w:r>
        <w:rPr>
          <w:rFonts w:ascii="Arial" w:cs="Arial" w:eastAsia="Arial" w:hAnsi="Arial"/>
          <w:sz w:val="17"/>
          <w:szCs w:val="17"/>
          <w:color w:val="auto"/>
        </w:rPr>
        <w:t>” means any of the following, to the extent owned by Holdings or any Restricted Subsidiary:</w:t>
      </w:r>
    </w:p>
    <w:p>
      <w:pPr>
        <w:spacing w:after="0" w:line="166" w:lineRule="exact"/>
        <w:rPr>
          <w:sz w:val="20"/>
          <w:szCs w:val="20"/>
          <w:color w:val="auto"/>
        </w:rPr>
      </w:pPr>
    </w:p>
    <w:p>
      <w:pPr>
        <w:ind w:left="920" w:hanging="357"/>
        <w:spacing w:after="0"/>
        <w:tabs>
          <w:tab w:leader="none" w:pos="92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dollars, euro or such other currencies held by it from time to time in the ordinary course of business;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30"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7"/>
          <w:szCs w:val="17"/>
          <w:color w:val="auto"/>
        </w:rPr>
        <w:t>51</w:t>
      </w:r>
    </w:p>
    <w:p>
      <w:pPr>
        <w:sectPr>
          <w:pgSz w:w="11900" w:h="16838" w:orient="portrait"/>
          <w:cols w:equalWidth="0" w:num="1">
            <w:col w:w="11260"/>
          </w:cols>
          <w:pgMar w:left="320" w:top="1440" w:right="319" w:bottom="1440" w:gutter="0" w:footer="0" w:header="0"/>
        </w:sectPr>
      </w:pPr>
    </w:p>
    <w:bookmarkStart w:id="225" w:name="page226"/>
    <w:bookmarkEnd w:id="225"/>
    <w:p>
      <w:pPr>
        <w:spacing w:after="0" w:line="390" w:lineRule="exact"/>
        <w:rPr>
          <w:sz w:val="20"/>
          <w:szCs w:val="20"/>
          <w:color w:val="auto"/>
        </w:rPr>
      </w:pPr>
    </w:p>
    <w:p>
      <w:pPr>
        <w:jc w:val="both"/>
        <w:ind w:right="20" w:firstLine="563"/>
        <w:spacing w:after="0" w:line="225" w:lineRule="auto"/>
        <w:tabs>
          <w:tab w:leader="none" w:pos="1016" w:val="left"/>
        </w:tabs>
        <w:numPr>
          <w:ilvl w:val="0"/>
          <w:numId w:val="101"/>
        </w:numPr>
        <w:rPr>
          <w:rFonts w:ascii="Arial" w:cs="Arial" w:eastAsia="Arial" w:hAnsi="Arial"/>
          <w:sz w:val="17"/>
          <w:szCs w:val="17"/>
          <w:color w:val="auto"/>
        </w:rPr>
      </w:pPr>
      <w:r>
        <w:rPr>
          <w:rFonts w:ascii="Arial" w:cs="Arial" w:eastAsia="Arial" w:hAnsi="Arial"/>
          <w:sz w:val="17"/>
          <w:szCs w:val="17"/>
          <w:color w:val="auto"/>
        </w:rPr>
        <w:t xml:space="preserve">readily marketable obligations issued or directly and fully guaranteed or insured by the government or any agency or instrumentality of (i) the United States or (ii) any member nation of the European Union, having average maturities of not more than 12 months from the date of acquisition thereof;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the full faith and credit of the United States or a member nation of the European Union is pledged in support thereof;</w:t>
      </w:r>
    </w:p>
    <w:p>
      <w:pPr>
        <w:spacing w:after="0" w:line="136" w:lineRule="exact"/>
        <w:rPr>
          <w:rFonts w:ascii="Arial" w:cs="Arial" w:eastAsia="Arial" w:hAnsi="Arial"/>
          <w:sz w:val="17"/>
          <w:szCs w:val="17"/>
          <w:color w:val="auto"/>
        </w:rPr>
      </w:pPr>
    </w:p>
    <w:p>
      <w:pPr>
        <w:jc w:val="both"/>
        <w:ind w:right="20" w:firstLine="563"/>
        <w:spacing w:after="0" w:line="225" w:lineRule="auto"/>
        <w:tabs>
          <w:tab w:leader="none" w:pos="1006"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time deposits with, or insured certificates of deposit or bankers’ acceptances of, any commercial bank that (i) is a Lender or (ii) has combined capital and surplus of at least $250,000,000 (any such bank in the foregoing clause (i) or (ii) being an “</w:t>
      </w:r>
      <w:r>
        <w:rPr>
          <w:rFonts w:ascii="Arial" w:cs="Arial" w:eastAsia="Arial" w:hAnsi="Arial"/>
          <w:sz w:val="17"/>
          <w:szCs w:val="17"/>
          <w:b w:val="1"/>
          <w:bCs w:val="1"/>
          <w:color w:val="auto"/>
        </w:rPr>
        <w:t>Approved Bank</w:t>
      </w:r>
      <w:r>
        <w:rPr>
          <w:rFonts w:ascii="Arial" w:cs="Arial" w:eastAsia="Arial" w:hAnsi="Arial"/>
          <w:sz w:val="17"/>
          <w:szCs w:val="17"/>
          <w:color w:val="auto"/>
        </w:rPr>
        <w:t>”), in each case with average maturities of not more than 12 months from the date of acquisition thereof;</w:t>
      </w:r>
    </w:p>
    <w:p>
      <w:pPr>
        <w:spacing w:after="0" w:line="136" w:lineRule="exact"/>
        <w:rPr>
          <w:rFonts w:ascii="Arial" w:cs="Arial" w:eastAsia="Arial" w:hAnsi="Arial"/>
          <w:sz w:val="17"/>
          <w:szCs w:val="17"/>
          <w:color w:val="auto"/>
        </w:rPr>
      </w:pPr>
    </w:p>
    <w:p>
      <w:pPr>
        <w:jc w:val="both"/>
        <w:ind w:firstLine="563"/>
        <w:spacing w:after="0" w:line="225" w:lineRule="auto"/>
        <w:tabs>
          <w:tab w:leader="none" w:pos="949" w:val="left"/>
        </w:tabs>
        <w:numPr>
          <w:ilvl w:val="0"/>
          <w:numId w:val="101"/>
        </w:numPr>
        <w:rPr>
          <w:rFonts w:ascii="Arial" w:cs="Arial" w:eastAsia="Arial" w:hAnsi="Arial"/>
          <w:sz w:val="17"/>
          <w:szCs w:val="17"/>
          <w:color w:val="auto"/>
        </w:rPr>
      </w:pPr>
      <w:r>
        <w:rPr>
          <w:rFonts w:ascii="Arial" w:cs="Arial" w:eastAsia="Arial" w:hAnsi="Arial"/>
          <w:sz w:val="17"/>
          <w:szCs w:val="17"/>
          <w:color w:val="auto"/>
        </w:rPr>
        <w:t>commercial paper and variable or fixed rate notes issued by an Approved Bank (or by the parent company thereof) or any variable or fixed rate note issued by, or guaranteed by, a corporation rated A-2 (or the equivalent thereof) or better by S&amp;P or P-2 (or the equivalent thereof) or better by Moody’s, in each case with average maturities of not more than 12 months from the date of acquisition thereof;</w:t>
      </w:r>
    </w:p>
    <w:p>
      <w:pPr>
        <w:spacing w:after="0" w:line="136" w:lineRule="exact"/>
        <w:rPr>
          <w:rFonts w:ascii="Arial" w:cs="Arial" w:eastAsia="Arial" w:hAnsi="Arial"/>
          <w:sz w:val="17"/>
          <w:szCs w:val="17"/>
          <w:color w:val="auto"/>
        </w:rPr>
      </w:pPr>
    </w:p>
    <w:p>
      <w:pPr>
        <w:jc w:val="both"/>
        <w:ind w:firstLine="563"/>
        <w:spacing w:after="0" w:line="216" w:lineRule="auto"/>
        <w:tabs>
          <w:tab w:leader="none" w:pos="969" w:val="left"/>
        </w:tabs>
        <w:numPr>
          <w:ilvl w:val="0"/>
          <w:numId w:val="101"/>
        </w:numPr>
        <w:rPr>
          <w:rFonts w:ascii="Arial" w:cs="Arial" w:eastAsia="Arial" w:hAnsi="Arial"/>
          <w:sz w:val="17"/>
          <w:szCs w:val="17"/>
          <w:color w:val="auto"/>
        </w:rPr>
      </w:pPr>
      <w:r>
        <w:rPr>
          <w:rFonts w:ascii="Arial" w:cs="Arial" w:eastAsia="Arial" w:hAnsi="Arial"/>
          <w:sz w:val="17"/>
          <w:szCs w:val="17"/>
          <w:color w:val="auto"/>
        </w:rPr>
        <w:t>repurchase agreements entered into by any Person with an Approved Bank, a bank or trust company (including any of the Lenders) or recognized securities dealer, in each case, having capital and surplus in excess of $250,000,000 for direct obligations issued by or fully guaranteed or insured by the government or any agency or instrumentality of (i) the United States or (ii) any member nation of the European Union (other than Greece), in which such Person shall have a perfected first priority security interest (subject to no other Liens) and having, on the date of purchase thereof, a fair market value of at least 100% of the amount of the repurchase obligations;</w:t>
      </w:r>
    </w:p>
    <w:p>
      <w:pPr>
        <w:spacing w:after="0" w:line="138" w:lineRule="exact"/>
        <w:rPr>
          <w:rFonts w:ascii="Arial" w:cs="Arial" w:eastAsia="Arial" w:hAnsi="Arial"/>
          <w:sz w:val="17"/>
          <w:szCs w:val="17"/>
          <w:color w:val="auto"/>
        </w:rPr>
      </w:pPr>
    </w:p>
    <w:p>
      <w:pPr>
        <w:jc w:val="both"/>
        <w:ind w:firstLine="563"/>
        <w:spacing w:after="0" w:line="225" w:lineRule="auto"/>
        <w:tabs>
          <w:tab w:leader="none" w:pos="948" w:val="left"/>
        </w:tabs>
        <w:numPr>
          <w:ilvl w:val="0"/>
          <w:numId w:val="101"/>
        </w:numPr>
        <w:rPr>
          <w:rFonts w:ascii="Arial" w:cs="Arial" w:eastAsia="Arial" w:hAnsi="Arial"/>
          <w:sz w:val="17"/>
          <w:szCs w:val="17"/>
          <w:color w:val="auto"/>
        </w:rPr>
      </w:pPr>
      <w:r>
        <w:rPr>
          <w:rFonts w:ascii="Arial" w:cs="Arial" w:eastAsia="Arial" w:hAnsi="Arial"/>
          <w:sz w:val="17"/>
          <w:szCs w:val="17"/>
          <w:color w:val="auto"/>
        </w:rPr>
        <w:t>marketable short-term money market and similar highly liquid funds either (i) having assets in excess of $250,000,000 or (ii) having a rating of at least A-2 or P-2 from either S&amp;P or Moody’s (or, if at any time neither S&amp;P nor Moody’s shall be rating such obligations, an equivalent rating from another nationally recognized rating service);</w:t>
      </w:r>
    </w:p>
    <w:p>
      <w:pPr>
        <w:spacing w:after="0" w:line="136" w:lineRule="exact"/>
        <w:rPr>
          <w:rFonts w:ascii="Arial" w:cs="Arial" w:eastAsia="Arial" w:hAnsi="Arial"/>
          <w:sz w:val="17"/>
          <w:szCs w:val="17"/>
          <w:color w:val="auto"/>
        </w:rPr>
      </w:pPr>
    </w:p>
    <w:p>
      <w:pPr>
        <w:jc w:val="both"/>
        <w:ind w:right="20" w:firstLine="563"/>
        <w:spacing w:after="0" w:line="225" w:lineRule="auto"/>
        <w:tabs>
          <w:tab w:leader="none" w:pos="1022" w:val="left"/>
        </w:tabs>
        <w:numPr>
          <w:ilvl w:val="0"/>
          <w:numId w:val="101"/>
        </w:numPr>
        <w:rPr>
          <w:rFonts w:ascii="Arial" w:cs="Arial" w:eastAsia="Arial" w:hAnsi="Arial"/>
          <w:sz w:val="17"/>
          <w:szCs w:val="17"/>
          <w:color w:val="auto"/>
        </w:rPr>
      </w:pPr>
      <w:r>
        <w:rPr>
          <w:rFonts w:ascii="Arial" w:cs="Arial" w:eastAsia="Arial" w:hAnsi="Arial"/>
          <w:sz w:val="17"/>
          <w:szCs w:val="17"/>
          <w:color w:val="auto"/>
        </w:rPr>
        <w:t>securities with average maturities of 12 months or less from the date of acquisition issued or fully guaranteed by any state, commonwealth or territory of the United States or by any political subdivision or taxing authority of any such state, commonwealth or territory, in each case having an investment grade rating from either S&amp;P or Moody’s (or the equivalent thereof);</w:t>
      </w:r>
    </w:p>
    <w:p>
      <w:pPr>
        <w:spacing w:after="0" w:line="136" w:lineRule="exact"/>
        <w:rPr>
          <w:rFonts w:ascii="Arial" w:cs="Arial" w:eastAsia="Arial" w:hAnsi="Arial"/>
          <w:sz w:val="17"/>
          <w:szCs w:val="17"/>
          <w:color w:val="auto"/>
        </w:rPr>
      </w:pPr>
    </w:p>
    <w:p>
      <w:pPr>
        <w:ind w:right="20" w:firstLine="563"/>
        <w:spacing w:after="0" w:line="237" w:lineRule="auto"/>
        <w:tabs>
          <w:tab w:leader="none" w:pos="995" w:val="left"/>
        </w:tabs>
        <w:numPr>
          <w:ilvl w:val="0"/>
          <w:numId w:val="101"/>
        </w:numPr>
        <w:rPr>
          <w:rFonts w:ascii="Arial" w:cs="Arial" w:eastAsia="Arial" w:hAnsi="Arial"/>
          <w:sz w:val="17"/>
          <w:szCs w:val="17"/>
          <w:color w:val="auto"/>
        </w:rPr>
      </w:pPr>
      <w:r>
        <w:rPr>
          <w:rFonts w:ascii="Arial" w:cs="Arial" w:eastAsia="Arial" w:hAnsi="Arial"/>
          <w:sz w:val="17"/>
          <w:szCs w:val="17"/>
          <w:color w:val="auto"/>
        </w:rPr>
        <w:t>investments with average maturities of 12 months or less from the date of acquisition in mutual funds rated AAA- (or the equivalent thereof) or better by S&amp;P or Aaa3 (or the equivalent thereof) or better by Moody’s;</w:t>
      </w:r>
    </w:p>
    <w:p>
      <w:pPr>
        <w:spacing w:after="0" w:line="134" w:lineRule="exact"/>
        <w:rPr>
          <w:rFonts w:ascii="Arial" w:cs="Arial" w:eastAsia="Arial" w:hAnsi="Arial"/>
          <w:sz w:val="17"/>
          <w:szCs w:val="17"/>
          <w:color w:val="auto"/>
        </w:rPr>
      </w:pPr>
    </w:p>
    <w:p>
      <w:pPr>
        <w:jc w:val="both"/>
        <w:ind w:right="20" w:firstLine="563"/>
        <w:spacing w:after="0"/>
        <w:tabs>
          <w:tab w:leader="none" w:pos="918" w:val="left"/>
        </w:tabs>
        <w:numPr>
          <w:ilvl w:val="0"/>
          <w:numId w:val="101"/>
        </w:numPr>
        <w:rPr>
          <w:rFonts w:ascii="Arial" w:cs="Arial" w:eastAsia="Arial" w:hAnsi="Arial"/>
          <w:sz w:val="16"/>
          <w:szCs w:val="16"/>
          <w:color w:val="auto"/>
        </w:rPr>
      </w:pPr>
      <w:r>
        <w:rPr>
          <w:rFonts w:ascii="Arial" w:cs="Arial" w:eastAsia="Arial" w:hAnsi="Arial"/>
          <w:sz w:val="16"/>
          <w:szCs w:val="16"/>
          <w:color w:val="auto"/>
        </w:rPr>
        <w:t>instruments equivalent to those referred to in clauses (a) through (h) above denominated in euros or any other foreign currency comparable in credit quality and tenor to those referred to above and customarily used by corporations for cash management purposes in any jurisdiction outside the United States to the extent reasonably required in connection with any business conducted by any Restricted Subsidiary organized in such jurisdiction; and</w:t>
      </w:r>
    </w:p>
    <w:p>
      <w:pPr>
        <w:spacing w:after="0" w:line="134" w:lineRule="exact"/>
        <w:rPr>
          <w:rFonts w:ascii="Arial" w:cs="Arial" w:eastAsia="Arial" w:hAnsi="Arial"/>
          <w:sz w:val="16"/>
          <w:szCs w:val="16"/>
          <w:color w:val="auto"/>
        </w:rPr>
      </w:pPr>
    </w:p>
    <w:p>
      <w:pPr>
        <w:jc w:val="both"/>
        <w:ind w:right="20" w:firstLine="563"/>
        <w:spacing w:after="0" w:line="225" w:lineRule="auto"/>
        <w:tabs>
          <w:tab w:leader="none" w:pos="922" w:val="left"/>
        </w:tabs>
        <w:numPr>
          <w:ilvl w:val="0"/>
          <w:numId w:val="101"/>
        </w:numPr>
        <w:rPr>
          <w:rFonts w:ascii="Arial" w:cs="Arial" w:eastAsia="Arial" w:hAnsi="Arial"/>
          <w:sz w:val="17"/>
          <w:szCs w:val="17"/>
          <w:color w:val="auto"/>
        </w:rPr>
      </w:pPr>
      <w:r>
        <w:rPr>
          <w:rFonts w:ascii="Arial" w:cs="Arial" w:eastAsia="Arial" w:hAnsi="Arial"/>
          <w:sz w:val="17"/>
          <w:szCs w:val="17"/>
          <w:color w:val="auto"/>
        </w:rPr>
        <w:t>investments, classified in accordance with GAAP as current assets of Holdings or any Restricted Subsidiary, in money market investment programs that are registered under the Investment Company Act of 1940 or that are administered by financial institutions having capital of at least $250,000,000, and, in either case,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1260"/>
          </w:cols>
          <w:pgMar w:left="320" w:top="1440" w:right="319" w:bottom="1440" w:gutter="0" w:footer="0" w:header="0"/>
        </w:sectPr>
      </w:pPr>
    </w:p>
    <w:bookmarkStart w:id="226" w:name="page227"/>
    <w:bookmarkEnd w:id="226"/>
    <w:p>
      <w:pPr>
        <w:spacing w:after="0" w:line="390" w:lineRule="exact"/>
        <w:rPr>
          <w:sz w:val="20"/>
          <w:szCs w:val="20"/>
          <w:color w:val="auto"/>
        </w:rPr>
      </w:pPr>
    </w:p>
    <w:p>
      <w:pPr>
        <w:jc w:val="both"/>
        <w:ind w:right="20"/>
        <w:spacing w:after="0" w:line="237" w:lineRule="auto"/>
        <w:rPr>
          <w:sz w:val="20"/>
          <w:szCs w:val="20"/>
          <w:color w:val="auto"/>
        </w:rPr>
      </w:pPr>
      <w:r>
        <w:rPr>
          <w:rFonts w:ascii="Arial" w:cs="Arial" w:eastAsia="Arial" w:hAnsi="Arial"/>
          <w:sz w:val="17"/>
          <w:szCs w:val="17"/>
          <w:color w:val="auto"/>
        </w:rPr>
        <w:t>portfolios of which are limited such that substantially all of such investments are of the character, quality and maturity described in clauses (a) through (i) of this definition.</w:t>
      </w:r>
    </w:p>
    <w:p>
      <w:pPr>
        <w:spacing w:after="0" w:line="129" w:lineRule="exact"/>
        <w:rPr>
          <w:sz w:val="20"/>
          <w:szCs w:val="20"/>
          <w:color w:val="auto"/>
        </w:rPr>
      </w:pPr>
    </w:p>
    <w:p>
      <w:pPr>
        <w:jc w:val="both"/>
        <w:ind w:firstLine="568"/>
        <w:spacing w:after="0" w:line="22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Junior Lien Refinancing Debt</w:t>
      </w:r>
      <w:r>
        <w:rPr>
          <w:rFonts w:ascii="Arial" w:cs="Arial" w:eastAsia="Arial" w:hAnsi="Arial"/>
          <w:sz w:val="16"/>
          <w:szCs w:val="16"/>
          <w:color w:val="auto"/>
        </w:rPr>
        <w:t xml:space="preserve">” means secured Indebtedness incurred by the Borrower in the form of one or more series of junior lien secured notes or junior lien secured loans;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such Indebtedness is secured by the Collateral and the obligations in respect of any Permitted First Priority Refinancing Debt and is not secured by any property or assets of Holdings, any Intermediate Parent, the Borrower or any Restricted Subsidiary other than the Collateral, (ii) such Indebtedness constitutes Credit Agreement Refinancing Indebtedness, (iii) such Indebtedness does not mature or have scheduled amortization or payments of principal and is not subject to mandatory redemption, repurchase, prepayment or sinking fund obligation (except customary asset sale or change of control provisions), in each case prior to the date that is 91 days after the Latest Maturity Date at the time such Indebtedness is incurred, (iv) the security agreements relating to such Indebtedness reflect the “silent” junior lien nature of the security interests securing such Indebtedness consistent with the terms of the Junior Lien Intercreditor Agreement and are otherwise substantially the same as the Security Documents (with such differences as are reasonably satisfactory to the Administrative Agent), (v) such Indebtedness is not at any time guaranteed by any Subsidiaries other than the Subsidiary Loan Parties and is not secured by assets other than Collateral and (vi) a Senior Representative acting on behalf of the holders of such Indebtedness shall have become party to the Junior Lien Intercreditor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Indebtedness is the initial Permitted Junior Lien Refinancing Debt incurred by the Borrower, then the Loan Parties, the Administrative Agent and the Senior Representatives for such Indebtedness shall have executed and delivered the Junior Lien Intercreditor Agreement. Permitted Junior Lien Refinancing Debt will include any Registered Equivalent Notes issued in exchange therefor.</w:t>
      </w:r>
    </w:p>
    <w:p>
      <w:pPr>
        <w:spacing w:after="0" w:line="132" w:lineRule="exact"/>
        <w:rPr>
          <w:sz w:val="20"/>
          <w:szCs w:val="20"/>
          <w:color w:val="auto"/>
        </w:rPr>
      </w:pPr>
    </w:p>
    <w:p>
      <w:pPr>
        <w:jc w:val="both"/>
        <w:ind w:right="20" w:firstLine="568"/>
        <w:spacing w:after="0" w:line="22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Refinancing</w:t>
      </w:r>
      <w:r>
        <w:rPr>
          <w:rFonts w:ascii="Arial" w:cs="Arial" w:eastAsia="Arial" w:hAnsi="Arial"/>
          <w:sz w:val="16"/>
          <w:szCs w:val="16"/>
          <w:color w:val="auto"/>
        </w:rPr>
        <w:t>” means, with respect to any Person, any Indebtedness issued in exchange for, or the net proceeds of which are used to extend, refinance, renew, replace, defease or refund (collectively, to “</w:t>
      </w:r>
      <w:r>
        <w:rPr>
          <w:rFonts w:ascii="Arial" w:cs="Arial" w:eastAsia="Arial" w:hAnsi="Arial"/>
          <w:sz w:val="16"/>
          <w:szCs w:val="16"/>
          <w:b w:val="1"/>
          <w:bCs w:val="1"/>
          <w:color w:val="auto"/>
        </w:rPr>
        <w:t>Refinance</w:t>
      </w:r>
      <w:r>
        <w:rPr>
          <w:rFonts w:ascii="Arial" w:cs="Arial" w:eastAsia="Arial" w:hAnsi="Arial"/>
          <w:sz w:val="16"/>
          <w:szCs w:val="16"/>
          <w:color w:val="auto"/>
        </w:rPr>
        <w:t xml:space="preserve">”), the Indebtedness (and/or unutilized commitments in respect of Indebtedness (only to the extent the committed amount had been deemed as fully drawn at the time of the establishment thereof for purposes of the Loan Documents)) being Refinanced (or previous refinancings thereof constituting Permitted Refinancing) of such Person;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the principal amount (or accreted value, if applicable) thereof or, if greater, committed amount (only to the extent the committed amount (i) could have been incurred on the date of the initial incurrence and was deemed incurred at such time for purposes of this definition or (ii) could have been incurred other than as Permitted Refinancing on the date of such Refinancing) of such Permitted Refinancing does not exceed the principal amount (or accreted value, if applicable) of the Indebtedness (and/or unutilized commitments in respect of Indebtedness (only to the extent the committed amount had been deemed as fully drawn at the time of the establishment thereof for purposes of the Loan Documents)) so Refinanced (plus unpaid accrued interest and premium (including tender premiums) thereon and underwriting discounts, defeasance costs, fees, commissions and expenses (including original issue discount and mortgage and similar taxes)), (b) other than with respect to a Permitted Refinancing in respect of Indebtedness permitted pursuant to Section 6.01(a)(v), assumed Indebtedness permitted pursuant to Section 6.01(a)(ix), Indebtedness in the form of Customary Bridge Loans (provided that any loans, notes, securities or other debt which are exchanged for or otherwise replace such Customary Bridge Loans shall be subject to this clause (b)) and/or Indebtedness with an outstanding principal amount not in excess of the then remaining capacity under the Inside Maturity Basket, Indebtedness resulting from such Refinancing has a final maturity date equal to or later than the final maturity date of, and has a Weighted Average Life to Maturity equal to or greater than the Weighted Average Life to Maturity of, the Indebtedness being modified, refinanced, refunded, renewed or extended, (c) other than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1260"/>
          </w:cols>
          <w:pgMar w:left="320" w:top="1440" w:right="319" w:bottom="1440" w:gutter="0" w:footer="0" w:header="0"/>
        </w:sectPr>
      </w:pPr>
    </w:p>
    <w:bookmarkStart w:id="227" w:name="page228"/>
    <w:bookmarkEnd w:id="227"/>
    <w:p>
      <w:pPr>
        <w:spacing w:after="0" w:line="390" w:lineRule="exact"/>
        <w:rPr>
          <w:sz w:val="20"/>
          <w:szCs w:val="20"/>
          <w:color w:val="auto"/>
        </w:rPr>
      </w:pPr>
    </w:p>
    <w:p>
      <w:pPr>
        <w:jc w:val="both"/>
        <w:spacing w:after="0" w:line="221" w:lineRule="auto"/>
        <w:rPr>
          <w:sz w:val="20"/>
          <w:szCs w:val="20"/>
          <w:color w:val="auto"/>
        </w:rPr>
      </w:pPr>
      <w:r>
        <w:rPr>
          <w:rFonts w:ascii="Arial" w:cs="Arial" w:eastAsia="Arial" w:hAnsi="Arial"/>
          <w:sz w:val="16"/>
          <w:szCs w:val="16"/>
          <w:color w:val="auto"/>
        </w:rPr>
        <w:t xml:space="preserve">with respect to a Permitted Refinancing in respect of Indebtedness permitted pursuant to Sections 6.01(a)(ii), 6.01(a)(v) and 6.01(a)(vii), immediately after giving effect thereto, no Event of Default shall have occurred and be continuing, (d) if the Indebtedness being modified, refinanced, refunded, renewed or extended is subordinated in right of payment or lien priority to the Loan Document Obligations, Indebtedness resulting from such Refinancing is subordinated in right of payment or lien priority, as applicable, to the Loan Document Obligations on terms in the aggregate at least as favorable to the Lenders as those contained in the documentation governing the Indebtedness being Refinanced and (e) if the Indebtedness being Refinanced is Indebtedness permitted pursuant to Sections 6.01(a) (ii), 6.01(a)(vii), 6.01(a)(xx) or 6.01(a)(xxi) or is otherwise a Junior Financing, (i) the terms and conditions (including, if applicable, as to collateral but excluding as to subordination, interest rate (including whether such interest is payable in cash or in kind) and redemption premium) of Indebtedness resulting from such Refinancing are not, taken as a whole, materially less favorable to the Loan Parties or the Lenders than the terms and conditions of the Indebtedness being Refinanced as determined by the Borrower in good faith, (ii) the primary obligor in respect of, and the Persons (if any) that Guarantee, Indebtedness resulting from such Refinancing are the primary obligor in respect of, and Persons (if any) that Guaranteed, respectively, the Indebtedness being Refinanced and (iii) if secured, such Indebtedness resulting from such Refinancing shall not be secured by assets that did not secure the Indebtedness being Refinanced (other than assets that would have secured such Indebtedness pursuant to after acquired property clauses). For the avoidance of doubt, it is understood that a Permitted Refinancing may constitute a portion of an issuance of Indebtedness in excess of the amount of such Permitted Refinancing;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excess amount is otherwise permitted to be incurred under Section 6.01.</w:t>
      </w:r>
    </w:p>
    <w:p>
      <w:pPr>
        <w:spacing w:after="0" w:line="132" w:lineRule="exact"/>
        <w:rPr>
          <w:sz w:val="20"/>
          <w:szCs w:val="20"/>
          <w:color w:val="auto"/>
        </w:rPr>
      </w:pPr>
    </w:p>
    <w:p>
      <w:pPr>
        <w:jc w:val="both"/>
        <w:ind w:firstLine="568"/>
        <w:spacing w:after="0" w:line="22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Securitization Financing</w:t>
      </w:r>
      <w:r>
        <w:rPr>
          <w:rFonts w:ascii="Arial" w:cs="Arial" w:eastAsia="Arial" w:hAnsi="Arial"/>
          <w:sz w:val="16"/>
          <w:szCs w:val="16"/>
          <w:color w:val="auto"/>
        </w:rPr>
        <w:t xml:space="preserve">” shall mean one or more transactions pursuant to which (i) Securitization Assets or interests therein are sold or transferred to or financed by one or more Special Purpose Securitization Subsidiaries, and (ii) such Special Purpose Securitization Subsidiaries finance (or refinance) their acquisition of such Securitization Assets or interests therein, or the financing thereof, by selling or borrowing against Securitization Assets and any Swap Agreements entered into in connection with such Securitization Assets; </w:t>
      </w:r>
      <w:r>
        <w:rPr>
          <w:rFonts w:ascii="Arial" w:cs="Arial" w:eastAsia="Arial" w:hAnsi="Arial"/>
          <w:sz w:val="16"/>
          <w:szCs w:val="16"/>
          <w:i w:val="1"/>
          <w:iCs w:val="1"/>
          <w:color w:val="auto"/>
        </w:rPr>
        <w:t>provided</w:t>
      </w:r>
      <w:r>
        <w:rPr>
          <w:rFonts w:ascii="Arial" w:cs="Arial" w:eastAsia="Arial" w:hAnsi="Arial"/>
          <w:sz w:val="16"/>
          <w:szCs w:val="16"/>
          <w:color w:val="auto"/>
        </w:rPr>
        <w:t>, that recourse to Holdings or any Subsidiary (other than the Special Purpose Securitization Subsidiaries) in connection with such transactions shall be limited to the extent customary (as determined by the Borrower in good faith) for similar transactions in the applicable jurisdictions (including, to the extent applicable, in a manner consistent with the delivery of a “true sale”/“absolute transfer” opinion with respect to any transfer by the Borrower or any Subsidiary (other than a Special Purpose Securitization Subsidiary)).</w:t>
      </w:r>
    </w:p>
    <w:p>
      <w:pPr>
        <w:spacing w:after="0" w:line="108" w:lineRule="exact"/>
        <w:rPr>
          <w:sz w:val="20"/>
          <w:szCs w:val="20"/>
          <w:color w:val="auto"/>
        </w:rPr>
      </w:pPr>
    </w:p>
    <w:p>
      <w:pPr>
        <w:jc w:val="both"/>
        <w:ind w:firstLine="568"/>
        <w:spacing w:after="0" w:line="22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Tax Distributions</w:t>
      </w:r>
      <w:r>
        <w:rPr>
          <w:rFonts w:ascii="Arial" w:cs="Arial" w:eastAsia="Arial" w:hAnsi="Arial"/>
          <w:sz w:val="16"/>
          <w:szCs w:val="16"/>
          <w:color w:val="auto"/>
        </w:rPr>
        <w:t xml:space="preserve">” means, collectively distributions to the members of Holdings in cash in an amount up to (i) in the case of payments in respect of a Tax Estimation Period, the excess of (A)(I) the Company Income Amount for the Tax Estimation Period in question and for all preceding Tax Estimation Periods, if any, within the Taxable Year containing such Tax Estimation Period multiplied by (II) the Assumed Tax Rate over (B) the aggregate amount of any distributions made with respect to any previous Tax Estimation Period falling in the Taxable Year containing the applicable Tax Estimation Period referred to in (A)(I), and (ii) after the end of a Taxable Year, the excess, if any, of (A)(I) the Taxable Year Income Amount for the Taxable Year in question multiplied by (II) the Assumed Tax Rate over (B) the aggregate amount of any Permitted Tax Distributions under clause (i) made with respect to the Tax Estimation Periods in such Taxable Year;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amount payable in connection with a Tax Estimation Period under clause (i) is less than the aggregate required annualized installment for all members of Holdings for the estimated payment date for such Tax Estimation Period under Section 6655(e) of the Code (calculated assuming (x) all such members are corporations (other than with respect to the Assumed Tax Rate) and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ectPr>
          <w:pgSz w:w="11900" w:h="16838" w:orient="portrait"/>
          <w:cols w:equalWidth="0" w:num="1">
            <w:col w:w="11260"/>
          </w:cols>
          <w:pgMar w:left="320" w:top="1440" w:right="319" w:bottom="1440" w:gutter="0" w:footer="0" w:header="0"/>
        </w:sectPr>
      </w:pPr>
    </w:p>
    <w:bookmarkStart w:id="228" w:name="page229"/>
    <w:bookmarkEnd w:id="228"/>
    <w:p>
      <w:pPr>
        <w:spacing w:after="0" w:line="390" w:lineRule="exact"/>
        <w:rPr>
          <w:sz w:val="20"/>
          <w:szCs w:val="20"/>
          <w:color w:val="auto"/>
        </w:rPr>
      </w:pPr>
    </w:p>
    <w:p>
      <w:pPr>
        <w:jc w:val="both"/>
        <w:ind w:right="20"/>
        <w:spacing w:after="0" w:line="225" w:lineRule="auto"/>
        <w:rPr>
          <w:sz w:val="20"/>
          <w:szCs w:val="20"/>
          <w:color w:val="auto"/>
        </w:rPr>
      </w:pPr>
      <w:r>
        <w:rPr>
          <w:rFonts w:ascii="Arial" w:cs="Arial" w:eastAsia="Arial" w:hAnsi="Arial"/>
          <w:sz w:val="17"/>
          <w:szCs w:val="17"/>
          <w:color w:val="auto"/>
        </w:rPr>
        <w:t>6655(e)(2)(C)(ii) is in effect, (y) such members’ only income is from Holdings (determined without regard to any adjustments under Code Sections 743(b) or 704(c)) and (z) the Assumed Tax Rate applies), Holdings shall be permitted to pay an additional amount with respect to such estimated payment date equal to the excess of such aggregate required annualized installment over the amount permitted under clause (i).</w:t>
      </w:r>
    </w:p>
    <w:p>
      <w:pPr>
        <w:spacing w:after="0" w:line="131" w:lineRule="exact"/>
        <w:rPr>
          <w:sz w:val="20"/>
          <w:szCs w:val="20"/>
          <w:color w:val="auto"/>
        </w:rPr>
      </w:pPr>
    </w:p>
    <w:p>
      <w:pPr>
        <w:jc w:val="both"/>
        <w:ind w:firstLine="568"/>
        <w:spacing w:after="0" w:line="21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Unsecured Refinancing Debt</w:t>
      </w:r>
      <w:r>
        <w:rPr>
          <w:rFonts w:ascii="Arial" w:cs="Arial" w:eastAsia="Arial" w:hAnsi="Arial"/>
          <w:sz w:val="17"/>
          <w:szCs w:val="17"/>
          <w:color w:val="auto"/>
        </w:rPr>
        <w:t xml:space="preserve">” means unsecured Indebtedness incurred by any Loan Party in the form of one or more series of senior unsecured notes or loans;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such Indebtedness constitutes Credit Agreement Refinancing Indebtedness, (ii) such Indebtedness does not mature or have scheduled amortization or payments of principal and is not subject to mandatory redemption, repurchase, prepayment or sinking fund obligation (except customary asset sale or change of control provisions), in each case prior to the date that is 91 days after the Latest Maturity Date at the time such Indebtedness is incurred, (iii) such Indebtedness is not at any time guaranteed by any Subsidiaries other than Loan Parties and (iv) such Indebtedness (including any Guarantee thereof) is not secured by any Lien on any property or assets of Holdings or any Restricted Subsidiary. Permitted Unsecured Refinancing Debt will include any Registered Equivalent Notes issued in exchange therefor.</w:t>
      </w:r>
    </w:p>
    <w:p>
      <w:pPr>
        <w:spacing w:after="0" w:line="130" w:lineRule="exact"/>
        <w:rPr>
          <w:sz w:val="20"/>
          <w:szCs w:val="20"/>
          <w:color w:val="auto"/>
        </w:rPr>
      </w:pPr>
    </w:p>
    <w:p>
      <w:pPr>
        <w:jc w:val="both"/>
        <w:ind w:firstLine="568"/>
        <w:spacing w:after="0" w:line="24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Person</w:t>
      </w:r>
      <w:r>
        <w:rPr>
          <w:rFonts w:ascii="Arial" w:cs="Arial" w:eastAsia="Arial" w:hAnsi="Arial"/>
          <w:sz w:val="17"/>
          <w:szCs w:val="17"/>
          <w:color w:val="auto"/>
        </w:rPr>
        <w:t>” means any natural person, corporation, limited liability company, trust, joint venture, association, company, partnership, Governmental Authority or other entity.</w:t>
      </w:r>
    </w:p>
    <w:p>
      <w:pPr>
        <w:spacing w:after="0" w:line="128" w:lineRule="exact"/>
        <w:rPr>
          <w:sz w:val="20"/>
          <w:szCs w:val="20"/>
          <w:color w:val="auto"/>
        </w:rPr>
      </w:pPr>
    </w:p>
    <w:p>
      <w:pPr>
        <w:jc w:val="both"/>
        <w:ind w:right="20" w:firstLine="568"/>
        <w:spacing w:after="0" w:line="22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Plan</w:t>
      </w:r>
      <w:r>
        <w:rPr>
          <w:rFonts w:ascii="Arial" w:cs="Arial" w:eastAsia="Arial" w:hAnsi="Arial"/>
          <w:sz w:val="17"/>
          <w:szCs w:val="17"/>
          <w:color w:val="auto"/>
        </w:rPr>
        <w:t>” means any employee pension benefit plan (other than a Multiemployer Plan) subject to the provisions of Title IV of ERISA or Section 412 of the Code or Section 302 of ERISA, and in respect of which the Borrower or any ERISA Affiliate is (or, if such plan were terminated, would under Section 4069 of ERISA be deemed to be) an “employer” as defined in Section 3(5) of ERISA.</w:t>
      </w:r>
    </w:p>
    <w:p>
      <w:pPr>
        <w:spacing w:after="0" w:line="13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Platform</w:t>
      </w:r>
      <w:r>
        <w:rPr>
          <w:rFonts w:ascii="Arial" w:cs="Arial" w:eastAsia="Arial" w:hAnsi="Arial"/>
          <w:sz w:val="17"/>
          <w:szCs w:val="17"/>
          <w:color w:val="auto"/>
        </w:rPr>
        <w:t>” has the meaning assigned to such term in Section 5.01.</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Post-Transaction Period</w:t>
      </w:r>
      <w:r>
        <w:rPr>
          <w:rFonts w:ascii="Arial" w:cs="Arial" w:eastAsia="Arial" w:hAnsi="Arial"/>
          <w:sz w:val="17"/>
          <w:szCs w:val="17"/>
          <w:color w:val="auto"/>
        </w:rPr>
        <w:t>” has the meaning assigned to such term in the definition of “Pro Forma Adjustment.”</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Prepayment Event</w:t>
      </w:r>
      <w:r>
        <w:rPr>
          <w:rFonts w:ascii="Arial" w:cs="Arial" w:eastAsia="Arial" w:hAnsi="Arial"/>
          <w:sz w:val="17"/>
          <w:szCs w:val="17"/>
          <w:color w:val="auto"/>
        </w:rPr>
        <w:t>” means:</w:t>
      </w:r>
    </w:p>
    <w:p>
      <w:pPr>
        <w:spacing w:after="0" w:line="166" w:lineRule="exact"/>
        <w:rPr>
          <w:sz w:val="20"/>
          <w:szCs w:val="20"/>
          <w:color w:val="auto"/>
        </w:rPr>
      </w:pPr>
    </w:p>
    <w:p>
      <w:pPr>
        <w:jc w:val="both"/>
        <w:ind w:firstLine="563"/>
        <w:spacing w:after="0" w:line="234" w:lineRule="auto"/>
        <w:tabs>
          <w:tab w:leader="none" w:pos="953" w:val="left"/>
        </w:tabs>
        <w:numPr>
          <w:ilvl w:val="0"/>
          <w:numId w:val="102"/>
        </w:numPr>
        <w:rPr>
          <w:rFonts w:ascii="Arial" w:cs="Arial" w:eastAsia="Arial" w:hAnsi="Arial"/>
          <w:sz w:val="16"/>
          <w:szCs w:val="16"/>
          <w:color w:val="auto"/>
        </w:rPr>
      </w:pPr>
      <w:r>
        <w:rPr>
          <w:rFonts w:ascii="Arial" w:cs="Arial" w:eastAsia="Arial" w:hAnsi="Arial"/>
          <w:sz w:val="16"/>
          <w:szCs w:val="16"/>
          <w:color w:val="auto"/>
        </w:rPr>
        <w:t>any sale, transfer or other disposition (including (x) pursuant to a sale and leaseback transaction, (y) by way of merger or consolidation and (z) any casualty or other insured damage to, or any taking under power of eminent domain or by condemnation or similar proceeding) of any property or asset of Holdings or any of its Restricted Subsidiaries permitted by Section 6.05(f), (j), (k), (m) or (n) other than dispositions resulting in aggregate Net Proceeds not exceeding the greater of $20,000,000 or 2% of Consolidated EBITDA in the case of any single transaction or series of related transactions; or</w:t>
      </w:r>
    </w:p>
    <w:p>
      <w:pPr>
        <w:spacing w:after="0" w:line="134" w:lineRule="exact"/>
        <w:rPr>
          <w:rFonts w:ascii="Arial" w:cs="Arial" w:eastAsia="Arial" w:hAnsi="Arial"/>
          <w:sz w:val="16"/>
          <w:szCs w:val="16"/>
          <w:color w:val="auto"/>
        </w:rPr>
      </w:pPr>
    </w:p>
    <w:p>
      <w:pPr>
        <w:jc w:val="both"/>
        <w:ind w:firstLine="563"/>
        <w:spacing w:after="0" w:line="220" w:lineRule="auto"/>
        <w:tabs>
          <w:tab w:leader="none" w:pos="1011"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incurrence by the Borrower or any of its Restricted Subsidiaries of any Indebtedness, other than Indebtedness permitted under Section 6.01 (other than Permitted Unsecured Refinancing Debt, Permitted First Priority Refinancing Debt, Permitted Junior Lien Refinancing Debt and Other Term Loans which shall constitute a Prepayment Event to the extent required by the definition of “Credit Agreement Refinancing Indebtedness”) or permitted by the Required Lenders pursuant to Section 9.02.</w:t>
      </w:r>
    </w:p>
    <w:p>
      <w:pPr>
        <w:spacing w:after="0" w:line="13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primary obligor</w:t>
      </w:r>
      <w:r>
        <w:rPr>
          <w:rFonts w:ascii="Arial" w:cs="Arial" w:eastAsia="Arial" w:hAnsi="Arial"/>
          <w:sz w:val="17"/>
          <w:szCs w:val="17"/>
          <w:color w:val="auto"/>
        </w:rPr>
        <w:t>” has the meaning assigned to such term in the definition of “Guarantor.”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1260"/>
          </w:cols>
          <w:pgMar w:left="320" w:top="1440" w:right="319" w:bottom="1440" w:gutter="0" w:footer="0" w:header="0"/>
        </w:sectPr>
      </w:pPr>
    </w:p>
    <w:bookmarkStart w:id="229" w:name="page230"/>
    <w:bookmarkEnd w:id="229"/>
    <w:p>
      <w:pPr>
        <w:spacing w:after="0" w:line="384" w:lineRule="exact"/>
        <w:rPr>
          <w:sz w:val="20"/>
          <w:szCs w:val="20"/>
          <w:color w:val="auto"/>
        </w:rPr>
      </w:pPr>
    </w:p>
    <w:p>
      <w:pPr>
        <w:jc w:val="both"/>
        <w:ind w:left="5" w:firstLine="568"/>
        <w:spacing w:after="0" w:line="21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Prime Rate</w:t>
      </w:r>
      <w:r>
        <w:rPr>
          <w:rFonts w:ascii="Arial" w:cs="Arial" w:eastAsia="Arial" w:hAnsi="Arial"/>
          <w:sz w:val="17"/>
          <w:szCs w:val="17"/>
          <w:color w:val="auto"/>
        </w:rPr>
        <w:t xml:space="preserve">” means the rate of interest per annum last quoted by </w:t>
      </w:r>
      <w:r>
        <w:rPr>
          <w:rFonts w:ascii="Arial" w:cs="Arial" w:eastAsia="Arial" w:hAnsi="Arial"/>
          <w:sz w:val="17"/>
          <w:szCs w:val="17"/>
          <w:u w:val="single" w:color="auto"/>
          <w:color w:val="auto"/>
        </w:rPr>
        <w:t>The Wall Street Journal</w:t>
      </w:r>
      <w:r>
        <w:rPr>
          <w:rFonts w:ascii="Arial" w:cs="Arial" w:eastAsia="Arial" w:hAnsi="Arial"/>
          <w:sz w:val="17"/>
          <w:szCs w:val="17"/>
          <w:color w:val="auto"/>
        </w:rPr>
        <w:t xml:space="preserve"> as the “Prime Rate” in the U.S. or, if </w:t>
      </w:r>
      <w:r>
        <w:rPr>
          <w:rFonts w:ascii="Arial" w:cs="Arial" w:eastAsia="Arial" w:hAnsi="Arial"/>
          <w:sz w:val="17"/>
          <w:szCs w:val="17"/>
          <w:u w:val="single" w:color="auto"/>
          <w:color w:val="auto"/>
        </w:rPr>
        <w:t>The Wall Street Journal</w:t>
      </w:r>
      <w:r>
        <w:rPr>
          <w:rFonts w:ascii="Arial" w:cs="Arial" w:eastAsia="Arial" w:hAnsi="Arial"/>
          <w:sz w:val="17"/>
          <w:szCs w:val="17"/>
          <w:color w:val="auto"/>
        </w:rPr>
        <w:t xml:space="preserve">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spacing w:after="0" w:line="130" w:lineRule="exact"/>
        <w:rPr>
          <w:sz w:val="20"/>
          <w:szCs w:val="20"/>
          <w:color w:val="auto"/>
        </w:rPr>
      </w:pPr>
    </w:p>
    <w:p>
      <w:pPr>
        <w:jc w:val="both"/>
        <w:ind w:left="5" w:firstLine="568"/>
        <w:spacing w:after="0" w:line="22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 Forma Adjustment</w:t>
      </w:r>
      <w:r>
        <w:rPr>
          <w:rFonts w:ascii="Arial" w:cs="Arial" w:eastAsia="Arial" w:hAnsi="Arial"/>
          <w:sz w:val="16"/>
          <w:szCs w:val="16"/>
          <w:color w:val="auto"/>
        </w:rPr>
        <w:t>” means, for any Test Period, the amount of “run rate” net cost savings, synergies and operating expense reductions projected by Holdings in good faith to result from (x) the Transactions or other acquisitions or dispositions, in each case no later than 24 months after the Closing Date or the date of such other acquisition or disposition (the “</w:t>
      </w:r>
      <w:r>
        <w:rPr>
          <w:rFonts w:ascii="Arial" w:cs="Arial" w:eastAsia="Arial" w:hAnsi="Arial"/>
          <w:sz w:val="16"/>
          <w:szCs w:val="16"/>
          <w:b w:val="1"/>
          <w:bCs w:val="1"/>
          <w:color w:val="auto"/>
        </w:rPr>
        <w:t>Post-Transaction Period</w:t>
      </w:r>
      <w:r>
        <w:rPr>
          <w:rFonts w:ascii="Arial" w:cs="Arial" w:eastAsia="Arial" w:hAnsi="Arial"/>
          <w:sz w:val="16"/>
          <w:szCs w:val="16"/>
          <w:color w:val="auto"/>
        </w:rPr>
        <w:t xml:space="preserve">”) or (y) actions in respect of restructurings of, or business optimization projects and other operational changes and initiatives with respect to, the business of Holdings or any of its Restricted Subsidiaries that have been or are expected to be taken within 24 months (calculated on a Pro Forma Basis as though such cost savings, operating expense reductions and synergies had been realized on the first day of the period for which Consolidated EBITDA is being determined and if such cost savings, operating expense reductions and synergies were realized during the entirety of such period), net of the amount of actual benefits realized during such period from such actions (and reflected in Consolidated Net Income for such period);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aggregate amount of such cost savings, operating expense reductions and synergies pursuant to clause (y) above for any period shall not exceed an amount equal to 20.0% of Consolidated EBITDA for such period (calculated prior to giving effect to such Pro Forma Adjustment);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such cost savings, operating expense reductions and synergies are reasonably identifiable and factually supportable and described in reasonable detail by a Financial Officer in an officer’s certificate delivered to the Administrative Agent (it being understood and agreed that “run rate” means the full recurring benefit for a period that is associated with any action taken, committed to be taken or with respect to which substantial steps have been taken or are expected to be taken).</w:t>
      </w:r>
    </w:p>
    <w:p>
      <w:pPr>
        <w:spacing w:after="0" w:line="132" w:lineRule="exact"/>
        <w:rPr>
          <w:sz w:val="20"/>
          <w:szCs w:val="20"/>
          <w:color w:val="auto"/>
        </w:rPr>
      </w:pPr>
    </w:p>
    <w:p>
      <w:pPr>
        <w:jc w:val="both"/>
        <w:ind w:left="5" w:firstLine="568"/>
        <w:spacing w:after="0" w:line="24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Pro Forma Basis</w:t>
      </w:r>
      <w:r>
        <w:rPr>
          <w:rFonts w:ascii="Arial" w:cs="Arial" w:eastAsia="Arial" w:hAnsi="Arial"/>
          <w:sz w:val="15"/>
          <w:szCs w:val="15"/>
          <w:color w:val="auto"/>
        </w:rPr>
        <w:t>,” “</w:t>
      </w:r>
      <w:r>
        <w:rPr>
          <w:rFonts w:ascii="Arial" w:cs="Arial" w:eastAsia="Arial" w:hAnsi="Arial"/>
          <w:sz w:val="15"/>
          <w:szCs w:val="15"/>
          <w:b w:val="1"/>
          <w:bCs w:val="1"/>
          <w:color w:val="auto"/>
        </w:rPr>
        <w:t>Pro Forma Compliance</w:t>
      </w:r>
      <w:r>
        <w:rPr>
          <w:rFonts w:ascii="Arial" w:cs="Arial" w:eastAsia="Arial" w:hAnsi="Arial"/>
          <w:sz w:val="15"/>
          <w:szCs w:val="15"/>
          <w:color w:val="auto"/>
        </w:rPr>
        <w:t>” and “</w:t>
      </w:r>
      <w:r>
        <w:rPr>
          <w:rFonts w:ascii="Arial" w:cs="Arial" w:eastAsia="Arial" w:hAnsi="Arial"/>
          <w:sz w:val="15"/>
          <w:szCs w:val="15"/>
          <w:b w:val="1"/>
          <w:bCs w:val="1"/>
          <w:color w:val="auto"/>
        </w:rPr>
        <w:t>Pro Forma Effect</w:t>
      </w:r>
      <w:r>
        <w:rPr>
          <w:rFonts w:ascii="Arial" w:cs="Arial" w:eastAsia="Arial" w:hAnsi="Arial"/>
          <w:sz w:val="15"/>
          <w:szCs w:val="15"/>
          <w:color w:val="auto"/>
        </w:rPr>
        <w:t>” means, with respect to compliance with any test or covenant hereunder required by the terms of this Agreement to be made on a Pro Forma Basis, that (a) to the extent applicable, the Pro Forma Adjustment shall have been made and</w:t>
      </w:r>
    </w:p>
    <w:p>
      <w:pPr>
        <w:spacing w:after="0" w:line="1" w:lineRule="exact"/>
        <w:rPr>
          <w:sz w:val="20"/>
          <w:szCs w:val="20"/>
          <w:color w:val="auto"/>
        </w:rPr>
      </w:pPr>
    </w:p>
    <w:p>
      <w:pPr>
        <w:jc w:val="both"/>
        <w:ind w:left="5" w:hanging="5"/>
        <w:spacing w:after="0" w:line="221" w:lineRule="auto"/>
        <w:tabs>
          <w:tab w:leader="none" w:pos="274" w:val="left"/>
        </w:tabs>
        <w:numPr>
          <w:ilvl w:val="0"/>
          <w:numId w:val="103"/>
        </w:numPr>
        <w:rPr>
          <w:rFonts w:ascii="Arial" w:cs="Arial" w:eastAsia="Arial" w:hAnsi="Arial"/>
          <w:sz w:val="16"/>
          <w:szCs w:val="16"/>
          <w:color w:val="auto"/>
        </w:rPr>
      </w:pPr>
      <w:r>
        <w:rPr>
          <w:rFonts w:ascii="Arial" w:cs="Arial" w:eastAsia="Arial" w:hAnsi="Arial"/>
          <w:sz w:val="16"/>
          <w:szCs w:val="16"/>
          <w:color w:val="auto"/>
        </w:rPr>
        <w:t xml:space="preserve">all Specified Transactions and the following transactions in connection therewith that occur subsequent to the commencement of a period for which the financial effect of such events is being calculated shall be deemed to have occurred as of the first day of the applicable period of measurement in such test or covenant: (i) income statement items (whether positive or negative) attributable to the property or Person subject to such Specified Transaction, (A) in the case of a Disposition of all or substantially all Equity Interests in any subsidiary of Holdings or any division, product line, or facility used for operations of Holdings or any of its Restricted Subsidiaries, shall be excluded and (B) in the case of a Permitted Acquisition or Investment described in the definition of “Specified Transaction,” shall be included, (ii) any retirement of Indebtedness, and (iii) any Indebtedness incurred or assumed by Holdings, the Borrower or any of its Subsidiaries in connection therewith (and if such Indebtedness has a floating or formula rate, shall have an implied rate of interest for the applicable period for purposes of this definition determined by utilizing the rate that is or would be in effect with respect to such Indebtedness as at the relevant date of determination);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without limiting the application of the Pro Forma Adjustment pursuant to clause (a) above, the foregoing pro forma adjustments may be applied to</w:t>
      </w:r>
      <w:r>
        <w:rPr>
          <w:rFonts w:ascii="Arial" w:cs="Arial" w:eastAsia="Arial" w:hAnsi="Arial"/>
          <w:sz w:val="16"/>
          <w:szCs w:val="16"/>
          <w:i w:val="1"/>
          <w:iCs w:val="1"/>
          <w:color w:val="auto"/>
        </w:rPr>
        <w:t xml:space="preserve"> </w:t>
      </w:r>
      <w:r>
        <w:rPr>
          <w:rFonts w:ascii="Arial" w:cs="Arial" w:eastAsia="Arial" w:hAnsi="Arial"/>
          <w:sz w:val="16"/>
          <w:szCs w:val="16"/>
          <w:color w:val="auto"/>
        </w:rPr>
        <w:t>any such test or covenant solely to the extent that such adjustments are consistent with the definition of “Consolidated EBITDA” and give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4"/>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1265"/>
          </w:cols>
          <w:pgMar w:left="315" w:top="1440" w:right="319" w:bottom="1440" w:gutter="0" w:footer="0" w:header="0"/>
        </w:sectPr>
      </w:pPr>
    </w:p>
    <w:bookmarkStart w:id="230" w:name="page231"/>
    <w:bookmarkEnd w:id="230"/>
    <w:p>
      <w:pPr>
        <w:spacing w:after="0" w:line="390"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effect to operating expense reductions that are (i) (x) directly attributable to such transaction, (y) expected to have a continuing impact on Holdings or any of its Restricted Subsidiaries and (z) factually supportable or (ii) otherwise consistent with the definition of “Pro Forma Adjustment”.</w:t>
      </w:r>
    </w:p>
    <w:p>
      <w:pPr>
        <w:spacing w:after="0" w:line="129" w:lineRule="exact"/>
        <w:rPr>
          <w:sz w:val="20"/>
          <w:szCs w:val="20"/>
          <w:color w:val="auto"/>
        </w:rPr>
      </w:pPr>
    </w:p>
    <w:p>
      <w:pPr>
        <w:jc w:val="both"/>
        <w:ind w:firstLine="568"/>
        <w:spacing w:after="0" w:line="21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Pro Forma Disposal Adjustment</w:t>
      </w:r>
      <w:r>
        <w:rPr>
          <w:rFonts w:ascii="Arial" w:cs="Arial" w:eastAsia="Arial" w:hAnsi="Arial"/>
          <w:sz w:val="17"/>
          <w:szCs w:val="17"/>
          <w:color w:val="auto"/>
        </w:rPr>
        <w:t>” means, for any Test Period that includes all or a portion of a fiscal quarter included in any Post-Transaction Period with respect to any Sold Entity or Business or Converted Unrestricted Subsidiary, the pro forma increase or decrease in Consolidated EBITDA projected by Holdings in good faith as a result of contractual arrangements between Holdings or any Restricted Subsidiary, entered into with such Sold Entity or Business or Converted Unrestricted Subsidiary at the time of its disposal or conversion, within the Post-Transaction Period and which represent an increase or decrease in Consolidated EBITDA which is incremental to the Disposed EBITDA of such Sold Entity or Business or Converted Unrestricted Subsidiary for the most recent four quarter period prior to its disposal or conversion.</w:t>
      </w:r>
    </w:p>
    <w:p>
      <w:pPr>
        <w:spacing w:after="0" w:line="133"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Pro Forma Entity</w:t>
      </w:r>
      <w:r>
        <w:rPr>
          <w:rFonts w:ascii="Arial" w:cs="Arial" w:eastAsia="Arial" w:hAnsi="Arial"/>
          <w:sz w:val="17"/>
          <w:szCs w:val="17"/>
          <w:color w:val="auto"/>
        </w:rPr>
        <w:t>” has the meaning assigned to such term in the definition of “Acquired EBITDA.”</w:t>
      </w:r>
    </w:p>
    <w:p>
      <w:pPr>
        <w:spacing w:after="0" w:line="160" w:lineRule="exact"/>
        <w:rPr>
          <w:sz w:val="20"/>
          <w:szCs w:val="20"/>
          <w:color w:val="auto"/>
        </w:rPr>
      </w:pPr>
    </w:p>
    <w:p>
      <w:pPr>
        <w:jc w:val="both"/>
        <w:ind w:right="20" w:firstLine="568"/>
        <w:spacing w:after="0" w:line="24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Proceeding</w:t>
      </w:r>
      <w:r>
        <w:rPr>
          <w:rFonts w:ascii="Arial" w:cs="Arial" w:eastAsia="Arial" w:hAnsi="Arial"/>
          <w:sz w:val="17"/>
          <w:szCs w:val="17"/>
          <w:color w:val="auto"/>
        </w:rPr>
        <w:t>” means any claim, litigation, investigation, action, suit, arbitration or administrative, judicial or regulatory action or proceeding in any jurisdiction.</w:t>
      </w:r>
    </w:p>
    <w:p>
      <w:pPr>
        <w:spacing w:after="0" w:line="12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Proposed Change</w:t>
      </w:r>
      <w:r>
        <w:rPr>
          <w:rFonts w:ascii="Arial" w:cs="Arial" w:eastAsia="Arial" w:hAnsi="Arial"/>
          <w:sz w:val="17"/>
          <w:szCs w:val="17"/>
          <w:color w:val="auto"/>
        </w:rPr>
        <w:t>” has the meaning assigned to such term in Section 9.02(c).</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PTE</w:t>
      </w:r>
      <w:r>
        <w:rPr>
          <w:rFonts w:ascii="Arial" w:cs="Arial" w:eastAsia="Arial" w:hAnsi="Arial"/>
          <w:sz w:val="16"/>
          <w:szCs w:val="16"/>
          <w:color w:val="auto"/>
        </w:rPr>
        <w:t>” means a prohibited transaction class exemption issued by the U.S. Department of Labor, as any such exemption may be amended from time to</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time.</w:t>
      </w:r>
    </w:p>
    <w:p>
      <w:pPr>
        <w:spacing w:after="0" w:line="14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Public Lender</w:t>
      </w:r>
      <w:r>
        <w:rPr>
          <w:rFonts w:ascii="Arial" w:cs="Arial" w:eastAsia="Arial" w:hAnsi="Arial"/>
          <w:sz w:val="17"/>
          <w:szCs w:val="17"/>
          <w:color w:val="auto"/>
        </w:rPr>
        <w:t>” has the meaning assigned to such term in Section 5.01.</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QFC</w:t>
      </w:r>
      <w:r>
        <w:rPr>
          <w:rFonts w:ascii="Arial" w:cs="Arial" w:eastAsia="Arial" w:hAnsi="Arial"/>
          <w:sz w:val="17"/>
          <w:szCs w:val="17"/>
          <w:color w:val="auto"/>
        </w:rPr>
        <w:t>” has the meaning assigned to such term in Section 9.21(b).</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QFC Credit Support</w:t>
      </w:r>
      <w:r>
        <w:rPr>
          <w:rFonts w:ascii="Arial" w:cs="Arial" w:eastAsia="Arial" w:hAnsi="Arial"/>
          <w:sz w:val="17"/>
          <w:szCs w:val="17"/>
          <w:color w:val="auto"/>
        </w:rPr>
        <w:t>” has the meaning assigned to such term in Section 9.21.</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Qualified Equity Interests</w:t>
      </w:r>
      <w:r>
        <w:rPr>
          <w:rFonts w:ascii="Arial" w:cs="Arial" w:eastAsia="Arial" w:hAnsi="Arial"/>
          <w:sz w:val="17"/>
          <w:szCs w:val="17"/>
          <w:color w:val="auto"/>
        </w:rPr>
        <w:t>” means Equity Interests of a Person other than Disqualified Equity Interests of such Person.</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Qualifying Lender</w:t>
      </w:r>
      <w:r>
        <w:rPr>
          <w:rFonts w:ascii="Arial" w:cs="Arial" w:eastAsia="Arial" w:hAnsi="Arial"/>
          <w:sz w:val="17"/>
          <w:szCs w:val="17"/>
          <w:color w:val="auto"/>
        </w:rPr>
        <w:t>” has the meaning assigned to such term in Section 2.09(a)(ii)(D)(3).</w:t>
      </w:r>
    </w:p>
    <w:p>
      <w:pPr>
        <w:spacing w:after="0" w:line="160" w:lineRule="exact"/>
        <w:rPr>
          <w:sz w:val="20"/>
          <w:szCs w:val="20"/>
          <w:color w:val="auto"/>
        </w:rPr>
      </w:pPr>
    </w:p>
    <w:p>
      <w:pPr>
        <w:jc w:val="both"/>
        <w:ind w:right="20" w:firstLine="568"/>
        <w:spacing w:after="0" w:line="24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Receivables Assets</w:t>
      </w:r>
      <w:r>
        <w:rPr>
          <w:rFonts w:ascii="Arial" w:cs="Arial" w:eastAsia="Arial" w:hAnsi="Arial"/>
          <w:sz w:val="17"/>
          <w:szCs w:val="17"/>
          <w:color w:val="auto"/>
        </w:rPr>
        <w:t>” shall mean accounts receivable (including any bills of exchange) and related assets and property from time to time originated, acquired or otherwise owned by the Borrower or any Subsidiary.</w:t>
      </w:r>
    </w:p>
    <w:p>
      <w:pPr>
        <w:spacing w:after="0" w:line="105" w:lineRule="exact"/>
        <w:rPr>
          <w:sz w:val="20"/>
          <w:szCs w:val="20"/>
          <w:color w:val="auto"/>
        </w:rPr>
      </w:pPr>
    </w:p>
    <w:p>
      <w:pPr>
        <w:jc w:val="both"/>
        <w:ind w:firstLine="568"/>
        <w:spacing w:after="0" w:line="22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Reference Time</w:t>
      </w:r>
      <w:r>
        <w:rPr>
          <w:rFonts w:ascii="Arial" w:cs="Arial" w:eastAsia="Arial" w:hAnsi="Arial"/>
          <w:sz w:val="17"/>
          <w:szCs w:val="17"/>
          <w:color w:val="auto"/>
        </w:rPr>
        <w:t>” with respect to any setting of the then-current Benchmark means (1) if such Benchmark is the Term SOFR Rate, 5:00 a.m., Chicago time, on the day that is two Business Days preceding the date of such setting or (2) if such Benchmark is not the Term SOFR Rate, the time determined by the Administrative Agent in its reasonable discretion.</w:t>
      </w:r>
    </w:p>
    <w:p>
      <w:pPr>
        <w:spacing w:after="0" w:line="130" w:lineRule="exact"/>
        <w:rPr>
          <w:sz w:val="20"/>
          <w:szCs w:val="20"/>
          <w:color w:val="auto"/>
        </w:rPr>
      </w:pPr>
    </w:p>
    <w:p>
      <w:pPr>
        <w:jc w:val="both"/>
        <w:ind w:right="20" w:firstLine="568"/>
        <w:spacing w:after="0" w:line="24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Refinance</w:t>
      </w:r>
      <w:r>
        <w:rPr>
          <w:rFonts w:ascii="Arial" w:cs="Arial" w:eastAsia="Arial" w:hAnsi="Arial"/>
          <w:sz w:val="17"/>
          <w:szCs w:val="17"/>
          <w:color w:val="auto"/>
        </w:rPr>
        <w:t>” shall have the meaning assigned to such term in the definition of the term “Permitted Refinancing,” and “</w:t>
      </w:r>
      <w:r>
        <w:rPr>
          <w:rFonts w:ascii="Arial" w:cs="Arial" w:eastAsia="Arial" w:hAnsi="Arial"/>
          <w:sz w:val="17"/>
          <w:szCs w:val="17"/>
          <w:b w:val="1"/>
          <w:bCs w:val="1"/>
          <w:color w:val="auto"/>
        </w:rPr>
        <w:t>Refinanced</w:t>
      </w:r>
      <w:r>
        <w:rPr>
          <w:rFonts w:ascii="Arial" w:cs="Arial" w:eastAsia="Arial" w:hAnsi="Arial"/>
          <w:sz w:val="17"/>
          <w:szCs w:val="17"/>
          <w:color w:val="auto"/>
        </w:rPr>
        <w:t>” and “</w:t>
      </w:r>
      <w:r>
        <w:rPr>
          <w:rFonts w:ascii="Arial" w:cs="Arial" w:eastAsia="Arial" w:hAnsi="Arial"/>
          <w:sz w:val="17"/>
          <w:szCs w:val="17"/>
          <w:b w:val="1"/>
          <w:bCs w:val="1"/>
          <w:color w:val="auto"/>
        </w:rPr>
        <w:t>Refinancings</w:t>
      </w:r>
      <w:r>
        <w:rPr>
          <w:rFonts w:ascii="Arial" w:cs="Arial" w:eastAsia="Arial" w:hAnsi="Arial"/>
          <w:sz w:val="17"/>
          <w:szCs w:val="17"/>
          <w:color w:val="auto"/>
        </w:rPr>
        <w:t>” shall have a meaning correlative thereto.</w:t>
      </w:r>
    </w:p>
    <w:p>
      <w:pPr>
        <w:spacing w:after="0" w:line="11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Refinanced Debt</w:t>
      </w:r>
      <w:r>
        <w:rPr>
          <w:rFonts w:ascii="Arial" w:cs="Arial" w:eastAsia="Arial" w:hAnsi="Arial"/>
          <w:sz w:val="17"/>
          <w:szCs w:val="17"/>
          <w:color w:val="auto"/>
        </w:rPr>
        <w:t>” has the meaning assigned to such term in the definition of “Credit Agreement Refinancing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1260"/>
          </w:cols>
          <w:pgMar w:left="320" w:top="1440" w:right="319" w:bottom="1440" w:gutter="0" w:footer="0" w:header="0"/>
        </w:sectPr>
      </w:pPr>
    </w:p>
    <w:bookmarkStart w:id="231" w:name="page232"/>
    <w:bookmarkEnd w:id="231"/>
    <w:p>
      <w:pPr>
        <w:spacing w:after="0" w:line="384" w:lineRule="exact"/>
        <w:rPr>
          <w:sz w:val="20"/>
          <w:szCs w:val="20"/>
          <w:color w:val="auto"/>
        </w:rPr>
      </w:pPr>
    </w:p>
    <w:p>
      <w:pPr>
        <w:jc w:val="both"/>
        <w:ind w:left="5" w:firstLine="568"/>
        <w:spacing w:after="0" w:line="22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Refinancing Amendment</w:t>
      </w:r>
      <w:r>
        <w:rPr>
          <w:rFonts w:ascii="Arial" w:cs="Arial" w:eastAsia="Arial" w:hAnsi="Arial"/>
          <w:sz w:val="17"/>
          <w:szCs w:val="17"/>
          <w:color w:val="auto"/>
        </w:rPr>
        <w:t>” means an amendment to this Agreement in form and substance reasonably satisfactory to the Administrative Agent and the Borrower executed by each of (a) the Borrower and Holdings (and to the extent reasonably requested by the Administrative Agent, each other Loan Party), (b) the Administrative Agent and (c) each Additional Lender and Lender that agrees to provide any portion of the Credit Agreement Refinancing Indebtedness being incurred pursuant thereto, in accordance with Section 2.19.</w:t>
      </w:r>
    </w:p>
    <w:p>
      <w:pPr>
        <w:spacing w:after="0" w:line="129" w:lineRule="exact"/>
        <w:rPr>
          <w:sz w:val="20"/>
          <w:szCs w:val="20"/>
          <w:color w:val="auto"/>
        </w:rPr>
      </w:pPr>
    </w:p>
    <w:p>
      <w:pPr>
        <w:ind w:left="56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Register</w:t>
      </w:r>
      <w:r>
        <w:rPr>
          <w:rFonts w:ascii="Arial" w:cs="Arial" w:eastAsia="Arial" w:hAnsi="Arial"/>
          <w:sz w:val="17"/>
          <w:szCs w:val="17"/>
          <w:color w:val="auto"/>
        </w:rPr>
        <w:t>” has the meaning assigned to such term in Section 9.04(b)(iv).</w:t>
      </w:r>
    </w:p>
    <w:p>
      <w:pPr>
        <w:spacing w:after="0" w:line="160" w:lineRule="exact"/>
        <w:rPr>
          <w:sz w:val="20"/>
          <w:szCs w:val="20"/>
          <w:color w:val="auto"/>
        </w:rPr>
      </w:pPr>
    </w:p>
    <w:p>
      <w:pPr>
        <w:jc w:val="both"/>
        <w:ind w:left="5" w:right="20" w:firstLine="568"/>
        <w:spacing w:after="0" w:line="22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Registered Equivalent Notes</w:t>
      </w:r>
      <w:r>
        <w:rPr>
          <w:rFonts w:ascii="Arial" w:cs="Arial" w:eastAsia="Arial" w:hAnsi="Arial"/>
          <w:sz w:val="17"/>
          <w:szCs w:val="17"/>
          <w:color w:val="auto"/>
        </w:rPr>
        <w:t>” means, with respect to any notes originally issued in a Rule 144A or other private placement transaction under the Securities Act of 1933, substantially identical notes (having the same Guarantees) issued in a dollar-for-dollar exchange therefor pursuant to an exchange offer registered with the SEC.</w:t>
      </w:r>
    </w:p>
    <w:p>
      <w:pPr>
        <w:spacing w:after="0" w:line="130" w:lineRule="exact"/>
        <w:rPr>
          <w:sz w:val="20"/>
          <w:szCs w:val="20"/>
          <w:color w:val="auto"/>
        </w:rPr>
      </w:pPr>
    </w:p>
    <w:p>
      <w:pPr>
        <w:jc w:val="both"/>
        <w:ind w:left="5" w:firstLine="568"/>
        <w:spacing w:after="0" w:line="21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Regulated Bank</w:t>
      </w:r>
      <w:r>
        <w:rPr>
          <w:rFonts w:ascii="Arial" w:cs="Arial" w:eastAsia="Arial" w:hAnsi="Arial"/>
          <w:sz w:val="17"/>
          <w:szCs w:val="17"/>
          <w:color w:val="auto"/>
        </w:rPr>
        <w:t>” means an Approved Commercial Bank that is (i) a U.S. depository institution the deposits of which are insured by the Federal Deposit Insurance Corporation; (ii) a corporation organized under section 25A of the U.S. Federal Reserve Act of 1913; (iii) a branch, agency or commercial lending company of a foreign bank operating pursuant to approval by and under the supervision of the Federal Reserve Board of the under 12 CFR part 211; (iv) a non-U.S. branch of a foreign bank managed and controlled by a U.S. branch referred to in clause (iii); or (v) any other U.S. or non-U.S. depository institution or any branch, agency or similar office thereof supervised by a bank regulatory authority in any jurisdiction.</w:t>
      </w:r>
    </w:p>
    <w:p>
      <w:pPr>
        <w:spacing w:after="0" w:line="130" w:lineRule="exact"/>
        <w:rPr>
          <w:sz w:val="20"/>
          <w:szCs w:val="20"/>
          <w:color w:val="auto"/>
        </w:rPr>
      </w:pPr>
    </w:p>
    <w:p>
      <w:pPr>
        <w:jc w:val="both"/>
        <w:ind w:left="5" w:right="20" w:firstLine="568"/>
        <w:spacing w:after="0" w:line="24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Regulated Subsidiary</w:t>
      </w:r>
      <w:r>
        <w:rPr>
          <w:rFonts w:ascii="Arial" w:cs="Arial" w:eastAsia="Arial" w:hAnsi="Arial"/>
          <w:sz w:val="17"/>
          <w:szCs w:val="17"/>
          <w:color w:val="auto"/>
        </w:rPr>
        <w:t>” means any Broker-Dealer Subsidiary, any subsidiary of a Broker-Dealer Subsidiary or other Subsidiary subject to regulation of capital adequacy.</w:t>
      </w:r>
    </w:p>
    <w:p>
      <w:pPr>
        <w:spacing w:after="0" w:line="128" w:lineRule="exact"/>
        <w:rPr>
          <w:sz w:val="20"/>
          <w:szCs w:val="20"/>
          <w:color w:val="auto"/>
        </w:rPr>
      </w:pPr>
    </w:p>
    <w:p>
      <w:pPr>
        <w:ind w:left="565"/>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Regulatory Supervising Organization</w:t>
      </w:r>
      <w:r>
        <w:rPr>
          <w:rFonts w:ascii="Arial" w:cs="Arial" w:eastAsia="Arial" w:hAnsi="Arial"/>
          <w:sz w:val="16"/>
          <w:szCs w:val="16"/>
          <w:color w:val="auto"/>
        </w:rPr>
        <w:t>” means any of (a) the SEC, (b) the Financial Industry Regulatory Authority, (c) the Chicago Stock Exchange,</w:t>
      </w:r>
    </w:p>
    <w:p>
      <w:pPr>
        <w:spacing w:after="0" w:line="2" w:lineRule="exact"/>
        <w:rPr>
          <w:sz w:val="20"/>
          <w:szCs w:val="20"/>
          <w:color w:val="auto"/>
        </w:rPr>
      </w:pPr>
    </w:p>
    <w:p>
      <w:pPr>
        <w:jc w:val="both"/>
        <w:ind w:left="5" w:right="20" w:hanging="5"/>
        <w:spacing w:after="0" w:line="220" w:lineRule="auto"/>
        <w:tabs>
          <w:tab w:leader="none" w:pos="296"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Commodity Futures Trading Commission, (e) state securities commissions, (f) the Irish Financial Regulator and (g) any other U.S. or foreign governmental or self-regulatory organization, exchange, clearing house or financial regulatory authority of which any Subsidiary is a member or to whose rules it is subject.</w:t>
      </w:r>
    </w:p>
    <w:p>
      <w:pPr>
        <w:spacing w:after="0" w:line="129" w:lineRule="exact"/>
        <w:rPr>
          <w:sz w:val="20"/>
          <w:szCs w:val="20"/>
          <w:color w:val="auto"/>
        </w:rPr>
      </w:pPr>
    </w:p>
    <w:p>
      <w:pPr>
        <w:jc w:val="both"/>
        <w:ind w:left="5" w:right="20" w:firstLine="568"/>
        <w:spacing w:after="0" w:line="24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Reimbursement Obligation</w:t>
      </w:r>
      <w:r>
        <w:rPr>
          <w:rFonts w:ascii="Arial" w:cs="Arial" w:eastAsia="Arial" w:hAnsi="Arial"/>
          <w:sz w:val="17"/>
          <w:szCs w:val="17"/>
          <w:color w:val="auto"/>
        </w:rPr>
        <w:t>” means the obligation of the Borrower to reimburse the Issuing Banks pursuant to Section 2.22(d) for amounts drawn under Letters of Credit.</w:t>
      </w:r>
    </w:p>
    <w:p>
      <w:pPr>
        <w:spacing w:after="0" w:line="128" w:lineRule="exact"/>
        <w:rPr>
          <w:sz w:val="20"/>
          <w:szCs w:val="20"/>
          <w:color w:val="auto"/>
        </w:rPr>
      </w:pPr>
    </w:p>
    <w:p>
      <w:pPr>
        <w:jc w:val="both"/>
        <w:ind w:left="5" w:firstLine="568"/>
        <w:spacing w:after="0" w:line="27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Related Parties</w:t>
      </w:r>
      <w:r>
        <w:rPr>
          <w:rFonts w:ascii="Arial" w:cs="Arial" w:eastAsia="Arial" w:hAnsi="Arial"/>
          <w:sz w:val="16"/>
          <w:szCs w:val="16"/>
          <w:color w:val="auto"/>
        </w:rPr>
        <w:t>” means, with respect to any specified Person, such Person’s Affiliates and the partners, directors, officers, employees, trustees, agents, controlling persons, advisors and other representatives of such Person and of each of such Person’s Affiliates and permitted successors and assigns.</w:t>
      </w:r>
    </w:p>
    <w:p>
      <w:pPr>
        <w:spacing w:after="0" w:line="105" w:lineRule="exact"/>
        <w:rPr>
          <w:sz w:val="20"/>
          <w:szCs w:val="20"/>
          <w:color w:val="auto"/>
        </w:rPr>
      </w:pPr>
    </w:p>
    <w:p>
      <w:pPr>
        <w:jc w:val="both"/>
        <w:ind w:left="5" w:right="20" w:firstLine="568"/>
        <w:spacing w:after="0" w:line="22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Release</w:t>
      </w:r>
      <w:r>
        <w:rPr>
          <w:rFonts w:ascii="Arial" w:cs="Arial" w:eastAsia="Arial" w:hAnsi="Arial"/>
          <w:sz w:val="17"/>
          <w:szCs w:val="17"/>
          <w:color w:val="auto"/>
        </w:rPr>
        <w:t>” means any release, spill, emission, leaking, dumping, injection, pouring, deposit, disposal, discharge, dispersal, leaching or migration into or through the environment (including ambient air, surface water, groundwater, land surface or subsurface strata) and including the environment within any building, or any occupied structure, facility or fixture.</w:t>
      </w:r>
    </w:p>
    <w:p>
      <w:pPr>
        <w:spacing w:after="0" w:line="130" w:lineRule="exact"/>
        <w:rPr>
          <w:sz w:val="20"/>
          <w:szCs w:val="20"/>
          <w:color w:val="auto"/>
        </w:rPr>
      </w:pPr>
    </w:p>
    <w:p>
      <w:pPr>
        <w:ind w:left="56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Released Subsidiary</w:t>
      </w:r>
      <w:r>
        <w:rPr>
          <w:rFonts w:ascii="Arial" w:cs="Arial" w:eastAsia="Arial" w:hAnsi="Arial"/>
          <w:sz w:val="17"/>
          <w:szCs w:val="17"/>
          <w:color w:val="auto"/>
        </w:rPr>
        <w:t>” has the meaning assigned to such term in Section 9.14(b).</w:t>
      </w:r>
    </w:p>
    <w:p>
      <w:pPr>
        <w:spacing w:after="0" w:line="160" w:lineRule="exact"/>
        <w:rPr>
          <w:sz w:val="20"/>
          <w:szCs w:val="20"/>
          <w:color w:val="auto"/>
        </w:rPr>
      </w:pPr>
    </w:p>
    <w:p>
      <w:pPr>
        <w:jc w:val="both"/>
        <w:ind w:left="5" w:right="20" w:firstLine="568"/>
        <w:spacing w:after="0" w:line="24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Relevant Governmental Body</w:t>
      </w:r>
      <w:r>
        <w:rPr>
          <w:rFonts w:ascii="Arial" w:cs="Arial" w:eastAsia="Arial" w:hAnsi="Arial"/>
          <w:sz w:val="17"/>
          <w:szCs w:val="17"/>
          <w:color w:val="auto"/>
        </w:rPr>
        <w:t>” means the Federal Reserve Board and/or the NYFRB, the CME Term SOFR Administrator, as applicable, or a committee officially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4"/>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1265"/>
          </w:cols>
          <w:pgMar w:left="315" w:top="1440" w:right="319" w:bottom="1440" w:gutter="0" w:footer="0" w:header="0"/>
        </w:sectPr>
      </w:pPr>
    </w:p>
    <w:bookmarkStart w:id="232" w:name="page233"/>
    <w:bookmarkEnd w:id="232"/>
    <w:p>
      <w:pPr>
        <w:spacing w:after="0" w:line="390" w:lineRule="exact"/>
        <w:rPr>
          <w:sz w:val="20"/>
          <w:szCs w:val="20"/>
          <w:color w:val="auto"/>
        </w:rPr>
      </w:pPr>
    </w:p>
    <w:p>
      <w:pPr>
        <w:spacing w:after="0"/>
        <w:rPr>
          <w:sz w:val="20"/>
          <w:szCs w:val="20"/>
          <w:color w:val="auto"/>
        </w:rPr>
      </w:pPr>
      <w:r>
        <w:rPr>
          <w:rFonts w:ascii="Arial" w:cs="Arial" w:eastAsia="Arial" w:hAnsi="Arial"/>
          <w:sz w:val="17"/>
          <w:szCs w:val="17"/>
          <w:color w:val="auto"/>
        </w:rPr>
        <w:t>endorsed or convened by the Federal Reserve Board and/or the NYFRB or, in each case, any successor thereto.</w:t>
      </w:r>
    </w:p>
    <w:p>
      <w:pPr>
        <w:spacing w:after="0" w:line="154" w:lineRule="exact"/>
        <w:rPr>
          <w:sz w:val="20"/>
          <w:szCs w:val="20"/>
          <w:color w:val="auto"/>
        </w:rPr>
      </w:pPr>
    </w:p>
    <w:p>
      <w:pPr>
        <w:jc w:val="both"/>
        <w:ind w:firstLine="568"/>
        <w:spacing w:after="0" w:line="24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Repo Agreement</w:t>
      </w:r>
      <w:r>
        <w:rPr>
          <w:rFonts w:ascii="Arial" w:cs="Arial" w:eastAsia="Arial" w:hAnsi="Arial"/>
          <w:sz w:val="17"/>
          <w:szCs w:val="17"/>
          <w:color w:val="auto"/>
        </w:rPr>
        <w:t>” means any of the following: repurchase agreements, reverse repurchase agreements, sell buy backs and buy sell backs agreements, securities lending and borrowing agreements and any other agreement or transaction similar to those referred to above in this definition.</w:t>
      </w:r>
    </w:p>
    <w:p>
      <w:pPr>
        <w:spacing w:after="0" w:line="128" w:lineRule="exact"/>
        <w:rPr>
          <w:sz w:val="20"/>
          <w:szCs w:val="20"/>
          <w:color w:val="auto"/>
        </w:rPr>
      </w:pPr>
    </w:p>
    <w:p>
      <w:pPr>
        <w:jc w:val="both"/>
        <w:ind w:right="20" w:firstLine="568"/>
        <w:spacing w:after="0" w:line="22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Repricing Transaction</w:t>
      </w:r>
      <w:r>
        <w:rPr>
          <w:rFonts w:ascii="Arial" w:cs="Arial" w:eastAsia="Arial" w:hAnsi="Arial"/>
          <w:sz w:val="16"/>
          <w:szCs w:val="16"/>
          <w:color w:val="auto"/>
        </w:rPr>
        <w:t>” means the prepayment or refinancing of all or a portion of the Initial Term Loans with the incurrence by any Loan Party of any Indebtedness in the form of long term bank debt financing in the form of term loans denominated in United States dollars that are broadly syndicated to banks and other institutional investors incurred for the primary purpose of repaying, refinancing, substituting or replacing the Initial Term Loans and having an effective All-In Yield (as determined by the Administrative Agent consistent with generally accepted financial practice) that is less than the All-In Yield (as determined by the Administrative Agent on the same basis) of the Initial Term Loans (other than, for the avoidance of doubt, securitizations), including without limitation, as may be effected through any amendment to this Agreement relating to the All-In Yield of such Initial Term Loans, except for any such Indebtedness incurred or amendment effected in connection with a Change in Control or a Transformative Acquisition.</w:t>
      </w:r>
    </w:p>
    <w:p>
      <w:pPr>
        <w:spacing w:after="0" w:line="131" w:lineRule="exact"/>
        <w:rPr>
          <w:sz w:val="20"/>
          <w:szCs w:val="20"/>
          <w:color w:val="auto"/>
        </w:rPr>
      </w:pPr>
    </w:p>
    <w:p>
      <w:pPr>
        <w:jc w:val="both"/>
        <w:ind w:firstLine="568"/>
        <w:spacing w:after="0" w:line="23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Required Lenders</w:t>
      </w:r>
      <w:r>
        <w:rPr>
          <w:rFonts w:ascii="Arial" w:cs="Arial" w:eastAsia="Arial" w:hAnsi="Arial"/>
          <w:sz w:val="16"/>
          <w:szCs w:val="16"/>
          <w:color w:val="auto"/>
        </w:rPr>
        <w:t xml:space="preserve">” means, at any time, Lenders having Revolving Exposures, Term Loans and unused Commitments (other than Swingline Commitments) representing more than 50% of the aggregate Revolving Exposures, outstanding Term Loans and unused Commitments (other than Swingline Commitments) at such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to the extent set forth in Section 9.02, (a) the Revolving Exposures, Term Loans and unused Commitments of the Borrower or any Affiliate thereof and (b) whenever there are one or more Defaulting Lenders, the total outstanding Revolving Exposures of, and the unused Revolving Commitments of, each Defaulting Lender shall in each case be excluded for purposes of making a determination of Required Lenders.</w:t>
      </w:r>
    </w:p>
    <w:p>
      <w:pPr>
        <w:spacing w:after="0" w:line="129" w:lineRule="exact"/>
        <w:rPr>
          <w:sz w:val="20"/>
          <w:szCs w:val="20"/>
          <w:color w:val="auto"/>
        </w:rPr>
      </w:pPr>
    </w:p>
    <w:p>
      <w:pPr>
        <w:jc w:val="both"/>
        <w:ind w:firstLine="568"/>
        <w:spacing w:after="0" w:line="21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Required Revolving Lenders</w:t>
      </w:r>
      <w:r>
        <w:rPr>
          <w:rFonts w:ascii="Arial" w:cs="Arial" w:eastAsia="Arial" w:hAnsi="Arial"/>
          <w:sz w:val="17"/>
          <w:szCs w:val="17"/>
          <w:color w:val="auto"/>
        </w:rPr>
        <w:t xml:space="preserve">” means, at any time, Revolving Lenders having Revolving Exposures and unused Revolving Commitments (exclusive of Swingline Commitments) representing more than 50% of the sum of the aggregate Revolving Exposures and the aggregate unused Revolving Commitments (exclusive of Swingline Commitments) at such time;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to the extent set forth in Section 9.02, (a) the Revolving Exposures and unused Revolving Commitments of any Affiliate of the Borrower and (b) whenever there are one or more Defaulting Lenders, the total outstanding Revolving Exposures of, and the unused Revolving Commitments of, each Defaulting Lender shall in each case be excluded for purposes of making a determination of Required Revolving Lenders.</w:t>
      </w:r>
    </w:p>
    <w:p>
      <w:pPr>
        <w:spacing w:after="0" w:line="133" w:lineRule="exact"/>
        <w:rPr>
          <w:sz w:val="20"/>
          <w:szCs w:val="20"/>
          <w:color w:val="auto"/>
        </w:rPr>
      </w:pPr>
    </w:p>
    <w:p>
      <w:pPr>
        <w:jc w:val="both"/>
        <w:ind w:firstLine="568"/>
        <w:spacing w:after="0" w:line="26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Requirements of Law</w:t>
      </w:r>
      <w:r>
        <w:rPr>
          <w:rFonts w:ascii="Arial" w:cs="Arial" w:eastAsia="Arial" w:hAnsi="Arial"/>
          <w:sz w:val="15"/>
          <w:szCs w:val="15"/>
          <w:color w:val="auto"/>
        </w:rPr>
        <w:t>” means, with respect to any Person, any statutes, laws (common, statutory or otherwise), treaties, rules, regulations (including any official interpretations thereof), orders, decrees, writs, injunctions or determinations of any arbitrator or court or other Governmental Authority or Regulatory Supervising Organization, in each case applicable to or binding upon such Person or any of its property or to which such Person or any of its property is subject.</w:t>
      </w:r>
    </w:p>
    <w:p>
      <w:pPr>
        <w:spacing w:after="0" w:line="10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Resolution Authority</w:t>
      </w:r>
      <w:r>
        <w:rPr>
          <w:rFonts w:ascii="Arial" w:cs="Arial" w:eastAsia="Arial" w:hAnsi="Arial"/>
          <w:sz w:val="17"/>
          <w:szCs w:val="17"/>
          <w:color w:val="auto"/>
        </w:rPr>
        <w:t>” means an EEA Resolution Authority or, with respect to any UK Financial Institution, a UK Resolution Authority.</w:t>
      </w:r>
    </w:p>
    <w:p>
      <w:pPr>
        <w:spacing w:after="0" w:line="160" w:lineRule="exact"/>
        <w:rPr>
          <w:sz w:val="20"/>
          <w:szCs w:val="20"/>
          <w:color w:val="auto"/>
        </w:rPr>
      </w:pPr>
    </w:p>
    <w:p>
      <w:pPr>
        <w:jc w:val="both"/>
        <w:ind w:right="20" w:firstLine="568"/>
        <w:spacing w:after="0" w:line="24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Responsible Officer</w:t>
      </w:r>
      <w:r>
        <w:rPr>
          <w:rFonts w:ascii="Arial" w:cs="Arial" w:eastAsia="Arial" w:hAnsi="Arial"/>
          <w:sz w:val="17"/>
          <w:szCs w:val="17"/>
          <w:color w:val="auto"/>
        </w:rPr>
        <w:t>” means the chief executive officer, chief operating officer, president, vice president, chief financial officer, treasurer or assistant treasurer, or other similar officer, manager or a director of a Loan Party and with respect to certain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ectPr>
          <w:pgSz w:w="11900" w:h="16838" w:orient="portrait"/>
          <w:cols w:equalWidth="0" w:num="1">
            <w:col w:w="11260"/>
          </w:cols>
          <w:pgMar w:left="320" w:top="1440" w:right="319" w:bottom="1440" w:gutter="0" w:footer="0" w:header="0"/>
        </w:sectPr>
      </w:pPr>
    </w:p>
    <w:bookmarkStart w:id="233" w:name="page234"/>
    <w:bookmarkEnd w:id="233"/>
    <w:p>
      <w:pPr>
        <w:spacing w:after="0" w:line="390" w:lineRule="exact"/>
        <w:rPr>
          <w:sz w:val="20"/>
          <w:szCs w:val="20"/>
          <w:color w:val="auto"/>
        </w:rPr>
      </w:pPr>
    </w:p>
    <w:p>
      <w:pPr>
        <w:jc w:val="both"/>
        <w:spacing w:after="0" w:line="216" w:lineRule="auto"/>
        <w:rPr>
          <w:sz w:val="20"/>
          <w:szCs w:val="20"/>
          <w:color w:val="auto"/>
        </w:rPr>
      </w:pPr>
      <w:r>
        <w:rPr>
          <w:rFonts w:ascii="Arial" w:cs="Arial" w:eastAsia="Arial" w:hAnsi="Arial"/>
          <w:sz w:val="17"/>
          <w:szCs w:val="17"/>
          <w:color w:val="auto"/>
        </w:rPr>
        <w:t>liability companies or partnerships that do not have officers, any manager, sole member, managing member or general partner thereof, and as to any document delivered on the Closing Date or thereafter pursuant to paragraph (a)(i) of the definition of the term “Collateral and Guarantee Requirement,” any secretary or assistant secretary of a Loan Party.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132" w:lineRule="exact"/>
        <w:rPr>
          <w:sz w:val="20"/>
          <w:szCs w:val="20"/>
          <w:color w:val="auto"/>
        </w:rPr>
      </w:pPr>
    </w:p>
    <w:p>
      <w:pPr>
        <w:jc w:val="both"/>
        <w:ind w:firstLine="568"/>
        <w:spacing w:after="0" w:line="21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Restricted Payment</w:t>
      </w:r>
      <w:r>
        <w:rPr>
          <w:rFonts w:ascii="Arial" w:cs="Arial" w:eastAsia="Arial" w:hAnsi="Arial"/>
          <w:sz w:val="17"/>
          <w:szCs w:val="17"/>
          <w:color w:val="auto"/>
        </w:rPr>
        <w:t>” means any dividend or other distribution (whether in cash, securities or other property) with respect to any Equity Interests in Holdings, the Borrower or any Restricted Subsidiary or any Intermediate Parent, or any payment (whether in cash, securities or other property), including any sinking fund or similar deposit, on account of the purchase, redemption, retirement, acquisition, cancellation or termination of any Equity Interests in Holdings, any Intermediate Parent, the Borrower or any Restricted Subsidiary or any option, warrant or other right to acquire any such Equity Interests in Holdings, any Intermediate Parent, the Borrower or any Restricted Subsidiary.</w:t>
      </w:r>
    </w:p>
    <w:p>
      <w:pPr>
        <w:spacing w:after="0" w:line="13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Restricted Subsidiary</w:t>
      </w:r>
      <w:r>
        <w:rPr>
          <w:rFonts w:ascii="Arial" w:cs="Arial" w:eastAsia="Arial" w:hAnsi="Arial"/>
          <w:sz w:val="17"/>
          <w:szCs w:val="17"/>
          <w:color w:val="auto"/>
        </w:rPr>
        <w:t>” means any Subsidiary other than an Unrestricted Subsidiary.</w:t>
      </w:r>
    </w:p>
    <w:p>
      <w:pPr>
        <w:spacing w:after="0" w:line="160" w:lineRule="exact"/>
        <w:rPr>
          <w:sz w:val="20"/>
          <w:szCs w:val="20"/>
          <w:color w:val="auto"/>
        </w:rPr>
      </w:pPr>
    </w:p>
    <w:p>
      <w:pPr>
        <w:jc w:val="both"/>
        <w:ind w:right="20" w:firstLine="568"/>
        <w:spacing w:after="0" w:line="27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Retained Asset Sale Proceeds</w:t>
      </w:r>
      <w:r>
        <w:rPr>
          <w:rFonts w:ascii="Arial" w:cs="Arial" w:eastAsia="Arial" w:hAnsi="Arial"/>
          <w:sz w:val="16"/>
          <w:szCs w:val="16"/>
          <w:color w:val="auto"/>
        </w:rPr>
        <w:t>” means that portion of Net Proceeds of a Prepayment Event pursuant to clause (a) of the definition thereof that is not required to be applied to prepay Initial Term Loans pursuant to Section 2.09(b) solely as a result of the Asset Sale Percentage being less than 100%.</w:t>
      </w:r>
    </w:p>
    <w:p>
      <w:pPr>
        <w:spacing w:after="0" w:line="105" w:lineRule="exact"/>
        <w:rPr>
          <w:sz w:val="20"/>
          <w:szCs w:val="20"/>
          <w:color w:val="auto"/>
        </w:rPr>
      </w:pPr>
    </w:p>
    <w:p>
      <w:pPr>
        <w:jc w:val="both"/>
        <w:ind w:right="20" w:firstLine="568"/>
        <w:spacing w:after="0" w:line="24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Revolving Availability Period</w:t>
      </w:r>
      <w:r>
        <w:rPr>
          <w:rFonts w:ascii="Arial" w:cs="Arial" w:eastAsia="Arial" w:hAnsi="Arial"/>
          <w:sz w:val="17"/>
          <w:szCs w:val="17"/>
          <w:color w:val="auto"/>
        </w:rPr>
        <w:t>” means the period from and including the Closing Date to but excluding the earlier of (a) the Revolving Maturity Date and (b) the date of the termination of the Revolving Commitments.</w:t>
      </w:r>
    </w:p>
    <w:p>
      <w:pPr>
        <w:spacing w:after="0" w:line="128" w:lineRule="exact"/>
        <w:rPr>
          <w:sz w:val="20"/>
          <w:szCs w:val="20"/>
          <w:color w:val="auto"/>
        </w:rPr>
      </w:pPr>
    </w:p>
    <w:p>
      <w:pPr>
        <w:jc w:val="both"/>
        <w:ind w:firstLine="568"/>
        <w:spacing w:after="0" w:line="21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Revolving Commitment</w:t>
      </w:r>
      <w:r>
        <w:rPr>
          <w:rFonts w:ascii="Arial" w:cs="Arial" w:eastAsia="Arial" w:hAnsi="Arial"/>
          <w:sz w:val="17"/>
          <w:szCs w:val="17"/>
          <w:color w:val="auto"/>
        </w:rPr>
        <w:t>” means, with respect to each Lender, the commitment, if any, of such Lender to make Revolving Loans and to acquire participations in Swingline Loans and Letters of Credit hereunder, expressed as an amount representing the maximum possible aggregate amount of such Lender’s Revolving Exposure hereunder, as such commitment may be (a) reduced from time to time pursuant to Section 2.06 and (b) reduced or increased from time to time pursuant to (i) assignments by or to such Lender pursuant to an Assignment and Assumption or (ii) a Refinancing Amendment. The initial amount of each Lender’s Revolving Commitment is set forth on Schedule 2.01, in the Assignment and Assumption or in the Refinancing Amendment pursuant to which such Lender shall have assumed its Revolving Commitment, as the case may be. The initial aggregate amount of the Lenders’ Revolving Commitments as of the Closing Date is $250,000,000.</w:t>
      </w:r>
    </w:p>
    <w:p>
      <w:pPr>
        <w:spacing w:after="0" w:line="13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Revolving Commitment Increase Lender</w:t>
      </w:r>
      <w:r>
        <w:rPr>
          <w:rFonts w:ascii="Arial" w:cs="Arial" w:eastAsia="Arial" w:hAnsi="Arial"/>
          <w:sz w:val="17"/>
          <w:szCs w:val="17"/>
          <w:color w:val="auto"/>
        </w:rPr>
        <w:t>” has the meaning assigned to such term in Section 2.18(c)(i).</w:t>
      </w:r>
    </w:p>
    <w:p>
      <w:pPr>
        <w:spacing w:after="0" w:line="160" w:lineRule="exact"/>
        <w:rPr>
          <w:sz w:val="20"/>
          <w:szCs w:val="20"/>
          <w:color w:val="auto"/>
        </w:rPr>
      </w:pPr>
    </w:p>
    <w:p>
      <w:pPr>
        <w:jc w:val="both"/>
        <w:ind w:firstLine="568"/>
        <w:spacing w:after="0" w:line="24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Revolving Exposure</w:t>
      </w:r>
      <w:r>
        <w:rPr>
          <w:rFonts w:ascii="Arial" w:cs="Arial" w:eastAsia="Arial" w:hAnsi="Arial"/>
          <w:sz w:val="17"/>
          <w:szCs w:val="17"/>
          <w:color w:val="auto"/>
        </w:rPr>
        <w:t>” means, with respect to any Lender at any time, the sum of (i) the outstanding principal amount of such Lender’s Revolving Loans then outstanding, (ii) such Lender’s LC Exposure at such time and (iii) such Lender’s Swingline Exposure at such time.</w:t>
      </w:r>
    </w:p>
    <w:p>
      <w:pPr>
        <w:spacing w:after="0" w:line="12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Revolving Facility</w:t>
      </w:r>
      <w:r>
        <w:rPr>
          <w:rFonts w:ascii="Arial" w:cs="Arial" w:eastAsia="Arial" w:hAnsi="Arial"/>
          <w:sz w:val="17"/>
          <w:szCs w:val="17"/>
          <w:color w:val="auto"/>
        </w:rPr>
        <w:t>” means the Revolving Commitments and Revolving Loans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ectPr>
          <w:pgSz w:w="11900" w:h="16838" w:orient="portrait"/>
          <w:cols w:equalWidth="0" w:num="1">
            <w:col w:w="11260"/>
          </w:cols>
          <w:pgMar w:left="320" w:top="1440" w:right="319" w:bottom="1440" w:gutter="0" w:footer="0" w:header="0"/>
        </w:sectPr>
      </w:pPr>
    </w:p>
    <w:bookmarkStart w:id="234" w:name="page235"/>
    <w:bookmarkEnd w:id="234"/>
    <w:p>
      <w:pPr>
        <w:spacing w:after="0" w:line="384" w:lineRule="exact"/>
        <w:rPr>
          <w:sz w:val="20"/>
          <w:szCs w:val="20"/>
          <w:color w:val="auto"/>
        </w:rPr>
      </w:pPr>
    </w:p>
    <w:p>
      <w:pPr>
        <w:jc w:val="both"/>
        <w:ind w:right="20" w:firstLine="568"/>
        <w:spacing w:after="0" w:line="24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Revolving Lender</w:t>
      </w:r>
      <w:r>
        <w:rPr>
          <w:rFonts w:ascii="Arial" w:cs="Arial" w:eastAsia="Arial" w:hAnsi="Arial"/>
          <w:sz w:val="17"/>
          <w:szCs w:val="17"/>
          <w:color w:val="auto"/>
        </w:rPr>
        <w:t>” means a Lender with a Revolving Commitment or, if the Revolving Commitments have terminated or expired, a Lender with Revolving Exposure.</w:t>
      </w:r>
    </w:p>
    <w:p>
      <w:pPr>
        <w:spacing w:after="0" w:line="12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Revolving Loan</w:t>
      </w:r>
      <w:r>
        <w:rPr>
          <w:rFonts w:ascii="Arial" w:cs="Arial" w:eastAsia="Arial" w:hAnsi="Arial"/>
          <w:sz w:val="17"/>
          <w:szCs w:val="17"/>
          <w:color w:val="auto"/>
        </w:rPr>
        <w:t>” means a Loan made pursuant to clause (b) of Section 2.01.</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Revolving Maturity Date</w:t>
      </w:r>
      <w:r>
        <w:rPr>
          <w:rFonts w:ascii="Arial" w:cs="Arial" w:eastAsia="Arial" w:hAnsi="Arial"/>
          <w:sz w:val="17"/>
          <w:szCs w:val="17"/>
          <w:color w:val="auto"/>
        </w:rPr>
        <w:t>” means January 13, 2025.</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S&amp;P</w:t>
      </w:r>
      <w:r>
        <w:rPr>
          <w:rFonts w:ascii="Arial" w:cs="Arial" w:eastAsia="Arial" w:hAnsi="Arial"/>
          <w:sz w:val="16"/>
          <w:szCs w:val="16"/>
          <w:color w:val="auto"/>
        </w:rPr>
        <w:t>” means Standard &amp; Poor’s Ratings Services, a division of The McGraw-Hill Companies, Inc., and any successor to its rating agency business.</w:t>
      </w:r>
    </w:p>
    <w:p>
      <w:pPr>
        <w:spacing w:after="0" w:line="171" w:lineRule="exact"/>
        <w:rPr>
          <w:sz w:val="20"/>
          <w:szCs w:val="20"/>
          <w:color w:val="auto"/>
        </w:rPr>
      </w:pPr>
    </w:p>
    <w:p>
      <w:pPr>
        <w:jc w:val="both"/>
        <w:ind w:right="20" w:firstLine="568"/>
        <w:spacing w:after="0" w:line="24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Sanctions</w:t>
      </w:r>
      <w:r>
        <w:rPr>
          <w:rFonts w:ascii="Arial" w:cs="Arial" w:eastAsia="Arial" w:hAnsi="Arial"/>
          <w:sz w:val="17"/>
          <w:szCs w:val="17"/>
          <w:color w:val="auto"/>
        </w:rPr>
        <w:t>” means economic sanctions administered or enforced by the United States Government (including without limitation, sanctions enforced by OFAC), the United Nations Security Council, the European Union or Her Majesty’s Treasury.</w:t>
      </w:r>
    </w:p>
    <w:p>
      <w:pPr>
        <w:spacing w:after="0" w:line="12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SDN List</w:t>
      </w:r>
      <w:r>
        <w:rPr>
          <w:rFonts w:ascii="Arial" w:cs="Arial" w:eastAsia="Arial" w:hAnsi="Arial"/>
          <w:sz w:val="17"/>
          <w:szCs w:val="17"/>
          <w:color w:val="auto"/>
        </w:rPr>
        <w:t>” has the meaning assigned to such term in Section 3.19(d)(i).</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w:t>
      </w:r>
      <w:r>
        <w:rPr>
          <w:rFonts w:ascii="Arial" w:cs="Arial" w:eastAsia="Arial" w:hAnsi="Arial"/>
          <w:sz w:val="17"/>
          <w:szCs w:val="17"/>
          <w:color w:val="auto"/>
        </w:rPr>
        <w:t>” means the Securities and Exchange Commission or any Governmental Authority succeeding to any of its principal functions.</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Secured Leverage Incurrence Ratio</w:t>
      </w:r>
      <w:r>
        <w:rPr>
          <w:rFonts w:ascii="Arial" w:cs="Arial" w:eastAsia="Arial" w:hAnsi="Arial"/>
          <w:sz w:val="17"/>
          <w:szCs w:val="17"/>
          <w:color w:val="auto"/>
        </w:rPr>
        <w:t>” has the meaning assigned to such term in the definition of “Incremental Cap.”</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Secured Obligations</w:t>
      </w:r>
      <w:r>
        <w:rPr>
          <w:rFonts w:ascii="Arial" w:cs="Arial" w:eastAsia="Arial" w:hAnsi="Arial"/>
          <w:sz w:val="17"/>
          <w:szCs w:val="17"/>
          <w:color w:val="auto"/>
        </w:rPr>
        <w:t>” has the meaning assigned to such term in the Collateral Agreement.</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Secured Parties</w:t>
      </w:r>
      <w:r>
        <w:rPr>
          <w:rFonts w:ascii="Arial" w:cs="Arial" w:eastAsia="Arial" w:hAnsi="Arial"/>
          <w:sz w:val="17"/>
          <w:szCs w:val="17"/>
          <w:color w:val="auto"/>
        </w:rPr>
        <w:t>” has the meaning assigned to such term in the Collateral Agreement.</w:t>
      </w:r>
    </w:p>
    <w:p>
      <w:pPr>
        <w:spacing w:after="0" w:line="160" w:lineRule="exact"/>
        <w:rPr>
          <w:sz w:val="20"/>
          <w:szCs w:val="20"/>
          <w:color w:val="auto"/>
        </w:rPr>
      </w:pPr>
    </w:p>
    <w:p>
      <w:pPr>
        <w:jc w:val="both"/>
        <w:ind w:firstLine="568"/>
        <w:spacing w:after="0" w:line="2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Securitization Assets</w:t>
      </w:r>
      <w:r>
        <w:rPr>
          <w:rFonts w:ascii="Arial" w:cs="Arial" w:eastAsia="Arial" w:hAnsi="Arial"/>
          <w:sz w:val="17"/>
          <w:szCs w:val="17"/>
          <w:color w:val="auto"/>
        </w:rPr>
        <w:t>” shall mean any of the following assets (or interests therein) from time to time originated, acquired or otherwise owned by the Borrower or any Subsidiary or in which the Borrower or any Subsidiary has any rights or interests, in each case, without regard to where such assets or interests are located: (a) Receivables Assets, (b) revenues related to distribution and licensing of the products of the Borrower or any Subsidiary, (c) Intellectual Property rights relating to the generation of any of the types of assets listed in this definition, (d) any Equity Interests of any Special Purpose Securitization Subsidiary or any Subsidiary of a Special Purpose Securitization Subsidiary and any rights under any limited liability company agreement, trust agreement, shareholders agreement, organization or formation documents or other agreement entered into in furtherance of the organization of such entity and (e) other assets and property (or proceeds of such assets or property) to the extent customarily included in securitization transactions of the relevant type in the applicable jurisdictions (as determined by the Borrower in good faith).</w:t>
      </w:r>
    </w:p>
    <w:p>
      <w:pPr>
        <w:spacing w:after="0" w:line="134" w:lineRule="exact"/>
        <w:rPr>
          <w:sz w:val="20"/>
          <w:szCs w:val="20"/>
          <w:color w:val="auto"/>
        </w:rPr>
      </w:pPr>
    </w:p>
    <w:p>
      <w:pPr>
        <w:jc w:val="both"/>
        <w:ind w:right="20" w:firstLine="568"/>
        <w:spacing w:after="0" w:line="24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Security Documents</w:t>
      </w:r>
      <w:r>
        <w:rPr>
          <w:rFonts w:ascii="Arial" w:cs="Arial" w:eastAsia="Arial" w:hAnsi="Arial"/>
          <w:sz w:val="17"/>
          <w:szCs w:val="17"/>
          <w:color w:val="auto"/>
        </w:rPr>
        <w:t>” means the Collateral Agreement, the Mortgages and each other security agreement or pledge agreement executed and delivered pursuant to the Collateral and Guarantee Requirement, Section 5.11 or 5.12 to secure any of the Secured Obligations.</w:t>
      </w:r>
    </w:p>
    <w:p>
      <w:pPr>
        <w:spacing w:after="0" w:line="128" w:lineRule="exact"/>
        <w:rPr>
          <w:sz w:val="20"/>
          <w:szCs w:val="20"/>
          <w:color w:val="auto"/>
        </w:rPr>
      </w:pPr>
    </w:p>
    <w:p>
      <w:pPr>
        <w:jc w:val="both"/>
        <w:ind w:right="20" w:firstLine="568"/>
        <w:spacing w:after="0" w:line="22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Senior Representative</w:t>
      </w:r>
      <w:r>
        <w:rPr>
          <w:rFonts w:ascii="Arial" w:cs="Arial" w:eastAsia="Arial" w:hAnsi="Arial"/>
          <w:sz w:val="17"/>
          <w:szCs w:val="17"/>
          <w:color w:val="auto"/>
        </w:rPr>
        <w:t>” means, with respect to any series of Permitted First Priority Refinancing Debt, Permitted Junior Lien Refinancing Debt, Indebtedness permitted to be secured (to the extent secured by Collateral) pursuant to Section 6.01(a)(viii) or Section 6.01(a)(ix) or Incremental Equivalent Debt incurred under Section 6.01(a)(xxii), the trustee, administrative agent, collateral agent, security agent or similar agent under the indenture or agreement pursuant to which such Indebtedness is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1260"/>
          </w:cols>
          <w:pgMar w:left="320" w:top="1440" w:right="319" w:bottom="1440" w:gutter="0" w:footer="0" w:header="0"/>
        </w:sectPr>
      </w:pPr>
    </w:p>
    <w:bookmarkStart w:id="235" w:name="page236"/>
    <w:bookmarkEnd w:id="235"/>
    <w:p>
      <w:pPr>
        <w:spacing w:after="0" w:line="390" w:lineRule="exact"/>
        <w:rPr>
          <w:sz w:val="20"/>
          <w:szCs w:val="20"/>
          <w:color w:val="auto"/>
        </w:rPr>
      </w:pPr>
    </w:p>
    <w:p>
      <w:pPr>
        <w:spacing w:after="0"/>
        <w:rPr>
          <w:sz w:val="20"/>
          <w:szCs w:val="20"/>
          <w:color w:val="auto"/>
        </w:rPr>
      </w:pPr>
      <w:r>
        <w:rPr>
          <w:rFonts w:ascii="Arial" w:cs="Arial" w:eastAsia="Arial" w:hAnsi="Arial"/>
          <w:sz w:val="17"/>
          <w:szCs w:val="17"/>
          <w:color w:val="auto"/>
        </w:rPr>
        <w:t>incurred or otherwise obtained, as the case may be, and each of their successors in such capacities.</w:t>
      </w:r>
    </w:p>
    <w:p>
      <w:pPr>
        <w:spacing w:after="0" w:line="154" w:lineRule="exact"/>
        <w:rPr>
          <w:sz w:val="20"/>
          <w:szCs w:val="20"/>
          <w:color w:val="auto"/>
        </w:rPr>
      </w:pPr>
    </w:p>
    <w:p>
      <w:pPr>
        <w:jc w:val="both"/>
        <w:ind w:firstLine="568"/>
        <w:spacing w:after="0" w:line="22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Similar Business</w:t>
      </w:r>
      <w:r>
        <w:rPr>
          <w:rFonts w:ascii="Arial" w:cs="Arial" w:eastAsia="Arial" w:hAnsi="Arial"/>
          <w:sz w:val="17"/>
          <w:szCs w:val="17"/>
          <w:color w:val="auto"/>
        </w:rPr>
        <w:t>” means any business, the majority of whose revenues are derived from (i) business or activities conducted by the Borrower and its Subsidiaries on the Closing Date, (ii) any business that is a natural outgrowth or reasonable extension, development or expansion of any such business or any business similar, reasonably related, incidental, complementary or ancillary to any of the foregoing or (iii) any business that in the Borrower’s good faith business judgment constitutes a reasonable diversification of businesses conducted by the Borrower and its Subsidiaries.</w:t>
      </w:r>
    </w:p>
    <w:p>
      <w:pPr>
        <w:spacing w:after="0" w:line="12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SOFR</w:t>
      </w:r>
      <w:r>
        <w:rPr>
          <w:rFonts w:ascii="Arial" w:cs="Arial" w:eastAsia="Arial" w:hAnsi="Arial"/>
          <w:sz w:val="17"/>
          <w:szCs w:val="17"/>
          <w:color w:val="auto"/>
        </w:rPr>
        <w:t>” means a rate equal to the secured overnight financing rate as administered by the SOFR Administrator.</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SOFR Administrator</w:t>
      </w:r>
      <w:r>
        <w:rPr>
          <w:rFonts w:ascii="Arial" w:cs="Arial" w:eastAsia="Arial" w:hAnsi="Arial"/>
          <w:sz w:val="17"/>
          <w:szCs w:val="17"/>
          <w:color w:val="auto"/>
        </w:rPr>
        <w:t>” means the NYFRB (or a successor administrator of the secured overnight financing rate).</w:t>
      </w:r>
    </w:p>
    <w:p>
      <w:pPr>
        <w:spacing w:after="0" w:line="160" w:lineRule="exact"/>
        <w:rPr>
          <w:sz w:val="20"/>
          <w:szCs w:val="20"/>
          <w:color w:val="auto"/>
        </w:rPr>
      </w:pPr>
    </w:p>
    <w:p>
      <w:pPr>
        <w:jc w:val="both"/>
        <w:ind w:right="20" w:firstLine="568"/>
        <w:spacing w:after="0" w:line="24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SOFR Administrator’s Website</w:t>
      </w:r>
      <w:r>
        <w:rPr>
          <w:rFonts w:ascii="Arial" w:cs="Arial" w:eastAsia="Arial" w:hAnsi="Arial"/>
          <w:sz w:val="17"/>
          <w:szCs w:val="17"/>
          <w:color w:val="auto"/>
        </w:rPr>
        <w:t>” means the NYFRB’s website, currently at http://www.newyorkfed.org, or any successor source for the secured overnight financing rate identified as such by the SOFR Administrator from time to time.</w:t>
      </w:r>
    </w:p>
    <w:p>
      <w:pPr>
        <w:spacing w:after="0" w:line="12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SOFR Determination Date</w:t>
      </w:r>
      <w:r>
        <w:rPr>
          <w:rFonts w:ascii="Arial" w:cs="Arial" w:eastAsia="Arial" w:hAnsi="Arial"/>
          <w:sz w:val="17"/>
          <w:szCs w:val="17"/>
          <w:color w:val="auto"/>
        </w:rPr>
        <w:t>” has the meaning assigned to such term in the definition of “Daily Simple SOFR”.</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SOFR Rate Day</w:t>
      </w:r>
      <w:r>
        <w:rPr>
          <w:rFonts w:ascii="Arial" w:cs="Arial" w:eastAsia="Arial" w:hAnsi="Arial"/>
          <w:sz w:val="17"/>
          <w:szCs w:val="17"/>
          <w:color w:val="auto"/>
        </w:rPr>
        <w:t>” has the mean specified in the definition of “Daily Simple SOFR”.</w:t>
      </w:r>
    </w:p>
    <w:p>
      <w:pPr>
        <w:spacing w:after="0" w:line="160" w:lineRule="exact"/>
        <w:rPr>
          <w:sz w:val="20"/>
          <w:szCs w:val="20"/>
          <w:color w:val="auto"/>
        </w:rPr>
      </w:pPr>
    </w:p>
    <w:p>
      <w:pPr>
        <w:ind w:left="560" w:right="2320"/>
        <w:spacing w:after="0" w:line="43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Sold Entity or Business</w:t>
      </w:r>
      <w:r>
        <w:rPr>
          <w:rFonts w:ascii="Arial" w:cs="Arial" w:eastAsia="Arial" w:hAnsi="Arial"/>
          <w:sz w:val="17"/>
          <w:szCs w:val="17"/>
          <w:color w:val="auto"/>
        </w:rPr>
        <w:t>” has the meaning assigned to such term in the definition of the term “Consolidated EBITDA.” “</w:t>
      </w:r>
      <w:r>
        <w:rPr>
          <w:rFonts w:ascii="Arial" w:cs="Arial" w:eastAsia="Arial" w:hAnsi="Arial"/>
          <w:sz w:val="17"/>
          <w:szCs w:val="17"/>
          <w:b w:val="1"/>
          <w:bCs w:val="1"/>
          <w:color w:val="auto"/>
        </w:rPr>
        <w:t>Solicited Discount Proration</w:t>
      </w:r>
      <w:r>
        <w:rPr>
          <w:rFonts w:ascii="Arial" w:cs="Arial" w:eastAsia="Arial" w:hAnsi="Arial"/>
          <w:sz w:val="17"/>
          <w:szCs w:val="17"/>
          <w:color w:val="auto"/>
        </w:rPr>
        <w:t>” has the meaning assigned to such term in Section 2.09(a)(ii)(D)(3).</w:t>
      </w: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Solicited Discounted Prepayment Amount</w:t>
      </w:r>
      <w:r>
        <w:rPr>
          <w:rFonts w:ascii="Arial" w:cs="Arial" w:eastAsia="Arial" w:hAnsi="Arial"/>
          <w:sz w:val="17"/>
          <w:szCs w:val="17"/>
          <w:color w:val="auto"/>
        </w:rPr>
        <w:t>” has the meaning assigned to such term in Section 2.09(a)(ii)(D)(1)(II).</w:t>
      </w:r>
    </w:p>
    <w:p>
      <w:pPr>
        <w:spacing w:after="0" w:line="160" w:lineRule="exact"/>
        <w:rPr>
          <w:sz w:val="20"/>
          <w:szCs w:val="20"/>
          <w:color w:val="auto"/>
        </w:rPr>
      </w:pPr>
    </w:p>
    <w:p>
      <w:pPr>
        <w:jc w:val="both"/>
        <w:ind w:right="20" w:firstLine="568"/>
        <w:spacing w:after="0" w:line="24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Solicited Discounted Prepayment Notice</w:t>
      </w:r>
      <w:r>
        <w:rPr>
          <w:rFonts w:ascii="Arial" w:cs="Arial" w:eastAsia="Arial" w:hAnsi="Arial"/>
          <w:sz w:val="17"/>
          <w:szCs w:val="17"/>
          <w:color w:val="auto"/>
        </w:rPr>
        <w:t>” means an irrevocable written notice of a Borrower Solicitation of Discounted Prepayment Offers made pursuant to Section 2.09(a)(ii)(D) substantially in the form of Exhibit M.</w:t>
      </w:r>
    </w:p>
    <w:p>
      <w:pPr>
        <w:spacing w:after="0" w:line="128" w:lineRule="exact"/>
        <w:rPr>
          <w:sz w:val="20"/>
          <w:szCs w:val="20"/>
          <w:color w:val="auto"/>
        </w:rPr>
      </w:pPr>
    </w:p>
    <w:p>
      <w:pPr>
        <w:jc w:val="both"/>
        <w:ind w:right="20" w:firstLine="568"/>
        <w:spacing w:after="0" w:line="24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Solicited Discounted Prepayment Offer</w:t>
      </w:r>
      <w:r>
        <w:rPr>
          <w:rFonts w:ascii="Arial" w:cs="Arial" w:eastAsia="Arial" w:hAnsi="Arial"/>
          <w:sz w:val="17"/>
          <w:szCs w:val="17"/>
          <w:color w:val="auto"/>
        </w:rPr>
        <w:t>” means the irrevocable written offer by each Term Lender, substantially in the form of Exhibit N, submitted following the Administrative Agent’s receipt of a Solicited Discounted Prepayment Notice.</w:t>
      </w:r>
    </w:p>
    <w:p>
      <w:pPr>
        <w:spacing w:after="0" w:line="12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Solicited Discounted Prepayment Response Date</w:t>
      </w:r>
      <w:r>
        <w:rPr>
          <w:rFonts w:ascii="Arial" w:cs="Arial" w:eastAsia="Arial" w:hAnsi="Arial"/>
          <w:sz w:val="17"/>
          <w:szCs w:val="17"/>
          <w:color w:val="auto"/>
        </w:rPr>
        <w:t>” has the meaning assigned to such term in Section 2.09(a)(ii)(D)(1).</w:t>
      </w:r>
    </w:p>
    <w:p>
      <w:pPr>
        <w:spacing w:after="0" w:line="160" w:lineRule="exact"/>
        <w:rPr>
          <w:sz w:val="20"/>
          <w:szCs w:val="20"/>
          <w:color w:val="auto"/>
        </w:rPr>
      </w:pPr>
    </w:p>
    <w:p>
      <w:pPr>
        <w:jc w:val="both"/>
        <w:ind w:right="20" w:firstLine="568"/>
        <w:spacing w:after="0" w:line="23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Special Purpose Securitization Subsidiary</w:t>
      </w:r>
      <w:r>
        <w:rPr>
          <w:rFonts w:ascii="Arial" w:cs="Arial" w:eastAsia="Arial" w:hAnsi="Arial"/>
          <w:sz w:val="16"/>
          <w:szCs w:val="16"/>
          <w:color w:val="auto"/>
        </w:rPr>
        <w:t>” shall mean (i) a direct or indirect Subsidiary of the Borrower established in connection with a Permitted Securitization Financing for the acquisition of Securitization Assets or interests therein, and which is organized in a manner (as determined by the Borrower in good faith) intended to reduce the likelihood that it would be substantively consolidated with Holdings or any of the Subsidiaries (other than Special Purpose Securitization Subsidiaries) in the event Holdings or any such Subsidiary becomes subject to a proceeding under the Bankruptcy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1260"/>
          </w:cols>
          <w:pgMar w:left="320" w:top="1440" w:right="319" w:bottom="1440" w:gutter="0" w:footer="0" w:header="0"/>
        </w:sectPr>
      </w:pPr>
    </w:p>
    <w:bookmarkStart w:id="236" w:name="page237"/>
    <w:bookmarkEnd w:id="236"/>
    <w:p>
      <w:pPr>
        <w:spacing w:after="0" w:line="390" w:lineRule="exact"/>
        <w:rPr>
          <w:sz w:val="20"/>
          <w:szCs w:val="20"/>
          <w:color w:val="auto"/>
        </w:rPr>
      </w:pPr>
    </w:p>
    <w:p>
      <w:pPr>
        <w:spacing w:after="0"/>
        <w:rPr>
          <w:sz w:val="20"/>
          <w:szCs w:val="20"/>
          <w:color w:val="auto"/>
        </w:rPr>
      </w:pPr>
      <w:r>
        <w:rPr>
          <w:rFonts w:ascii="Arial" w:cs="Arial" w:eastAsia="Arial" w:hAnsi="Arial"/>
          <w:sz w:val="17"/>
          <w:szCs w:val="17"/>
          <w:color w:val="auto"/>
        </w:rPr>
        <w:t>Code (or other insolvency law) and (ii) any subsidiary of a Special Purpose Securitization Subsidiary.</w:t>
      </w:r>
    </w:p>
    <w:p>
      <w:pPr>
        <w:spacing w:after="0" w:line="15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Specified Discount</w:t>
      </w:r>
      <w:r>
        <w:rPr>
          <w:rFonts w:ascii="Arial" w:cs="Arial" w:eastAsia="Arial" w:hAnsi="Arial"/>
          <w:sz w:val="17"/>
          <w:szCs w:val="17"/>
          <w:color w:val="auto"/>
        </w:rPr>
        <w:t>” has the meaning assigned to such term in Section 2.09(a)(ii)(B)(1)(II).</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Specified Discount Prepayment Amount</w:t>
      </w:r>
      <w:r>
        <w:rPr>
          <w:rFonts w:ascii="Arial" w:cs="Arial" w:eastAsia="Arial" w:hAnsi="Arial"/>
          <w:sz w:val="17"/>
          <w:szCs w:val="17"/>
          <w:color w:val="auto"/>
        </w:rPr>
        <w:t>” has the meaning assigned to such term in Section 2.09(a)(ii)(B)(1)(II).</w:t>
      </w:r>
    </w:p>
    <w:p>
      <w:pPr>
        <w:spacing w:after="0" w:line="160" w:lineRule="exact"/>
        <w:rPr>
          <w:sz w:val="20"/>
          <w:szCs w:val="20"/>
          <w:color w:val="auto"/>
        </w:rPr>
      </w:pPr>
    </w:p>
    <w:p>
      <w:pPr>
        <w:jc w:val="both"/>
        <w:ind w:right="20" w:firstLine="568"/>
        <w:spacing w:after="0" w:line="24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Specified Discount Prepayment Notice</w:t>
      </w:r>
      <w:r>
        <w:rPr>
          <w:rFonts w:ascii="Arial" w:cs="Arial" w:eastAsia="Arial" w:hAnsi="Arial"/>
          <w:sz w:val="17"/>
          <w:szCs w:val="17"/>
          <w:color w:val="auto"/>
        </w:rPr>
        <w:t>” means an irrevocable written notice of a Borrower Offer of Specified Discount Prepayment made pursuant to Section 2.09(a)(ii)(B) substantially in the form of Exhibit I.</w:t>
      </w:r>
    </w:p>
    <w:p>
      <w:pPr>
        <w:spacing w:after="0" w:line="128" w:lineRule="exact"/>
        <w:rPr>
          <w:sz w:val="20"/>
          <w:szCs w:val="20"/>
          <w:color w:val="auto"/>
        </w:rPr>
      </w:pPr>
    </w:p>
    <w:p>
      <w:pPr>
        <w:jc w:val="both"/>
        <w:ind w:right="20" w:firstLine="568"/>
        <w:spacing w:after="0" w:line="24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Specified Discount Prepayment Response</w:t>
      </w:r>
      <w:r>
        <w:rPr>
          <w:rFonts w:ascii="Arial" w:cs="Arial" w:eastAsia="Arial" w:hAnsi="Arial"/>
          <w:sz w:val="17"/>
          <w:szCs w:val="17"/>
          <w:color w:val="auto"/>
        </w:rPr>
        <w:t>” means the irrevocable written response by each Term Lender, substantially in the form of Exhibit J, to a Specified Discount Prepayment Notice.</w:t>
      </w:r>
    </w:p>
    <w:p>
      <w:pPr>
        <w:spacing w:after="0" w:line="12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Specified Discount Prepayment Response Date</w:t>
      </w:r>
      <w:r>
        <w:rPr>
          <w:rFonts w:ascii="Arial" w:cs="Arial" w:eastAsia="Arial" w:hAnsi="Arial"/>
          <w:sz w:val="17"/>
          <w:szCs w:val="17"/>
          <w:color w:val="auto"/>
        </w:rPr>
        <w:t>” has the meaning assigned to such term in Section 2.09(a)(ii)(B)(1).</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Specified Discount Proration</w:t>
      </w:r>
      <w:r>
        <w:rPr>
          <w:rFonts w:ascii="Arial" w:cs="Arial" w:eastAsia="Arial" w:hAnsi="Arial"/>
          <w:sz w:val="17"/>
          <w:szCs w:val="17"/>
          <w:color w:val="auto"/>
        </w:rPr>
        <w:t>” has the meaning assigned to such term in Section 2.09(a)(ii)(B)(3).</w:t>
      </w:r>
    </w:p>
    <w:p>
      <w:pPr>
        <w:spacing w:after="0" w:line="160" w:lineRule="exact"/>
        <w:rPr>
          <w:sz w:val="20"/>
          <w:szCs w:val="20"/>
          <w:color w:val="auto"/>
        </w:rPr>
      </w:pPr>
    </w:p>
    <w:p>
      <w:pPr>
        <w:jc w:val="both"/>
        <w:ind w:firstLine="568"/>
        <w:spacing w:after="0" w:line="21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Specified Dividend Amount”</w:t>
      </w:r>
      <w:r>
        <w:rPr>
          <w:rFonts w:ascii="Arial" w:cs="Arial" w:eastAsia="Arial" w:hAnsi="Arial"/>
          <w:sz w:val="17"/>
          <w:szCs w:val="17"/>
          <w:color w:val="auto"/>
        </w:rPr>
        <w:t xml:space="preserve"> means, as of any date of declaration, (a) prior to any share splits, reverse share splits and/or share recapitalizations of the common stock of VFI following the Closing Date, an amount equal to $0.24 per share of common stock of VFI then issued and outstanding and (b) in the event of any share split, reverse share split and/or share recapitalization of the common stock of VFI following the Closing Date, an amount adjusted in a manner reasonably determined by the Borrower such that the aggregate amount of the Specified Dividend Amount as calculated (i) with respect to the issued and outstanding common stock of VFI immediately prior to such event and (ii) the issued and outstanding common stock of VFI immediately after such event, remains the same.</w:t>
      </w:r>
    </w:p>
    <w:p>
      <w:pPr>
        <w:spacing w:after="0" w:line="133"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Specified Event of Default</w:t>
      </w:r>
      <w:r>
        <w:rPr>
          <w:rFonts w:ascii="Arial" w:cs="Arial" w:eastAsia="Arial" w:hAnsi="Arial"/>
          <w:sz w:val="17"/>
          <w:szCs w:val="17"/>
          <w:color w:val="auto"/>
        </w:rPr>
        <w:t>” means an Event of Default under Section 7.01(a), (b), (h) or (i).</w:t>
      </w:r>
    </w:p>
    <w:p>
      <w:pPr>
        <w:spacing w:after="0" w:line="160" w:lineRule="exact"/>
        <w:rPr>
          <w:sz w:val="20"/>
          <w:szCs w:val="20"/>
          <w:color w:val="auto"/>
        </w:rPr>
      </w:pPr>
    </w:p>
    <w:p>
      <w:pPr>
        <w:jc w:val="both"/>
        <w:ind w:firstLine="568"/>
        <w:spacing w:after="0" w:line="22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Specified Representations</w:t>
      </w:r>
      <w:r>
        <w:rPr>
          <w:rFonts w:ascii="Arial" w:cs="Arial" w:eastAsia="Arial" w:hAnsi="Arial"/>
          <w:sz w:val="17"/>
          <w:szCs w:val="17"/>
          <w:color w:val="auto"/>
        </w:rPr>
        <w:t>” means the representations and warranties set forth in Section 3.01 (limited to the Loan Parties as to existence and corporate power and authority to enter into the Loan Documents), Section 3.02, Section 3.03(b)(i) (limited to the Organizational Documents of the Loan Parties), Section 3.08, Section 3.14, Section 3.16, Section 3.19(a), Section 3.19(b), Section 3.19(c) and Section 3.02(b) of the Collateral Agreement (subject to modifications as may be agreed by the lenders providing the applicable Incremental Facility).</w:t>
      </w:r>
    </w:p>
    <w:p>
      <w:pPr>
        <w:spacing w:after="0" w:line="129" w:lineRule="exact"/>
        <w:rPr>
          <w:sz w:val="20"/>
          <w:szCs w:val="20"/>
          <w:color w:val="auto"/>
        </w:rPr>
      </w:pPr>
    </w:p>
    <w:p>
      <w:pPr>
        <w:jc w:val="both"/>
        <w:ind w:firstLine="568"/>
        <w:spacing w:after="0" w:line="22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Specified Transaction</w:t>
      </w:r>
      <w:r>
        <w:rPr>
          <w:rFonts w:ascii="Arial" w:cs="Arial" w:eastAsia="Arial" w:hAnsi="Arial"/>
          <w:sz w:val="17"/>
          <w:szCs w:val="17"/>
          <w:color w:val="auto"/>
        </w:rPr>
        <w:t xml:space="preserve">” means, with respect to any period, any Permitted Acquisition, Investment, sale, transfer or other disposition of assets, incurrence, assumption, retirement or repayment of Indebtedness, Restricted Payment, subsidiary designation or other event that by the terms of the Loan Documents requires “Pro Forma Compliance” with a test or covenant hereunder or requires such test or covenant to be calculated on a “Pro Forma Basis”;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for purposes of this definition, any Revolving Commitment shall be deemed to be fully drawn.</w:t>
      </w:r>
    </w:p>
    <w:p>
      <w:pPr>
        <w:spacing w:after="0" w:line="12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Submitted Amount</w:t>
      </w:r>
      <w:r>
        <w:rPr>
          <w:rFonts w:ascii="Arial" w:cs="Arial" w:eastAsia="Arial" w:hAnsi="Arial"/>
          <w:sz w:val="17"/>
          <w:szCs w:val="17"/>
          <w:color w:val="auto"/>
        </w:rPr>
        <w:t>” has the meaning assigned to such term in Section 2.09(a)(ii)(C)(1).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ectPr>
          <w:pgSz w:w="11900" w:h="16838" w:orient="portrait"/>
          <w:cols w:equalWidth="0" w:num="1">
            <w:col w:w="11260"/>
          </w:cols>
          <w:pgMar w:left="320" w:top="1440" w:right="319" w:bottom="1440" w:gutter="0" w:footer="0" w:header="0"/>
        </w:sectPr>
      </w:pPr>
    </w:p>
    <w:bookmarkStart w:id="237" w:name="page238"/>
    <w:bookmarkEnd w:id="237"/>
    <w:p>
      <w:pPr>
        <w:spacing w:after="0" w:line="38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Submitted Discount</w:t>
      </w:r>
      <w:r>
        <w:rPr>
          <w:rFonts w:ascii="Arial" w:cs="Arial" w:eastAsia="Arial" w:hAnsi="Arial"/>
          <w:sz w:val="17"/>
          <w:szCs w:val="17"/>
          <w:color w:val="auto"/>
        </w:rPr>
        <w:t>” has the meaning assigned to such term in Section 2.09(a)(ii)(C)(1).</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Subordinated Indebtedness</w:t>
      </w:r>
      <w:r>
        <w:rPr>
          <w:rFonts w:ascii="Arial" w:cs="Arial" w:eastAsia="Arial" w:hAnsi="Arial"/>
          <w:sz w:val="17"/>
          <w:szCs w:val="17"/>
          <w:color w:val="auto"/>
        </w:rPr>
        <w:t>” means any Indebtedness that is subordinated in right of payment to the Loan Document Obligations.</w:t>
      </w:r>
    </w:p>
    <w:p>
      <w:pPr>
        <w:spacing w:after="0" w:line="160" w:lineRule="exact"/>
        <w:rPr>
          <w:sz w:val="20"/>
          <w:szCs w:val="20"/>
          <w:color w:val="auto"/>
        </w:rPr>
      </w:pPr>
    </w:p>
    <w:p>
      <w:pPr>
        <w:jc w:val="both"/>
        <w:ind w:firstLine="568"/>
        <w:spacing w:after="0" w:line="21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w:t>
      </w:r>
      <w:r>
        <w:rPr>
          <w:rFonts w:ascii="Arial" w:cs="Arial" w:eastAsia="Arial" w:hAnsi="Arial"/>
          <w:sz w:val="17"/>
          <w:szCs w:val="17"/>
          <w:color w:val="auto"/>
        </w:rPr>
        <w:t>” means, with respect to any Person (the “</w:t>
      </w:r>
      <w:r>
        <w:rPr>
          <w:rFonts w:ascii="Arial" w:cs="Arial" w:eastAsia="Arial" w:hAnsi="Arial"/>
          <w:sz w:val="17"/>
          <w:szCs w:val="17"/>
          <w:b w:val="1"/>
          <w:bCs w:val="1"/>
          <w:color w:val="auto"/>
        </w:rPr>
        <w:t>parent</w:t>
      </w:r>
      <w:r>
        <w:rPr>
          <w:rFonts w:ascii="Arial" w:cs="Arial" w:eastAsia="Arial" w:hAnsi="Arial"/>
          <w:sz w:val="17"/>
          <w:szCs w:val="17"/>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and/or one or more subsidiaries of the parent.</w:t>
      </w:r>
    </w:p>
    <w:p>
      <w:pPr>
        <w:spacing w:after="0" w:line="133"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w:t>
      </w:r>
      <w:r>
        <w:rPr>
          <w:rFonts w:ascii="Arial" w:cs="Arial" w:eastAsia="Arial" w:hAnsi="Arial"/>
          <w:sz w:val="17"/>
          <w:szCs w:val="17"/>
          <w:color w:val="auto"/>
        </w:rPr>
        <w:t>” means, unless otherwise specified, any subsidiary of Holdings.</w:t>
      </w:r>
    </w:p>
    <w:p>
      <w:pPr>
        <w:spacing w:after="0" w:line="160" w:lineRule="exact"/>
        <w:rPr>
          <w:sz w:val="20"/>
          <w:szCs w:val="20"/>
          <w:color w:val="auto"/>
        </w:rPr>
      </w:pPr>
    </w:p>
    <w:p>
      <w:pPr>
        <w:jc w:val="both"/>
        <w:ind w:firstLine="568"/>
        <w:spacing w:after="0" w:line="24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 Loan Party</w:t>
      </w:r>
      <w:r>
        <w:rPr>
          <w:rFonts w:ascii="Arial" w:cs="Arial" w:eastAsia="Arial" w:hAnsi="Arial"/>
          <w:sz w:val="17"/>
          <w:szCs w:val="17"/>
          <w:color w:val="auto"/>
        </w:rPr>
        <w:t>” means each Subsidiary of Holdings that is a party to the Guarantee Agreement (other than any Intermediate Parent or the Borrower).</w:t>
      </w:r>
    </w:p>
    <w:p>
      <w:pPr>
        <w:spacing w:after="0" w:line="12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Successor Borrower</w:t>
      </w:r>
      <w:r>
        <w:rPr>
          <w:rFonts w:ascii="Arial" w:cs="Arial" w:eastAsia="Arial" w:hAnsi="Arial"/>
          <w:sz w:val="17"/>
          <w:szCs w:val="17"/>
          <w:color w:val="auto"/>
        </w:rPr>
        <w:t>” has the meaning assigned to such term in Section 6.03(a)(iv)(B).</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Successor Holdings</w:t>
      </w:r>
      <w:r>
        <w:rPr>
          <w:rFonts w:ascii="Arial" w:cs="Arial" w:eastAsia="Arial" w:hAnsi="Arial"/>
          <w:sz w:val="17"/>
          <w:szCs w:val="17"/>
          <w:color w:val="auto"/>
        </w:rPr>
        <w:t>” has the meaning assigned to such term in Section 6.03(a)(v)(B).</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Supported QFC</w:t>
      </w:r>
      <w:r>
        <w:rPr>
          <w:rFonts w:ascii="Arial" w:cs="Arial" w:eastAsia="Arial" w:hAnsi="Arial"/>
          <w:sz w:val="17"/>
          <w:szCs w:val="17"/>
          <w:color w:val="auto"/>
        </w:rPr>
        <w:t>” has the meaning assigned to such term in Section 9.21.</w:t>
      </w:r>
    </w:p>
    <w:p>
      <w:pPr>
        <w:spacing w:after="0" w:line="160" w:lineRule="exact"/>
        <w:rPr>
          <w:sz w:val="20"/>
          <w:szCs w:val="20"/>
          <w:color w:val="auto"/>
        </w:rPr>
      </w:pPr>
    </w:p>
    <w:p>
      <w:pPr>
        <w:jc w:val="both"/>
        <w:ind w:firstLine="568"/>
        <w:spacing w:after="0" w:line="21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Swap Agreement</w:t>
      </w:r>
      <w:r>
        <w:rPr>
          <w:rFonts w:ascii="Arial" w:cs="Arial" w:eastAsia="Arial" w:hAnsi="Arial"/>
          <w:sz w:val="17"/>
          <w:szCs w:val="17"/>
          <w:color w:val="auto"/>
        </w:rPr>
        <w:t xml:space="preserve">” means any agreement with respect to any swap, forward, future or derivative transaction or option or similar agreement or contract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phantom stock or similar plan providing for payments only on account of services provided by current or former directors, officers, employees or consultants of Holdings, any Intermediate Parent, the Borrower or the other Subsidiaries shall be a Swap Agreement.</w:t>
      </w:r>
    </w:p>
    <w:p>
      <w:pPr>
        <w:spacing w:after="0" w:line="130" w:lineRule="exact"/>
        <w:rPr>
          <w:sz w:val="20"/>
          <w:szCs w:val="20"/>
          <w:color w:val="auto"/>
        </w:rPr>
      </w:pPr>
    </w:p>
    <w:p>
      <w:pPr>
        <w:jc w:val="both"/>
        <w:ind w:right="20" w:firstLine="568"/>
        <w:spacing w:after="0" w:line="24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Swingline Commitment</w:t>
      </w:r>
      <w:r>
        <w:rPr>
          <w:rFonts w:ascii="Arial" w:cs="Arial" w:eastAsia="Arial" w:hAnsi="Arial"/>
          <w:sz w:val="17"/>
          <w:szCs w:val="17"/>
          <w:color w:val="auto"/>
        </w:rPr>
        <w:t>” means the commitment of the Swingline Lender to make Swingline Loans pursuant to Section 2.23. The Swingline Commitment is $20,000,000. The Swingline Commitment is part of and not in addition to the Revolving Commitment.</w:t>
      </w:r>
    </w:p>
    <w:p>
      <w:pPr>
        <w:spacing w:after="0" w:line="128" w:lineRule="exact"/>
        <w:rPr>
          <w:sz w:val="20"/>
          <w:szCs w:val="20"/>
          <w:color w:val="auto"/>
        </w:rPr>
      </w:pPr>
    </w:p>
    <w:p>
      <w:pPr>
        <w:jc w:val="both"/>
        <w:ind w:right="20" w:firstLine="568"/>
        <w:spacing w:after="0" w:line="24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Swingline Exposure</w:t>
      </w:r>
      <w:r>
        <w:rPr>
          <w:rFonts w:ascii="Arial" w:cs="Arial" w:eastAsia="Arial" w:hAnsi="Arial"/>
          <w:sz w:val="17"/>
          <w:szCs w:val="17"/>
          <w:color w:val="auto"/>
        </w:rPr>
        <w:t>” means, at any time, the aggregate principal amount at such time of all outstanding Swingline Loans. The Swingline Exposure of any Revolving Lender at any time shall equal its Applicable Percentage of the aggregate Swingline Exposure at such time.</w:t>
      </w:r>
    </w:p>
    <w:p>
      <w:pPr>
        <w:spacing w:after="0" w:line="128" w:lineRule="exact"/>
        <w:rPr>
          <w:sz w:val="20"/>
          <w:szCs w:val="20"/>
          <w:color w:val="auto"/>
        </w:rPr>
      </w:pPr>
    </w:p>
    <w:p>
      <w:pPr>
        <w:jc w:val="both"/>
        <w:ind w:right="20" w:firstLine="568"/>
        <w:spacing w:after="0" w:line="24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Swingline Lender</w:t>
      </w:r>
      <w:r>
        <w:rPr>
          <w:rFonts w:ascii="Arial" w:cs="Arial" w:eastAsia="Arial" w:hAnsi="Arial"/>
          <w:sz w:val="17"/>
          <w:szCs w:val="17"/>
          <w:color w:val="auto"/>
        </w:rPr>
        <w:t>” means JPMorgan Chase Bank, N.A. (or any of its designated branch offices or affiliates), in its capacity as lender of Swingline Loans hereunder or any replacement or successor thereto.</w:t>
      </w:r>
    </w:p>
    <w:p>
      <w:pPr>
        <w:spacing w:after="0" w:line="12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Swingline Loans</w:t>
      </w:r>
      <w:r>
        <w:rPr>
          <w:rFonts w:ascii="Arial" w:cs="Arial" w:eastAsia="Arial" w:hAnsi="Arial"/>
          <w:sz w:val="17"/>
          <w:szCs w:val="17"/>
          <w:color w:val="auto"/>
        </w:rPr>
        <w:t>” has the meaning assigned to such term in Section 2.01(c).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ectPr>
          <w:pgSz w:w="11900" w:h="16838" w:orient="portrait"/>
          <w:cols w:equalWidth="0" w:num="1">
            <w:col w:w="11260"/>
          </w:cols>
          <w:pgMar w:left="320" w:top="1440" w:right="319" w:bottom="1440" w:gutter="0" w:footer="0" w:header="0"/>
        </w:sectPr>
      </w:pPr>
    </w:p>
    <w:bookmarkStart w:id="238" w:name="page239"/>
    <w:bookmarkEnd w:id="238"/>
    <w:p>
      <w:pPr>
        <w:spacing w:after="0" w:line="384" w:lineRule="exact"/>
        <w:rPr>
          <w:sz w:val="20"/>
          <w:szCs w:val="20"/>
          <w:color w:val="auto"/>
        </w:rPr>
      </w:pPr>
    </w:p>
    <w:p>
      <w:pPr>
        <w:jc w:val="both"/>
        <w:ind w:firstLine="568"/>
        <w:spacing w:after="0" w:line="24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Tax Estimation Period</w:t>
      </w:r>
      <w:r>
        <w:rPr>
          <w:rFonts w:ascii="Arial" w:cs="Arial" w:eastAsia="Arial" w:hAnsi="Arial"/>
          <w:sz w:val="17"/>
          <w:szCs w:val="17"/>
          <w:color w:val="auto"/>
        </w:rPr>
        <w:t>” means each period (determined without regard to any prior periods) for which an estimate of corporate federal income tax liability is required to be made under the Code.</w:t>
      </w:r>
    </w:p>
    <w:p>
      <w:pPr>
        <w:spacing w:after="0" w:line="128" w:lineRule="exact"/>
        <w:rPr>
          <w:sz w:val="20"/>
          <w:szCs w:val="20"/>
          <w:color w:val="auto"/>
        </w:rPr>
      </w:pPr>
    </w:p>
    <w:p>
      <w:pPr>
        <w:jc w:val="both"/>
        <w:ind w:firstLine="568"/>
        <w:spacing w:after="0" w:line="24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Taxable Year</w:t>
      </w:r>
      <w:r>
        <w:rPr>
          <w:rFonts w:ascii="Arial" w:cs="Arial" w:eastAsia="Arial" w:hAnsi="Arial"/>
          <w:sz w:val="17"/>
          <w:szCs w:val="17"/>
          <w:color w:val="auto"/>
        </w:rPr>
        <w:t>” means Holdings’ taxable year ending on the last day of each calendar year (or part thereof, in the case of Holdings’ last taxable year), or such other year as is (i) required by Section 706 of the Code or (ii) determined by the Board of Managers of Holdings.</w:t>
      </w:r>
    </w:p>
    <w:p>
      <w:pPr>
        <w:spacing w:after="0" w:line="128" w:lineRule="exact"/>
        <w:rPr>
          <w:sz w:val="20"/>
          <w:szCs w:val="20"/>
          <w:color w:val="auto"/>
        </w:rPr>
      </w:pPr>
    </w:p>
    <w:p>
      <w:pPr>
        <w:jc w:val="both"/>
        <w:ind w:firstLine="568"/>
        <w:spacing w:after="0" w:line="22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Taxable Year Income Amount</w:t>
      </w:r>
      <w:r>
        <w:rPr>
          <w:rFonts w:ascii="Arial" w:cs="Arial" w:eastAsia="Arial" w:hAnsi="Arial"/>
          <w:sz w:val="17"/>
          <w:szCs w:val="17"/>
          <w:color w:val="auto"/>
        </w:rPr>
        <w:t>” means, for a Taxable Year, an amount equal to the net taxable income of Holdings for such Taxable Year. For purposes of calculating the Taxable Year Income Amount, items of income, gain, loss and deduction resulting from adjustments to the tax basis of Holdings assets pursuant to Code Section 743(b) and adjustments pursuant to Code Section 704(c) shall not be taken into account.</w:t>
      </w:r>
    </w:p>
    <w:p>
      <w:pPr>
        <w:spacing w:after="0" w:line="130" w:lineRule="exact"/>
        <w:rPr>
          <w:sz w:val="20"/>
          <w:szCs w:val="20"/>
          <w:color w:val="auto"/>
        </w:rPr>
      </w:pPr>
    </w:p>
    <w:p>
      <w:pPr>
        <w:jc w:val="both"/>
        <w:ind w:firstLine="568"/>
        <w:spacing w:after="0" w:line="24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Taxes</w:t>
      </w:r>
      <w:r>
        <w:rPr>
          <w:rFonts w:ascii="Arial" w:cs="Arial" w:eastAsia="Arial" w:hAnsi="Arial"/>
          <w:sz w:val="17"/>
          <w:szCs w:val="17"/>
          <w:color w:val="auto"/>
        </w:rPr>
        <w:t>” means any and all present or future taxes, levies, imposts, duties, deductions, charges or withholdings imposed by any Governmental Authority, including any interest, additions to tax or penalties applicable thereto.</w:t>
      </w:r>
    </w:p>
    <w:p>
      <w:pPr>
        <w:spacing w:after="0" w:line="128" w:lineRule="exact"/>
        <w:rPr>
          <w:sz w:val="20"/>
          <w:szCs w:val="20"/>
          <w:color w:val="auto"/>
        </w:rPr>
      </w:pPr>
    </w:p>
    <w:p>
      <w:pPr>
        <w:jc w:val="both"/>
        <w:ind w:firstLine="568"/>
        <w:spacing w:after="0" w:line="24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Term Benchmark</w:t>
      </w:r>
      <w:r>
        <w:rPr>
          <w:rFonts w:ascii="Arial" w:cs="Arial" w:eastAsia="Arial" w:hAnsi="Arial"/>
          <w:sz w:val="17"/>
          <w:szCs w:val="17"/>
          <w:color w:val="auto"/>
        </w:rPr>
        <w:t>” when used in reference to any Loan or Borrowing, refers to whether such Loan, or the Loans comprising such Borrowing, are bearing interest at a rate determined by reference to the Adjusted Term SOFR Rate.</w:t>
      </w:r>
    </w:p>
    <w:p>
      <w:pPr>
        <w:spacing w:after="0" w:line="128" w:lineRule="exact"/>
        <w:rPr>
          <w:sz w:val="20"/>
          <w:szCs w:val="20"/>
          <w:color w:val="auto"/>
        </w:rPr>
      </w:pPr>
    </w:p>
    <w:p>
      <w:pPr>
        <w:jc w:val="both"/>
        <w:ind w:firstLine="568"/>
        <w:spacing w:after="0" w:line="22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Term Commitment</w:t>
      </w:r>
      <w:r>
        <w:rPr>
          <w:rFonts w:ascii="Arial" w:cs="Arial" w:eastAsia="Arial" w:hAnsi="Arial"/>
          <w:sz w:val="17"/>
          <w:szCs w:val="17"/>
          <w:color w:val="auto"/>
        </w:rPr>
        <w:t>” means, with respect to each Initial Term Lender, such Initial Term Lender’s Initial Term Commitment and, with respect to any other Term Lender, the obligation of such other Term Lender with respect to any other series of Term Loans to make a Term Loan of such series. The aggregate principal amount of Term Commitments on the Closing Date is $1,800,000,000.</w:t>
      </w:r>
    </w:p>
    <w:p>
      <w:pPr>
        <w:spacing w:after="0" w:line="13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Term Lender</w:t>
      </w:r>
      <w:r>
        <w:rPr>
          <w:rFonts w:ascii="Arial" w:cs="Arial" w:eastAsia="Arial" w:hAnsi="Arial"/>
          <w:sz w:val="17"/>
          <w:szCs w:val="17"/>
          <w:color w:val="auto"/>
        </w:rPr>
        <w:t>” means a Lender with a Term Commitment or an outstanding Term Loan.</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Term Loans</w:t>
      </w:r>
      <w:r>
        <w:rPr>
          <w:rFonts w:ascii="Arial" w:cs="Arial" w:eastAsia="Arial" w:hAnsi="Arial"/>
          <w:sz w:val="16"/>
          <w:szCs w:val="16"/>
          <w:color w:val="auto"/>
        </w:rPr>
        <w:t>” means the Initial Term Loans, Other Term Loans and loans made pursuant to an Incremental Term Facility, as the context requires.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Term Maturity Date</w:t>
      </w:r>
      <w:r>
        <w:rPr>
          <w:rFonts w:ascii="Arial" w:cs="Arial" w:eastAsia="Arial" w:hAnsi="Arial"/>
          <w:sz w:val="17"/>
          <w:szCs w:val="17"/>
          <w:color w:val="auto"/>
        </w:rPr>
        <w:t>” means January 13, 2029.</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Term SOFR Determination Day</w:t>
      </w:r>
      <w:r>
        <w:rPr>
          <w:rFonts w:ascii="Arial" w:cs="Arial" w:eastAsia="Arial" w:hAnsi="Arial"/>
          <w:sz w:val="17"/>
          <w:szCs w:val="17"/>
          <w:color w:val="auto"/>
        </w:rPr>
        <w:t>” has the meaning assigned to such term in the definition of “Term SOFR Reference Rate.”</w:t>
      </w:r>
    </w:p>
    <w:p>
      <w:pPr>
        <w:spacing w:after="0" w:line="160" w:lineRule="exact"/>
        <w:rPr>
          <w:sz w:val="20"/>
          <w:szCs w:val="20"/>
          <w:color w:val="auto"/>
        </w:rPr>
      </w:pPr>
    </w:p>
    <w:p>
      <w:pPr>
        <w:jc w:val="both"/>
        <w:ind w:firstLine="568"/>
        <w:spacing w:after="0" w:line="24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Term SOFR Rate</w:t>
      </w:r>
      <w:r>
        <w:rPr>
          <w:rFonts w:ascii="Arial" w:cs="Arial" w:eastAsia="Arial" w:hAnsi="Arial"/>
          <w:sz w:val="16"/>
          <w:szCs w:val="16"/>
          <w:color w:val="auto"/>
        </w:rPr>
        <w:t>” means, with respect to any Term Benchmark Borrowing denominated in dollars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w:t>
      </w:r>
    </w:p>
    <w:p>
      <w:pPr>
        <w:spacing w:after="0" w:line="125" w:lineRule="exact"/>
        <w:rPr>
          <w:sz w:val="20"/>
          <w:szCs w:val="20"/>
          <w:color w:val="auto"/>
        </w:rPr>
      </w:pPr>
    </w:p>
    <w:p>
      <w:pPr>
        <w:jc w:val="both"/>
        <w:ind w:firstLine="568"/>
        <w:spacing w:after="0" w:line="21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Term SOFR Reference Rate</w:t>
      </w:r>
      <w:r>
        <w:rPr>
          <w:rFonts w:ascii="Arial" w:cs="Arial" w:eastAsia="Arial" w:hAnsi="Arial"/>
          <w:sz w:val="17"/>
          <w:szCs w:val="17"/>
          <w:color w:val="auto"/>
        </w:rPr>
        <w:t>” means, for any day and time (such day, the “</w:t>
      </w:r>
      <w:r>
        <w:rPr>
          <w:rFonts w:ascii="Arial" w:cs="Arial" w:eastAsia="Arial" w:hAnsi="Arial"/>
          <w:sz w:val="17"/>
          <w:szCs w:val="17"/>
          <w:b w:val="1"/>
          <w:bCs w:val="1"/>
          <w:color w:val="auto"/>
        </w:rPr>
        <w:t>Term SOFR Determination Day</w:t>
      </w:r>
      <w:r>
        <w:rPr>
          <w:rFonts w:ascii="Arial" w:cs="Arial" w:eastAsia="Arial" w:hAnsi="Arial"/>
          <w:sz w:val="17"/>
          <w:szCs w:val="17"/>
          <w:color w:val="auto"/>
        </w:rPr>
        <w:t>”), with respect to any Term Benchmark Borrowing and for any tenor comparable to the applicable Interest Period, the rate per annum determined by the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the Term SOFR Reference Rate for such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ectPr>
          <w:pgSz w:w="11900" w:h="16838" w:orient="portrait"/>
          <w:cols w:equalWidth="0" w:num="1">
            <w:col w:w="11240"/>
          </w:cols>
          <w:pgMar w:left="320" w:top="1440" w:right="339" w:bottom="1440" w:gutter="0" w:footer="0" w:header="0"/>
        </w:sectPr>
      </w:pPr>
    </w:p>
    <w:bookmarkStart w:id="239" w:name="page240"/>
    <w:bookmarkEnd w:id="239"/>
    <w:p>
      <w:pPr>
        <w:spacing w:after="0" w:line="390" w:lineRule="exact"/>
        <w:rPr>
          <w:sz w:val="20"/>
          <w:szCs w:val="20"/>
          <w:color w:val="auto"/>
        </w:rPr>
      </w:pPr>
    </w:p>
    <w:p>
      <w:pPr>
        <w:jc w:val="both"/>
        <w:ind w:right="20"/>
        <w:spacing w:after="0" w:line="225" w:lineRule="auto"/>
        <w:rPr>
          <w:sz w:val="20"/>
          <w:szCs w:val="20"/>
          <w:color w:val="auto"/>
        </w:rPr>
      </w:pPr>
      <w:r>
        <w:rPr>
          <w:rFonts w:ascii="Arial" w:cs="Arial" w:eastAsia="Arial" w:hAnsi="Arial"/>
          <w:sz w:val="17"/>
          <w:szCs w:val="17"/>
          <w:color w:val="auto"/>
        </w:rPr>
        <w:t>SOFR Determination Day will be the Term SOFR Reference Rate as published in respect of the first preceding U.S. Government Securities Business Day for which such Term SOFR Reference Rate was published by the CME Term SOFR Administrator, so long as such first preceding Business Day is not more than five (5) Business Days prior to such Term SOFR Determination Day.</w:t>
      </w:r>
    </w:p>
    <w:p>
      <w:pPr>
        <w:spacing w:after="0" w:line="131" w:lineRule="exact"/>
        <w:rPr>
          <w:sz w:val="20"/>
          <w:szCs w:val="20"/>
          <w:color w:val="auto"/>
        </w:rPr>
      </w:pPr>
    </w:p>
    <w:p>
      <w:pPr>
        <w:jc w:val="both"/>
        <w:ind w:right="20" w:firstLine="568"/>
        <w:spacing w:after="0" w:line="21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Termination Date</w:t>
      </w:r>
      <w:r>
        <w:rPr>
          <w:rFonts w:ascii="Arial" w:cs="Arial" w:eastAsia="Arial" w:hAnsi="Arial"/>
          <w:sz w:val="17"/>
          <w:szCs w:val="17"/>
          <w:color w:val="auto"/>
        </w:rPr>
        <w:t>” means the date on which (a) all Commitments shall have been terminated or expired, (b) the principal of and interest on each Loan, all fees and all other expenses or amounts payable under any Loan Document shall have been paid in full (other than in respect of contingent indemnification and expense reimbursement claims not then due) and (c) all Letters of Credit (other than those that have been cash collateralized or backstopped in a manner satisfactory to the applicable Issuing Bank) have been cancelled or have expired with no pending drawings and all LC Disbursements shall have been reimbursed in full.</w:t>
      </w:r>
    </w:p>
    <w:p>
      <w:pPr>
        <w:spacing w:after="0" w:line="130" w:lineRule="exact"/>
        <w:rPr>
          <w:sz w:val="20"/>
          <w:szCs w:val="20"/>
          <w:color w:val="auto"/>
        </w:rPr>
      </w:pPr>
    </w:p>
    <w:p>
      <w:pPr>
        <w:jc w:val="both"/>
        <w:ind w:right="20" w:firstLine="568"/>
        <w:spacing w:after="0" w:line="22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Test Period</w:t>
      </w:r>
      <w:r>
        <w:rPr>
          <w:rFonts w:ascii="Arial" w:cs="Arial" w:eastAsia="Arial" w:hAnsi="Arial"/>
          <w:sz w:val="17"/>
          <w:szCs w:val="17"/>
          <w:color w:val="auto"/>
        </w:rPr>
        <w:t xml:space="preserve">” means, as of any date of determination, the period of four consecutive fiscal quarters of the Borrower then most recently ended for which financial statements have been (or were required to be) delivered pursuant to Section 5.01(a) or (b)) (or, if indicated and if later, for which financial statements are available);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prior to the first date on which financial statements have been delivered pursuant to Section 5.01(a) or (b), the Test Period in effect shall be the four fiscal quarter period ended September 30, 2021.</w:t>
      </w:r>
    </w:p>
    <w:p>
      <w:pPr>
        <w:spacing w:after="0" w:line="105" w:lineRule="exact"/>
        <w:rPr>
          <w:sz w:val="20"/>
          <w:szCs w:val="20"/>
          <w:color w:val="auto"/>
        </w:rPr>
      </w:pPr>
    </w:p>
    <w:p>
      <w:pPr>
        <w:jc w:val="both"/>
        <w:ind w:right="20" w:firstLine="568"/>
        <w:spacing w:after="0" w:line="22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Third Party Funds</w:t>
      </w:r>
      <w:r>
        <w:rPr>
          <w:rFonts w:ascii="Arial" w:cs="Arial" w:eastAsia="Arial" w:hAnsi="Arial"/>
          <w:sz w:val="17"/>
          <w:szCs w:val="17"/>
          <w:color w:val="auto"/>
        </w:rPr>
        <w:t>” shall mean any segregated accounts or funds, or any portion thereof, received by Borrower or any of its Subsidiaries as agent on behalf of third parties (other than the Loan Parties) in accordance with a written agreement that imposes a duty upon Borrower or one or more of its Subsidiaries to collect and remit those funds to such third parties.</w:t>
      </w:r>
    </w:p>
    <w:p>
      <w:pPr>
        <w:spacing w:after="0" w:line="11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Total Leverage Incurrence Ratio</w:t>
      </w:r>
      <w:r>
        <w:rPr>
          <w:rFonts w:ascii="Arial" w:cs="Arial" w:eastAsia="Arial" w:hAnsi="Arial"/>
          <w:sz w:val="17"/>
          <w:szCs w:val="17"/>
          <w:color w:val="auto"/>
        </w:rPr>
        <w:t>” has the meaning assigned to such term in the definition of “Incremental Cap.”</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Total Revolving Commitments</w:t>
      </w:r>
      <w:r>
        <w:rPr>
          <w:rFonts w:ascii="Arial" w:cs="Arial" w:eastAsia="Arial" w:hAnsi="Arial"/>
          <w:sz w:val="17"/>
          <w:szCs w:val="17"/>
          <w:color w:val="auto"/>
        </w:rPr>
        <w:t>” means, at any time, the aggregate amount of the Revolving Commitments then in effect.</w:t>
      </w:r>
    </w:p>
    <w:p>
      <w:pPr>
        <w:spacing w:after="0" w:line="160" w:lineRule="exact"/>
        <w:rPr>
          <w:sz w:val="20"/>
          <w:szCs w:val="20"/>
          <w:color w:val="auto"/>
        </w:rPr>
      </w:pPr>
    </w:p>
    <w:p>
      <w:pPr>
        <w:jc w:val="both"/>
        <w:ind w:firstLine="568"/>
        <w:spacing w:after="0" w:line="22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Trading Debt</w:t>
      </w:r>
      <w:r>
        <w:rPr>
          <w:rFonts w:ascii="Arial" w:cs="Arial" w:eastAsia="Arial" w:hAnsi="Arial"/>
          <w:sz w:val="17"/>
          <w:szCs w:val="17"/>
          <w:color w:val="auto"/>
        </w:rPr>
        <w:t>” means any margin facility or other margin-related Indebtedness or any other Indebtedness incurred exclusively to finance the securities, derivatives, commodities or futures trading positions and related assets and liabilities of Holdings and its Restricted Subsidiaries, including, without limitation, any collateralized loan, any obligations under any securities lending and/or borrowing facility and any day loans and overnight loans with settlement banks and prime brokers to finance securities, derivatives, commodities or futures trading positions and margin loans.</w:t>
      </w:r>
    </w:p>
    <w:p>
      <w:pPr>
        <w:spacing w:after="0" w:line="129" w:lineRule="exact"/>
        <w:rPr>
          <w:sz w:val="20"/>
          <w:szCs w:val="20"/>
          <w:color w:val="auto"/>
        </w:rPr>
      </w:pPr>
    </w:p>
    <w:p>
      <w:pPr>
        <w:jc w:val="both"/>
        <w:ind w:firstLine="568"/>
        <w:spacing w:after="0" w:line="24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Transaction Costs</w:t>
      </w:r>
      <w:r>
        <w:rPr>
          <w:rFonts w:ascii="Arial" w:cs="Arial" w:eastAsia="Arial" w:hAnsi="Arial"/>
          <w:sz w:val="17"/>
          <w:szCs w:val="17"/>
          <w:color w:val="auto"/>
        </w:rPr>
        <w:t>” means all fees, costs and expenses incurred or payable by Holdings, the Borrower or any other Subsidiary in connection with the Transactions.</w:t>
      </w:r>
    </w:p>
    <w:p>
      <w:pPr>
        <w:spacing w:after="0" w:line="128" w:lineRule="exact"/>
        <w:rPr>
          <w:sz w:val="20"/>
          <w:szCs w:val="20"/>
          <w:color w:val="auto"/>
        </w:rPr>
      </w:pPr>
    </w:p>
    <w:p>
      <w:pPr>
        <w:jc w:val="both"/>
        <w:ind w:right="20" w:firstLine="568"/>
        <w:spacing w:after="0" w:line="24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Transactions</w:t>
      </w:r>
      <w:r>
        <w:rPr>
          <w:rFonts w:ascii="Arial" w:cs="Arial" w:eastAsia="Arial" w:hAnsi="Arial"/>
          <w:sz w:val="17"/>
          <w:szCs w:val="17"/>
          <w:color w:val="auto"/>
        </w:rPr>
        <w:t>” means, collectively, (i) the Financing Transactions, (ii) the Existing Credit Agreement Refinancing and (iii) the payment of the Transaction Costs in connection with the foregoing.</w:t>
      </w:r>
    </w:p>
    <w:p>
      <w:pPr>
        <w:spacing w:after="0" w:line="128" w:lineRule="exact"/>
        <w:rPr>
          <w:sz w:val="20"/>
          <w:szCs w:val="20"/>
          <w:color w:val="auto"/>
        </w:rPr>
      </w:pPr>
    </w:p>
    <w:p>
      <w:pPr>
        <w:jc w:val="both"/>
        <w:ind w:right="20" w:firstLine="568"/>
        <w:spacing w:after="0" w:line="22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Transformative Acquisition</w:t>
      </w:r>
      <w:r>
        <w:rPr>
          <w:rFonts w:ascii="Arial" w:cs="Arial" w:eastAsia="Arial" w:hAnsi="Arial"/>
          <w:sz w:val="17"/>
          <w:szCs w:val="17"/>
          <w:color w:val="auto"/>
        </w:rPr>
        <w:t>” means any acquisition or Investment by Holdings, any Intermediate Parent, Borrower or any Restricted Subsidiary that either (a) is not permitted by the terms of the Loan Documents immediately prior to the consummation of such acquisition or Investment or (b) if permitted by the terms of the Loan Documents immediately prior to the consummation of such acquisition or Investment, would not provide the Borrower and the Restricted Subsidiaries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ectPr>
          <w:pgSz w:w="11900" w:h="16838" w:orient="portrait"/>
          <w:cols w:equalWidth="0" w:num="1">
            <w:col w:w="11260"/>
          </w:cols>
          <w:pgMar w:left="320" w:top="1440" w:right="319" w:bottom="1440" w:gutter="0" w:footer="0" w:header="0"/>
        </w:sectPr>
      </w:pPr>
    </w:p>
    <w:bookmarkStart w:id="240" w:name="page241"/>
    <w:bookmarkEnd w:id="240"/>
    <w:p>
      <w:pPr>
        <w:spacing w:after="0" w:line="390" w:lineRule="exact"/>
        <w:rPr>
          <w:sz w:val="20"/>
          <w:szCs w:val="20"/>
          <w:color w:val="auto"/>
        </w:rPr>
      </w:pPr>
    </w:p>
    <w:p>
      <w:pPr>
        <w:jc w:val="both"/>
        <w:ind w:right="20"/>
        <w:spacing w:after="0" w:line="237" w:lineRule="auto"/>
        <w:rPr>
          <w:sz w:val="20"/>
          <w:szCs w:val="20"/>
          <w:color w:val="auto"/>
        </w:rPr>
      </w:pPr>
      <w:r>
        <w:rPr>
          <w:rFonts w:ascii="Arial" w:cs="Arial" w:eastAsia="Arial" w:hAnsi="Arial"/>
          <w:sz w:val="17"/>
          <w:szCs w:val="17"/>
          <w:color w:val="auto"/>
        </w:rPr>
        <w:t>adequate flexibility under the Loan Documents for the continuation and/or expansion of their combined operations following such consummation, as determined by the Borrower acting in good faith.</w:t>
      </w:r>
    </w:p>
    <w:p>
      <w:pPr>
        <w:spacing w:after="0" w:line="129" w:lineRule="exact"/>
        <w:rPr>
          <w:sz w:val="20"/>
          <w:szCs w:val="20"/>
          <w:color w:val="auto"/>
        </w:rPr>
      </w:pPr>
    </w:p>
    <w:p>
      <w:pPr>
        <w:jc w:val="both"/>
        <w:ind w:right="20" w:firstLine="568"/>
        <w:spacing w:after="0" w:line="24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Type</w:t>
      </w:r>
      <w:r>
        <w:rPr>
          <w:rFonts w:ascii="Arial" w:cs="Arial" w:eastAsia="Arial" w:hAnsi="Arial"/>
          <w:sz w:val="17"/>
          <w:szCs w:val="17"/>
          <w:color w:val="auto"/>
        </w:rPr>
        <w:t>,” when used in reference to any Loan or Borrowing, refers to whether the rate of interest on such Loan, or on the Loans comprising such Borrowing, is determined by reference to the Adjusted Term SOFR Rate or the Alternate Base Rate.</w:t>
      </w:r>
    </w:p>
    <w:p>
      <w:pPr>
        <w:spacing w:after="0" w:line="128" w:lineRule="exact"/>
        <w:rPr>
          <w:sz w:val="20"/>
          <w:szCs w:val="20"/>
          <w:color w:val="auto"/>
        </w:rPr>
      </w:pPr>
    </w:p>
    <w:p>
      <w:pPr>
        <w:jc w:val="both"/>
        <w:ind w:right="20" w:firstLine="568"/>
        <w:spacing w:after="0" w:line="22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UK Financial Institution</w:t>
      </w:r>
      <w:r>
        <w:rPr>
          <w:rFonts w:ascii="Arial" w:cs="Arial" w:eastAsia="Arial" w:hAnsi="Arial"/>
          <w:sz w:val="17"/>
          <w:szCs w:val="17"/>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29" w:lineRule="exact"/>
        <w:rPr>
          <w:sz w:val="20"/>
          <w:szCs w:val="20"/>
          <w:color w:val="auto"/>
        </w:rPr>
      </w:pPr>
    </w:p>
    <w:p>
      <w:pPr>
        <w:jc w:val="both"/>
        <w:ind w:right="20" w:firstLine="568"/>
        <w:spacing w:after="0" w:line="24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UK Resolution Authority</w:t>
      </w:r>
      <w:r>
        <w:rPr>
          <w:rFonts w:ascii="Arial" w:cs="Arial" w:eastAsia="Arial" w:hAnsi="Arial"/>
          <w:sz w:val="17"/>
          <w:szCs w:val="17"/>
          <w:color w:val="auto"/>
        </w:rPr>
        <w:t>” means the Bank of England or any other public administrative authority having responsibility for the resolution of any UK Financial Institution.</w:t>
      </w:r>
    </w:p>
    <w:p>
      <w:pPr>
        <w:spacing w:after="0" w:line="12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Unadjusted Benchmark Replacement</w:t>
      </w:r>
      <w:r>
        <w:rPr>
          <w:rFonts w:ascii="Arial" w:cs="Arial" w:eastAsia="Arial" w:hAnsi="Arial"/>
          <w:sz w:val="16"/>
          <w:szCs w:val="16"/>
          <w:color w:val="auto"/>
        </w:rPr>
        <w:t>” means the applicable Benchmark Replacement excluding the related Benchmark Replacement Adjustment.</w:t>
      </w:r>
    </w:p>
    <w:p>
      <w:pPr>
        <w:spacing w:after="0" w:line="171" w:lineRule="exact"/>
        <w:rPr>
          <w:sz w:val="20"/>
          <w:szCs w:val="20"/>
          <w:color w:val="auto"/>
        </w:rPr>
      </w:pPr>
    </w:p>
    <w:p>
      <w:pPr>
        <w:jc w:val="both"/>
        <w:ind w:firstLine="568"/>
        <w:spacing w:after="0" w:line="30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Unaudited Financial Statements</w:t>
      </w:r>
      <w:r>
        <w:rPr>
          <w:rFonts w:ascii="Arial" w:cs="Arial" w:eastAsia="Arial" w:hAnsi="Arial"/>
          <w:sz w:val="15"/>
          <w:szCs w:val="15"/>
          <w:color w:val="auto"/>
        </w:rPr>
        <w:t>” means the unaudited consolidated balance sheet of Holdings for the fiscal quarters ended March 31, 2021, June 30, 2021 and September 30, 2021 and the related consolidated statements of income, changes in equity and cash flows of Holdings, including the notes thereto.</w:t>
      </w:r>
    </w:p>
    <w:p>
      <w:pPr>
        <w:spacing w:after="0" w:line="83"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United States Tax Compliance Certificate</w:t>
      </w:r>
      <w:r>
        <w:rPr>
          <w:rFonts w:ascii="Arial" w:cs="Arial" w:eastAsia="Arial" w:hAnsi="Arial"/>
          <w:sz w:val="17"/>
          <w:szCs w:val="17"/>
          <w:color w:val="auto"/>
        </w:rPr>
        <w:t>” has the meaning assigned to such term in Section 2.15(e)(ii)(C).</w:t>
      </w:r>
    </w:p>
    <w:p>
      <w:pPr>
        <w:spacing w:after="0" w:line="160" w:lineRule="exact"/>
        <w:rPr>
          <w:sz w:val="20"/>
          <w:szCs w:val="20"/>
          <w:color w:val="auto"/>
        </w:rPr>
      </w:pPr>
    </w:p>
    <w:p>
      <w:pPr>
        <w:jc w:val="both"/>
        <w:ind w:firstLine="568"/>
        <w:spacing w:after="0" w:line="24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Unrestricted Subsidiary</w:t>
      </w:r>
      <w:r>
        <w:rPr>
          <w:rFonts w:ascii="Arial" w:cs="Arial" w:eastAsia="Arial" w:hAnsi="Arial"/>
          <w:sz w:val="17"/>
          <w:szCs w:val="17"/>
          <w:color w:val="auto"/>
        </w:rPr>
        <w:t>” means any Subsidiary (other than an Intermediate Parent or the Borrower) designated by the Borrower as an Unrestricted Subsidiary pursuant to Section 5.13 subsequent to the Closing Date.</w:t>
      </w:r>
    </w:p>
    <w:p>
      <w:pPr>
        <w:spacing w:after="0" w:line="12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Unsecured Leverage Test</w:t>
      </w:r>
      <w:r>
        <w:rPr>
          <w:rFonts w:ascii="Arial" w:cs="Arial" w:eastAsia="Arial" w:hAnsi="Arial"/>
          <w:sz w:val="17"/>
          <w:szCs w:val="17"/>
          <w:color w:val="auto"/>
        </w:rPr>
        <w:t>” has the meaning assigned to such term in the definition of “Incremental Cap.”</w:t>
      </w:r>
    </w:p>
    <w:p>
      <w:pPr>
        <w:spacing w:after="0" w:line="160" w:lineRule="exact"/>
        <w:rPr>
          <w:sz w:val="20"/>
          <w:szCs w:val="20"/>
          <w:color w:val="auto"/>
        </w:rPr>
      </w:pPr>
    </w:p>
    <w:p>
      <w:pPr>
        <w:jc w:val="both"/>
        <w:ind w:right="20" w:firstLine="568"/>
        <w:spacing w:after="0" w:line="22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U.S. Government Securities Business Day</w:t>
      </w:r>
      <w:r>
        <w:rPr>
          <w:rFonts w:ascii="Arial" w:cs="Arial" w:eastAsia="Arial" w:hAnsi="Arial"/>
          <w:sz w:val="17"/>
          <w:szCs w:val="17"/>
          <w:color w:val="auto"/>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3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U.S. Special Resolution Regimes</w:t>
      </w:r>
      <w:r>
        <w:rPr>
          <w:rFonts w:ascii="Arial" w:cs="Arial" w:eastAsia="Arial" w:hAnsi="Arial"/>
          <w:sz w:val="17"/>
          <w:szCs w:val="17"/>
          <w:color w:val="auto"/>
        </w:rPr>
        <w:t>” has the meaning assigned to such term in Section 9.21.</w:t>
      </w:r>
    </w:p>
    <w:p>
      <w:pPr>
        <w:spacing w:after="0" w:line="160" w:lineRule="exact"/>
        <w:rPr>
          <w:sz w:val="20"/>
          <w:szCs w:val="20"/>
          <w:color w:val="auto"/>
        </w:rPr>
      </w:pPr>
    </w:p>
    <w:p>
      <w:pPr>
        <w:jc w:val="both"/>
        <w:ind w:firstLine="568"/>
        <w:spacing w:after="0" w:line="24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USA Patriot Act</w:t>
      </w:r>
      <w:r>
        <w:rPr>
          <w:rFonts w:ascii="Arial" w:cs="Arial" w:eastAsia="Arial" w:hAnsi="Arial"/>
          <w:sz w:val="17"/>
          <w:szCs w:val="17"/>
          <w:color w:val="auto"/>
        </w:rPr>
        <w:t>” means the Uniting and Strengthening America by Providing Appropriate Tools Required to Intercept and Obstruct Terrorism Act of 2001, as amended from time to time.</w:t>
      </w:r>
    </w:p>
    <w:p>
      <w:pPr>
        <w:spacing w:after="0" w:line="12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VFI</w:t>
      </w:r>
      <w:r>
        <w:rPr>
          <w:rFonts w:ascii="Arial" w:cs="Arial" w:eastAsia="Arial" w:hAnsi="Arial"/>
          <w:sz w:val="17"/>
          <w:szCs w:val="17"/>
          <w:color w:val="auto"/>
        </w:rPr>
        <w:t>” means Virtu Financial, Inc., a Delaware corporation.</w:t>
      </w:r>
    </w:p>
    <w:p>
      <w:pPr>
        <w:spacing w:after="0" w:line="160" w:lineRule="exact"/>
        <w:rPr>
          <w:sz w:val="20"/>
          <w:szCs w:val="20"/>
          <w:color w:val="auto"/>
        </w:rPr>
      </w:pPr>
    </w:p>
    <w:p>
      <w:pPr>
        <w:jc w:val="both"/>
        <w:ind w:right="20" w:firstLine="568"/>
        <w:spacing w:after="0" w:line="24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Voting Stock</w:t>
      </w:r>
      <w:r>
        <w:rPr>
          <w:rFonts w:ascii="Arial" w:cs="Arial" w:eastAsia="Arial" w:hAnsi="Arial"/>
          <w:sz w:val="17"/>
          <w:szCs w:val="17"/>
          <w:color w:val="auto"/>
        </w:rPr>
        <w:t>” of any specified Person as of any date means the Equity Interests of such Person that is at the time entitled to vote in an election of the Board of Directors of Holdings or such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ectPr>
          <w:pgSz w:w="11900" w:h="16838" w:orient="portrait"/>
          <w:cols w:equalWidth="0" w:num="1">
            <w:col w:w="11260"/>
          </w:cols>
          <w:pgMar w:left="320" w:top="1440" w:right="319" w:bottom="1440" w:gutter="0" w:footer="0" w:header="0"/>
        </w:sectPr>
      </w:pPr>
    </w:p>
    <w:bookmarkStart w:id="241" w:name="page242"/>
    <w:bookmarkEnd w:id="241"/>
    <w:p>
      <w:pPr>
        <w:spacing w:after="0" w:line="384" w:lineRule="exact"/>
        <w:rPr>
          <w:sz w:val="20"/>
          <w:szCs w:val="20"/>
          <w:color w:val="auto"/>
        </w:rPr>
      </w:pPr>
    </w:p>
    <w:p>
      <w:pPr>
        <w:jc w:val="both"/>
        <w:ind w:right="20" w:firstLine="568"/>
        <w:spacing w:after="0" w:line="22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VV Holders</w:t>
      </w:r>
      <w:r>
        <w:rPr>
          <w:rFonts w:ascii="Arial" w:cs="Arial" w:eastAsia="Arial" w:hAnsi="Arial"/>
          <w:sz w:val="17"/>
          <w:szCs w:val="17"/>
          <w:color w:val="auto"/>
        </w:rPr>
        <w:t>” means (i) Vincent Viola, (ii) TJMT Holdings LLC (f/k/a Virtu Holdings LLC), (iii) any immediate family member of Vincent Viola, a trust, family-partnership or estate-planning vehicle solely for the benefit of Vincent Viola and/or any of his immediate family members (including siblings of Vincent Viola and Teresa Viola), (iv) Virtu Employee Holdco LLC and (v) any other Affiliate of any of the foregoing.</w:t>
      </w:r>
    </w:p>
    <w:p>
      <w:pPr>
        <w:spacing w:after="0" w:line="130" w:lineRule="exact"/>
        <w:rPr>
          <w:sz w:val="20"/>
          <w:szCs w:val="20"/>
          <w:color w:val="auto"/>
        </w:rPr>
      </w:pPr>
    </w:p>
    <w:p>
      <w:pPr>
        <w:jc w:val="both"/>
        <w:ind w:firstLine="568"/>
        <w:spacing w:after="0" w:line="22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Weighted Average Life to Maturity</w:t>
      </w:r>
      <w:r>
        <w:rPr>
          <w:rFonts w:ascii="Arial" w:cs="Arial" w:eastAsia="Arial" w:hAnsi="Arial"/>
          <w:sz w:val="17"/>
          <w:szCs w:val="17"/>
          <w:color w:val="auto"/>
        </w:rPr>
        <w:t>” means, when applied to any Indebtedness at any date, the number of years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 (b) the then outstanding principal amount of such Indebtedness.</w:t>
      </w:r>
    </w:p>
    <w:p>
      <w:pPr>
        <w:spacing w:after="0" w:line="12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Wholly Owned Restricted Subsidiary</w:t>
      </w:r>
      <w:r>
        <w:rPr>
          <w:rFonts w:ascii="Arial" w:cs="Arial" w:eastAsia="Arial" w:hAnsi="Arial"/>
          <w:sz w:val="17"/>
          <w:szCs w:val="17"/>
          <w:color w:val="auto"/>
        </w:rPr>
        <w:t>” means any Restricted Subsidiary that is a Wholly Owned Subsidiary of Holdings.</w:t>
      </w:r>
    </w:p>
    <w:p>
      <w:pPr>
        <w:spacing w:after="0" w:line="160" w:lineRule="exact"/>
        <w:rPr>
          <w:sz w:val="20"/>
          <w:szCs w:val="20"/>
          <w:color w:val="auto"/>
        </w:rPr>
      </w:pPr>
    </w:p>
    <w:p>
      <w:pPr>
        <w:jc w:val="both"/>
        <w:ind w:firstLine="568"/>
        <w:spacing w:after="0" w:line="22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Wholly Owned Subsidiary</w:t>
      </w:r>
      <w:r>
        <w:rPr>
          <w:rFonts w:ascii="Arial" w:cs="Arial" w:eastAsia="Arial" w:hAnsi="Arial"/>
          <w:sz w:val="17"/>
          <w:szCs w:val="17"/>
          <w:color w:val="auto"/>
        </w:rPr>
        <w:t>” means, with respect to any Person at any date, a subsidiary of such Person of which securities or other ownership interests representing 100% of the Equity Interests (other than (a) directors’ qualifying shares and (b) nominal shares issued to foreign nationals to the extent required by applicable Requirements of Law) are, as of such date, owned, controlled or held by such Person or one or more Wholly Owned Subsidiaries of such Person or by such Person and one or more Wholly Owned Subsidiaries of such Person.</w:t>
      </w:r>
    </w:p>
    <w:p>
      <w:pPr>
        <w:spacing w:after="0" w:line="129" w:lineRule="exact"/>
        <w:rPr>
          <w:sz w:val="20"/>
          <w:szCs w:val="20"/>
          <w:color w:val="auto"/>
        </w:rPr>
      </w:pPr>
    </w:p>
    <w:p>
      <w:pPr>
        <w:jc w:val="both"/>
        <w:ind w:right="20" w:firstLine="568"/>
        <w:spacing w:after="0" w:line="24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Withdrawal Liability</w:t>
      </w:r>
      <w:r>
        <w:rPr>
          <w:rFonts w:ascii="Arial" w:cs="Arial" w:eastAsia="Arial" w:hAnsi="Arial"/>
          <w:sz w:val="17"/>
          <w:szCs w:val="17"/>
          <w:color w:val="auto"/>
        </w:rPr>
        <w:t>” means liability to a Multiemployer Plan as a result of a complete or partial withdrawal from such Multiemployer Plan, as such terms are defined in Part I of Subtitle E of Title IV of ERISA.</w:t>
      </w:r>
    </w:p>
    <w:p>
      <w:pPr>
        <w:spacing w:after="0" w:line="128" w:lineRule="exact"/>
        <w:rPr>
          <w:sz w:val="20"/>
          <w:szCs w:val="20"/>
          <w:color w:val="auto"/>
        </w:rPr>
      </w:pPr>
    </w:p>
    <w:p>
      <w:pPr>
        <w:jc w:val="both"/>
        <w:ind w:firstLine="568"/>
        <w:spacing w:after="0" w:line="21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Write-Down and Conversion Powers</w:t>
      </w:r>
      <w:r>
        <w:rPr>
          <w:rFonts w:ascii="Arial" w:cs="Arial" w:eastAsia="Arial" w:hAnsi="Arial"/>
          <w:sz w:val="17"/>
          <w:szCs w:val="17"/>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36" w:lineRule="exact"/>
        <w:rPr>
          <w:sz w:val="20"/>
          <w:szCs w:val="20"/>
          <w:color w:val="auto"/>
        </w:rPr>
      </w:pPr>
    </w:p>
    <w:p>
      <w:pPr>
        <w:jc w:val="both"/>
        <w:ind w:right="20" w:firstLine="568"/>
        <w:spacing w:after="0" w:line="234" w:lineRule="auto"/>
        <w:rPr>
          <w:sz w:val="20"/>
          <w:szCs w:val="20"/>
          <w:color w:val="auto"/>
        </w:rPr>
      </w:pPr>
      <w:r>
        <w:rPr>
          <w:rFonts w:ascii="Arial" w:cs="Arial" w:eastAsia="Arial" w:hAnsi="Arial"/>
          <w:sz w:val="16"/>
          <w:szCs w:val="16"/>
          <w:color w:val="auto"/>
        </w:rPr>
        <w:t xml:space="preserve">Section 1.02. </w:t>
      </w:r>
      <w:r>
        <w:rPr>
          <w:rFonts w:ascii="Arial" w:cs="Arial" w:eastAsia="Arial" w:hAnsi="Arial"/>
          <w:sz w:val="16"/>
          <w:szCs w:val="16"/>
          <w:i w:val="1"/>
          <w:iCs w:val="1"/>
          <w:color w:val="auto"/>
        </w:rPr>
        <w:t>Classification of Loans and Borrowings.</w:t>
      </w:r>
      <w:r>
        <w:rPr>
          <w:rFonts w:ascii="Arial" w:cs="Arial" w:eastAsia="Arial" w:hAnsi="Arial"/>
          <w:sz w:val="16"/>
          <w:szCs w:val="16"/>
          <w:color w:val="auto"/>
        </w:rPr>
        <w:t xml:space="preserve"> For purposes of this Agreement, Loans and Borrowings may be classified and referred to by Class (e.g., a “</w:t>
      </w:r>
      <w:r>
        <w:rPr>
          <w:rFonts w:ascii="Arial" w:cs="Arial" w:eastAsia="Arial" w:hAnsi="Arial"/>
          <w:sz w:val="16"/>
          <w:szCs w:val="16"/>
          <w:b w:val="1"/>
          <w:bCs w:val="1"/>
          <w:color w:val="auto"/>
        </w:rPr>
        <w:t>Term Loan</w:t>
      </w:r>
      <w:r>
        <w:rPr>
          <w:rFonts w:ascii="Arial" w:cs="Arial" w:eastAsia="Arial" w:hAnsi="Arial"/>
          <w:sz w:val="16"/>
          <w:szCs w:val="16"/>
          <w:color w:val="auto"/>
        </w:rPr>
        <w:t>” or “</w:t>
      </w:r>
      <w:r>
        <w:rPr>
          <w:rFonts w:ascii="Arial" w:cs="Arial" w:eastAsia="Arial" w:hAnsi="Arial"/>
          <w:sz w:val="16"/>
          <w:szCs w:val="16"/>
          <w:b w:val="1"/>
          <w:bCs w:val="1"/>
          <w:color w:val="auto"/>
        </w:rPr>
        <w:t>Revolving Loan</w:t>
      </w:r>
      <w:r>
        <w:rPr>
          <w:rFonts w:ascii="Arial" w:cs="Arial" w:eastAsia="Arial" w:hAnsi="Arial"/>
          <w:sz w:val="16"/>
          <w:szCs w:val="16"/>
          <w:color w:val="auto"/>
        </w:rPr>
        <w:t>”) or by Type (e.g., a “</w:t>
      </w:r>
      <w:r>
        <w:rPr>
          <w:rFonts w:ascii="Arial" w:cs="Arial" w:eastAsia="Arial" w:hAnsi="Arial"/>
          <w:sz w:val="16"/>
          <w:szCs w:val="16"/>
          <w:b w:val="1"/>
          <w:bCs w:val="1"/>
          <w:color w:val="auto"/>
        </w:rPr>
        <w:t>Term Benchmark Loan</w:t>
      </w:r>
      <w:r>
        <w:rPr>
          <w:rFonts w:ascii="Arial" w:cs="Arial" w:eastAsia="Arial" w:hAnsi="Arial"/>
          <w:sz w:val="16"/>
          <w:szCs w:val="16"/>
          <w:color w:val="auto"/>
        </w:rPr>
        <w:t>”) or by Class and Type (e.g., a “</w:t>
      </w:r>
      <w:r>
        <w:rPr>
          <w:rFonts w:ascii="Arial" w:cs="Arial" w:eastAsia="Arial" w:hAnsi="Arial"/>
          <w:sz w:val="16"/>
          <w:szCs w:val="16"/>
          <w:b w:val="1"/>
          <w:bCs w:val="1"/>
          <w:color w:val="auto"/>
        </w:rPr>
        <w:t>Term Benchmark Term Loan</w:t>
      </w:r>
      <w:r>
        <w:rPr>
          <w:rFonts w:ascii="Arial" w:cs="Arial" w:eastAsia="Arial" w:hAnsi="Arial"/>
          <w:sz w:val="16"/>
          <w:szCs w:val="16"/>
          <w:color w:val="auto"/>
        </w:rPr>
        <w:t>” or “</w:t>
      </w:r>
      <w:r>
        <w:rPr>
          <w:rFonts w:ascii="Arial" w:cs="Arial" w:eastAsia="Arial" w:hAnsi="Arial"/>
          <w:sz w:val="16"/>
          <w:szCs w:val="16"/>
          <w:b w:val="1"/>
          <w:bCs w:val="1"/>
          <w:color w:val="auto"/>
        </w:rPr>
        <w:t>ABR Revolving Loan</w:t>
      </w:r>
      <w:r>
        <w:rPr>
          <w:rFonts w:ascii="Arial" w:cs="Arial" w:eastAsia="Arial" w:hAnsi="Arial"/>
          <w:sz w:val="16"/>
          <w:szCs w:val="16"/>
          <w:color w:val="auto"/>
        </w:rPr>
        <w:t>”). Borrowings also may be classified and referred to by Class (e.g., a “</w:t>
      </w:r>
      <w:r>
        <w:rPr>
          <w:rFonts w:ascii="Arial" w:cs="Arial" w:eastAsia="Arial" w:hAnsi="Arial"/>
          <w:sz w:val="16"/>
          <w:szCs w:val="16"/>
          <w:b w:val="1"/>
          <w:bCs w:val="1"/>
          <w:color w:val="auto"/>
        </w:rPr>
        <w:t>Term Borrowing</w:t>
      </w:r>
      <w:r>
        <w:rPr>
          <w:rFonts w:ascii="Arial" w:cs="Arial" w:eastAsia="Arial" w:hAnsi="Arial"/>
          <w:sz w:val="16"/>
          <w:szCs w:val="16"/>
          <w:color w:val="auto"/>
        </w:rPr>
        <w:t>” or “</w:t>
      </w:r>
      <w:r>
        <w:rPr>
          <w:rFonts w:ascii="Arial" w:cs="Arial" w:eastAsia="Arial" w:hAnsi="Arial"/>
          <w:sz w:val="16"/>
          <w:szCs w:val="16"/>
          <w:b w:val="1"/>
          <w:bCs w:val="1"/>
          <w:color w:val="auto"/>
        </w:rPr>
        <w:t>Revolving Borrowing</w:t>
      </w:r>
      <w:r>
        <w:rPr>
          <w:rFonts w:ascii="Arial" w:cs="Arial" w:eastAsia="Arial" w:hAnsi="Arial"/>
          <w:sz w:val="16"/>
          <w:szCs w:val="16"/>
          <w:color w:val="auto"/>
        </w:rPr>
        <w:t>”) or by Type (e.g., a “</w:t>
      </w:r>
      <w:r>
        <w:rPr>
          <w:rFonts w:ascii="Arial" w:cs="Arial" w:eastAsia="Arial" w:hAnsi="Arial"/>
          <w:sz w:val="16"/>
          <w:szCs w:val="16"/>
          <w:b w:val="1"/>
          <w:bCs w:val="1"/>
          <w:color w:val="auto"/>
        </w:rPr>
        <w:t>Term Benchmark Borrowing</w:t>
      </w:r>
      <w:r>
        <w:rPr>
          <w:rFonts w:ascii="Arial" w:cs="Arial" w:eastAsia="Arial" w:hAnsi="Arial"/>
          <w:sz w:val="16"/>
          <w:szCs w:val="16"/>
          <w:color w:val="auto"/>
        </w:rPr>
        <w:t>”) or by Class and Type (e.g., a “</w:t>
      </w:r>
      <w:r>
        <w:rPr>
          <w:rFonts w:ascii="Arial" w:cs="Arial" w:eastAsia="Arial" w:hAnsi="Arial"/>
          <w:sz w:val="16"/>
          <w:szCs w:val="16"/>
          <w:b w:val="1"/>
          <w:bCs w:val="1"/>
          <w:color w:val="auto"/>
        </w:rPr>
        <w:t>Term Benchmark Term Borrowing</w:t>
      </w:r>
      <w:r>
        <w:rPr>
          <w:rFonts w:ascii="Arial" w:cs="Arial" w:eastAsia="Arial" w:hAnsi="Arial"/>
          <w:sz w:val="16"/>
          <w:szCs w:val="16"/>
          <w:color w:val="auto"/>
        </w:rPr>
        <w:t>” or “</w:t>
      </w:r>
      <w:r>
        <w:rPr>
          <w:rFonts w:ascii="Arial" w:cs="Arial" w:eastAsia="Arial" w:hAnsi="Arial"/>
          <w:sz w:val="16"/>
          <w:szCs w:val="16"/>
          <w:b w:val="1"/>
          <w:bCs w:val="1"/>
          <w:color w:val="auto"/>
        </w:rPr>
        <w:t>ABR Revolving Borrowing</w:t>
      </w:r>
      <w:r>
        <w:rPr>
          <w:rFonts w:ascii="Arial" w:cs="Arial" w:eastAsia="Arial" w:hAnsi="Arial"/>
          <w:sz w:val="16"/>
          <w:szCs w:val="16"/>
          <w:color w:val="auto"/>
        </w:rPr>
        <w:t>”).</w:t>
      </w:r>
    </w:p>
    <w:p>
      <w:pPr>
        <w:spacing w:after="0" w:line="135" w:lineRule="exact"/>
        <w:rPr>
          <w:sz w:val="20"/>
          <w:szCs w:val="20"/>
          <w:color w:val="auto"/>
        </w:rPr>
      </w:pPr>
    </w:p>
    <w:p>
      <w:pPr>
        <w:jc w:val="both"/>
        <w:ind w:right="20" w:firstLine="568"/>
        <w:spacing w:after="0" w:line="225" w:lineRule="auto"/>
        <w:rPr>
          <w:sz w:val="20"/>
          <w:szCs w:val="20"/>
          <w:color w:val="auto"/>
        </w:rPr>
      </w:pPr>
      <w:r>
        <w:rPr>
          <w:rFonts w:ascii="Arial" w:cs="Arial" w:eastAsia="Arial" w:hAnsi="Arial"/>
          <w:sz w:val="17"/>
          <w:szCs w:val="17"/>
          <w:color w:val="auto"/>
        </w:rPr>
        <w:t xml:space="preserve">Section 1.03. </w:t>
      </w:r>
      <w:r>
        <w:rPr>
          <w:rFonts w:ascii="Arial" w:cs="Arial" w:eastAsia="Arial" w:hAnsi="Arial"/>
          <w:sz w:val="17"/>
          <w:szCs w:val="17"/>
          <w:i w:val="1"/>
          <w:iCs w:val="1"/>
          <w:color w:val="auto"/>
        </w:rPr>
        <w:t>Terms Generally.</w:t>
      </w:r>
      <w:r>
        <w:rPr>
          <w:rFonts w:ascii="Arial" w:cs="Arial" w:eastAsia="Arial" w:hAnsi="Arial"/>
          <w:sz w:val="17"/>
          <w:szCs w:val="17"/>
          <w:color w:val="auto"/>
        </w:rPr>
        <w:t xml:space="preserve">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ectPr>
          <w:pgSz w:w="11900" w:h="16838" w:orient="portrait"/>
          <w:cols w:equalWidth="0" w:num="1">
            <w:col w:w="11260"/>
          </w:cols>
          <w:pgMar w:left="320" w:top="1440" w:right="319" w:bottom="1440" w:gutter="0" w:footer="0" w:header="0"/>
        </w:sectPr>
      </w:pPr>
    </w:p>
    <w:bookmarkStart w:id="242" w:name="page243"/>
    <w:bookmarkEnd w:id="242"/>
    <w:p>
      <w:pPr>
        <w:spacing w:after="0" w:line="390" w:lineRule="exact"/>
        <w:rPr>
          <w:sz w:val="20"/>
          <w:szCs w:val="20"/>
          <w:color w:val="auto"/>
        </w:rPr>
      </w:pPr>
    </w:p>
    <w:p>
      <w:pPr>
        <w:jc w:val="both"/>
        <w:spacing w:after="0" w:line="222" w:lineRule="auto"/>
        <w:rPr>
          <w:sz w:val="20"/>
          <w:szCs w:val="20"/>
          <w:color w:val="auto"/>
        </w:rPr>
      </w:pPr>
      <w:r>
        <w:rPr>
          <w:rFonts w:ascii="Arial" w:cs="Arial" w:eastAsia="Arial" w:hAnsi="Arial"/>
          <w:sz w:val="16"/>
          <w:szCs w:val="16"/>
          <w:color w:val="auto"/>
        </w:rPr>
        <w:t>meaning and effect as the word “shall.” Unless the context requires otherwise, (a) any definition of or reference to any agreement (including this Agreement and the other Loan Documents), instrument or other document herein shall be construed as referring to such agreement, instrument or other document as from time to time amended, amended and restated, supplemented or otherwise modified (subject to any restrictions on such amendments, supplements or modifications set forth herein), (b) any reference herein to any Person shall be construed to include such Person’s successors and assigns (subject to any restrictions on assignment set forth herein) and, in the case of any Governmental Authority or Regulatory Supervising Organization, any other Governmental Authority or Regulatory Supervising Organization that shall have succeeded to any or all functions thereof,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(e) any reference to any law, rule or regulation herein shall, unless otherwise specified, refer to such law, rule or regulation as amended, modified or supplemented from time to time and (f) the words “asset” and “property” shall be construed to have the same meaning and effect and to refer to any and all tangible and intangible assets and properties, including cash, securities, accounts and contract rights.</w:t>
      </w:r>
    </w:p>
    <w:p>
      <w:pPr>
        <w:spacing w:after="0" w:line="141" w:lineRule="exact"/>
        <w:rPr>
          <w:sz w:val="20"/>
          <w:szCs w:val="20"/>
          <w:color w:val="auto"/>
        </w:rPr>
      </w:pPr>
    </w:p>
    <w:p>
      <w:pPr>
        <w:jc w:val="both"/>
        <w:ind w:firstLine="568"/>
        <w:spacing w:after="0" w:line="221" w:lineRule="auto"/>
        <w:rPr>
          <w:sz w:val="20"/>
          <w:szCs w:val="20"/>
          <w:color w:val="auto"/>
        </w:rPr>
      </w:pPr>
      <w:r>
        <w:rPr>
          <w:rFonts w:ascii="Arial" w:cs="Arial" w:eastAsia="Arial" w:hAnsi="Arial"/>
          <w:sz w:val="16"/>
          <w:szCs w:val="16"/>
          <w:color w:val="auto"/>
        </w:rPr>
        <w:t xml:space="preserve">Section 1.04. </w:t>
      </w:r>
      <w:r>
        <w:rPr>
          <w:rFonts w:ascii="Arial" w:cs="Arial" w:eastAsia="Arial" w:hAnsi="Arial"/>
          <w:sz w:val="16"/>
          <w:szCs w:val="16"/>
          <w:i w:val="1"/>
          <w:iCs w:val="1"/>
          <w:color w:val="auto"/>
        </w:rPr>
        <w:t>Accounting Terms; GAAP.</w:t>
      </w:r>
      <w:r>
        <w:rPr>
          <w:rFonts w:ascii="Arial" w:cs="Arial" w:eastAsia="Arial" w:hAnsi="Arial"/>
          <w:sz w:val="16"/>
          <w:szCs w:val="16"/>
          <w:color w:val="auto"/>
        </w:rPr>
        <w:t xml:space="preserve"> Except as otherwise expressly provided herein, all terms of an accounting or financial nature shall be construed in accordance with GAAP, as in effect from time to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the Borrower notifies the Administrative Agent that the Borrower requests an amendment to any provision (including any definitions) hereof to eliminate the effect of any change occurring after the Closing Date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all terms of an accounting or financial nature used herein shall be construed, and all computations of amounts and ratios referred to herein shall be made, without giving effect to (i) any election under Financial Accounting Standards Accounting Standards Codification No. 825, “Financial Instruments”, or any successor thereto (including pursuant to the Accounting Standards Codification), to value any Indebtedness of Holdings, the Borrower or any Subsidiary at “fair value”, as defined therein and (ii) any treatment of Indebtedness under Accounting Standards Codification 470-20 or 2015-03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w:t>
      </w:r>
    </w:p>
    <w:p>
      <w:pPr>
        <w:spacing w:after="0" w:line="142" w:lineRule="exact"/>
        <w:rPr>
          <w:sz w:val="20"/>
          <w:szCs w:val="20"/>
          <w:color w:val="auto"/>
        </w:rPr>
      </w:pPr>
    </w:p>
    <w:p>
      <w:pPr>
        <w:jc w:val="both"/>
        <w:ind w:firstLine="568"/>
        <w:spacing w:after="0" w:line="264" w:lineRule="auto"/>
        <w:rPr>
          <w:sz w:val="20"/>
          <w:szCs w:val="20"/>
          <w:color w:val="auto"/>
        </w:rPr>
      </w:pPr>
      <w:r>
        <w:rPr>
          <w:rFonts w:ascii="Arial" w:cs="Arial" w:eastAsia="Arial" w:hAnsi="Arial"/>
          <w:sz w:val="15"/>
          <w:szCs w:val="15"/>
          <w:color w:val="auto"/>
        </w:rPr>
        <w:t xml:space="preserve">Section 1.05. </w:t>
      </w:r>
      <w:r>
        <w:rPr>
          <w:rFonts w:ascii="Arial" w:cs="Arial" w:eastAsia="Arial" w:hAnsi="Arial"/>
          <w:sz w:val="15"/>
          <w:szCs w:val="15"/>
          <w:i w:val="1"/>
          <w:iCs w:val="1"/>
          <w:color w:val="auto"/>
        </w:rPr>
        <w:t>Effectuation of Transactions.</w:t>
      </w:r>
      <w:r>
        <w:rPr>
          <w:rFonts w:ascii="Arial" w:cs="Arial" w:eastAsia="Arial" w:hAnsi="Arial"/>
          <w:sz w:val="15"/>
          <w:szCs w:val="15"/>
          <w:color w:val="auto"/>
        </w:rPr>
        <w:t xml:space="preserve"> All references herein to Holdings, the Borrower and the other Subsidiaries shall be deemed to be references to such Persons, and all the representations and warranties of Holdings, the Borrower and the other Loan Parties contained in this Agreement and the other Loan Documents shall be deemed made, in each case, after giving effect to the Transactions to occur on the Closing Date, unless the context otherwise requires.</w:t>
      </w:r>
    </w:p>
    <w:p>
      <w:pPr>
        <w:spacing w:after="0" w:line="117" w:lineRule="exact"/>
        <w:rPr>
          <w:sz w:val="20"/>
          <w:szCs w:val="20"/>
          <w:color w:val="auto"/>
        </w:rPr>
      </w:pPr>
    </w:p>
    <w:p>
      <w:pPr>
        <w:jc w:val="both"/>
        <w:ind w:firstLine="568"/>
        <w:spacing w:after="0" w:line="225" w:lineRule="auto"/>
        <w:rPr>
          <w:sz w:val="20"/>
          <w:szCs w:val="20"/>
          <w:color w:val="auto"/>
        </w:rPr>
      </w:pPr>
      <w:r>
        <w:rPr>
          <w:rFonts w:ascii="Arial" w:cs="Arial" w:eastAsia="Arial" w:hAnsi="Arial"/>
          <w:sz w:val="17"/>
          <w:szCs w:val="17"/>
          <w:color w:val="auto"/>
        </w:rPr>
        <w:t xml:space="preserve">Section 1.06. </w:t>
      </w:r>
      <w:r>
        <w:rPr>
          <w:rFonts w:ascii="Arial" w:cs="Arial" w:eastAsia="Arial" w:hAnsi="Arial"/>
          <w:sz w:val="17"/>
          <w:szCs w:val="17"/>
          <w:i w:val="1"/>
          <w:iCs w:val="1"/>
          <w:color w:val="auto"/>
        </w:rPr>
        <w:t>Currency Translation.</w:t>
      </w:r>
      <w:r>
        <w:rPr>
          <w:rFonts w:ascii="Arial" w:cs="Arial" w:eastAsia="Arial" w:hAnsi="Arial"/>
          <w:sz w:val="17"/>
          <w:szCs w:val="17"/>
          <w:color w:val="auto"/>
        </w:rPr>
        <w:t xml:space="preserve"> Notwithstanding the foregoing, for purposes of any determination under Article 5, Article 6 (other than the Financial Performance Covenant) or Article 7 or any determination under any other provision of this Agreement expressly requiring the use of a currency exchange rate, all amounts incurred, outstanding or proposed to be incurred or outstanding in currencies other than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ectPr>
          <w:pgSz w:w="11900" w:h="16838" w:orient="portrait"/>
          <w:cols w:equalWidth="0" w:num="1">
            <w:col w:w="11260"/>
          </w:cols>
          <w:pgMar w:left="320" w:top="1440" w:right="319" w:bottom="1440" w:gutter="0" w:footer="0" w:header="0"/>
        </w:sectPr>
      </w:pPr>
    </w:p>
    <w:bookmarkStart w:id="243" w:name="page244"/>
    <w:bookmarkEnd w:id="243"/>
    <w:p>
      <w:pPr>
        <w:spacing w:after="0" w:line="390" w:lineRule="exact"/>
        <w:rPr>
          <w:sz w:val="20"/>
          <w:szCs w:val="20"/>
          <w:color w:val="auto"/>
        </w:rPr>
      </w:pPr>
    </w:p>
    <w:p>
      <w:pPr>
        <w:jc w:val="both"/>
        <w:spacing w:after="0" w:line="221" w:lineRule="auto"/>
        <w:rPr>
          <w:sz w:val="20"/>
          <w:szCs w:val="20"/>
          <w:color w:val="auto"/>
        </w:rPr>
      </w:pPr>
      <w:r>
        <w:rPr>
          <w:rFonts w:ascii="Arial" w:cs="Arial" w:eastAsia="Arial" w:hAnsi="Arial"/>
          <w:sz w:val="16"/>
          <w:szCs w:val="16"/>
          <w:color w:val="auto"/>
        </w:rPr>
        <w:t xml:space="preserve">dollars shall be translated into dollars at currency exchange rates in effect on the date of such determination;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for purposes of determining compliance with Article 6 with respect to the amount of any Indebtedness, Investment, Disposition or Restricted Payment in a currency other than dollars, no Default or Event of Default shall be deemed to have occurred solely as a result of changes in rates of exchange occurring after the time such Indebtedness or Investment is incurred or Disposition or Restricted Payment made;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if Indebtedness is incurred to refinance other Indebtedness denominated in a currency other than dollars (or in a different currency from the Indebtedness being refinanced), and such refinancing would cause the applicable dollar-denominated restriction to be exceeded if calculated at the relevant currency exchange rate in effect on the date of such refinancing, such dollar-denominated restriction shall be deemed not to have been exceeded so long as the principal amount of such refinancing Indebtedness does not exceed (i) the outstanding principal amount, as applicable, of such Indebtedness being refinanced plus (ii) the aggregate amount of unpaid accrued interest and premium thereon plus other amounts paid, and fees and expenses incurred, in connection with such refinancing;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w:t>
      </w:r>
      <w:r>
        <w:rPr>
          <w:rFonts w:ascii="Arial" w:cs="Arial" w:eastAsia="Arial" w:hAnsi="Arial"/>
          <w:sz w:val="16"/>
          <w:szCs w:val="16"/>
          <w:i w:val="1"/>
          <w:iCs w:val="1"/>
          <w:color w:val="auto"/>
        </w:rPr>
        <w:t>,</w:t>
      </w:r>
      <w:r>
        <w:rPr>
          <w:rFonts w:ascii="Arial" w:cs="Arial" w:eastAsia="Arial" w:hAnsi="Arial"/>
          <w:sz w:val="16"/>
          <w:szCs w:val="16"/>
          <w:color w:val="auto"/>
        </w:rPr>
        <w:t xml:space="preserve"> for the avoidance of doubt, the foregoing provisions of this Section 1.06 shall otherwise apply to such Sections, including with respect to determining whether any Indebtedness or Investment may be incurred or Disposition or Restricted Payment made at any time under such Sections. For purposes of the Financial Performance Covenant, amounts in currencies other than dollars shall be translated into dollars at the currency exchange rates used in preparing the most recently delivered financial statements pursuant to Section 5.01(a) or (b).</w:t>
      </w:r>
    </w:p>
    <w:p>
      <w:pPr>
        <w:spacing w:after="0" w:line="142" w:lineRule="exact"/>
        <w:rPr>
          <w:sz w:val="20"/>
          <w:szCs w:val="20"/>
          <w:color w:val="auto"/>
        </w:rPr>
      </w:pPr>
    </w:p>
    <w:p>
      <w:pPr>
        <w:jc w:val="both"/>
        <w:ind w:firstLine="568"/>
        <w:spacing w:after="0" w:line="234" w:lineRule="auto"/>
        <w:rPr>
          <w:sz w:val="20"/>
          <w:szCs w:val="20"/>
          <w:color w:val="auto"/>
        </w:rPr>
      </w:pPr>
      <w:r>
        <w:rPr>
          <w:rFonts w:ascii="Arial" w:cs="Arial" w:eastAsia="Arial" w:hAnsi="Arial"/>
          <w:sz w:val="16"/>
          <w:szCs w:val="16"/>
          <w:color w:val="auto"/>
        </w:rPr>
        <w:t xml:space="preserve">Section 1.07. </w:t>
      </w:r>
      <w:r>
        <w:rPr>
          <w:rFonts w:ascii="Arial" w:cs="Arial" w:eastAsia="Arial" w:hAnsi="Arial"/>
          <w:sz w:val="16"/>
          <w:szCs w:val="16"/>
          <w:i w:val="1"/>
          <w:iCs w:val="1"/>
          <w:color w:val="auto"/>
        </w:rPr>
        <w:t>Divisions</w:t>
      </w:r>
      <w:r>
        <w:rPr>
          <w:rFonts w:ascii="Arial" w:cs="Arial" w:eastAsia="Arial" w:hAnsi="Arial"/>
          <w:sz w:val="16"/>
          <w:szCs w:val="16"/>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35" w:lineRule="exact"/>
        <w:rPr>
          <w:sz w:val="20"/>
          <w:szCs w:val="20"/>
          <w:color w:val="auto"/>
        </w:rPr>
      </w:pPr>
    </w:p>
    <w:p>
      <w:pPr>
        <w:jc w:val="both"/>
        <w:ind w:firstLine="568"/>
        <w:spacing w:after="0" w:line="221" w:lineRule="auto"/>
        <w:rPr>
          <w:sz w:val="20"/>
          <w:szCs w:val="20"/>
          <w:color w:val="auto"/>
        </w:rPr>
      </w:pPr>
      <w:r>
        <w:rPr>
          <w:rFonts w:ascii="Arial" w:cs="Arial" w:eastAsia="Arial" w:hAnsi="Arial"/>
          <w:sz w:val="16"/>
          <w:szCs w:val="16"/>
          <w:color w:val="auto"/>
        </w:rPr>
        <w:t xml:space="preserve">Section 1.08. </w:t>
      </w:r>
      <w:r>
        <w:rPr>
          <w:rFonts w:ascii="Arial" w:cs="Arial" w:eastAsia="Arial" w:hAnsi="Arial"/>
          <w:sz w:val="16"/>
          <w:szCs w:val="16"/>
          <w:i w:val="1"/>
          <w:iCs w:val="1"/>
          <w:color w:val="auto"/>
        </w:rPr>
        <w:t>Limited Condition Transactions</w:t>
      </w:r>
      <w:r>
        <w:rPr>
          <w:rFonts w:ascii="Arial" w:cs="Arial" w:eastAsia="Arial" w:hAnsi="Arial"/>
          <w:sz w:val="16"/>
          <w:szCs w:val="16"/>
          <w:color w:val="auto"/>
        </w:rPr>
        <w:t xml:space="preserve">. Notwithstanding anything to the contrary contained herein, for purposes of (a)(i) measuring the relevant ratios and baskets, (ii) determining whether a Default or Event of Default (other than any Specified Event of Default) exists or would be caused thereby and (iii) determining the accuracy of any representation or warranty, in each case solely with respect to the incurrence of any Incremental Facility or Indebtedness under Section 6.01 for the purpose of financing a Limited Condition Transaction, or (b) determining whether the Limited Condition Transaction is permitted under this Agreement, compliance with any such ratio, basket or other test hereunder on a Pro Forma Basis with respect to the incurrence of any such Indebtedness or the consummation of such Limited Condition Transaction may be determined, at the option of the Borrower, either (i) at the time of entry into the applicable acquisition agreement or (ii) at the time of incurrence of such Indebtedness or the consummation of such Limited Condition Transaction;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Borrower elects to have such determination occur at the time of entry into the applicable acquisition agreement, such Indebtedness to be incurred shall be deemed incurred at the time of such determination and outstanding thereafter, and such Limited Condition Transaction will be deemed to have been consummated for four complete fiscal quarters, and be given pro forma effect, for purposes of determining compliance on a Pro Forma Basis with any applicable ratio, basket or other test with respect thereto and in connection with the incurrence of any other Indebtedness (other than under such Incremental Facility or such other Indebtedness, which shall remain subject to the terms thereof with respect to the impact, if any, of a Limited Condition Transaction) or Liens, or the making of any other Investments, Dispositions or fundamental changes (A) until such time as such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ectPr>
          <w:pgSz w:w="11900" w:h="16838" w:orient="portrait"/>
          <w:cols w:equalWidth="0" w:num="1">
            <w:col w:w="11260"/>
          </w:cols>
          <w:pgMar w:left="320" w:top="1440" w:right="319" w:bottom="1440" w:gutter="0" w:footer="0" w:header="0"/>
        </w:sectPr>
      </w:pPr>
    </w:p>
    <w:bookmarkStart w:id="244" w:name="page245"/>
    <w:bookmarkEnd w:id="244"/>
    <w:p>
      <w:pPr>
        <w:spacing w:after="0" w:line="390" w:lineRule="exact"/>
        <w:rPr>
          <w:sz w:val="20"/>
          <w:szCs w:val="20"/>
          <w:color w:val="auto"/>
        </w:rPr>
      </w:pPr>
    </w:p>
    <w:p>
      <w:pPr>
        <w:jc w:val="both"/>
        <w:spacing w:after="0" w:line="216" w:lineRule="auto"/>
        <w:rPr>
          <w:sz w:val="20"/>
          <w:szCs w:val="20"/>
          <w:color w:val="auto"/>
        </w:rPr>
      </w:pPr>
      <w:r>
        <w:rPr>
          <w:rFonts w:ascii="Arial" w:cs="Arial" w:eastAsia="Arial" w:hAnsi="Arial"/>
          <w:sz w:val="17"/>
          <w:szCs w:val="17"/>
          <w:color w:val="auto"/>
        </w:rPr>
        <w:t>agreement is terminated without actually consummating such Limited Condition Transaction, in which case such Incremental Facility or other applicable Indebtedness will not be treated as having been incurred and such Limited Condition Transaction will not be treated as having occurred or (B) until such time as such Limited Condition Transaction is consummated, in which case the actual Incremental Facility or other applicable Indebtedness shall be deemed incurred and outstanding and such acquisition will be deemed to be consummated for purposes of determining compliance on a Pro Forma Basis with any applicable ratio, test or other basket.</w:t>
      </w:r>
    </w:p>
    <w:p>
      <w:pPr>
        <w:spacing w:after="0" w:line="138" w:lineRule="exact"/>
        <w:rPr>
          <w:sz w:val="20"/>
          <w:szCs w:val="20"/>
          <w:color w:val="auto"/>
        </w:rPr>
      </w:pPr>
    </w:p>
    <w:p>
      <w:pPr>
        <w:jc w:val="both"/>
        <w:ind w:firstLine="568"/>
        <w:spacing w:after="0" w:line="221" w:lineRule="auto"/>
        <w:rPr>
          <w:sz w:val="20"/>
          <w:szCs w:val="20"/>
          <w:color w:val="auto"/>
        </w:rPr>
      </w:pPr>
      <w:r>
        <w:rPr>
          <w:rFonts w:ascii="Arial" w:cs="Arial" w:eastAsia="Arial" w:hAnsi="Arial"/>
          <w:sz w:val="16"/>
          <w:szCs w:val="16"/>
          <w:color w:val="auto"/>
        </w:rPr>
        <w:t xml:space="preserve">Section 1.09. </w:t>
      </w:r>
      <w:r>
        <w:rPr>
          <w:rFonts w:ascii="Arial" w:cs="Arial" w:eastAsia="Arial" w:hAnsi="Arial"/>
          <w:sz w:val="16"/>
          <w:szCs w:val="16"/>
          <w:i w:val="1"/>
          <w:iCs w:val="1"/>
          <w:color w:val="auto"/>
        </w:rPr>
        <w:t>Interest Rates; Benchmark Notification</w:t>
      </w:r>
      <w:r>
        <w:rPr>
          <w:rFonts w:ascii="Arial" w:cs="Arial" w:eastAsia="Arial" w:hAnsi="Arial"/>
          <w:sz w:val="16"/>
          <w:szCs w:val="16"/>
          <w:color w:val="auto"/>
        </w:rPr>
        <w:t>. The interest rate on a Loan may be derived from an interest rate benchmark that may be discontinued or is, or may in the future become, the subject of regulatory reform. Upon the occurrence of a Benchmark Transition Event, Section 2.12(b)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Borrower.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38" w:lineRule="exact"/>
        <w:rPr>
          <w:sz w:val="20"/>
          <w:szCs w:val="20"/>
          <w:color w:val="auto"/>
        </w:rPr>
      </w:pPr>
    </w:p>
    <w:p>
      <w:pPr>
        <w:jc w:val="both"/>
        <w:ind w:firstLine="568"/>
        <w:spacing w:after="0" w:line="216" w:lineRule="auto"/>
        <w:rPr>
          <w:sz w:val="20"/>
          <w:szCs w:val="20"/>
          <w:color w:val="auto"/>
        </w:rPr>
      </w:pPr>
      <w:r>
        <w:rPr>
          <w:rFonts w:ascii="Arial" w:cs="Arial" w:eastAsia="Arial" w:hAnsi="Arial"/>
          <w:sz w:val="17"/>
          <w:szCs w:val="17"/>
          <w:color w:val="auto"/>
        </w:rPr>
        <w:t xml:space="preserve">Section 1.10. </w:t>
      </w:r>
      <w:r>
        <w:rPr>
          <w:rFonts w:ascii="Arial" w:cs="Arial" w:eastAsia="Arial" w:hAnsi="Arial"/>
          <w:sz w:val="17"/>
          <w:szCs w:val="17"/>
          <w:i w:val="1"/>
          <w:iCs w:val="1"/>
          <w:color w:val="auto"/>
        </w:rPr>
        <w:t>Letter of Credit Amounts</w:t>
      </w:r>
      <w:r>
        <w:rPr>
          <w:rFonts w:ascii="Arial" w:cs="Arial" w:eastAsia="Arial" w:hAnsi="Arial"/>
          <w:sz w:val="17"/>
          <w:szCs w:val="17"/>
          <w:color w:val="auto"/>
        </w:rPr>
        <w:t xml:space="preserve">. Unless otherwise specified herein, the amount of a Letter of Credit at any time shall be deemed to be the amount of such Letter of Credit available at such time to be drawn at such time;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with respect to any Letter of Credit that, by its terms or the terms of any Letter of Credit Agreement related thereto, provides for one or more automatic increases in the available amount thereof, the amount of such Letter of Credit shall be deemed to be the maximum amount of such Letter of Credit after giving effect to all such increases, whether or not such maximum amount is available to be drawn at such time during the remaining life thereof.</w:t>
      </w:r>
    </w:p>
    <w:p>
      <w:pPr>
        <w:spacing w:after="0" w:line="176" w:lineRule="exact"/>
        <w:rPr>
          <w:sz w:val="20"/>
          <w:szCs w:val="20"/>
          <w:color w:val="auto"/>
        </w:rPr>
      </w:pPr>
    </w:p>
    <w:p>
      <w:pPr>
        <w:jc w:val="center"/>
        <w:ind w:right="360"/>
        <w:spacing w:after="0"/>
        <w:rPr>
          <w:sz w:val="20"/>
          <w:szCs w:val="20"/>
          <w:color w:val="auto"/>
        </w:rPr>
      </w:pPr>
      <w:r>
        <w:rPr>
          <w:rFonts w:ascii="Arial" w:cs="Arial" w:eastAsia="Arial" w:hAnsi="Arial"/>
          <w:sz w:val="16"/>
          <w:szCs w:val="16"/>
          <w:color w:val="auto"/>
        </w:rPr>
        <w:t>ARTICLE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Credits</w:t>
      </w:r>
    </w:p>
    <w:p>
      <w:pPr>
        <w:spacing w:after="0" w:line="195" w:lineRule="exact"/>
        <w:rPr>
          <w:sz w:val="20"/>
          <w:szCs w:val="20"/>
          <w:color w:val="auto"/>
        </w:rPr>
      </w:pPr>
    </w:p>
    <w:p>
      <w:pPr>
        <w:ind w:left="560"/>
        <w:spacing w:after="0"/>
        <w:tabs>
          <w:tab w:leader="none" w:pos="1680" w:val="left"/>
        </w:tabs>
        <w:rPr>
          <w:sz w:val="20"/>
          <w:szCs w:val="20"/>
          <w:color w:val="auto"/>
        </w:rPr>
      </w:pPr>
      <w:r>
        <w:rPr>
          <w:rFonts w:ascii="Arial" w:cs="Arial" w:eastAsia="Arial" w:hAnsi="Arial"/>
          <w:sz w:val="17"/>
          <w:szCs w:val="17"/>
          <w:color w:val="auto"/>
        </w:rPr>
        <w:t>Section 1.01.</w:t>
      </w:r>
      <w:r>
        <w:rPr>
          <w:sz w:val="20"/>
          <w:szCs w:val="20"/>
          <w:color w:val="auto"/>
        </w:rPr>
        <w:tab/>
      </w:r>
      <w:r>
        <w:rPr>
          <w:rFonts w:ascii="Arial" w:cs="Arial" w:eastAsia="Arial" w:hAnsi="Arial"/>
          <w:sz w:val="15"/>
          <w:szCs w:val="15"/>
          <w:i w:val="1"/>
          <w:iCs w:val="1"/>
          <w:color w:val="auto"/>
        </w:rPr>
        <w:t xml:space="preserve">Commitments. </w:t>
      </w:r>
      <w:r>
        <w:rPr>
          <w:rFonts w:ascii="Arial" w:cs="Arial" w:eastAsia="Arial" w:hAnsi="Arial"/>
          <w:sz w:val="15"/>
          <w:szCs w:val="15"/>
          <w:color w:val="auto"/>
        </w:rPr>
        <w:t>Subject to the terms and conditions set forth herein:</w:t>
      </w:r>
    </w:p>
    <w:p>
      <w:pPr>
        <w:spacing w:after="0" w:line="154" w:lineRule="exact"/>
        <w:rPr>
          <w:sz w:val="20"/>
          <w:szCs w:val="20"/>
          <w:color w:val="auto"/>
        </w:rPr>
      </w:pPr>
    </w:p>
    <w:p>
      <w:pPr>
        <w:jc w:val="both"/>
        <w:ind w:firstLine="563"/>
        <w:spacing w:after="0" w:line="228" w:lineRule="auto"/>
        <w:tabs>
          <w:tab w:leader="none" w:pos="1128" w:val="left"/>
        </w:tabs>
        <w:numPr>
          <w:ilvl w:val="0"/>
          <w:numId w:val="105"/>
        </w:numPr>
        <w:rPr>
          <w:rFonts w:ascii="Arial" w:cs="Arial" w:eastAsia="Arial" w:hAnsi="Arial"/>
          <w:sz w:val="17"/>
          <w:szCs w:val="17"/>
          <w:color w:val="auto"/>
        </w:rPr>
      </w:pPr>
      <w:r>
        <w:rPr>
          <w:rFonts w:ascii="Arial" w:cs="Arial" w:eastAsia="Arial" w:hAnsi="Arial"/>
          <w:sz w:val="17"/>
          <w:szCs w:val="17"/>
          <w:color w:val="auto"/>
        </w:rPr>
        <w:t>Each Lender with an Initial Term Commitment on the Closing Date (each, an “</w:t>
      </w:r>
      <w:r>
        <w:rPr>
          <w:rFonts w:ascii="Arial" w:cs="Arial" w:eastAsia="Arial" w:hAnsi="Arial"/>
          <w:sz w:val="17"/>
          <w:szCs w:val="17"/>
          <w:b w:val="1"/>
          <w:bCs w:val="1"/>
          <w:color w:val="auto"/>
        </w:rPr>
        <w:t>Initial Term Lender</w:t>
      </w:r>
      <w:r>
        <w:rPr>
          <w:rFonts w:ascii="Arial" w:cs="Arial" w:eastAsia="Arial" w:hAnsi="Arial"/>
          <w:sz w:val="17"/>
          <w:szCs w:val="17"/>
          <w:color w:val="auto"/>
        </w:rPr>
        <w:t>”) severally agrees to make Term Loans on the Closing Date to the Borrower in an aggregate principal amount of all such Term Loans equal to the amount of such Lender’s Initial Term Commitment (the “</w:t>
      </w:r>
      <w:r>
        <w:rPr>
          <w:rFonts w:ascii="Arial" w:cs="Arial" w:eastAsia="Arial" w:hAnsi="Arial"/>
          <w:sz w:val="17"/>
          <w:szCs w:val="17"/>
          <w:b w:val="1"/>
          <w:bCs w:val="1"/>
          <w:color w:val="auto"/>
        </w:rPr>
        <w:t>Initial Term Loans</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ectPr>
          <w:pgSz w:w="11900" w:h="16838" w:orient="portrait"/>
          <w:cols w:equalWidth="0" w:num="1">
            <w:col w:w="11260"/>
          </w:cols>
          <w:pgMar w:left="320" w:top="1440" w:right="319" w:bottom="1440" w:gutter="0" w:footer="0" w:header="0"/>
        </w:sectPr>
      </w:pPr>
    </w:p>
    <w:bookmarkStart w:id="245" w:name="page246"/>
    <w:bookmarkEnd w:id="245"/>
    <w:p>
      <w:pPr>
        <w:spacing w:after="0" w:line="390" w:lineRule="exact"/>
        <w:rPr>
          <w:sz w:val="20"/>
          <w:szCs w:val="20"/>
          <w:color w:val="auto"/>
        </w:rPr>
      </w:pPr>
    </w:p>
    <w:p>
      <w:pPr>
        <w:ind w:right="20" w:firstLine="563"/>
        <w:spacing w:after="0" w:line="237" w:lineRule="auto"/>
        <w:tabs>
          <w:tab w:leader="none" w:pos="1126" w:val="left"/>
        </w:tabs>
        <w:numPr>
          <w:ilvl w:val="0"/>
          <w:numId w:val="106"/>
        </w:numPr>
        <w:rPr>
          <w:rFonts w:ascii="Arial" w:cs="Arial" w:eastAsia="Arial" w:hAnsi="Arial"/>
          <w:sz w:val="17"/>
          <w:szCs w:val="17"/>
          <w:color w:val="auto"/>
        </w:rPr>
      </w:pPr>
      <w:r>
        <w:rPr>
          <w:rFonts w:ascii="Arial" w:cs="Arial" w:eastAsia="Arial" w:hAnsi="Arial"/>
          <w:sz w:val="17"/>
          <w:szCs w:val="17"/>
          <w:color w:val="auto"/>
        </w:rPr>
        <w:t>Each Revolving Lender agrees to make Revolving Loans to the Borrower from time to time during the Revolving Availability Period in an aggregate principal amount which will not result in such Lender’s Revolving Exposure exceeding such Lender’s Revolving Commitment.</w:t>
      </w:r>
    </w:p>
    <w:p>
      <w:pPr>
        <w:spacing w:after="0" w:line="128" w:lineRule="exact"/>
        <w:rPr>
          <w:rFonts w:ascii="Arial" w:cs="Arial" w:eastAsia="Arial" w:hAnsi="Arial"/>
          <w:sz w:val="17"/>
          <w:szCs w:val="17"/>
          <w:color w:val="auto"/>
        </w:rPr>
      </w:pPr>
    </w:p>
    <w:p>
      <w:pPr>
        <w:ind w:right="20" w:firstLine="563"/>
        <w:spacing w:after="0" w:line="241" w:lineRule="auto"/>
        <w:tabs>
          <w:tab w:leader="none" w:pos="1128"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Swingline Lender agrees to make Loans (the “</w:t>
      </w:r>
      <w:r>
        <w:rPr>
          <w:rFonts w:ascii="Arial" w:cs="Arial" w:eastAsia="Arial" w:hAnsi="Arial"/>
          <w:sz w:val="17"/>
          <w:szCs w:val="17"/>
          <w:b w:val="1"/>
          <w:bCs w:val="1"/>
          <w:color w:val="auto"/>
        </w:rPr>
        <w:t>Swingline Loans</w:t>
      </w:r>
      <w:r>
        <w:rPr>
          <w:rFonts w:ascii="Arial" w:cs="Arial" w:eastAsia="Arial" w:hAnsi="Arial"/>
          <w:sz w:val="17"/>
          <w:szCs w:val="17"/>
          <w:color w:val="auto"/>
        </w:rPr>
        <w:t>”) to the Borrower from time to time during the Revolving Availability Period in accordance with Section 2.23.</w:t>
      </w:r>
    </w:p>
    <w:p>
      <w:pPr>
        <w:spacing w:after="0" w:line="134" w:lineRule="exact"/>
        <w:rPr>
          <w:rFonts w:ascii="Arial" w:cs="Arial" w:eastAsia="Arial" w:hAnsi="Arial"/>
          <w:sz w:val="17"/>
          <w:szCs w:val="17"/>
          <w:color w:val="auto"/>
        </w:rPr>
      </w:pPr>
    </w:p>
    <w:p>
      <w:pPr>
        <w:ind w:right="20" w:firstLine="563"/>
        <w:spacing w:after="0" w:line="237" w:lineRule="auto"/>
        <w:tabs>
          <w:tab w:leader="none" w:pos="1126" w:val="left"/>
        </w:tabs>
        <w:numPr>
          <w:ilvl w:val="0"/>
          <w:numId w:val="106"/>
        </w:numPr>
        <w:rPr>
          <w:rFonts w:ascii="Arial" w:cs="Arial" w:eastAsia="Arial" w:hAnsi="Arial"/>
          <w:sz w:val="17"/>
          <w:szCs w:val="17"/>
          <w:color w:val="auto"/>
        </w:rPr>
      </w:pPr>
      <w:r>
        <w:rPr>
          <w:rFonts w:ascii="Arial" w:cs="Arial" w:eastAsia="Arial" w:hAnsi="Arial"/>
          <w:sz w:val="17"/>
          <w:szCs w:val="17"/>
          <w:color w:val="auto"/>
        </w:rPr>
        <w:t>Within the foregoing limits and subject to the terms and conditions set forth herein, the Borrower may borrow, prepay and reborrow Revolving Loans. Amounts repaid or prepaid in respect of Term Loans may not be reborrowed.</w:t>
      </w:r>
    </w:p>
    <w:p>
      <w:pPr>
        <w:spacing w:after="0" w:line="135" w:lineRule="exact"/>
        <w:rPr>
          <w:sz w:val="20"/>
          <w:szCs w:val="20"/>
          <w:color w:val="auto"/>
        </w:rPr>
      </w:pPr>
    </w:p>
    <w:p>
      <w:pPr>
        <w:ind w:left="560"/>
        <w:spacing w:after="0"/>
        <w:tabs>
          <w:tab w:leader="none" w:pos="1680" w:val="left"/>
        </w:tabs>
        <w:rPr>
          <w:sz w:val="20"/>
          <w:szCs w:val="20"/>
          <w:color w:val="auto"/>
        </w:rPr>
      </w:pPr>
      <w:r>
        <w:rPr>
          <w:rFonts w:ascii="Arial" w:cs="Arial" w:eastAsia="Arial" w:hAnsi="Arial"/>
          <w:sz w:val="17"/>
          <w:szCs w:val="17"/>
          <w:color w:val="auto"/>
        </w:rPr>
        <w:t>Section 1.02.</w:t>
      </w:r>
      <w:r>
        <w:rPr>
          <w:sz w:val="20"/>
          <w:szCs w:val="20"/>
          <w:color w:val="auto"/>
        </w:rPr>
        <w:tab/>
      </w:r>
      <w:r>
        <w:rPr>
          <w:rFonts w:ascii="Arial" w:cs="Arial" w:eastAsia="Arial" w:hAnsi="Arial"/>
          <w:sz w:val="15"/>
          <w:szCs w:val="15"/>
          <w:i w:val="1"/>
          <w:iCs w:val="1"/>
          <w:color w:val="auto"/>
        </w:rPr>
        <w:t>Loans and Borrowings</w:t>
      </w:r>
      <w:r>
        <w:rPr>
          <w:rFonts w:ascii="Arial" w:cs="Arial" w:eastAsia="Arial" w:hAnsi="Arial"/>
          <w:sz w:val="15"/>
          <w:szCs w:val="15"/>
          <w:color w:val="auto"/>
        </w:rPr>
        <w:t>.</w:t>
      </w:r>
    </w:p>
    <w:p>
      <w:pPr>
        <w:spacing w:after="0" w:line="160" w:lineRule="exact"/>
        <w:rPr>
          <w:sz w:val="20"/>
          <w:szCs w:val="20"/>
          <w:color w:val="auto"/>
        </w:rPr>
      </w:pPr>
    </w:p>
    <w:p>
      <w:pPr>
        <w:jc w:val="both"/>
        <w:ind w:right="20" w:firstLine="563"/>
        <w:spacing w:after="0" w:line="220" w:lineRule="auto"/>
        <w:tabs>
          <w:tab w:leader="none" w:pos="1128" w:val="left"/>
        </w:tabs>
        <w:numPr>
          <w:ilvl w:val="0"/>
          <w:numId w:val="107"/>
        </w:numPr>
        <w:rPr>
          <w:rFonts w:ascii="Arial" w:cs="Arial" w:eastAsia="Arial" w:hAnsi="Arial"/>
          <w:sz w:val="17"/>
          <w:szCs w:val="17"/>
          <w:color w:val="auto"/>
        </w:rPr>
      </w:pPr>
      <w:r>
        <w:rPr>
          <w:rFonts w:ascii="Arial" w:cs="Arial" w:eastAsia="Arial" w:hAnsi="Arial"/>
          <w:sz w:val="17"/>
          <w:szCs w:val="17"/>
          <w:color w:val="auto"/>
        </w:rPr>
        <w:t xml:space="preserve">Each Loan (other than a Swingline Loan) shall be made as part of a Borrowing consisting of Loans of the same Class and Type made by the Lenders ratably in accordance with their respective Commitments of the applicable Class. The failure of any Lender to make any Loan required to be made by it shall not relieve any other Lender of its obligations hereunder;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Commitments of the Lenders are several and no Lender shall be responsible for any other Lender’s failure to make Loans as required hereby.</w:t>
      </w:r>
    </w:p>
    <w:p>
      <w:pPr>
        <w:spacing w:after="0" w:line="135" w:lineRule="exact"/>
        <w:rPr>
          <w:rFonts w:ascii="Arial" w:cs="Arial" w:eastAsia="Arial" w:hAnsi="Arial"/>
          <w:sz w:val="17"/>
          <w:szCs w:val="17"/>
          <w:color w:val="auto"/>
        </w:rPr>
      </w:pPr>
    </w:p>
    <w:p>
      <w:pPr>
        <w:jc w:val="both"/>
        <w:ind w:firstLine="563"/>
        <w:spacing w:after="0" w:line="214" w:lineRule="auto"/>
        <w:tabs>
          <w:tab w:leader="none" w:pos="1126" w:val="left"/>
        </w:tabs>
        <w:numPr>
          <w:ilvl w:val="0"/>
          <w:numId w:val="107"/>
        </w:numPr>
        <w:rPr>
          <w:rFonts w:ascii="Arial" w:cs="Arial" w:eastAsia="Arial" w:hAnsi="Arial"/>
          <w:sz w:val="17"/>
          <w:szCs w:val="17"/>
          <w:color w:val="auto"/>
        </w:rPr>
      </w:pPr>
      <w:r>
        <w:rPr>
          <w:rFonts w:ascii="Arial" w:cs="Arial" w:eastAsia="Arial" w:hAnsi="Arial"/>
          <w:sz w:val="17"/>
          <w:szCs w:val="17"/>
          <w:color w:val="auto"/>
        </w:rPr>
        <w:t xml:space="preserve">Subject to Section 2.12, each Borrowing shall be comprised entirely of ABR Loans or Term Benchmark Loans as the Borrower may request in accordance herewith;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all Borrowings made on the Closing Date must be made as ABR Borrowings unless the Borrower shall have given the notice required for a Term Benchmark Borrowing made on the Closing Date under Section 2.03 and provided an indemnity letter extending the benefits of Section 2.14 to Lenders in respect of such Borrowings;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each Swingline Loan shall be an ABR Loan. Each Lender at its option may make any Loan by causing any domestic or foreign branch or Affiliate of such Lender to make such Loan;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exercise of such option shall not affect the obligation of the Borrower to repay such Loan in accordance with the terms of this Agreement.</w:t>
      </w:r>
    </w:p>
    <w:p>
      <w:pPr>
        <w:spacing w:after="0" w:line="138" w:lineRule="exact"/>
        <w:rPr>
          <w:rFonts w:ascii="Arial" w:cs="Arial" w:eastAsia="Arial" w:hAnsi="Arial"/>
          <w:sz w:val="17"/>
          <w:szCs w:val="17"/>
          <w:color w:val="auto"/>
        </w:rPr>
      </w:pPr>
    </w:p>
    <w:p>
      <w:pPr>
        <w:jc w:val="both"/>
        <w:ind w:firstLine="563"/>
        <w:spacing w:after="0" w:line="211" w:lineRule="auto"/>
        <w:tabs>
          <w:tab w:leader="none" w:pos="1128" w:val="left"/>
        </w:tabs>
        <w:numPr>
          <w:ilvl w:val="0"/>
          <w:numId w:val="107"/>
        </w:numPr>
        <w:rPr>
          <w:rFonts w:ascii="Arial" w:cs="Arial" w:eastAsia="Arial" w:hAnsi="Arial"/>
          <w:sz w:val="17"/>
          <w:szCs w:val="17"/>
          <w:color w:val="auto"/>
        </w:rPr>
      </w:pPr>
      <w:r>
        <w:rPr>
          <w:rFonts w:ascii="Arial" w:cs="Arial" w:eastAsia="Arial" w:hAnsi="Arial"/>
          <w:sz w:val="17"/>
          <w:szCs w:val="17"/>
          <w:color w:val="auto"/>
        </w:rPr>
        <w:t xml:space="preserve">At the commencement of each Interest Period for any Term Benchmark Borrowing, such Borrowing shall be in an aggregate amount that is an integral multiple of $1,000,000 and not less than $5,000,000;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Term Benchmark Borrowing that results from a continuation of an outstanding Term Benchmark Borrowing may be in an aggregate amount that is equal to such outstanding Borrowing. At the time that each ABR Borrowing is made, such Borrowing shall be in an aggregate amount that is an integral multiple of $1,000,000 and not less than $5,000,000. Borrowings of more than one Type and Class may be outstanding at the same time;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there shall not at any time be more than a total of six Term Benchmark Borrowings outstanding. Notwithstanding anything to the contrary herein, an ABR Revolving Borrowing (including a Borrowing of Swingline Loans) may be in an aggregate amount which is equal to the entire unused balance of the Total Revolving Commitments (and/or the Swingline Commitments, as applicable) or that is required to finance the reimbursement of an LC Disbursement as contemplated by Section 2.22.</w:t>
      </w:r>
    </w:p>
    <w:p>
      <w:pPr>
        <w:spacing w:after="0" w:line="141" w:lineRule="exact"/>
        <w:rPr>
          <w:sz w:val="20"/>
          <w:szCs w:val="20"/>
          <w:color w:val="auto"/>
        </w:rPr>
      </w:pPr>
    </w:p>
    <w:p>
      <w:pPr>
        <w:jc w:val="both"/>
        <w:ind w:right="20" w:firstLine="568"/>
        <w:spacing w:after="0" w:line="220" w:lineRule="auto"/>
        <w:rPr>
          <w:sz w:val="20"/>
          <w:szCs w:val="20"/>
          <w:color w:val="auto"/>
        </w:rPr>
      </w:pPr>
      <w:r>
        <w:rPr>
          <w:rFonts w:ascii="Arial" w:cs="Arial" w:eastAsia="Arial" w:hAnsi="Arial"/>
          <w:sz w:val="17"/>
          <w:szCs w:val="17"/>
          <w:color w:val="auto"/>
        </w:rPr>
        <w:t xml:space="preserve">Section 1.03. </w:t>
      </w:r>
      <w:r>
        <w:rPr>
          <w:rFonts w:ascii="Arial" w:cs="Arial" w:eastAsia="Arial" w:hAnsi="Arial"/>
          <w:sz w:val="17"/>
          <w:szCs w:val="17"/>
          <w:i w:val="1"/>
          <w:iCs w:val="1"/>
          <w:color w:val="auto"/>
        </w:rPr>
        <w:t>Requests for Borrowings.</w:t>
      </w:r>
      <w:r>
        <w:rPr>
          <w:rFonts w:ascii="Arial" w:cs="Arial" w:eastAsia="Arial" w:hAnsi="Arial"/>
          <w:sz w:val="17"/>
          <w:szCs w:val="17"/>
          <w:color w:val="auto"/>
        </w:rPr>
        <w:t xml:space="preserve"> To request a Borrowing, the Borrower shall notify the Administrative Agent of such request by telephone (a) in the case of a Term Benchmark Borrowing, not later than 11:00 a.m., New York City time, three Business Days before the date of the proposed Borrowing (or, in the case of any Term Benchmark Borrowing to be made on the Closing Date, such shorter period of time as may be agreed to by the Administrative Agent), (b) (i) in the case of an ABR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ectPr>
          <w:pgSz w:w="11900" w:h="16838" w:orient="portrait"/>
          <w:cols w:equalWidth="0" w:num="1">
            <w:col w:w="11260"/>
          </w:cols>
          <w:pgMar w:left="320" w:top="1440" w:right="319" w:bottom="1440" w:gutter="0" w:footer="0" w:header="0"/>
        </w:sectPr>
      </w:pPr>
    </w:p>
    <w:bookmarkStart w:id="246" w:name="page247"/>
    <w:bookmarkEnd w:id="246"/>
    <w:p>
      <w:pPr>
        <w:spacing w:after="0" w:line="390" w:lineRule="exact"/>
        <w:rPr>
          <w:sz w:val="20"/>
          <w:szCs w:val="20"/>
          <w:color w:val="auto"/>
        </w:rPr>
      </w:pPr>
    </w:p>
    <w:p>
      <w:pPr>
        <w:jc w:val="both"/>
        <w:spacing w:after="0" w:line="216" w:lineRule="auto"/>
        <w:rPr>
          <w:sz w:val="20"/>
          <w:szCs w:val="20"/>
          <w:color w:val="auto"/>
        </w:rPr>
      </w:pPr>
      <w:r>
        <w:rPr>
          <w:rFonts w:ascii="Arial" w:cs="Arial" w:eastAsia="Arial" w:hAnsi="Arial"/>
          <w:sz w:val="17"/>
          <w:szCs w:val="17"/>
          <w:color w:val="auto"/>
        </w:rPr>
        <w:t>Borrowing, not later than 2:00 p.m., New York City time, one Business Day before the date of the proposed Borrowing and (ii) in the case of an ABR Revolving Borrowing, not later than 2:00 p.m., New York City time, on the date of the proposed Borrowing or (c) in the case of a Borrowing of Swingline Loans, in accordance with Section 2.23. Each such telephonic Borrowing Request shall be irrevocable and shall be confirmed promptly by hand delivery or facsimile to the Administrative Agent of a written Borrowing Request signed by the Borrower substantially in the form of Exhibit T. Each such telephonic and written Borrowing Request shall specify the following information:</w:t>
      </w:r>
    </w:p>
    <w:p>
      <w:pPr>
        <w:spacing w:after="0" w:line="138" w:lineRule="exact"/>
        <w:rPr>
          <w:sz w:val="20"/>
          <w:szCs w:val="20"/>
          <w:color w:val="auto"/>
        </w:rPr>
      </w:pPr>
    </w:p>
    <w:p>
      <w:pPr>
        <w:ind w:left="1700" w:hanging="569"/>
        <w:spacing w:after="0"/>
        <w:tabs>
          <w:tab w:leader="none" w:pos="170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Class of such Borrowing;</w:t>
      </w:r>
    </w:p>
    <w:p>
      <w:pPr>
        <w:spacing w:after="0" w:line="159" w:lineRule="exact"/>
        <w:rPr>
          <w:rFonts w:ascii="Arial" w:cs="Arial" w:eastAsia="Arial" w:hAnsi="Arial"/>
          <w:sz w:val="17"/>
          <w:szCs w:val="17"/>
          <w:color w:val="auto"/>
        </w:rPr>
      </w:pPr>
    </w:p>
    <w:p>
      <w:pPr>
        <w:ind w:left="1700" w:hanging="569"/>
        <w:spacing w:after="0"/>
        <w:tabs>
          <w:tab w:leader="none" w:pos="170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aggregate amount of such Borrowing;</w:t>
      </w:r>
    </w:p>
    <w:p>
      <w:pPr>
        <w:spacing w:after="0" w:line="159" w:lineRule="exact"/>
        <w:rPr>
          <w:rFonts w:ascii="Arial" w:cs="Arial" w:eastAsia="Arial" w:hAnsi="Arial"/>
          <w:sz w:val="17"/>
          <w:szCs w:val="17"/>
          <w:color w:val="auto"/>
        </w:rPr>
      </w:pPr>
    </w:p>
    <w:p>
      <w:pPr>
        <w:ind w:left="1700" w:hanging="569"/>
        <w:spacing w:after="0"/>
        <w:tabs>
          <w:tab w:leader="none" w:pos="170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date of such Borrowing, which shall be a Business Day;</w:t>
      </w:r>
    </w:p>
    <w:p>
      <w:pPr>
        <w:spacing w:after="0" w:line="159" w:lineRule="exact"/>
        <w:rPr>
          <w:rFonts w:ascii="Arial" w:cs="Arial" w:eastAsia="Arial" w:hAnsi="Arial"/>
          <w:sz w:val="17"/>
          <w:szCs w:val="17"/>
          <w:color w:val="auto"/>
        </w:rPr>
      </w:pPr>
    </w:p>
    <w:p>
      <w:pPr>
        <w:ind w:left="1680" w:hanging="549"/>
        <w:spacing w:after="0"/>
        <w:tabs>
          <w:tab w:leader="none" w:pos="168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whether such Borrowing is to be an ABR Borrowing or (except for Borrowings of Swingline Loans) a Term Benchmark Borrowing;</w:t>
      </w:r>
    </w:p>
    <w:p>
      <w:pPr>
        <w:spacing w:after="0" w:line="171" w:lineRule="exact"/>
        <w:rPr>
          <w:rFonts w:ascii="Arial" w:cs="Arial" w:eastAsia="Arial" w:hAnsi="Arial"/>
          <w:sz w:val="16"/>
          <w:szCs w:val="16"/>
          <w:color w:val="auto"/>
        </w:rPr>
      </w:pPr>
    </w:p>
    <w:p>
      <w:pPr>
        <w:ind w:left="340" w:right="20" w:firstLine="791"/>
        <w:spacing w:after="0" w:line="237" w:lineRule="auto"/>
        <w:tabs>
          <w:tab w:leader="none" w:pos="1693" w:val="left"/>
        </w:tabs>
        <w:numPr>
          <w:ilvl w:val="0"/>
          <w:numId w:val="108"/>
        </w:numPr>
        <w:rPr>
          <w:rFonts w:ascii="Arial" w:cs="Arial" w:eastAsia="Arial" w:hAnsi="Arial"/>
          <w:sz w:val="17"/>
          <w:szCs w:val="17"/>
          <w:color w:val="auto"/>
        </w:rPr>
      </w:pPr>
      <w:r>
        <w:rPr>
          <w:rFonts w:ascii="Arial" w:cs="Arial" w:eastAsia="Arial" w:hAnsi="Arial"/>
          <w:sz w:val="17"/>
          <w:szCs w:val="17"/>
          <w:color w:val="auto"/>
        </w:rPr>
        <w:t>in the case of a Term Benchmark Borrowing, the initial Interest Period to be applicable thereto, which shall be a period contemplated by the definition of the term “Interest Period”;</w:t>
      </w:r>
    </w:p>
    <w:p>
      <w:pPr>
        <w:spacing w:after="0" w:line="134" w:lineRule="exact"/>
        <w:rPr>
          <w:rFonts w:ascii="Arial" w:cs="Arial" w:eastAsia="Arial" w:hAnsi="Arial"/>
          <w:sz w:val="17"/>
          <w:szCs w:val="17"/>
          <w:color w:val="auto"/>
        </w:rPr>
      </w:pPr>
    </w:p>
    <w:p>
      <w:pPr>
        <w:jc w:val="both"/>
        <w:ind w:left="340" w:firstLine="791"/>
        <w:spacing w:after="0" w:line="225" w:lineRule="auto"/>
        <w:tabs>
          <w:tab w:leader="none" w:pos="1694"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location and number of the Borrower’s account to which funds are to be disbursed, which shall comply with the requirements of Section 2.04, or, in the case of any ABR Revolving Borrowing or Swingline Loan requested to finance the reimbursement of an LC Disbursement as provided in Section 2.22, the identity of the Issuing Bank that made such LC Disbursement; and</w:t>
      </w:r>
    </w:p>
    <w:p>
      <w:pPr>
        <w:spacing w:after="0" w:line="132" w:lineRule="exact"/>
        <w:rPr>
          <w:rFonts w:ascii="Arial" w:cs="Arial" w:eastAsia="Arial" w:hAnsi="Arial"/>
          <w:sz w:val="17"/>
          <w:szCs w:val="17"/>
          <w:color w:val="auto"/>
        </w:rPr>
      </w:pPr>
    </w:p>
    <w:p>
      <w:pPr>
        <w:ind w:left="1700" w:hanging="569"/>
        <w:spacing w:after="0"/>
        <w:tabs>
          <w:tab w:leader="none" w:pos="170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that as of the date of such Borrowing, all applicable conditions set forth in Section 4.02(a), Section 4.02(b) and Section 4.02(c) are</w:t>
      </w:r>
    </w:p>
    <w:p>
      <w:pPr>
        <w:ind w:left="340"/>
        <w:spacing w:after="0"/>
        <w:rPr>
          <w:rFonts w:ascii="Arial" w:cs="Arial" w:eastAsia="Arial" w:hAnsi="Arial"/>
          <w:sz w:val="16"/>
          <w:szCs w:val="16"/>
          <w:color w:val="auto"/>
        </w:rPr>
      </w:pPr>
      <w:r>
        <w:rPr>
          <w:rFonts w:ascii="Arial" w:cs="Arial" w:eastAsia="Arial" w:hAnsi="Arial"/>
          <w:sz w:val="17"/>
          <w:szCs w:val="17"/>
          <w:color w:val="auto"/>
        </w:rPr>
        <w:t>satisfied.</w:t>
      </w:r>
    </w:p>
    <w:p>
      <w:pPr>
        <w:spacing w:after="0" w:line="146"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If no election as to the Type of Borrowing is specified as to any Borrowing, then the requested Borrowing shall be an ABR Borrowing. If no Interest Period is specified with respect to any requested Term Benchmark Borrowing, then the Borrower shall be deemed to have selected an Interest Period of one month’s duration. Promptly following receipt of a Borrowing Request in accordance with this Section 2.03, the Administrative Agent shall advise each Lender of the applicable Class of the details thereof and of the amount of such Lender’s Loan to be made as part of the requested Borrowing.</w:t>
      </w:r>
    </w:p>
    <w:p>
      <w:pPr>
        <w:spacing w:after="0" w:line="135" w:lineRule="exact"/>
        <w:rPr>
          <w:sz w:val="20"/>
          <w:szCs w:val="20"/>
          <w:color w:val="auto"/>
        </w:rPr>
      </w:pPr>
    </w:p>
    <w:p>
      <w:pPr>
        <w:ind w:left="560"/>
        <w:spacing w:after="0"/>
        <w:tabs>
          <w:tab w:leader="none" w:pos="1680" w:val="left"/>
        </w:tabs>
        <w:rPr>
          <w:sz w:val="20"/>
          <w:szCs w:val="20"/>
          <w:color w:val="auto"/>
        </w:rPr>
      </w:pPr>
      <w:r>
        <w:rPr>
          <w:rFonts w:ascii="Arial" w:cs="Arial" w:eastAsia="Arial" w:hAnsi="Arial"/>
          <w:sz w:val="17"/>
          <w:szCs w:val="17"/>
          <w:color w:val="auto"/>
        </w:rPr>
        <w:t>Section 1.04.</w:t>
      </w:r>
      <w:r>
        <w:rPr>
          <w:sz w:val="20"/>
          <w:szCs w:val="20"/>
          <w:color w:val="auto"/>
        </w:rPr>
        <w:tab/>
      </w:r>
      <w:r>
        <w:rPr>
          <w:rFonts w:ascii="Arial" w:cs="Arial" w:eastAsia="Arial" w:hAnsi="Arial"/>
          <w:sz w:val="16"/>
          <w:szCs w:val="16"/>
          <w:i w:val="1"/>
          <w:iCs w:val="1"/>
          <w:color w:val="auto"/>
        </w:rPr>
        <w:t>Funding of Borrowings</w:t>
      </w:r>
      <w:r>
        <w:rPr>
          <w:rFonts w:ascii="Arial" w:cs="Arial" w:eastAsia="Arial" w:hAnsi="Arial"/>
          <w:sz w:val="16"/>
          <w:szCs w:val="16"/>
          <w:color w:val="auto"/>
        </w:rPr>
        <w:t>.</w:t>
      </w:r>
    </w:p>
    <w:p>
      <w:pPr>
        <w:spacing w:after="0" w:line="160" w:lineRule="exact"/>
        <w:rPr>
          <w:sz w:val="20"/>
          <w:szCs w:val="20"/>
          <w:color w:val="auto"/>
        </w:rPr>
      </w:pPr>
    </w:p>
    <w:p>
      <w:pPr>
        <w:jc w:val="both"/>
        <w:ind w:firstLine="563"/>
        <w:spacing w:after="0" w:line="225" w:lineRule="auto"/>
        <w:tabs>
          <w:tab w:leader="none" w:pos="1128" w:val="left"/>
        </w:tabs>
        <w:numPr>
          <w:ilvl w:val="0"/>
          <w:numId w:val="109"/>
        </w:numPr>
        <w:rPr>
          <w:rFonts w:ascii="Arial" w:cs="Arial" w:eastAsia="Arial" w:hAnsi="Arial"/>
          <w:sz w:val="16"/>
          <w:szCs w:val="16"/>
          <w:color w:val="auto"/>
        </w:rPr>
      </w:pPr>
      <w:r>
        <w:rPr>
          <w:rFonts w:ascii="Arial" w:cs="Arial" w:eastAsia="Arial" w:hAnsi="Arial"/>
          <w:sz w:val="16"/>
          <w:szCs w:val="16"/>
          <w:color w:val="auto"/>
        </w:rPr>
        <w:t xml:space="preserve">Each Lender shall make each Loan to be made by it hereunder on the proposed date thereof by wire transfer of immediately available funds in dollars by 12:00 p.m., New York City time or, solely in the case of an ABR Revolving Borrowing with respect to which the Borrowing Request is made on the date of the proposed Borrowing, 4:00 p.m., New York City time, to the Applicable Account of the Administrative Agent most recently designated by it for such purpose by notice to the Lenders;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Swingline Loans shall be made as provided in Section 2.23. The Administrative Agent will make such Loans available to the Borrower by promptly crediting the amounts so received, in like funds, to an account designated by the Borrower in the applicable Borrowing Request;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ABR Revolving Loans or Swingline Loans made to finance the reimbursement of an LC Disbursement as provided in Section 2.22 shall be remitted by the Administrative Agent to the applicable Issuing Bank or, to the extent that Revolving Lenders have made payments pursuant to Section 2.22 to reimburse such Issuing Bank, then to such Lenders and such Issuing Bank as their interests may appear.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ectPr>
          <w:pgSz w:w="11900" w:h="16838" w:orient="portrait"/>
          <w:cols w:equalWidth="0" w:num="1">
            <w:col w:w="11260"/>
          </w:cols>
          <w:pgMar w:left="320" w:top="1440" w:right="319" w:bottom="1440" w:gutter="0" w:footer="0" w:header="0"/>
        </w:sectPr>
      </w:pPr>
    </w:p>
    <w:bookmarkStart w:id="247" w:name="page248"/>
    <w:bookmarkEnd w:id="247"/>
    <w:p>
      <w:pPr>
        <w:spacing w:after="0" w:line="390" w:lineRule="exact"/>
        <w:rPr>
          <w:sz w:val="20"/>
          <w:szCs w:val="20"/>
          <w:color w:val="auto"/>
        </w:rPr>
      </w:pPr>
    </w:p>
    <w:p>
      <w:pPr>
        <w:jc w:val="both"/>
        <w:ind w:firstLine="563"/>
        <w:spacing w:after="0" w:line="222" w:lineRule="auto"/>
        <w:tabs>
          <w:tab w:leader="none" w:pos="1126" w:val="left"/>
        </w:tabs>
        <w:numPr>
          <w:ilvl w:val="0"/>
          <w:numId w:val="110"/>
        </w:numPr>
        <w:rPr>
          <w:rFonts w:ascii="Arial" w:cs="Arial" w:eastAsia="Arial" w:hAnsi="Arial"/>
          <w:sz w:val="16"/>
          <w:szCs w:val="16"/>
          <w:color w:val="auto"/>
        </w:rPr>
      </w:pPr>
      <w:r>
        <w:rPr>
          <w:rFonts w:ascii="Arial" w:cs="Arial" w:eastAsia="Arial" w:hAnsi="Arial"/>
          <w:sz w:val="16"/>
          <w:szCs w:val="16"/>
          <w:color w:val="auto"/>
        </w:rPr>
        <w:t>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paragraph (a) of this Section 2.04 and may, in reliance on such assumption and in its sole discretion, make available to the Borrower a corresponding amount. In such event, if a Lender has not in fact made its share of the applicable Borrowing available to the Administrative Agent, then the applicable Lender agrees to pay to the Administrative Agent an amount equal to such share on demand of the Administrative Agent. If such Lender does not pay such corresponding amount forthwith upon demand of the Administrative Agent therefor, the Administrative Agent shall promptly notify the Borrower, and the Borrower agrees to pay such corresponding amount to the Administrative Agent forthwith on demand. The Administrative Agent shall also be entitled to recover from such Lender or Borrower interest on such corresponding amount, for each day from and including the date such amount is made available to the Borrower to but excluding the date of payment to the Administrative Agent, at (i) in the case of such Lender, the greater of the Federal Funds Effective Rate and a rate determined by the Administrative Agent in accordance with banking industry rules on interbank compensation or (ii) in the case of the Borrower, the interest rate applicable to such Borrowing in accordance with Section 2.11. If such Lender pays such amount to the Administrative Agent, then such amount shall constitute such Lender’s Loan included in such Borrowing.</w:t>
      </w:r>
    </w:p>
    <w:p>
      <w:pPr>
        <w:spacing w:after="0" w:line="136" w:lineRule="exact"/>
        <w:rPr>
          <w:rFonts w:ascii="Arial" w:cs="Arial" w:eastAsia="Arial" w:hAnsi="Arial"/>
          <w:sz w:val="16"/>
          <w:szCs w:val="16"/>
          <w:color w:val="auto"/>
        </w:rPr>
      </w:pPr>
    </w:p>
    <w:p>
      <w:pPr>
        <w:jc w:val="both"/>
        <w:ind w:firstLine="563"/>
        <w:spacing w:after="0" w:line="234" w:lineRule="auto"/>
        <w:tabs>
          <w:tab w:leader="none" w:pos="1128"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obligations of the Lenders hereunder to make Loans, to fund participations in Letters of Credit and Swingline Loans and to make payments pursuant to Section 9.03(c) are several and not joint. The failure of any Lender to make any Loan, to fund any such participation or to make any payment under Section 9.03(c) on any date required hereunder shall not relieve any other Lender of its corresponding obligation to do so on such date, and no Lender shall be responsible for the failure of any other Lender to so make its Loan, to purchase its participation or to make its payment under Section 9.03(c).</w:t>
      </w:r>
    </w:p>
    <w:p>
      <w:pPr>
        <w:spacing w:after="0" w:line="135" w:lineRule="exact"/>
        <w:rPr>
          <w:sz w:val="20"/>
          <w:szCs w:val="20"/>
          <w:color w:val="auto"/>
        </w:rPr>
      </w:pPr>
    </w:p>
    <w:p>
      <w:pPr>
        <w:ind w:left="560"/>
        <w:spacing w:after="0"/>
        <w:tabs>
          <w:tab w:leader="none" w:pos="1680" w:val="left"/>
        </w:tabs>
        <w:rPr>
          <w:sz w:val="20"/>
          <w:szCs w:val="20"/>
          <w:color w:val="auto"/>
        </w:rPr>
      </w:pPr>
      <w:r>
        <w:rPr>
          <w:rFonts w:ascii="Arial" w:cs="Arial" w:eastAsia="Arial" w:hAnsi="Arial"/>
          <w:sz w:val="17"/>
          <w:szCs w:val="17"/>
          <w:color w:val="auto"/>
        </w:rPr>
        <w:t>Section 1.05.</w:t>
      </w:r>
      <w:r>
        <w:rPr>
          <w:sz w:val="20"/>
          <w:szCs w:val="20"/>
          <w:color w:val="auto"/>
        </w:rPr>
        <w:tab/>
      </w:r>
      <w:r>
        <w:rPr>
          <w:rFonts w:ascii="Arial" w:cs="Arial" w:eastAsia="Arial" w:hAnsi="Arial"/>
          <w:sz w:val="15"/>
          <w:szCs w:val="15"/>
          <w:i w:val="1"/>
          <w:iCs w:val="1"/>
          <w:color w:val="auto"/>
        </w:rPr>
        <w:t>Interest Elections</w:t>
      </w:r>
      <w:r>
        <w:rPr>
          <w:rFonts w:ascii="Arial" w:cs="Arial" w:eastAsia="Arial" w:hAnsi="Arial"/>
          <w:sz w:val="15"/>
          <w:szCs w:val="15"/>
          <w:color w:val="auto"/>
        </w:rPr>
        <w:t>.</w:t>
      </w:r>
    </w:p>
    <w:p>
      <w:pPr>
        <w:spacing w:after="0" w:line="160" w:lineRule="exact"/>
        <w:rPr>
          <w:sz w:val="20"/>
          <w:szCs w:val="20"/>
          <w:color w:val="auto"/>
        </w:rPr>
      </w:pPr>
    </w:p>
    <w:p>
      <w:pPr>
        <w:jc w:val="both"/>
        <w:ind w:firstLine="563"/>
        <w:spacing w:after="0" w:line="228" w:lineRule="auto"/>
        <w:tabs>
          <w:tab w:leader="none" w:pos="1128" w:val="left"/>
        </w:tabs>
        <w:numPr>
          <w:ilvl w:val="0"/>
          <w:numId w:val="111"/>
        </w:numPr>
        <w:rPr>
          <w:rFonts w:ascii="Arial" w:cs="Arial" w:eastAsia="Arial" w:hAnsi="Arial"/>
          <w:sz w:val="16"/>
          <w:szCs w:val="16"/>
          <w:color w:val="auto"/>
        </w:rPr>
      </w:pPr>
      <w:r>
        <w:rPr>
          <w:rFonts w:ascii="Arial" w:cs="Arial" w:eastAsia="Arial" w:hAnsi="Arial"/>
          <w:sz w:val="16"/>
          <w:szCs w:val="16"/>
          <w:color w:val="auto"/>
        </w:rPr>
        <w:t>Each Borrowing initially shall be of the Type specified in the applicable Borrowing Request or designated by Section 2.03 and, in the case of a Term Benchmark Borrowing, shall have an initial Interest Period as specified in such Borrowing Request or designated by Section 2.03. Thereafter, the Borrower may elect to convert such Borrowing to a different Type or to continue such Borrowing and, in the case of a Term Benchmark Borrowing, may elect Interest Periods therefor, all as provided in this Section.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This Section 2.05 shall not apply to Swingline Loans, which may not be converted or continued.</w:t>
      </w:r>
    </w:p>
    <w:p>
      <w:pPr>
        <w:spacing w:after="0" w:line="135" w:lineRule="exact"/>
        <w:rPr>
          <w:rFonts w:ascii="Arial" w:cs="Arial" w:eastAsia="Arial" w:hAnsi="Arial"/>
          <w:sz w:val="16"/>
          <w:szCs w:val="16"/>
          <w:color w:val="auto"/>
        </w:rPr>
      </w:pPr>
    </w:p>
    <w:p>
      <w:pPr>
        <w:jc w:val="both"/>
        <w:ind w:right="20" w:firstLine="563"/>
        <w:spacing w:after="0" w:line="225" w:lineRule="auto"/>
        <w:tabs>
          <w:tab w:leader="none" w:pos="1126"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To make an election pursuant to this Section, the Borrower shall notify the Administrative Agent of such election by the time that a Borrowing Request would be required under Section 2.03 if the Borrower were requesting a Borrowing of the Type resulting from such election to be made on the effective date of such election. Each such Interest Election Request shall be irrevocable and shall be signed by the Borrower.</w:t>
      </w:r>
    </w:p>
    <w:p>
      <w:pPr>
        <w:spacing w:after="0" w:line="136" w:lineRule="exact"/>
        <w:rPr>
          <w:rFonts w:ascii="Arial" w:cs="Arial" w:eastAsia="Arial" w:hAnsi="Arial"/>
          <w:sz w:val="17"/>
          <w:szCs w:val="17"/>
          <w:color w:val="auto"/>
        </w:rPr>
      </w:pPr>
    </w:p>
    <w:p>
      <w:pPr>
        <w:ind w:left="1120" w:hanging="557"/>
        <w:spacing w:after="0"/>
        <w:tabs>
          <w:tab w:leader="none" w:pos="112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Each written Interest Election Request shall specify the following information in compliance with Section 2.03: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ectPr>
          <w:pgSz w:w="11900" w:h="16838" w:orient="portrait"/>
          <w:cols w:equalWidth="0" w:num="1">
            <w:col w:w="11260"/>
          </w:cols>
          <w:pgMar w:left="320" w:top="1440" w:right="319" w:bottom="1440" w:gutter="0" w:footer="0" w:header="0"/>
        </w:sectPr>
      </w:pPr>
    </w:p>
    <w:bookmarkStart w:id="248" w:name="page249"/>
    <w:bookmarkEnd w:id="248"/>
    <w:p>
      <w:pPr>
        <w:spacing w:after="0" w:line="390" w:lineRule="exact"/>
        <w:rPr>
          <w:sz w:val="20"/>
          <w:szCs w:val="20"/>
          <w:color w:val="auto"/>
        </w:rPr>
      </w:pPr>
    </w:p>
    <w:p>
      <w:pPr>
        <w:jc w:val="both"/>
        <w:ind w:left="340" w:right="20" w:firstLine="791"/>
        <w:spacing w:after="0" w:line="225" w:lineRule="auto"/>
        <w:tabs>
          <w:tab w:leader="none" w:pos="1702" w:val="left"/>
        </w:tabs>
        <w:numPr>
          <w:ilvl w:val="0"/>
          <w:numId w:val="112"/>
        </w:numPr>
        <w:rPr>
          <w:rFonts w:ascii="Arial" w:cs="Arial" w:eastAsia="Arial" w:hAnsi="Arial"/>
          <w:sz w:val="17"/>
          <w:szCs w:val="17"/>
          <w:color w:val="auto"/>
        </w:rPr>
      </w:pPr>
      <w:r>
        <w:rPr>
          <w:rFonts w:ascii="Arial" w:cs="Arial" w:eastAsia="Arial" w:hAnsi="Arial"/>
          <w:sz w:val="17"/>
          <w:szCs w:val="17"/>
          <w:color w:val="auto"/>
        </w:rPr>
        <w:t>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spacing w:after="0" w:line="136" w:lineRule="exact"/>
        <w:rPr>
          <w:rFonts w:ascii="Arial" w:cs="Arial" w:eastAsia="Arial" w:hAnsi="Arial"/>
          <w:sz w:val="17"/>
          <w:szCs w:val="17"/>
          <w:color w:val="auto"/>
        </w:rPr>
      </w:pPr>
    </w:p>
    <w:p>
      <w:pPr>
        <w:ind w:left="1700" w:hanging="569"/>
        <w:spacing w:after="0"/>
        <w:tabs>
          <w:tab w:leader="none" w:pos="170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the effective date of the election made pursuant to such Interest Election Request, which shall be a Business Day;</w:t>
      </w:r>
    </w:p>
    <w:p>
      <w:pPr>
        <w:spacing w:after="0" w:line="159" w:lineRule="exact"/>
        <w:rPr>
          <w:rFonts w:ascii="Arial" w:cs="Arial" w:eastAsia="Arial" w:hAnsi="Arial"/>
          <w:sz w:val="17"/>
          <w:szCs w:val="17"/>
          <w:color w:val="auto"/>
        </w:rPr>
      </w:pPr>
    </w:p>
    <w:p>
      <w:pPr>
        <w:ind w:left="1700" w:hanging="569"/>
        <w:spacing w:after="0"/>
        <w:tabs>
          <w:tab w:leader="none" w:pos="170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whether the resulting Borrowing is to be an ABR Borrowing or a Term Benchmark Borrowing; and</w:t>
      </w:r>
    </w:p>
    <w:p>
      <w:pPr>
        <w:spacing w:after="0" w:line="159" w:lineRule="exact"/>
        <w:rPr>
          <w:rFonts w:ascii="Arial" w:cs="Arial" w:eastAsia="Arial" w:hAnsi="Arial"/>
          <w:sz w:val="17"/>
          <w:szCs w:val="17"/>
          <w:color w:val="auto"/>
        </w:rPr>
      </w:pPr>
    </w:p>
    <w:p>
      <w:pPr>
        <w:ind w:left="340" w:right="20" w:firstLine="791"/>
        <w:spacing w:after="0" w:line="237" w:lineRule="auto"/>
        <w:tabs>
          <w:tab w:leader="none" w:pos="1694" w:val="left"/>
        </w:tabs>
        <w:numPr>
          <w:ilvl w:val="0"/>
          <w:numId w:val="112"/>
        </w:numPr>
        <w:rPr>
          <w:rFonts w:ascii="Arial" w:cs="Arial" w:eastAsia="Arial" w:hAnsi="Arial"/>
          <w:sz w:val="17"/>
          <w:szCs w:val="17"/>
          <w:color w:val="auto"/>
        </w:rPr>
      </w:pPr>
      <w:r>
        <w:rPr>
          <w:rFonts w:ascii="Arial" w:cs="Arial" w:eastAsia="Arial" w:hAnsi="Arial"/>
          <w:sz w:val="17"/>
          <w:szCs w:val="17"/>
          <w:color w:val="auto"/>
        </w:rPr>
        <w:t>if the resulting Borrowing is to be a Term Benchmark Borrowing, the Interest Period to be applicable thereto after giving effect to such election, which shall be a period contemplated by the definition of the term “Interest Period.”</w:t>
      </w:r>
    </w:p>
    <w:p>
      <w:pPr>
        <w:spacing w:after="0" w:line="135"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If any such Interest Election Request requests a Term Benchmark Borrowing but does not specify an Interest Period, then the Borrower shall be deemed to have selected an Interest Period of one month’s duration.</w:t>
      </w:r>
    </w:p>
    <w:p>
      <w:pPr>
        <w:spacing w:after="0" w:line="135" w:lineRule="exact"/>
        <w:rPr>
          <w:sz w:val="20"/>
          <w:szCs w:val="20"/>
          <w:color w:val="auto"/>
        </w:rPr>
      </w:pPr>
    </w:p>
    <w:p>
      <w:pPr>
        <w:ind w:right="20" w:firstLine="563"/>
        <w:spacing w:after="0" w:line="237" w:lineRule="auto"/>
        <w:tabs>
          <w:tab w:leader="none" w:pos="1126" w:val="left"/>
        </w:tabs>
        <w:numPr>
          <w:ilvl w:val="0"/>
          <w:numId w:val="113"/>
        </w:numPr>
        <w:rPr>
          <w:rFonts w:ascii="Arial" w:cs="Arial" w:eastAsia="Arial" w:hAnsi="Arial"/>
          <w:sz w:val="17"/>
          <w:szCs w:val="17"/>
          <w:color w:val="auto"/>
        </w:rPr>
      </w:pPr>
      <w:r>
        <w:rPr>
          <w:rFonts w:ascii="Arial" w:cs="Arial" w:eastAsia="Arial" w:hAnsi="Arial"/>
          <w:sz w:val="17"/>
          <w:szCs w:val="17"/>
          <w:color w:val="auto"/>
        </w:rPr>
        <w:t>Promptly following receipt of an Interest Election Request in accordance with this Section, the Administrative Agent shall advise each Lender of the applicable Class of the details thereof and of such Lender’s portion of each resulting Borrowing.</w:t>
      </w:r>
    </w:p>
    <w:p>
      <w:pPr>
        <w:spacing w:after="0" w:line="134" w:lineRule="exact"/>
        <w:rPr>
          <w:rFonts w:ascii="Arial" w:cs="Arial" w:eastAsia="Arial" w:hAnsi="Arial"/>
          <w:sz w:val="17"/>
          <w:szCs w:val="17"/>
          <w:color w:val="auto"/>
        </w:rPr>
      </w:pPr>
    </w:p>
    <w:p>
      <w:pPr>
        <w:jc w:val="both"/>
        <w:ind w:firstLine="563"/>
        <w:spacing w:after="0" w:line="214" w:lineRule="auto"/>
        <w:tabs>
          <w:tab w:leader="none" w:pos="1128" w:val="left"/>
        </w:tabs>
        <w:numPr>
          <w:ilvl w:val="0"/>
          <w:numId w:val="113"/>
        </w:numPr>
        <w:rPr>
          <w:rFonts w:ascii="Arial" w:cs="Arial" w:eastAsia="Arial" w:hAnsi="Arial"/>
          <w:sz w:val="17"/>
          <w:szCs w:val="17"/>
          <w:color w:val="auto"/>
        </w:rPr>
      </w:pPr>
      <w:r>
        <w:rPr>
          <w:rFonts w:ascii="Arial" w:cs="Arial" w:eastAsia="Arial" w:hAnsi="Arial"/>
          <w:sz w:val="17"/>
          <w:szCs w:val="17"/>
          <w:color w:val="auto"/>
        </w:rPr>
        <w:t>If the Borrower fails to deliver a timely Interest Election Request with respect to a Term Benchmark Borrowing prior to the end of the Interest Period applicable thereto, then, unless such Borrowing is repaid as provided herein, at the end of such Interest Period such Borrowing shall be converted to an ABR Borrowing. Notwithstanding any contrary provision hereof, if an Event of Default has occurred and is continuing and the Administrative Agent, at the request of the Required Lenders, so notifies the Borrower, then, so long as an Event of Default is continuing no outstanding Borrowing may be converted to or continued as a Term Benchmark Borrowing and unless repaid, each Term Benchmark Borrowing shall be converted to an ABR Borrowing at the end of the Interest Period applicable thereto.</w:t>
      </w:r>
    </w:p>
    <w:p>
      <w:pPr>
        <w:spacing w:after="0" w:line="138" w:lineRule="exact"/>
        <w:rPr>
          <w:sz w:val="20"/>
          <w:szCs w:val="20"/>
          <w:color w:val="auto"/>
        </w:rPr>
      </w:pPr>
    </w:p>
    <w:p>
      <w:pPr>
        <w:ind w:left="560"/>
        <w:spacing w:after="0"/>
        <w:tabs>
          <w:tab w:leader="none" w:pos="1680" w:val="left"/>
        </w:tabs>
        <w:rPr>
          <w:sz w:val="20"/>
          <w:szCs w:val="20"/>
          <w:color w:val="auto"/>
        </w:rPr>
      </w:pPr>
      <w:r>
        <w:rPr>
          <w:rFonts w:ascii="Arial" w:cs="Arial" w:eastAsia="Arial" w:hAnsi="Arial"/>
          <w:sz w:val="17"/>
          <w:szCs w:val="17"/>
          <w:color w:val="auto"/>
        </w:rPr>
        <w:t>Section 1.06.</w:t>
      </w:r>
      <w:r>
        <w:rPr>
          <w:sz w:val="20"/>
          <w:szCs w:val="20"/>
          <w:color w:val="auto"/>
        </w:rPr>
        <w:tab/>
      </w:r>
      <w:r>
        <w:rPr>
          <w:rFonts w:ascii="Arial" w:cs="Arial" w:eastAsia="Arial" w:hAnsi="Arial"/>
          <w:sz w:val="15"/>
          <w:szCs w:val="15"/>
          <w:i w:val="1"/>
          <w:iCs w:val="1"/>
          <w:color w:val="auto"/>
        </w:rPr>
        <w:t>Termination and Reduction of Commitments</w:t>
      </w:r>
      <w:r>
        <w:rPr>
          <w:rFonts w:ascii="Arial" w:cs="Arial" w:eastAsia="Arial" w:hAnsi="Arial"/>
          <w:sz w:val="15"/>
          <w:szCs w:val="15"/>
          <w:color w:val="auto"/>
        </w:rPr>
        <w:t>.</w:t>
      </w:r>
    </w:p>
    <w:p>
      <w:pPr>
        <w:spacing w:after="0" w:line="160" w:lineRule="exact"/>
        <w:rPr>
          <w:sz w:val="20"/>
          <w:szCs w:val="20"/>
          <w:color w:val="auto"/>
        </w:rPr>
      </w:pPr>
    </w:p>
    <w:p>
      <w:pPr>
        <w:ind w:right="20" w:firstLine="563"/>
        <w:spacing w:after="0" w:line="237" w:lineRule="auto"/>
        <w:tabs>
          <w:tab w:leader="none" w:pos="1128" w:val="left"/>
        </w:tabs>
        <w:numPr>
          <w:ilvl w:val="0"/>
          <w:numId w:val="114"/>
        </w:numPr>
        <w:rPr>
          <w:rFonts w:ascii="Arial" w:cs="Arial" w:eastAsia="Arial" w:hAnsi="Arial"/>
          <w:sz w:val="17"/>
          <w:szCs w:val="17"/>
          <w:color w:val="auto"/>
        </w:rPr>
      </w:pPr>
      <w:r>
        <w:rPr>
          <w:rFonts w:ascii="Arial" w:cs="Arial" w:eastAsia="Arial" w:hAnsi="Arial"/>
          <w:sz w:val="17"/>
          <w:szCs w:val="17"/>
          <w:color w:val="auto"/>
        </w:rPr>
        <w:t>Unless previously terminated, (i) the Initial Term Commitments outstanding on the Closing Date shall terminate at 5:00 p.m., New York City time, on the Closing Date, and (ii) the Revolving Commitments shall automatically terminate on the Revolving Maturity Date.</w:t>
      </w:r>
    </w:p>
    <w:p>
      <w:pPr>
        <w:spacing w:after="0" w:line="134" w:lineRule="exact"/>
        <w:rPr>
          <w:rFonts w:ascii="Arial" w:cs="Arial" w:eastAsia="Arial" w:hAnsi="Arial"/>
          <w:sz w:val="17"/>
          <w:szCs w:val="17"/>
          <w:color w:val="auto"/>
        </w:rPr>
      </w:pPr>
    </w:p>
    <w:p>
      <w:pPr>
        <w:jc w:val="both"/>
        <w:ind w:firstLine="563"/>
        <w:spacing w:after="0" w:line="220" w:lineRule="auto"/>
        <w:tabs>
          <w:tab w:leader="none" w:pos="1126" w:val="left"/>
        </w:tabs>
        <w:numPr>
          <w:ilvl w:val="0"/>
          <w:numId w:val="114"/>
        </w:numPr>
        <w:rPr>
          <w:rFonts w:ascii="Arial" w:cs="Arial" w:eastAsia="Arial" w:hAnsi="Arial"/>
          <w:sz w:val="17"/>
          <w:szCs w:val="17"/>
          <w:color w:val="auto"/>
        </w:rPr>
      </w:pPr>
      <w:r>
        <w:rPr>
          <w:rFonts w:ascii="Arial" w:cs="Arial" w:eastAsia="Arial" w:hAnsi="Arial"/>
          <w:sz w:val="17"/>
          <w:szCs w:val="17"/>
          <w:color w:val="auto"/>
        </w:rPr>
        <w:t xml:space="preserve">The Borrower may at any time terminate, or from time to time reduce, the Commitments of any Class,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each reduction of the Commitments of any Class shall be in an amount that is an integral multiple of $500,000 and not less than $1,000,000 and (ii) the Borrower shall not terminate or reduce the Revolving Commitments if, after giving effect to any concurrent prepayment of the Revolving Loans or Swingline Loans in accordance with Section 2.11, the aggregate Revolving Exposures would exceed the Total Revolving Commitments.</w:t>
      </w:r>
    </w:p>
    <w:p>
      <w:pPr>
        <w:spacing w:after="0" w:line="135" w:lineRule="exact"/>
        <w:rPr>
          <w:rFonts w:ascii="Arial" w:cs="Arial" w:eastAsia="Arial" w:hAnsi="Arial"/>
          <w:sz w:val="17"/>
          <w:szCs w:val="17"/>
          <w:color w:val="auto"/>
        </w:rPr>
      </w:pPr>
    </w:p>
    <w:p>
      <w:pPr>
        <w:jc w:val="both"/>
        <w:ind w:right="20" w:firstLine="563"/>
        <w:spacing w:after="0" w:line="225" w:lineRule="auto"/>
        <w:tabs>
          <w:tab w:leader="none" w:pos="1128"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Borrower shall notify the Administrative Agent of any election to terminate or reduce the Commitments under paragraph (b) of this Section 2.06 at least three Business Days prior to the effective date of such termination or reduction, specifying such election and the effective date thereof. Promptly following receipt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ectPr>
          <w:pgSz w:w="11900" w:h="16838" w:orient="portrait"/>
          <w:cols w:equalWidth="0" w:num="1">
            <w:col w:w="11260"/>
          </w:cols>
          <w:pgMar w:left="320" w:top="1440" w:right="319" w:bottom="1440" w:gutter="0" w:footer="0" w:header="0"/>
        </w:sectPr>
      </w:pPr>
    </w:p>
    <w:bookmarkStart w:id="249" w:name="page250"/>
    <w:bookmarkEnd w:id="249"/>
    <w:p>
      <w:pPr>
        <w:spacing w:after="0" w:line="390" w:lineRule="exact"/>
        <w:rPr>
          <w:sz w:val="20"/>
          <w:szCs w:val="20"/>
          <w:color w:val="auto"/>
        </w:rPr>
      </w:pPr>
    </w:p>
    <w:p>
      <w:pPr>
        <w:jc w:val="both"/>
        <w:spacing w:after="0" w:line="228" w:lineRule="auto"/>
        <w:rPr>
          <w:sz w:val="20"/>
          <w:szCs w:val="20"/>
          <w:color w:val="auto"/>
        </w:rPr>
      </w:pPr>
      <w:r>
        <w:rPr>
          <w:rFonts w:ascii="Arial" w:cs="Arial" w:eastAsia="Arial" w:hAnsi="Arial"/>
          <w:sz w:val="16"/>
          <w:szCs w:val="16"/>
          <w:color w:val="auto"/>
        </w:rPr>
        <w:t xml:space="preserve">such notice, the Administrative Agent shall advise the Lenders of the contents thereof. Each notice delivered by the Borrower pursuant to this Section 2.06 shall be irrevocable;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notice of termination of the Revolving Commitments delivered by the Borrower may state that such notice is conditioned upon the effectiveness of other credit facilities or the receipt of the proceeds from the issuance of other Indebtedness or the occurrence of some other identifiable event or condition, in which case such notice may be revoked by the Borrower (by notice to the Administrative Agent on or prior to the specified effective date of termination) if such condition is not satisfied. Any termination or reduction of the Commitments of any Class shall be permanent. Each reduction of the Commitments of any Class shall be made ratably among the Lenders in accordance with their respective Commitments of such Class.</w:t>
      </w:r>
    </w:p>
    <w:p>
      <w:pPr>
        <w:spacing w:after="0" w:line="135" w:lineRule="exact"/>
        <w:rPr>
          <w:sz w:val="20"/>
          <w:szCs w:val="20"/>
          <w:color w:val="auto"/>
        </w:rPr>
      </w:pPr>
    </w:p>
    <w:p>
      <w:pPr>
        <w:ind w:left="560"/>
        <w:spacing w:after="0"/>
        <w:tabs>
          <w:tab w:leader="none" w:pos="1680" w:val="left"/>
        </w:tabs>
        <w:rPr>
          <w:sz w:val="20"/>
          <w:szCs w:val="20"/>
          <w:color w:val="auto"/>
        </w:rPr>
      </w:pPr>
      <w:r>
        <w:rPr>
          <w:rFonts w:ascii="Arial" w:cs="Arial" w:eastAsia="Arial" w:hAnsi="Arial"/>
          <w:sz w:val="17"/>
          <w:szCs w:val="17"/>
          <w:color w:val="auto"/>
        </w:rPr>
        <w:t>Section 1.07.</w:t>
      </w:r>
      <w:r>
        <w:rPr>
          <w:sz w:val="20"/>
          <w:szCs w:val="20"/>
          <w:color w:val="auto"/>
        </w:rPr>
        <w:tab/>
      </w:r>
      <w:r>
        <w:rPr>
          <w:rFonts w:ascii="Arial" w:cs="Arial" w:eastAsia="Arial" w:hAnsi="Arial"/>
          <w:sz w:val="15"/>
          <w:szCs w:val="15"/>
          <w:i w:val="1"/>
          <w:iCs w:val="1"/>
          <w:color w:val="auto"/>
        </w:rPr>
        <w:t>Repayment of Loans; Evidence of Debt</w:t>
      </w:r>
      <w:r>
        <w:rPr>
          <w:rFonts w:ascii="Arial" w:cs="Arial" w:eastAsia="Arial" w:hAnsi="Arial"/>
          <w:sz w:val="15"/>
          <w:szCs w:val="15"/>
          <w:color w:val="auto"/>
        </w:rPr>
        <w:t>.</w:t>
      </w:r>
    </w:p>
    <w:p>
      <w:pPr>
        <w:spacing w:after="0" w:line="160" w:lineRule="exact"/>
        <w:rPr>
          <w:sz w:val="20"/>
          <w:szCs w:val="20"/>
          <w:color w:val="auto"/>
        </w:rPr>
      </w:pPr>
    </w:p>
    <w:p>
      <w:pPr>
        <w:jc w:val="both"/>
        <w:ind w:right="20" w:firstLine="563"/>
        <w:spacing w:after="0" w:line="214" w:lineRule="auto"/>
        <w:tabs>
          <w:tab w:leader="none" w:pos="1128" w:val="left"/>
        </w:tabs>
        <w:numPr>
          <w:ilvl w:val="0"/>
          <w:numId w:val="115"/>
        </w:numPr>
        <w:rPr>
          <w:rFonts w:ascii="Arial" w:cs="Arial" w:eastAsia="Arial" w:hAnsi="Arial"/>
          <w:sz w:val="17"/>
          <w:szCs w:val="17"/>
          <w:color w:val="auto"/>
        </w:rPr>
      </w:pPr>
      <w:r>
        <w:rPr>
          <w:rFonts w:ascii="Arial" w:cs="Arial" w:eastAsia="Arial" w:hAnsi="Arial"/>
          <w:sz w:val="17"/>
          <w:szCs w:val="17"/>
          <w:color w:val="auto"/>
        </w:rPr>
        <w:t xml:space="preserve">The Borrower hereby unconditionally promises to pay (i) to the Administrative Agent for the account of each Lender the then unpaid principal amount of each Revolving Loan of such Lender on the Revolving Maturity Date, (ii) to the Administrative Agent for the account of each Lender the then unpaid principal amount of each Term Loan of such Lender as provided in Section 2.08 and (iii) to the Swingline Lender the then unpaid principal amount of each Swingline Loan made by the Swingline Lender on the earlier to occur of (A) the date that is ten (10) Business Days after such Loan is made and (B) the Revolving Maturity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on each date that a Revolving Borrowing is made, the Borrower shall repay all Swingline Loans that were outstanding on the date such Borrowing was requested.</w:t>
      </w:r>
    </w:p>
    <w:p>
      <w:pPr>
        <w:spacing w:after="0" w:line="138" w:lineRule="exact"/>
        <w:rPr>
          <w:rFonts w:ascii="Arial" w:cs="Arial" w:eastAsia="Arial" w:hAnsi="Arial"/>
          <w:sz w:val="17"/>
          <w:szCs w:val="17"/>
          <w:color w:val="auto"/>
        </w:rPr>
      </w:pPr>
    </w:p>
    <w:p>
      <w:pPr>
        <w:jc w:val="both"/>
        <w:ind w:firstLine="563"/>
        <w:spacing w:after="0" w:line="225" w:lineRule="auto"/>
        <w:tabs>
          <w:tab w:leader="none" w:pos="1126" w:val="left"/>
        </w:tabs>
        <w:numPr>
          <w:ilvl w:val="0"/>
          <w:numId w:val="115"/>
        </w:numPr>
        <w:rPr>
          <w:rFonts w:ascii="Arial" w:cs="Arial" w:eastAsia="Arial" w:hAnsi="Arial"/>
          <w:sz w:val="17"/>
          <w:szCs w:val="17"/>
          <w:color w:val="auto"/>
        </w:rPr>
      </w:pPr>
      <w:r>
        <w:rPr>
          <w:rFonts w:ascii="Arial" w:cs="Arial" w:eastAsia="Arial" w:hAnsi="Arial"/>
          <w:sz w:val="17"/>
          <w:szCs w:val="17"/>
          <w:color w:val="auto"/>
        </w:rPr>
        <w:t>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spacing w:after="0" w:line="136" w:lineRule="exact"/>
        <w:rPr>
          <w:rFonts w:ascii="Arial" w:cs="Arial" w:eastAsia="Arial" w:hAnsi="Arial"/>
          <w:sz w:val="17"/>
          <w:szCs w:val="17"/>
          <w:color w:val="auto"/>
        </w:rPr>
      </w:pPr>
    </w:p>
    <w:p>
      <w:pPr>
        <w:jc w:val="both"/>
        <w:ind w:firstLine="563"/>
        <w:spacing w:after="0" w:line="220" w:lineRule="auto"/>
        <w:tabs>
          <w:tab w:leader="none" w:pos="1128" w:val="left"/>
        </w:tabs>
        <w:numPr>
          <w:ilvl w:val="0"/>
          <w:numId w:val="115"/>
        </w:numPr>
        <w:rPr>
          <w:rFonts w:ascii="Arial" w:cs="Arial" w:eastAsia="Arial" w:hAnsi="Arial"/>
          <w:sz w:val="17"/>
          <w:szCs w:val="17"/>
          <w:color w:val="auto"/>
        </w:rPr>
      </w:pPr>
      <w:r>
        <w:rPr>
          <w:rFonts w:ascii="Arial" w:cs="Arial" w:eastAsia="Arial" w:hAnsi="Arial"/>
          <w:sz w:val="17"/>
          <w:szCs w:val="17"/>
          <w:color w:val="auto"/>
        </w:rPr>
        <w:t>The Administrative Agent shall maintain accounts in which it shall record (i) the amount of each Loan made hereunder, the Class and Type thereof and the Interest Period applicable thereto, (ii) the amount of any principal or interest due and payable or to become due and payable from the Borrower to each Lender hereunder and (iii) the amount of any sum received by the Administrative Agent hereunder for the account of the Lenders and each Lender’s share thereof.</w:t>
      </w:r>
    </w:p>
    <w:p>
      <w:pPr>
        <w:spacing w:after="0" w:line="135" w:lineRule="exact"/>
        <w:rPr>
          <w:rFonts w:ascii="Arial" w:cs="Arial" w:eastAsia="Arial" w:hAnsi="Arial"/>
          <w:sz w:val="17"/>
          <w:szCs w:val="17"/>
          <w:color w:val="auto"/>
        </w:rPr>
      </w:pPr>
    </w:p>
    <w:p>
      <w:pPr>
        <w:jc w:val="both"/>
        <w:ind w:firstLine="563"/>
        <w:spacing w:after="0" w:line="216" w:lineRule="auto"/>
        <w:tabs>
          <w:tab w:leader="none" w:pos="1126" w:val="left"/>
        </w:tabs>
        <w:numPr>
          <w:ilvl w:val="0"/>
          <w:numId w:val="115"/>
        </w:numPr>
        <w:rPr>
          <w:rFonts w:ascii="Arial" w:cs="Arial" w:eastAsia="Arial" w:hAnsi="Arial"/>
          <w:sz w:val="17"/>
          <w:szCs w:val="17"/>
          <w:color w:val="auto"/>
        </w:rPr>
      </w:pPr>
      <w:r>
        <w:rPr>
          <w:rFonts w:ascii="Arial" w:cs="Arial" w:eastAsia="Arial" w:hAnsi="Arial"/>
          <w:sz w:val="17"/>
          <w:szCs w:val="17"/>
          <w:color w:val="auto"/>
        </w:rPr>
        <w:t xml:space="preserve">The entries made in the accounts maintained pursuant to paragraph (b) or (c) of this Section shall be prima facie evidence of the existence and amounts of the obligations recorded therein,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failure of any Lender or the Administrative Agent to maintain such accounts or any error therein shall not in any manner affect the obligation of the Borrower to pay any amounts due hereunder in accordance with the terms of this Agreement. In the event of any inconsistency between the entries made pursuant to paragraphs (b) and (c) of this Section 2.07, the accounts maintained by the Administrative Agent pursuant to paragraph (c) of this Section 2.07 shall control.</w:t>
      </w:r>
    </w:p>
    <w:p>
      <w:pPr>
        <w:spacing w:after="0" w:line="138" w:lineRule="exact"/>
        <w:rPr>
          <w:rFonts w:ascii="Arial" w:cs="Arial" w:eastAsia="Arial" w:hAnsi="Arial"/>
          <w:sz w:val="17"/>
          <w:szCs w:val="17"/>
          <w:color w:val="auto"/>
        </w:rPr>
      </w:pPr>
    </w:p>
    <w:p>
      <w:pPr>
        <w:jc w:val="both"/>
        <w:ind w:right="20" w:firstLine="563"/>
        <w:spacing w:after="0" w:line="225" w:lineRule="auto"/>
        <w:tabs>
          <w:tab w:leader="none" w:pos="1128" w:val="left"/>
        </w:tabs>
        <w:numPr>
          <w:ilvl w:val="0"/>
          <w:numId w:val="115"/>
        </w:numPr>
        <w:rPr>
          <w:rFonts w:ascii="Arial" w:cs="Arial" w:eastAsia="Arial" w:hAnsi="Arial"/>
          <w:sz w:val="17"/>
          <w:szCs w:val="17"/>
          <w:color w:val="auto"/>
        </w:rPr>
      </w:pPr>
      <w:r>
        <w:rPr>
          <w:rFonts w:ascii="Arial" w:cs="Arial" w:eastAsia="Arial" w:hAnsi="Arial"/>
          <w:sz w:val="17"/>
          <w:szCs w:val="17"/>
          <w:color w:val="auto"/>
        </w:rPr>
        <w:t>Any Lender may request through the Administrative Agent that Loans of any Class made by it be evidenced by a Note. In such event, the Borrower shall execute and deliver to such Lender a Note payable to the order of such Lender (or, if requested by such Lender, to such Lender and its registered assigns).</w:t>
      </w:r>
    </w:p>
    <w:p>
      <w:pPr>
        <w:spacing w:after="0" w:line="137" w:lineRule="exact"/>
        <w:rPr>
          <w:sz w:val="20"/>
          <w:szCs w:val="20"/>
          <w:color w:val="auto"/>
        </w:rPr>
      </w:pPr>
    </w:p>
    <w:p>
      <w:pPr>
        <w:ind w:left="560"/>
        <w:spacing w:after="0"/>
        <w:tabs>
          <w:tab w:leader="none" w:pos="1680" w:val="left"/>
        </w:tabs>
        <w:rPr>
          <w:sz w:val="20"/>
          <w:szCs w:val="20"/>
          <w:color w:val="auto"/>
        </w:rPr>
      </w:pPr>
      <w:r>
        <w:rPr>
          <w:rFonts w:ascii="Arial" w:cs="Arial" w:eastAsia="Arial" w:hAnsi="Arial"/>
          <w:sz w:val="17"/>
          <w:szCs w:val="17"/>
          <w:color w:val="auto"/>
        </w:rPr>
        <w:t>Section 1.08.</w:t>
      </w:r>
      <w:r>
        <w:rPr>
          <w:sz w:val="20"/>
          <w:szCs w:val="20"/>
          <w:color w:val="auto"/>
        </w:rPr>
        <w:tab/>
      </w:r>
      <w:r>
        <w:rPr>
          <w:rFonts w:ascii="Arial" w:cs="Arial" w:eastAsia="Arial" w:hAnsi="Arial"/>
          <w:sz w:val="15"/>
          <w:szCs w:val="15"/>
          <w:i w:val="1"/>
          <w:iCs w:val="1"/>
          <w:color w:val="auto"/>
        </w:rPr>
        <w:t>Amortization of Term Loans</w:t>
      </w:r>
      <w:r>
        <w:rPr>
          <w:rFonts w:ascii="Arial" w:cs="Arial" w:eastAsia="Arial" w:hAnsi="Arial"/>
          <w:sz w:val="15"/>
          <w:szCs w:val="15"/>
          <w:color w:val="auto"/>
        </w:rPr>
        <w:t>.</w:t>
      </w:r>
    </w:p>
    <w:p>
      <w:pPr>
        <w:spacing w:after="0" w:line="160" w:lineRule="exact"/>
        <w:rPr>
          <w:sz w:val="20"/>
          <w:szCs w:val="20"/>
          <w:color w:val="auto"/>
        </w:rPr>
      </w:pPr>
    </w:p>
    <w:p>
      <w:pPr>
        <w:ind w:right="20" w:firstLine="563"/>
        <w:spacing w:after="0" w:line="237" w:lineRule="auto"/>
        <w:tabs>
          <w:tab w:leader="none" w:pos="1128" w:val="left"/>
        </w:tabs>
        <w:numPr>
          <w:ilvl w:val="0"/>
          <w:numId w:val="116"/>
        </w:numPr>
        <w:rPr>
          <w:rFonts w:ascii="Arial" w:cs="Arial" w:eastAsia="Arial" w:hAnsi="Arial"/>
          <w:sz w:val="17"/>
          <w:szCs w:val="17"/>
          <w:color w:val="auto"/>
        </w:rPr>
      </w:pPr>
      <w:r>
        <w:rPr>
          <w:rFonts w:ascii="Arial" w:cs="Arial" w:eastAsia="Arial" w:hAnsi="Arial"/>
          <w:sz w:val="17"/>
          <w:szCs w:val="17"/>
          <w:color w:val="auto"/>
        </w:rPr>
        <w:t>Subject to adjustment pursuant to paragraph (c) of this Section 2.08, the Borrower shall repay the Initial Term Loans on each anniversary of the Closing Date in an aggregate principal amount of Initial Term Loans equal to 1.00% of the original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ectPr>
          <w:pgSz w:w="11900" w:h="16838" w:orient="portrait"/>
          <w:cols w:equalWidth="0" w:num="1">
            <w:col w:w="11260"/>
          </w:cols>
          <w:pgMar w:left="320" w:top="1440" w:right="319" w:bottom="1440" w:gutter="0" w:footer="0" w:header="0"/>
        </w:sectPr>
      </w:pPr>
    </w:p>
    <w:bookmarkStart w:id="250" w:name="page251"/>
    <w:bookmarkEnd w:id="250"/>
    <w:p>
      <w:pPr>
        <w:spacing w:after="0" w:line="390"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 xml:space="preserve">aggregate principal amount of the Initial Term Loans on the Closing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any such date is not a Business Day, such payment shall be due on the next preceding Business Day.</w:t>
      </w:r>
    </w:p>
    <w:p>
      <w:pPr>
        <w:spacing w:after="0" w:line="135" w:lineRule="exact"/>
        <w:rPr>
          <w:sz w:val="20"/>
          <w:szCs w:val="20"/>
          <w:color w:val="auto"/>
        </w:rPr>
      </w:pPr>
    </w:p>
    <w:p>
      <w:pPr>
        <w:ind w:left="1120" w:hanging="557"/>
        <w:spacing w:after="0"/>
        <w:tabs>
          <w:tab w:leader="none" w:pos="112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To the extent not previously paid, all Initial Term Loans shall be due and payable on the Term Maturity Date.</w:t>
      </w:r>
    </w:p>
    <w:p>
      <w:pPr>
        <w:spacing w:after="0" w:line="159" w:lineRule="exact"/>
        <w:rPr>
          <w:rFonts w:ascii="Arial" w:cs="Arial" w:eastAsia="Arial" w:hAnsi="Arial"/>
          <w:sz w:val="17"/>
          <w:szCs w:val="17"/>
          <w:color w:val="auto"/>
        </w:rPr>
      </w:pPr>
    </w:p>
    <w:p>
      <w:pPr>
        <w:jc w:val="both"/>
        <w:ind w:firstLine="563"/>
        <w:spacing w:after="0" w:line="247" w:lineRule="auto"/>
        <w:tabs>
          <w:tab w:leader="none" w:pos="1128" w:val="left"/>
        </w:tabs>
        <w:numPr>
          <w:ilvl w:val="0"/>
          <w:numId w:val="117"/>
        </w:numPr>
        <w:rPr>
          <w:rFonts w:ascii="Arial" w:cs="Arial" w:eastAsia="Arial" w:hAnsi="Arial"/>
          <w:sz w:val="15"/>
          <w:szCs w:val="15"/>
          <w:color w:val="auto"/>
        </w:rPr>
      </w:pPr>
      <w:r>
        <w:rPr>
          <w:rFonts w:ascii="Arial" w:cs="Arial" w:eastAsia="Arial" w:hAnsi="Arial"/>
          <w:sz w:val="15"/>
          <w:szCs w:val="15"/>
          <w:color w:val="auto"/>
        </w:rPr>
        <w:t>Any prepayment of a Term Borrowing of any Class pursuant to Section 2.09(a)(i) shall be applied to reduce the subsequent scheduled and outstanding repayments of the Term Borrowing of such Class to be made pursuant to this Section as directed by the Borrower (and absent such direction in direct order of maturity), pursuant to Section 2.09(a)(ii) shall be applied as set forth in Section 2.09(a)(ii)(F) and pursuant to Section 2.09(b) or 2.09(c) shall be applied to reduce the subsequent scheduled and outstanding repayments of the Term Borrowings of such Class to be made pursuant to this Section, or, except as otherwise provided in any Refinancing Amendment, pursuant to the corresponding section of such Refinancing Amendment, in direct order of maturity.</w:t>
      </w:r>
    </w:p>
    <w:p>
      <w:pPr>
        <w:spacing w:after="0" w:line="130" w:lineRule="exact"/>
        <w:rPr>
          <w:rFonts w:ascii="Arial" w:cs="Arial" w:eastAsia="Arial" w:hAnsi="Arial"/>
          <w:sz w:val="15"/>
          <w:szCs w:val="15"/>
          <w:color w:val="auto"/>
        </w:rPr>
      </w:pPr>
    </w:p>
    <w:p>
      <w:pPr>
        <w:jc w:val="both"/>
        <w:ind w:firstLine="563"/>
        <w:spacing w:after="0" w:line="214" w:lineRule="auto"/>
        <w:tabs>
          <w:tab w:leader="none" w:pos="1126" w:val="left"/>
        </w:tabs>
        <w:numPr>
          <w:ilvl w:val="0"/>
          <w:numId w:val="117"/>
        </w:numPr>
        <w:rPr>
          <w:rFonts w:ascii="Arial" w:cs="Arial" w:eastAsia="Arial" w:hAnsi="Arial"/>
          <w:sz w:val="17"/>
          <w:szCs w:val="17"/>
          <w:color w:val="auto"/>
        </w:rPr>
      </w:pPr>
      <w:r>
        <w:rPr>
          <w:rFonts w:ascii="Arial" w:cs="Arial" w:eastAsia="Arial" w:hAnsi="Arial"/>
          <w:sz w:val="17"/>
          <w:szCs w:val="17"/>
          <w:color w:val="auto"/>
        </w:rPr>
        <w:t>Prior to any repayment of any Term Borrowings of any Class hereunder, the Borrower shall select the Borrowing or Borrowings of the applicable Class to be repaid and shall notify the Administrative Agent by telephone (confirmed by hand delivery or facsimile) of such election not later than 2:00 p.m., New York City time, three Business Days before the scheduled date of such repayment. In the absence of a designation by the Borrower as described in the preceding sentence, the Administrative Agent shall make such designation in its reasonable discretion with a view, but no obligation, to minimize breakage costs owing under Section 2.14. Each repayment of a Borrowing shall be applied ratably to the Loans included in the repaid Borrowing. Repayments of Term Borrowings shall be accompanied by accrued interest on the amount repaid.</w:t>
      </w:r>
    </w:p>
    <w:p>
      <w:pPr>
        <w:spacing w:after="0" w:line="138" w:lineRule="exact"/>
        <w:rPr>
          <w:sz w:val="20"/>
          <w:szCs w:val="20"/>
          <w:color w:val="auto"/>
        </w:rPr>
      </w:pPr>
    </w:p>
    <w:p>
      <w:pPr>
        <w:ind w:left="560"/>
        <w:spacing w:after="0"/>
        <w:tabs>
          <w:tab w:leader="none" w:pos="1680" w:val="left"/>
        </w:tabs>
        <w:rPr>
          <w:sz w:val="20"/>
          <w:szCs w:val="20"/>
          <w:color w:val="auto"/>
        </w:rPr>
      </w:pPr>
      <w:r>
        <w:rPr>
          <w:rFonts w:ascii="Arial" w:cs="Arial" w:eastAsia="Arial" w:hAnsi="Arial"/>
          <w:sz w:val="17"/>
          <w:szCs w:val="17"/>
          <w:color w:val="auto"/>
        </w:rPr>
        <w:t>Section 1.09.</w:t>
      </w:r>
      <w:r>
        <w:rPr>
          <w:sz w:val="20"/>
          <w:szCs w:val="20"/>
          <w:color w:val="auto"/>
        </w:rPr>
        <w:tab/>
      </w:r>
      <w:r>
        <w:rPr>
          <w:rFonts w:ascii="Arial" w:cs="Arial" w:eastAsia="Arial" w:hAnsi="Arial"/>
          <w:sz w:val="15"/>
          <w:szCs w:val="15"/>
          <w:i w:val="1"/>
          <w:iCs w:val="1"/>
          <w:color w:val="auto"/>
        </w:rPr>
        <w:t>Prepayment of Loans</w:t>
      </w:r>
      <w:r>
        <w:rPr>
          <w:rFonts w:ascii="Arial" w:cs="Arial" w:eastAsia="Arial" w:hAnsi="Arial"/>
          <w:sz w:val="15"/>
          <w:szCs w:val="15"/>
          <w:color w:val="auto"/>
        </w:rPr>
        <w:t>.</w:t>
      </w:r>
    </w:p>
    <w:p>
      <w:pPr>
        <w:spacing w:after="0" w:line="160" w:lineRule="exact"/>
        <w:rPr>
          <w:sz w:val="20"/>
          <w:szCs w:val="20"/>
          <w:color w:val="auto"/>
        </w:rPr>
      </w:pPr>
    </w:p>
    <w:p>
      <w:pPr>
        <w:jc w:val="both"/>
        <w:ind w:firstLine="563"/>
        <w:spacing w:after="0" w:line="214" w:lineRule="auto"/>
        <w:tabs>
          <w:tab w:leader="none" w:pos="1171" w:val="left"/>
        </w:tabs>
        <w:numPr>
          <w:ilvl w:val="0"/>
          <w:numId w:val="118"/>
        </w:numPr>
        <w:rPr>
          <w:rFonts w:ascii="Arial" w:cs="Arial" w:eastAsia="Arial" w:hAnsi="Arial"/>
          <w:sz w:val="17"/>
          <w:szCs w:val="17"/>
          <w:color w:val="auto"/>
        </w:rPr>
      </w:pPr>
      <w:r>
        <w:rPr>
          <w:rFonts w:ascii="Arial" w:cs="Arial" w:eastAsia="Arial" w:hAnsi="Arial"/>
          <w:sz w:val="17"/>
          <w:szCs w:val="17"/>
          <w:color w:val="auto"/>
        </w:rPr>
        <w:t xml:space="preserve">The Borrower shall have the right at any time and from time to time to prepay any Borrowing in whole or in part, subject to the requirements of this Section 2.09;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event that, on or prior to the date that is six months following the Closing Date, the Borrower (x) makes any prepayment of Initial Term Loans in connection with any Repricing Transaction, or (y) effects any amendment of this Agreement resulting in a Repricing Transaction, the Borrower shall pay to the Administrative Agent, for the ratable account of each of the applicable Term Lenders, (I) in the case of clause (x), a prepayment premium of 1.00% of the principal amount of the Initial Term Loans being prepaid and (II) in the case of clause (y), a payment equal to 1.00% of the aggregate principal amount of the Initial Term Loans outstanding immediately prior to such amendment.</w:t>
      </w:r>
    </w:p>
    <w:p>
      <w:pPr>
        <w:spacing w:after="0" w:line="138" w:lineRule="exact"/>
        <w:rPr>
          <w:rFonts w:ascii="Arial" w:cs="Arial" w:eastAsia="Arial" w:hAnsi="Arial"/>
          <w:sz w:val="17"/>
          <w:szCs w:val="17"/>
          <w:color w:val="auto"/>
        </w:rPr>
      </w:pPr>
    </w:p>
    <w:p>
      <w:pPr>
        <w:ind w:left="340" w:right="20" w:firstLine="791"/>
        <w:spacing w:after="0" w:line="237" w:lineRule="auto"/>
        <w:tabs>
          <w:tab w:leader="none" w:pos="1702" w:val="left"/>
        </w:tabs>
        <w:numPr>
          <w:ilvl w:val="1"/>
          <w:numId w:val="118"/>
        </w:numPr>
        <w:rPr>
          <w:rFonts w:ascii="Arial" w:cs="Arial" w:eastAsia="Arial" w:hAnsi="Arial"/>
          <w:sz w:val="17"/>
          <w:szCs w:val="17"/>
          <w:color w:val="auto"/>
        </w:rPr>
      </w:pPr>
      <w:r>
        <w:rPr>
          <w:rFonts w:ascii="Arial" w:cs="Arial" w:eastAsia="Arial" w:hAnsi="Arial"/>
          <w:sz w:val="17"/>
          <w:szCs w:val="17"/>
          <w:color w:val="auto"/>
        </w:rPr>
        <w:t>Notwithstanding anything in any Loan Document to the contrary, so long as no Default or Event of Default has occurred and is continuing, the Borrower may prepay the outstanding Term Loans on the following basis:</w:t>
      </w:r>
    </w:p>
    <w:p>
      <w:pPr>
        <w:spacing w:after="0" w:line="134" w:lineRule="exact"/>
        <w:rPr>
          <w:rFonts w:ascii="Arial" w:cs="Arial" w:eastAsia="Arial" w:hAnsi="Arial"/>
          <w:sz w:val="17"/>
          <w:szCs w:val="17"/>
          <w:color w:val="auto"/>
        </w:rPr>
      </w:pPr>
    </w:p>
    <w:p>
      <w:pPr>
        <w:jc w:val="both"/>
        <w:ind w:left="1140" w:right="20" w:firstLine="559"/>
        <w:spacing w:after="0" w:line="216" w:lineRule="auto"/>
        <w:tabs>
          <w:tab w:leader="none" w:pos="2269" w:val="left"/>
        </w:tabs>
        <w:numPr>
          <w:ilvl w:val="2"/>
          <w:numId w:val="118"/>
        </w:numPr>
        <w:rPr>
          <w:rFonts w:ascii="Arial" w:cs="Arial" w:eastAsia="Arial" w:hAnsi="Arial"/>
          <w:sz w:val="17"/>
          <w:szCs w:val="17"/>
          <w:color w:val="auto"/>
        </w:rPr>
      </w:pPr>
      <w:r>
        <w:rPr>
          <w:rFonts w:ascii="Arial" w:cs="Arial" w:eastAsia="Arial" w:hAnsi="Arial"/>
          <w:sz w:val="17"/>
          <w:szCs w:val="17"/>
          <w:color w:val="auto"/>
        </w:rPr>
        <w:t>The Borrower shall have the right to make a voluntary prepayment of Term Loans at a discount to par (such prepayment, the “</w:t>
      </w:r>
      <w:r>
        <w:rPr>
          <w:rFonts w:ascii="Arial" w:cs="Arial" w:eastAsia="Arial" w:hAnsi="Arial"/>
          <w:sz w:val="17"/>
          <w:szCs w:val="17"/>
          <w:b w:val="1"/>
          <w:bCs w:val="1"/>
          <w:color w:val="auto"/>
        </w:rPr>
        <w:t>Discounted Term Loan Prepayment</w:t>
      </w:r>
      <w:r>
        <w:rPr>
          <w:rFonts w:ascii="Arial" w:cs="Arial" w:eastAsia="Arial" w:hAnsi="Arial"/>
          <w:sz w:val="17"/>
          <w:szCs w:val="17"/>
          <w:color w:val="auto"/>
        </w:rPr>
        <w:t xml:space="preserve">”) pursuant to a Borrower Offer of Specified Discount Prepayment, Borrower Solicitation of Discount Range Prepayment Offers or Borrower Solicitation of Discounted Prepayment Offers, in each case made in accordance with this Section 2.09(a) (ii);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(x) the Borrower shall not make any Borrowing of Revolving Loans, Swingline Loans or borrowing of loans under any Incremental Revolving Facility to fund any Discounted Term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ectPr>
          <w:pgSz w:w="11900" w:h="16838" w:orient="portrait"/>
          <w:cols w:equalWidth="0" w:num="1">
            <w:col w:w="11260"/>
          </w:cols>
          <w:pgMar w:left="320" w:top="1440" w:right="319" w:bottom="1440" w:gutter="0" w:footer="0" w:header="0"/>
        </w:sectPr>
      </w:pPr>
    </w:p>
    <w:bookmarkStart w:id="251" w:name="page252"/>
    <w:bookmarkEnd w:id="251"/>
    <w:p>
      <w:pPr>
        <w:spacing w:after="0" w:line="390" w:lineRule="exact"/>
        <w:rPr>
          <w:sz w:val="20"/>
          <w:szCs w:val="20"/>
          <w:color w:val="auto"/>
        </w:rPr>
      </w:pPr>
    </w:p>
    <w:p>
      <w:pPr>
        <w:jc w:val="both"/>
        <w:ind w:left="20"/>
        <w:spacing w:after="0" w:line="244" w:lineRule="auto"/>
        <w:rPr>
          <w:sz w:val="20"/>
          <w:szCs w:val="20"/>
          <w:color w:val="auto"/>
        </w:rPr>
      </w:pPr>
      <w:r>
        <w:rPr>
          <w:rFonts w:ascii="Arial" w:cs="Arial" w:eastAsia="Arial" w:hAnsi="Arial"/>
          <w:sz w:val="15"/>
          <w:szCs w:val="15"/>
          <w:color w:val="auto"/>
        </w:rPr>
        <w:t>Prepayment and (y) the Borrower shall not initiate any action under this Section 2.09(a)(ii) in order to make a Discounted Term Loan Prepayment unless (I) at least ten (10) Business Days shall have passed since the consummation of the most recent Discounted Term Loan Prepayment as a result of a prepayment made by the Borrower on the applicable Discounted Prepayment Effective Date; or (II) at least three (3) Business Days shall have passed since the date the Borrower was notified that no Term Lender was willing to accept any prepayment of any Term Loan and/or Other Term Loan at the Specified Discount, within the Discount Range or at any discount to par value, as applicable, or in the case of Borrower Solicitation of Discounted Prepayment Offers, the date of the Borrower’s election not to accept any Solicited Discounted Prepayment Offers.</w:t>
      </w:r>
    </w:p>
    <w:p>
      <w:pPr>
        <w:spacing w:after="0" w:line="132" w:lineRule="exact"/>
        <w:rPr>
          <w:sz w:val="20"/>
          <w:szCs w:val="20"/>
          <w:color w:val="auto"/>
        </w:rPr>
      </w:pPr>
    </w:p>
    <w:p>
      <w:pPr>
        <w:jc w:val="both"/>
        <w:ind w:left="20" w:firstLine="559"/>
        <w:spacing w:after="0" w:line="221" w:lineRule="auto"/>
        <w:tabs>
          <w:tab w:leader="none" w:pos="1151" w:val="left"/>
        </w:tabs>
        <w:numPr>
          <w:ilvl w:val="0"/>
          <w:numId w:val="119"/>
        </w:numPr>
        <w:rPr>
          <w:rFonts w:ascii="Arial" w:cs="Arial" w:eastAsia="Arial" w:hAnsi="Arial"/>
          <w:sz w:val="16"/>
          <w:szCs w:val="16"/>
          <w:color w:val="auto"/>
        </w:rPr>
      </w:pPr>
      <w:r>
        <w:rPr>
          <w:rFonts w:ascii="Arial" w:cs="Arial" w:eastAsia="Arial" w:hAnsi="Arial"/>
          <w:sz w:val="16"/>
          <w:szCs w:val="16"/>
          <w:color w:val="auto"/>
        </w:rPr>
        <w:t xml:space="preserve">(1) Subject to the proviso to subsection (A) above, the Borrower may from time to time offer to make a Discounted Term Loan Prepayment by providing the Auction Agent with four (4) Business Days’ notice in the form of a Specified Discount Prepayment Notice;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 any such offer shall be made available, at the sole discretion of the Borrower, to each Term Lender and/or each Lender with</w:t>
      </w:r>
      <w:r>
        <w:rPr>
          <w:rFonts w:ascii="Arial" w:cs="Arial" w:eastAsia="Arial" w:hAnsi="Arial"/>
          <w:sz w:val="16"/>
          <w:szCs w:val="16"/>
          <w:i w:val="1"/>
          <w:iCs w:val="1"/>
          <w:color w:val="auto"/>
        </w:rPr>
        <w:t xml:space="preserve"> </w:t>
      </w:r>
      <w:r>
        <w:rPr>
          <w:rFonts w:ascii="Arial" w:cs="Arial" w:eastAsia="Arial" w:hAnsi="Arial"/>
          <w:sz w:val="16"/>
          <w:szCs w:val="16"/>
          <w:color w:val="auto"/>
        </w:rPr>
        <w:t>respect to any Class of Term Loans on an individual tranche basis, (II) any such offer shall specify the aggregate principal amount offered to be prepaid (the “</w:t>
      </w:r>
      <w:r>
        <w:rPr>
          <w:rFonts w:ascii="Arial" w:cs="Arial" w:eastAsia="Arial" w:hAnsi="Arial"/>
          <w:sz w:val="16"/>
          <w:szCs w:val="16"/>
          <w:b w:val="1"/>
          <w:bCs w:val="1"/>
          <w:color w:val="auto"/>
        </w:rPr>
        <w:t>Specified Discount Prepayment Amount</w:t>
      </w:r>
      <w:r>
        <w:rPr>
          <w:rFonts w:ascii="Arial" w:cs="Arial" w:eastAsia="Arial" w:hAnsi="Arial"/>
          <w:sz w:val="16"/>
          <w:szCs w:val="16"/>
          <w:color w:val="auto"/>
        </w:rPr>
        <w:t>”) with respect to each applicable tranche, the tranche or tranches of Term Loans subject to such offer and the specific percentage discount to par (the “</w:t>
      </w:r>
      <w:r>
        <w:rPr>
          <w:rFonts w:ascii="Arial" w:cs="Arial" w:eastAsia="Arial" w:hAnsi="Arial"/>
          <w:sz w:val="16"/>
          <w:szCs w:val="16"/>
          <w:b w:val="1"/>
          <w:bCs w:val="1"/>
          <w:color w:val="auto"/>
        </w:rPr>
        <w:t>Specified Discount</w:t>
      </w:r>
      <w:r>
        <w:rPr>
          <w:rFonts w:ascii="Arial" w:cs="Arial" w:eastAsia="Arial" w:hAnsi="Arial"/>
          <w:sz w:val="16"/>
          <w:szCs w:val="16"/>
          <w:color w:val="auto"/>
        </w:rPr>
        <w:t>”) of such Term Loans to be prepaid (it being understood that different Specified Discounts and/or Specified Discount Prepayment Amounts may be offered with respect to different tranches of Term Loans and, in such an event, each such offer will be treated as a separate offer pursuant to the terms of this Section 2.09), (III) the Specified Discount Prepayment Amount shall be in an aggregate amount not less than $1,000,000 and whole increments of $500,000 in excess thereof and (IV) each such offer shall remain outstanding through the Specified Discount Prepayment Response Date. The Auction Agent will promptly provide each relevant Term Lender with a copy of such Specified Discount Prepayment Notice and a form of the Specified Discount Prepayment Response to be completed and returned by each such Lender to the Auction Agent (or its delegate) by no later than 5:00 p.m., New York City time, on the third Business Day after the date of delivery of such notice to the relevant Term Lenders (the “</w:t>
      </w:r>
      <w:r>
        <w:rPr>
          <w:rFonts w:ascii="Arial" w:cs="Arial" w:eastAsia="Arial" w:hAnsi="Arial"/>
          <w:sz w:val="16"/>
          <w:szCs w:val="16"/>
          <w:b w:val="1"/>
          <w:bCs w:val="1"/>
          <w:color w:val="auto"/>
        </w:rPr>
        <w:t>Specified Discount Prepayment Response</w:t>
      </w:r>
      <w:r>
        <w:rPr>
          <w:rFonts w:ascii="Arial" w:cs="Arial" w:eastAsia="Arial" w:hAnsi="Arial"/>
          <w:sz w:val="16"/>
          <w:szCs w:val="16"/>
          <w:color w:val="auto"/>
        </w:rPr>
        <w:t xml:space="preserve"> </w:t>
      </w:r>
      <w:r>
        <w:rPr>
          <w:rFonts w:ascii="Arial" w:cs="Arial" w:eastAsia="Arial" w:hAnsi="Arial"/>
          <w:sz w:val="16"/>
          <w:szCs w:val="16"/>
          <w:b w:val="1"/>
          <w:bCs w:val="1"/>
          <w:color w:val="auto"/>
        </w:rPr>
        <w:t>Date</w:t>
      </w:r>
      <w:r>
        <w:rPr>
          <w:rFonts w:ascii="Arial" w:cs="Arial" w:eastAsia="Arial" w:hAnsi="Arial"/>
          <w:sz w:val="16"/>
          <w:szCs w:val="16"/>
          <w:color w:val="auto"/>
        </w:rPr>
        <w:t>”).</w:t>
      </w:r>
    </w:p>
    <w:p>
      <w:pPr>
        <w:spacing w:after="0" w:line="138" w:lineRule="exact"/>
        <w:rPr>
          <w:sz w:val="20"/>
          <w:szCs w:val="20"/>
          <w:color w:val="auto"/>
        </w:rPr>
      </w:pPr>
    </w:p>
    <w:p>
      <w:pPr>
        <w:jc w:val="both"/>
        <w:ind w:left="20" w:firstLine="559"/>
        <w:spacing w:after="0" w:line="213" w:lineRule="auto"/>
        <w:tabs>
          <w:tab w:leader="none" w:pos="1095" w:val="left"/>
        </w:tabs>
        <w:numPr>
          <w:ilvl w:val="0"/>
          <w:numId w:val="120"/>
        </w:numPr>
        <w:rPr>
          <w:rFonts w:ascii="Arial" w:cs="Arial" w:eastAsia="Arial" w:hAnsi="Arial"/>
          <w:sz w:val="17"/>
          <w:szCs w:val="17"/>
          <w:color w:val="auto"/>
        </w:rPr>
      </w:pPr>
      <w:r>
        <w:rPr>
          <w:rFonts w:ascii="Arial" w:cs="Arial" w:eastAsia="Arial" w:hAnsi="Arial"/>
          <w:sz w:val="17"/>
          <w:szCs w:val="17"/>
          <w:color w:val="auto"/>
        </w:rPr>
        <w:t>Each relevant Term Lender receiving such offer shall notify the Auction Agent (or its delegate) by the Specified Discount Prepayment Response Date whether or not it agrees to accept a prepayment of any of its relevant then outstanding Term Loans at the Specified Discount and, if so (such accepting Term Lender, a “</w:t>
      </w:r>
      <w:r>
        <w:rPr>
          <w:rFonts w:ascii="Arial" w:cs="Arial" w:eastAsia="Arial" w:hAnsi="Arial"/>
          <w:sz w:val="17"/>
          <w:szCs w:val="17"/>
          <w:b w:val="1"/>
          <w:bCs w:val="1"/>
          <w:color w:val="auto"/>
        </w:rPr>
        <w:t>Discount Prepayment Accepting Lender</w:t>
      </w:r>
      <w:r>
        <w:rPr>
          <w:rFonts w:ascii="Arial" w:cs="Arial" w:eastAsia="Arial" w:hAnsi="Arial"/>
          <w:sz w:val="17"/>
          <w:szCs w:val="17"/>
          <w:color w:val="auto"/>
        </w:rPr>
        <w:t>”), the amount and the tranches of such Lender’s Term Loans to be prepaid at such offered discount. Each acceptance of a Discounted Term Loan Prepayment by a Discount Prepayment Accepting Lender shall be irrevocable. Any Term Lender whose Specified Discount Prepayment Response is not received by the Auction Agent by the Specified Discount Prepayment Response Date shall be deemed to have declined to accept the applicable Borrower Offer of Specified Discount Prepayment.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78</w:t>
      </w:r>
    </w:p>
    <w:p>
      <w:pPr>
        <w:sectPr>
          <w:pgSz w:w="11900" w:h="16838" w:orient="portrait"/>
          <w:cols w:equalWidth="0" w:num="1">
            <w:col w:w="10140"/>
          </w:cols>
          <w:pgMar w:left="1440" w:top="1440" w:right="319" w:bottom="1440" w:gutter="0" w:footer="0" w:header="0"/>
        </w:sectPr>
      </w:pPr>
    </w:p>
    <w:bookmarkStart w:id="252" w:name="page253"/>
    <w:bookmarkEnd w:id="252"/>
    <w:p>
      <w:pPr>
        <w:spacing w:after="0" w:line="390" w:lineRule="exact"/>
        <w:rPr>
          <w:sz w:val="20"/>
          <w:szCs w:val="20"/>
          <w:color w:val="auto"/>
        </w:rPr>
      </w:pPr>
    </w:p>
    <w:p>
      <w:pPr>
        <w:jc w:val="both"/>
        <w:ind w:left="20" w:firstLine="559"/>
        <w:spacing w:after="0" w:line="220" w:lineRule="auto"/>
        <w:tabs>
          <w:tab w:leader="none" w:pos="1027" w:val="left"/>
        </w:tabs>
        <w:numPr>
          <w:ilvl w:val="0"/>
          <w:numId w:val="121"/>
        </w:numPr>
        <w:rPr>
          <w:rFonts w:ascii="Arial" w:cs="Arial" w:eastAsia="Arial" w:hAnsi="Arial"/>
          <w:sz w:val="16"/>
          <w:szCs w:val="16"/>
          <w:color w:val="auto"/>
        </w:rPr>
      </w:pPr>
      <w:r>
        <w:rPr>
          <w:rFonts w:ascii="Arial" w:cs="Arial" w:eastAsia="Arial" w:hAnsi="Arial"/>
          <w:sz w:val="16"/>
          <w:szCs w:val="16"/>
          <w:color w:val="auto"/>
        </w:rPr>
        <w:t xml:space="preserve">If there is at least one Discount Prepayment Accepting Lender, the Borrower will make prepayment of outstanding Term Loans pursuant to this paragraph (B) to each Discount Prepayment Accepting Lender in accordance with the respective outstanding amount and tranches of Term Loans specified in such Lender’s Specified Discount Prepayment Response given pursuant to subsection (2) above;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aggregate principal amount of Term Loans accepted for prepayment by all Discount Prepayment Accepting Lenders exceeds the Specified Discount Prepayment Amount, such prepayment shall be made pro-rata among the Discount Prepayment Accepting Lenders in accordance with the respective principal amounts accepted to be prepaid by each such Discount Prepayment Accepting Lender and the Auction Agent (in consultation with the Borrower and subject to rounding requirements of the Auction Agent made in its reasonable discretion) will calculate such proration (the “</w:t>
      </w:r>
      <w:r>
        <w:rPr>
          <w:rFonts w:ascii="Arial" w:cs="Arial" w:eastAsia="Arial" w:hAnsi="Arial"/>
          <w:sz w:val="16"/>
          <w:szCs w:val="16"/>
          <w:b w:val="1"/>
          <w:bCs w:val="1"/>
          <w:color w:val="auto"/>
        </w:rPr>
        <w:t>Specified Discount Proration</w:t>
      </w:r>
      <w:r>
        <w:rPr>
          <w:rFonts w:ascii="Arial" w:cs="Arial" w:eastAsia="Arial" w:hAnsi="Arial"/>
          <w:sz w:val="16"/>
          <w:szCs w:val="16"/>
          <w:color w:val="auto"/>
        </w:rPr>
        <w:t>”). The Auction Agent shall promptly, and in any case within three (3) Business Days following the Specified Discount Prepayment Response Date, notify (I) the Borrower of the respective Term Lenders’ responses to such offer, the Discounted Prepayment Effective Date and the aggregate principal amount of the Discounted Term Loan Prepayment and the tranches to be prepaid, (II) each Term Lender who made a Solicited Discounted Prepayment Offer of the Discounted Prepayment Effective Date, and the aggregate principal amount and the tranches of Term Loans to be prepaid at the Specified Discount on such date and (III) each Discount Prepayment Accepting Lender of the Specified Discount Proration, if any, and confirmation of the principal amount, tranche and Type of Loans of such Lender to be prepaid at the Specified Discount on such date. Each determination by the Auction Agent of the amounts stated in the foregoing notices to the Borrower and Lenders shall be conclusive and binding for all purposes absent manifest error. The payment amount specified in such notice to the Borrower shall be due and payable by the Borrower on the Discounted Prepayment Effective Date in accordance with subsection (F) below (subject to subsection (J) below).</w:t>
      </w:r>
    </w:p>
    <w:p>
      <w:pPr>
        <w:spacing w:after="0" w:line="140" w:lineRule="exact"/>
        <w:rPr>
          <w:sz w:val="20"/>
          <w:szCs w:val="20"/>
          <w:color w:val="auto"/>
        </w:rPr>
      </w:pPr>
    </w:p>
    <w:p>
      <w:pPr>
        <w:jc w:val="both"/>
        <w:ind w:left="20" w:right="20" w:firstLine="559"/>
        <w:spacing w:after="0" w:line="225" w:lineRule="auto"/>
        <w:tabs>
          <w:tab w:leader="none" w:pos="1151" w:val="left"/>
        </w:tabs>
        <w:numPr>
          <w:ilvl w:val="1"/>
          <w:numId w:val="122"/>
        </w:numPr>
        <w:rPr>
          <w:rFonts w:ascii="Arial" w:cs="Arial" w:eastAsia="Arial" w:hAnsi="Arial"/>
          <w:sz w:val="16"/>
          <w:szCs w:val="16"/>
          <w:color w:val="auto"/>
        </w:rPr>
      </w:pPr>
      <w:r>
        <w:rPr>
          <w:rFonts w:ascii="Arial" w:cs="Arial" w:eastAsia="Arial" w:hAnsi="Arial"/>
          <w:sz w:val="16"/>
          <w:szCs w:val="16"/>
          <w:color w:val="auto"/>
        </w:rPr>
        <w:t xml:space="preserve">(1) Subject to the proviso to subsection (A) above, the Borrower may from time to time solicit Discount Range Prepayment Offers by providing the Auction Agent with three (3) Business Days’ notice in the form of a Discount Range Prepayment Notice;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w:t>
      </w:r>
    </w:p>
    <w:p>
      <w:pPr>
        <w:jc w:val="both"/>
        <w:ind w:left="20" w:hanging="9"/>
        <w:spacing w:after="0" w:line="222" w:lineRule="auto"/>
        <w:tabs>
          <w:tab w:leader="none" w:pos="249" w:val="left"/>
        </w:tabs>
        <w:numPr>
          <w:ilvl w:val="0"/>
          <w:numId w:val="123"/>
        </w:numPr>
        <w:rPr>
          <w:rFonts w:ascii="Arial" w:cs="Arial" w:eastAsia="Arial" w:hAnsi="Arial"/>
          <w:sz w:val="16"/>
          <w:szCs w:val="16"/>
          <w:color w:val="auto"/>
        </w:rPr>
      </w:pPr>
      <w:r>
        <w:rPr>
          <w:rFonts w:ascii="Arial" w:cs="Arial" w:eastAsia="Arial" w:hAnsi="Arial"/>
          <w:sz w:val="16"/>
          <w:szCs w:val="16"/>
          <w:color w:val="auto"/>
        </w:rPr>
        <w:t>any such solicitation shall be extended, at the sole discretion of the Borrower, to each Term Lender and/or each Lender with respect to any Class of Loans on an individual tranche basis, (II) any such notice shall specify the maximum aggregate principal amount of the relevant Term Loans (the “</w:t>
      </w:r>
      <w:r>
        <w:rPr>
          <w:rFonts w:ascii="Arial" w:cs="Arial" w:eastAsia="Arial" w:hAnsi="Arial"/>
          <w:sz w:val="16"/>
          <w:szCs w:val="16"/>
          <w:b w:val="1"/>
          <w:bCs w:val="1"/>
          <w:color w:val="auto"/>
        </w:rPr>
        <w:t>Discount Range Prepayment Amount</w:t>
      </w:r>
      <w:r>
        <w:rPr>
          <w:rFonts w:ascii="Arial" w:cs="Arial" w:eastAsia="Arial" w:hAnsi="Arial"/>
          <w:sz w:val="16"/>
          <w:szCs w:val="16"/>
          <w:color w:val="auto"/>
        </w:rPr>
        <w:t>”), the tranche or tranches of Term Loans subject to such offer and the maximum and minimum percentage discounts to par (the “</w:t>
      </w:r>
      <w:r>
        <w:rPr>
          <w:rFonts w:ascii="Arial" w:cs="Arial" w:eastAsia="Arial" w:hAnsi="Arial"/>
          <w:sz w:val="16"/>
          <w:szCs w:val="16"/>
          <w:b w:val="1"/>
          <w:bCs w:val="1"/>
          <w:color w:val="auto"/>
        </w:rPr>
        <w:t>Discount Range</w:t>
      </w:r>
      <w:r>
        <w:rPr>
          <w:rFonts w:ascii="Arial" w:cs="Arial" w:eastAsia="Arial" w:hAnsi="Arial"/>
          <w:sz w:val="16"/>
          <w:szCs w:val="16"/>
          <w:color w:val="auto"/>
        </w:rPr>
        <w:t>”) of the principal amount of such Term Loans with respect to each relevant tranche of Term Loans willing to be prepaid by the Borrower (it being understood that different Discount Ranges and/or Discount Range Prepayment Amounts may be offered with respect to different tranches of Term Loans and, in such an event, each such offer will be treated as a separate offer pursuant to the terms of this Section 2.09), (III) the Discount Range Prepayment Amount shall be in an aggregate amount not less than $1,000,000 and whole increments of $500,000 in excess thereof and (IV) each such solicitation by the Borrower shall remain outstanding through the Discount Range Prepayment Response Date. The Auction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79</w:t>
      </w:r>
    </w:p>
    <w:p>
      <w:pPr>
        <w:sectPr>
          <w:pgSz w:w="11900" w:h="16838" w:orient="portrait"/>
          <w:cols w:equalWidth="0" w:num="1">
            <w:col w:w="10140"/>
          </w:cols>
          <w:pgMar w:left="1440" w:top="1440" w:right="319" w:bottom="1440" w:gutter="0" w:footer="0" w:header="0"/>
        </w:sectPr>
      </w:pPr>
    </w:p>
    <w:bookmarkStart w:id="253" w:name="page254"/>
    <w:bookmarkEnd w:id="253"/>
    <w:p>
      <w:pPr>
        <w:spacing w:after="0" w:line="390" w:lineRule="exact"/>
        <w:rPr>
          <w:sz w:val="20"/>
          <w:szCs w:val="20"/>
          <w:color w:val="auto"/>
        </w:rPr>
      </w:pPr>
    </w:p>
    <w:p>
      <w:pPr>
        <w:jc w:val="both"/>
        <w:ind w:left="20"/>
        <w:spacing w:after="0" w:line="239" w:lineRule="auto"/>
        <w:rPr>
          <w:sz w:val="20"/>
          <w:szCs w:val="20"/>
          <w:color w:val="auto"/>
        </w:rPr>
      </w:pPr>
      <w:r>
        <w:rPr>
          <w:rFonts w:ascii="Arial" w:cs="Arial" w:eastAsia="Arial" w:hAnsi="Arial"/>
          <w:sz w:val="15"/>
          <w:szCs w:val="15"/>
          <w:color w:val="auto"/>
        </w:rPr>
        <w:t>Agent will promptly provide each relevant Term Lender with a copy of such Discount Range Prepayment Notice and a form of the Discount Range Prepayment Offer to be submitted by a responding relevant Term Lender to the Auction Agent (or its delegate) by no later than 5:00 p.m., New York City time, on the third Business Day after the date of delivery of such notice to the relevant Term Lenders (the “</w:t>
      </w:r>
      <w:r>
        <w:rPr>
          <w:rFonts w:ascii="Arial" w:cs="Arial" w:eastAsia="Arial" w:hAnsi="Arial"/>
          <w:sz w:val="15"/>
          <w:szCs w:val="15"/>
          <w:b w:val="1"/>
          <w:bCs w:val="1"/>
          <w:color w:val="auto"/>
        </w:rPr>
        <w:t>Discount Range</w:t>
      </w:r>
      <w:r>
        <w:rPr>
          <w:rFonts w:ascii="Arial" w:cs="Arial" w:eastAsia="Arial" w:hAnsi="Arial"/>
          <w:sz w:val="15"/>
          <w:szCs w:val="15"/>
          <w:color w:val="auto"/>
        </w:rPr>
        <w:t xml:space="preserve"> </w:t>
      </w:r>
      <w:r>
        <w:rPr>
          <w:rFonts w:ascii="Arial" w:cs="Arial" w:eastAsia="Arial" w:hAnsi="Arial"/>
          <w:sz w:val="15"/>
          <w:szCs w:val="15"/>
          <w:b w:val="1"/>
          <w:bCs w:val="1"/>
          <w:color w:val="auto"/>
        </w:rPr>
        <w:t>Prepayment Response Date</w:t>
      </w:r>
      <w:r>
        <w:rPr>
          <w:rFonts w:ascii="Arial" w:cs="Arial" w:eastAsia="Arial" w:hAnsi="Arial"/>
          <w:sz w:val="15"/>
          <w:szCs w:val="15"/>
          <w:color w:val="auto"/>
        </w:rPr>
        <w:t>”). Each relevant Term Lender’s Discount Range Prepayment Offer shall be irrevocable and shall specify a discount</w:t>
      </w:r>
      <w:r>
        <w:rPr>
          <w:rFonts w:ascii="Arial" w:cs="Arial" w:eastAsia="Arial" w:hAnsi="Arial"/>
          <w:sz w:val="15"/>
          <w:szCs w:val="15"/>
          <w:b w:val="1"/>
          <w:bCs w:val="1"/>
          <w:color w:val="auto"/>
        </w:rPr>
        <w:t xml:space="preserve"> </w:t>
      </w:r>
      <w:r>
        <w:rPr>
          <w:rFonts w:ascii="Arial" w:cs="Arial" w:eastAsia="Arial" w:hAnsi="Arial"/>
          <w:sz w:val="15"/>
          <w:szCs w:val="15"/>
          <w:color w:val="auto"/>
        </w:rPr>
        <w:t>to par within the Discount Range (the “</w:t>
      </w:r>
      <w:r>
        <w:rPr>
          <w:rFonts w:ascii="Arial" w:cs="Arial" w:eastAsia="Arial" w:hAnsi="Arial"/>
          <w:sz w:val="15"/>
          <w:szCs w:val="15"/>
          <w:b w:val="1"/>
          <w:bCs w:val="1"/>
          <w:color w:val="auto"/>
        </w:rPr>
        <w:t>Submitted Discount</w:t>
      </w:r>
      <w:r>
        <w:rPr>
          <w:rFonts w:ascii="Arial" w:cs="Arial" w:eastAsia="Arial" w:hAnsi="Arial"/>
          <w:sz w:val="15"/>
          <w:szCs w:val="15"/>
          <w:color w:val="auto"/>
        </w:rPr>
        <w:t>”) at which such Term Lender is willing to allow prepayment of any or all of its then outstanding Term Loans of the applicable tranche or tranches and the maximum aggregate principal amount and tranches of such Lender’s Term Loans (the “</w:t>
      </w:r>
      <w:r>
        <w:rPr>
          <w:rFonts w:ascii="Arial" w:cs="Arial" w:eastAsia="Arial" w:hAnsi="Arial"/>
          <w:sz w:val="15"/>
          <w:szCs w:val="15"/>
          <w:b w:val="1"/>
          <w:bCs w:val="1"/>
          <w:color w:val="auto"/>
        </w:rPr>
        <w:t>Submitted Amount</w:t>
      </w:r>
      <w:r>
        <w:rPr>
          <w:rFonts w:ascii="Arial" w:cs="Arial" w:eastAsia="Arial" w:hAnsi="Arial"/>
          <w:sz w:val="15"/>
          <w:szCs w:val="15"/>
          <w:color w:val="auto"/>
        </w:rPr>
        <w:t>”) such Lender is willing to have prepaid at the Submitted Discount. Any Term Lender whose Discount Range Prepayment Offer is not received by the Auction Agent by the Discount Range Prepayment Response Date shall be deemed to have declined to accept a Discounted Term Loan Prepayment of any of its Term Loans at any discount to their par value within the Discount Range.</w:t>
      </w:r>
    </w:p>
    <w:p>
      <w:pPr>
        <w:spacing w:after="0" w:line="135" w:lineRule="exact"/>
        <w:rPr>
          <w:sz w:val="20"/>
          <w:szCs w:val="20"/>
          <w:color w:val="auto"/>
        </w:rPr>
      </w:pPr>
    </w:p>
    <w:p>
      <w:pPr>
        <w:jc w:val="both"/>
        <w:ind w:left="20" w:firstLine="559"/>
        <w:spacing w:after="0" w:line="222" w:lineRule="auto"/>
        <w:tabs>
          <w:tab w:leader="none" w:pos="1062"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The Auction Agent shall review all Discount Range Prepayment Offers received on or before the applicable Discount Range Prepayment Response Date and shall determine (in consultation with the Borrower and subject to rounding requirements of the Auction Agent made in its sole reasonable discretion) the Applicable Discount and Term Loans to be prepaid at such Applicable Discount in accordance with this subsection (C). The Borrower agrees to accept on the Discount Range Prepayment Response Date all Discount Range Prepayment Offers received by the Auction Agent by the Discount Range Prepayment Response Date, in the order from the Submitted Discount that is the largest discount to par to the Submitted Discount that is the smallest discount to par, up to and including the Submitted Discount that is the smallest discount to par within the Discount Range (such Submitted Discount that is the smallest discount to par within the Discount Range being referred to as the “</w:t>
      </w:r>
      <w:r>
        <w:rPr>
          <w:rFonts w:ascii="Arial" w:cs="Arial" w:eastAsia="Arial" w:hAnsi="Arial"/>
          <w:sz w:val="16"/>
          <w:szCs w:val="16"/>
          <w:b w:val="1"/>
          <w:bCs w:val="1"/>
          <w:color w:val="auto"/>
        </w:rPr>
        <w:t>Applicable Discount</w:t>
      </w:r>
      <w:r>
        <w:rPr>
          <w:rFonts w:ascii="Arial" w:cs="Arial" w:eastAsia="Arial" w:hAnsi="Arial"/>
          <w:sz w:val="16"/>
          <w:szCs w:val="16"/>
          <w:color w:val="auto"/>
        </w:rPr>
        <w:t>”) which yields a Discounted Term Loan Prepayment in an aggregate principal amount equal to the lower of (I) the Discount Range Prepayment Amount and (II) the sum of all Submitted Amounts. Each Lender that has submitted a Discount Range Prepayment Offer to accept prepayment at a discount to par that is larger than or equal to the Applicable Discount shall be deemed to have irrevocably consented to prepayment of Term Loans equal to its Submitted Amount (subject to any required proration pursuant to the following subsection (3)) at the Applicable Discount (each such Lender, a “</w:t>
      </w:r>
      <w:r>
        <w:rPr>
          <w:rFonts w:ascii="Arial" w:cs="Arial" w:eastAsia="Arial" w:hAnsi="Arial"/>
          <w:sz w:val="16"/>
          <w:szCs w:val="16"/>
          <w:b w:val="1"/>
          <w:bCs w:val="1"/>
          <w:color w:val="auto"/>
        </w:rPr>
        <w:t>Participating Lender</w:t>
      </w:r>
      <w:r>
        <w:rPr>
          <w:rFonts w:ascii="Arial" w:cs="Arial" w:eastAsia="Arial" w:hAnsi="Arial"/>
          <w:sz w:val="16"/>
          <w:szCs w:val="16"/>
          <w:color w:val="auto"/>
        </w:rPr>
        <w:t>”).</w:t>
      </w:r>
    </w:p>
    <w:p>
      <w:pPr>
        <w:spacing w:after="0" w:line="136" w:lineRule="exact"/>
        <w:rPr>
          <w:rFonts w:ascii="Arial" w:cs="Arial" w:eastAsia="Arial" w:hAnsi="Arial"/>
          <w:sz w:val="16"/>
          <w:szCs w:val="16"/>
          <w:color w:val="auto"/>
        </w:rPr>
      </w:pPr>
    </w:p>
    <w:p>
      <w:pPr>
        <w:jc w:val="both"/>
        <w:ind w:left="20" w:firstLine="559"/>
        <w:spacing w:after="0" w:line="228" w:lineRule="auto"/>
        <w:tabs>
          <w:tab w:leader="none" w:pos="995" w:val="left"/>
        </w:tabs>
        <w:numPr>
          <w:ilvl w:val="0"/>
          <w:numId w:val="124"/>
        </w:numPr>
        <w:rPr>
          <w:rFonts w:ascii="Arial" w:cs="Arial" w:eastAsia="Arial" w:hAnsi="Arial"/>
          <w:sz w:val="16"/>
          <w:szCs w:val="16"/>
          <w:color w:val="auto"/>
        </w:rPr>
      </w:pPr>
      <w:r>
        <w:rPr>
          <w:rFonts w:ascii="Arial" w:cs="Arial" w:eastAsia="Arial" w:hAnsi="Arial"/>
          <w:sz w:val="16"/>
          <w:szCs w:val="16"/>
          <w:color w:val="auto"/>
        </w:rPr>
        <w:t xml:space="preserve">If there is at least one Participating Lender, the Borrower will prepay the respective outstanding Term Loans of each Participating Lender in the aggregate principal amount and of the tranches specified in such Lender’s Discount Range Prepayment Offer at the Applicable Discount;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Submitted Amount by all Participating Lenders offered at a discount to par greater than the Applicable Discount exceeds the Discount Range Prepayment Amount, prepayment of the principal amount of the relevant Term Loans for those Participating Lenders whose Submitted Discount is a discount to par greater than or equal to the Applicable Discount (the “</w:t>
      </w:r>
      <w:r>
        <w:rPr>
          <w:rFonts w:ascii="Arial" w:cs="Arial" w:eastAsia="Arial" w:hAnsi="Arial"/>
          <w:sz w:val="16"/>
          <w:szCs w:val="16"/>
          <w:b w:val="1"/>
          <w:bCs w:val="1"/>
          <w:color w:val="auto"/>
        </w:rPr>
        <w:t>Identified Participating</w:t>
      </w:r>
      <w:r>
        <w:rPr>
          <w:rFonts w:ascii="Arial" w:cs="Arial" w:eastAsia="Arial" w:hAnsi="Arial"/>
          <w:sz w:val="16"/>
          <w:szCs w:val="16"/>
          <w:color w:val="auto"/>
        </w:rPr>
        <w:t xml:space="preserve"> </w:t>
      </w:r>
      <w:r>
        <w:rPr>
          <w:rFonts w:ascii="Arial" w:cs="Arial" w:eastAsia="Arial" w:hAnsi="Arial"/>
          <w:sz w:val="16"/>
          <w:szCs w:val="16"/>
          <w:b w:val="1"/>
          <w:bCs w:val="1"/>
          <w:color w:val="auto"/>
        </w:rPr>
        <w:t>Lenders</w:t>
      </w:r>
      <w:r>
        <w:rPr>
          <w:rFonts w:ascii="Arial" w:cs="Arial" w:eastAsia="Arial" w:hAnsi="Arial"/>
          <w:sz w:val="16"/>
          <w:szCs w:val="16"/>
          <w:color w:val="auto"/>
        </w:rPr>
        <w:t>”) shall be made pro-rata among the Identified Participating Lenders in accordance with the Submitted Amount of each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80</w:t>
      </w:r>
    </w:p>
    <w:p>
      <w:pPr>
        <w:sectPr>
          <w:pgSz w:w="11900" w:h="16838" w:orient="portrait"/>
          <w:cols w:equalWidth="0" w:num="1">
            <w:col w:w="10140"/>
          </w:cols>
          <w:pgMar w:left="1440" w:top="1440" w:right="319" w:bottom="1440" w:gutter="0" w:footer="0" w:header="0"/>
        </w:sectPr>
      </w:pPr>
    </w:p>
    <w:bookmarkStart w:id="254" w:name="page255"/>
    <w:bookmarkEnd w:id="254"/>
    <w:p>
      <w:pPr>
        <w:spacing w:after="0" w:line="390" w:lineRule="exact"/>
        <w:rPr>
          <w:sz w:val="20"/>
          <w:szCs w:val="20"/>
          <w:color w:val="auto"/>
        </w:rPr>
      </w:pPr>
    </w:p>
    <w:p>
      <w:pPr>
        <w:jc w:val="both"/>
        <w:ind w:left="20"/>
        <w:spacing w:after="0" w:line="222" w:lineRule="auto"/>
        <w:rPr>
          <w:sz w:val="20"/>
          <w:szCs w:val="20"/>
          <w:color w:val="auto"/>
        </w:rPr>
      </w:pPr>
      <w:r>
        <w:rPr>
          <w:rFonts w:ascii="Arial" w:cs="Arial" w:eastAsia="Arial" w:hAnsi="Arial"/>
          <w:sz w:val="16"/>
          <w:szCs w:val="16"/>
          <w:color w:val="auto"/>
        </w:rPr>
        <w:t>Identified Participating Lender and the Auction Agent (in consultation with the Borrower and subject to rounding requirements of the Auction Agent made in its sole reasonable discretion) will calculate such proration (the “</w:t>
      </w:r>
      <w:r>
        <w:rPr>
          <w:rFonts w:ascii="Arial" w:cs="Arial" w:eastAsia="Arial" w:hAnsi="Arial"/>
          <w:sz w:val="16"/>
          <w:szCs w:val="16"/>
          <w:b w:val="1"/>
          <w:bCs w:val="1"/>
          <w:color w:val="auto"/>
        </w:rPr>
        <w:t>Discount Range Proration</w:t>
      </w:r>
      <w:r>
        <w:rPr>
          <w:rFonts w:ascii="Arial" w:cs="Arial" w:eastAsia="Arial" w:hAnsi="Arial"/>
          <w:sz w:val="16"/>
          <w:szCs w:val="16"/>
          <w:color w:val="auto"/>
        </w:rPr>
        <w:t>”). The Auction Agent shall promptly, and in any case within five (5) Business Days following the Discount Range Prepayment Response Date, notify (I) the Borrower of the respective Term Lenders’ responses to such solicitation, the Discounted Prepayment Effective Date, the Applicable Discount, and the aggregate principal amount of the Discounted Term Loan Prepayment and the tranches to be prepaid, (II) each Term Lender of the Discounted Prepayment Effective Date, the Applicable Discount, and the aggregate principal amount and tranches of Term Loans to be prepaid at the Applicable Discount on such date, (III) each Participating Lender of the aggregate principal amount and tranches of such Lender to be prepaid at the Applicable Discount on such date, and (IV) if applicable, each Identified Participating Lender of the Discount Range Proration. Each determination by the Auction Agent of the amounts stated in the foregoing notices to the Borrower and Lenders shall be conclusive and binding for all purposes absent manifest error. The payment amount specified in such notice to the Borrower shall be due and payable by such Borrower on the Discounted Prepayment Effective Date in accordance with subsection (F) below (subject to subsection (J) below).</w:t>
      </w:r>
    </w:p>
    <w:p>
      <w:pPr>
        <w:spacing w:after="0" w:line="141" w:lineRule="exact"/>
        <w:rPr>
          <w:sz w:val="20"/>
          <w:szCs w:val="20"/>
          <w:color w:val="auto"/>
        </w:rPr>
      </w:pPr>
    </w:p>
    <w:p>
      <w:pPr>
        <w:jc w:val="both"/>
        <w:ind w:left="20" w:firstLine="559"/>
        <w:spacing w:after="0" w:line="220" w:lineRule="auto"/>
        <w:tabs>
          <w:tab w:leader="none" w:pos="1149" w:val="left"/>
        </w:tabs>
        <w:numPr>
          <w:ilvl w:val="0"/>
          <w:numId w:val="125"/>
        </w:numPr>
        <w:rPr>
          <w:rFonts w:ascii="Arial" w:cs="Arial" w:eastAsia="Arial" w:hAnsi="Arial"/>
          <w:sz w:val="16"/>
          <w:szCs w:val="16"/>
          <w:color w:val="auto"/>
        </w:rPr>
      </w:pPr>
      <w:r>
        <w:rPr>
          <w:rFonts w:ascii="Arial" w:cs="Arial" w:eastAsia="Arial" w:hAnsi="Arial"/>
          <w:sz w:val="16"/>
          <w:szCs w:val="16"/>
          <w:color w:val="auto"/>
        </w:rPr>
        <w:t xml:space="preserve">(1) Subject to the proviso to subsection (A) above, the Borrower may from time to time solicit Solicited Discounted Prepayment Offers by providing the Auction Agent with three (3) Business Days’ notice in the form of a Solicited Discounted Prepayment Notice;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any such solicitation shall be extended, at the sole discretion of the Borrower, to each Term Lender and/or each Lender with respect to any Class of Term Loans on an individual tranche basis, (II) any such notice shall specify the maximum aggregate dollar amount of the Term Loans (the “</w:t>
      </w:r>
      <w:r>
        <w:rPr>
          <w:rFonts w:ascii="Arial" w:cs="Arial" w:eastAsia="Arial" w:hAnsi="Arial"/>
          <w:sz w:val="16"/>
          <w:szCs w:val="16"/>
          <w:b w:val="1"/>
          <w:bCs w:val="1"/>
          <w:color w:val="auto"/>
        </w:rPr>
        <w:t>Solicited Discounted Prepayment Amount</w:t>
      </w:r>
      <w:r>
        <w:rPr>
          <w:rFonts w:ascii="Arial" w:cs="Arial" w:eastAsia="Arial" w:hAnsi="Arial"/>
          <w:sz w:val="16"/>
          <w:szCs w:val="16"/>
          <w:color w:val="auto"/>
        </w:rPr>
        <w:t>”) and the tranche or tranches of Term Loans the Borrower is willing to prepay at a discount (it being understood that different Solicited Discounted Prepayment Amounts may be offered with respect to different tranches of Term Loans and, in such an event, each such offer will be treated as a separate offer pursuant to the terms of this Section 2.09), (III) the Solicited Discounted Prepayment Amount shall be in an aggregate amount not less than $1,000,000 and whole increments of $500,000 in excess thereof and (IV) each such solicitation by the Borrower shall remain outstanding through the Solicited Discounted Prepayment Response Date. The Auction Agent will promptly provide each relevant Term Lender with a copy of such Solicited Discounted Prepayment Notice and a form of the Solicited Discounted Prepayment Offer to be submitted by a responding Term Lender to the Auction Agent (or its delegate) by no later than 5:00 p.m., New York City time, on the third Business Day after the date of delivery of such notice to the relevant Term Lenders (the “</w:t>
      </w:r>
      <w:r>
        <w:rPr>
          <w:rFonts w:ascii="Arial" w:cs="Arial" w:eastAsia="Arial" w:hAnsi="Arial"/>
          <w:sz w:val="16"/>
          <w:szCs w:val="16"/>
          <w:b w:val="1"/>
          <w:bCs w:val="1"/>
          <w:color w:val="auto"/>
        </w:rPr>
        <w:t>Solicited</w:t>
      </w:r>
      <w:r>
        <w:rPr>
          <w:rFonts w:ascii="Arial" w:cs="Arial" w:eastAsia="Arial" w:hAnsi="Arial"/>
          <w:sz w:val="16"/>
          <w:szCs w:val="16"/>
          <w:color w:val="auto"/>
        </w:rPr>
        <w:t xml:space="preserve"> </w:t>
      </w:r>
      <w:r>
        <w:rPr>
          <w:rFonts w:ascii="Arial" w:cs="Arial" w:eastAsia="Arial" w:hAnsi="Arial"/>
          <w:sz w:val="16"/>
          <w:szCs w:val="16"/>
          <w:b w:val="1"/>
          <w:bCs w:val="1"/>
          <w:color w:val="auto"/>
        </w:rPr>
        <w:t>Discounted Prepayment Response Date</w:t>
      </w:r>
      <w:r>
        <w:rPr>
          <w:rFonts w:ascii="Arial" w:cs="Arial" w:eastAsia="Arial" w:hAnsi="Arial"/>
          <w:sz w:val="16"/>
          <w:szCs w:val="16"/>
          <w:color w:val="auto"/>
        </w:rPr>
        <w:t>”). Each Term Lender’s Solicited Discounted Prepayment Offer shall (x) be irrevocable, (y) remain</w:t>
      </w:r>
      <w:r>
        <w:rPr>
          <w:rFonts w:ascii="Arial" w:cs="Arial" w:eastAsia="Arial" w:hAnsi="Arial"/>
          <w:sz w:val="16"/>
          <w:szCs w:val="16"/>
          <w:b w:val="1"/>
          <w:bCs w:val="1"/>
          <w:color w:val="auto"/>
        </w:rPr>
        <w:t xml:space="preserve"> </w:t>
      </w:r>
      <w:r>
        <w:rPr>
          <w:rFonts w:ascii="Arial" w:cs="Arial" w:eastAsia="Arial" w:hAnsi="Arial"/>
          <w:sz w:val="16"/>
          <w:szCs w:val="16"/>
          <w:color w:val="auto"/>
        </w:rPr>
        <w:t>outstanding until the Acceptance Date, and (z) specify both a discount to par (the “</w:t>
      </w:r>
      <w:r>
        <w:rPr>
          <w:rFonts w:ascii="Arial" w:cs="Arial" w:eastAsia="Arial" w:hAnsi="Arial"/>
          <w:sz w:val="16"/>
          <w:szCs w:val="16"/>
          <w:b w:val="1"/>
          <w:bCs w:val="1"/>
          <w:color w:val="auto"/>
        </w:rPr>
        <w:t>Offered Discount</w:t>
      </w:r>
      <w:r>
        <w:rPr>
          <w:rFonts w:ascii="Arial" w:cs="Arial" w:eastAsia="Arial" w:hAnsi="Arial"/>
          <w:sz w:val="16"/>
          <w:szCs w:val="16"/>
          <w:color w:val="auto"/>
        </w:rPr>
        <w:t>”) at which such Term Lender is willing to allow prepayment of its then outstanding Term Loan and the maximum aggregate principal amount and tranches of such Term Loans (the “</w:t>
      </w:r>
      <w:r>
        <w:rPr>
          <w:rFonts w:ascii="Arial" w:cs="Arial" w:eastAsia="Arial" w:hAnsi="Arial"/>
          <w:sz w:val="16"/>
          <w:szCs w:val="16"/>
          <w:b w:val="1"/>
          <w:bCs w:val="1"/>
          <w:color w:val="auto"/>
        </w:rPr>
        <w:t>Offered Amount</w:t>
      </w:r>
      <w:r>
        <w:rPr>
          <w:rFonts w:ascii="Arial" w:cs="Arial" w:eastAsia="Arial" w:hAnsi="Arial"/>
          <w:sz w:val="16"/>
          <w:szCs w:val="16"/>
          <w:color w:val="auto"/>
        </w:rPr>
        <w:t>”) such Lender is willing to have prepaid at the Offered Discount. Any Term Lender whose Solicited Discounted Prepayment Offer is not received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81</w:t>
      </w:r>
    </w:p>
    <w:p>
      <w:pPr>
        <w:sectPr>
          <w:pgSz w:w="11900" w:h="16838" w:orient="portrait"/>
          <w:cols w:equalWidth="0" w:num="1">
            <w:col w:w="10140"/>
          </w:cols>
          <w:pgMar w:left="1440" w:top="1440" w:right="319" w:bottom="1440" w:gutter="0" w:footer="0" w:header="0"/>
        </w:sectPr>
      </w:pPr>
    </w:p>
    <w:bookmarkStart w:id="255" w:name="page256"/>
    <w:bookmarkEnd w:id="255"/>
    <w:p>
      <w:pPr>
        <w:spacing w:after="0" w:line="390" w:lineRule="exact"/>
        <w:rPr>
          <w:sz w:val="20"/>
          <w:szCs w:val="20"/>
          <w:color w:val="auto"/>
        </w:rPr>
      </w:pPr>
    </w:p>
    <w:p>
      <w:pPr>
        <w:ind w:left="20" w:right="20"/>
        <w:spacing w:after="0" w:line="237" w:lineRule="auto"/>
        <w:rPr>
          <w:sz w:val="20"/>
          <w:szCs w:val="20"/>
          <w:color w:val="auto"/>
        </w:rPr>
      </w:pPr>
      <w:r>
        <w:rPr>
          <w:rFonts w:ascii="Arial" w:cs="Arial" w:eastAsia="Arial" w:hAnsi="Arial"/>
          <w:sz w:val="17"/>
          <w:szCs w:val="17"/>
          <w:color w:val="auto"/>
        </w:rPr>
        <w:t>Auction Agent by the Solicited Discounted Prepayment Response Date shall be deemed to have declined prepayment of any of its Term Loans at any discount.</w:t>
      </w:r>
    </w:p>
    <w:p>
      <w:pPr>
        <w:spacing w:after="0" w:line="135" w:lineRule="exact"/>
        <w:rPr>
          <w:sz w:val="20"/>
          <w:szCs w:val="20"/>
          <w:color w:val="auto"/>
        </w:rPr>
      </w:pPr>
    </w:p>
    <w:p>
      <w:pPr>
        <w:jc w:val="both"/>
        <w:ind w:left="20" w:firstLine="559"/>
        <w:spacing w:after="0" w:line="224" w:lineRule="auto"/>
        <w:tabs>
          <w:tab w:leader="none" w:pos="979"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The Auction Agent shall promptly provide the Borrower with a copy of all Solicited Discounted Prepayment Offers received on or before the Solicited Discounted Prepayment Response Date. The Borrower shall review all such Solicited Discounted Prepayment Offers and select the largest of the Offered Discounts specified by the relevant responding Term Lenders in the Solicited Discounted Prepayment Offers that is acceptable to the Borrower (the “</w:t>
      </w:r>
      <w:r>
        <w:rPr>
          <w:rFonts w:ascii="Arial" w:cs="Arial" w:eastAsia="Arial" w:hAnsi="Arial"/>
          <w:sz w:val="16"/>
          <w:szCs w:val="16"/>
          <w:b w:val="1"/>
          <w:bCs w:val="1"/>
          <w:color w:val="auto"/>
        </w:rPr>
        <w:t>Acceptable Discount</w:t>
      </w:r>
      <w:r>
        <w:rPr>
          <w:rFonts w:ascii="Arial" w:cs="Arial" w:eastAsia="Arial" w:hAnsi="Arial"/>
          <w:sz w:val="16"/>
          <w:szCs w:val="16"/>
          <w:color w:val="auto"/>
        </w:rPr>
        <w:t>”), if any. If the Borrower elects to accept any Offered Discount as the Acceptable Discount, then as soon as practicable after the determination of the Acceptable Discount, but in no event later than the third Business Day after the date of receipt by the Borrower from the Auction Agent of a copy of all Solicited Discounted Prepayment Offers pursuant to the first sentence of this subsection (2) (the “</w:t>
      </w:r>
      <w:r>
        <w:rPr>
          <w:rFonts w:ascii="Arial" w:cs="Arial" w:eastAsia="Arial" w:hAnsi="Arial"/>
          <w:sz w:val="16"/>
          <w:szCs w:val="16"/>
          <w:b w:val="1"/>
          <w:bCs w:val="1"/>
          <w:color w:val="auto"/>
        </w:rPr>
        <w:t>Acceptance Date</w:t>
      </w:r>
      <w:r>
        <w:rPr>
          <w:rFonts w:ascii="Arial" w:cs="Arial" w:eastAsia="Arial" w:hAnsi="Arial"/>
          <w:sz w:val="16"/>
          <w:szCs w:val="16"/>
          <w:color w:val="auto"/>
        </w:rPr>
        <w:t>”), the Borrower shall submit an Acceptance and Prepayment Notice to the Auction Agent setting forth the Acceptable Discount. If the Auction Agent shall fail to receive an Acceptance and Prepayment Notice from the Borrower by the Acceptance Date, the Borrower shall be deemed to have rejected all Solicited Discounted Prepayment Offers.</w:t>
      </w:r>
    </w:p>
    <w:p>
      <w:pPr>
        <w:spacing w:after="0" w:line="135" w:lineRule="exact"/>
        <w:rPr>
          <w:rFonts w:ascii="Arial" w:cs="Arial" w:eastAsia="Arial" w:hAnsi="Arial"/>
          <w:sz w:val="16"/>
          <w:szCs w:val="16"/>
          <w:color w:val="auto"/>
        </w:rPr>
      </w:pPr>
    </w:p>
    <w:p>
      <w:pPr>
        <w:jc w:val="both"/>
        <w:ind w:left="20" w:firstLine="559"/>
        <w:spacing w:after="0" w:line="220" w:lineRule="auto"/>
        <w:tabs>
          <w:tab w:leader="none" w:pos="1072" w:val="left"/>
        </w:tabs>
        <w:numPr>
          <w:ilvl w:val="0"/>
          <w:numId w:val="126"/>
        </w:numPr>
        <w:rPr>
          <w:rFonts w:ascii="Arial" w:cs="Arial" w:eastAsia="Arial" w:hAnsi="Arial"/>
          <w:sz w:val="16"/>
          <w:szCs w:val="16"/>
          <w:color w:val="auto"/>
        </w:rPr>
      </w:pPr>
      <w:r>
        <w:rPr>
          <w:rFonts w:ascii="Arial" w:cs="Arial" w:eastAsia="Arial" w:hAnsi="Arial"/>
          <w:sz w:val="16"/>
          <w:szCs w:val="16"/>
          <w:color w:val="auto"/>
        </w:rPr>
        <w:t>Based upon the Acceptable Discount and the Solicited Discounted Prepayment Offers received by the Auction Agent by the Solicited Discounted Prepayment Response Date, within three (3) Business Days after receipt of an Acceptance and Prepayment Notice (the “</w:t>
      </w:r>
      <w:r>
        <w:rPr>
          <w:rFonts w:ascii="Arial" w:cs="Arial" w:eastAsia="Arial" w:hAnsi="Arial"/>
          <w:sz w:val="16"/>
          <w:szCs w:val="16"/>
          <w:b w:val="1"/>
          <w:bCs w:val="1"/>
          <w:color w:val="auto"/>
        </w:rPr>
        <w:t>Discounted Prepayment Determination Date</w:t>
      </w:r>
      <w:r>
        <w:rPr>
          <w:rFonts w:ascii="Arial" w:cs="Arial" w:eastAsia="Arial" w:hAnsi="Arial"/>
          <w:sz w:val="16"/>
          <w:szCs w:val="16"/>
          <w:color w:val="auto"/>
        </w:rPr>
        <w:t>”), the Auction Agent will determine (in consultation with the Borrower and subject to rounding requirements of the Auction Agent made in its sole reasonable discretion) the aggregate principal amount and the tranches of Term Loans (the “</w:t>
      </w:r>
      <w:r>
        <w:rPr>
          <w:rFonts w:ascii="Arial" w:cs="Arial" w:eastAsia="Arial" w:hAnsi="Arial"/>
          <w:sz w:val="16"/>
          <w:szCs w:val="16"/>
          <w:b w:val="1"/>
          <w:bCs w:val="1"/>
          <w:color w:val="auto"/>
        </w:rPr>
        <w:t>Acceptable Prepayment Amount</w:t>
      </w:r>
      <w:r>
        <w:rPr>
          <w:rFonts w:ascii="Arial" w:cs="Arial" w:eastAsia="Arial" w:hAnsi="Arial"/>
          <w:sz w:val="16"/>
          <w:szCs w:val="16"/>
          <w:color w:val="auto"/>
        </w:rPr>
        <w:t>”) to be prepaid by the Borrower at the Acceptable Discount in accordance with this Section 2.09(a)(ii)(D). If the Borrower elects to accept any Acceptable Discount, then the Borrower agrees to accept all Solicited Discounted Prepayment Offers received by Auction Agent by the Solicited Discounted Prepayment Response Date, in the order from largest Offered Discount to smallest Offered Discount, up to and including the Acceptable Discount. Each Lender that has submitted a Solicited Discounted Prepayment Offer with an Offered Discount that is greater than or equal to the Acceptable Discount shall be deemed to have irrevocably consented to prepayment of Term Loans equal to its Offered Amount (subject to any required pro-rata reduction pursuant to the following sentence) at the Acceptable Discount (each such Lender, a “</w:t>
      </w:r>
      <w:r>
        <w:rPr>
          <w:rFonts w:ascii="Arial" w:cs="Arial" w:eastAsia="Arial" w:hAnsi="Arial"/>
          <w:sz w:val="16"/>
          <w:szCs w:val="16"/>
          <w:b w:val="1"/>
          <w:bCs w:val="1"/>
          <w:color w:val="auto"/>
        </w:rPr>
        <w:t>Qualifying Lender</w:t>
      </w:r>
      <w:r>
        <w:rPr>
          <w:rFonts w:ascii="Arial" w:cs="Arial" w:eastAsia="Arial" w:hAnsi="Arial"/>
          <w:sz w:val="16"/>
          <w:szCs w:val="16"/>
          <w:color w:val="auto"/>
        </w:rPr>
        <w:t xml:space="preserve">”). The Borrower will prepay outstanding Term Loans pursuant to this subsection (D) to each Qualifying Lender in the aggregate principal amount and of the tranches specified in such Lender’s Solicited Discounted Prepayment Offer at the Acceptable Discount;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aggregate Offered Amount by all Qualifying Lenders whose Offered Discount is greater than or equal to the Acceptable Discount exceeds the Solicited Discounted Prepayment Amount, prepayment of the principal amount of the Term Loans for those Qualifying Lenders whose Offered Discount is greater than or equal to the Acceptable Discount (the “</w:t>
      </w:r>
      <w:r>
        <w:rPr>
          <w:rFonts w:ascii="Arial" w:cs="Arial" w:eastAsia="Arial" w:hAnsi="Arial"/>
          <w:sz w:val="16"/>
          <w:szCs w:val="16"/>
          <w:b w:val="1"/>
          <w:bCs w:val="1"/>
          <w:color w:val="auto"/>
        </w:rPr>
        <w:t>Identified Qualifying Lenders</w:t>
      </w:r>
      <w:r>
        <w:rPr>
          <w:rFonts w:ascii="Arial" w:cs="Arial" w:eastAsia="Arial" w:hAnsi="Arial"/>
          <w:sz w:val="16"/>
          <w:szCs w:val="16"/>
          <w:color w:val="auto"/>
        </w:rPr>
        <w:t>”) shall be made pro-rata among the Identified Qualifying Lenders in accordance with the Offered Amount of each such Identified Qualifying Lender and the Auction Agent (in consultation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82</w:t>
      </w:r>
    </w:p>
    <w:p>
      <w:pPr>
        <w:sectPr>
          <w:pgSz w:w="11900" w:h="16838" w:orient="portrait"/>
          <w:cols w:equalWidth="0" w:num="1">
            <w:col w:w="10140"/>
          </w:cols>
          <w:pgMar w:left="1440" w:top="1440" w:right="319" w:bottom="1440" w:gutter="0" w:footer="0" w:header="0"/>
        </w:sectPr>
      </w:pPr>
    </w:p>
    <w:bookmarkStart w:id="256" w:name="page257"/>
    <w:bookmarkEnd w:id="256"/>
    <w:p>
      <w:pPr>
        <w:spacing w:after="0" w:line="390" w:lineRule="exact"/>
        <w:rPr>
          <w:sz w:val="20"/>
          <w:szCs w:val="20"/>
          <w:color w:val="auto"/>
        </w:rPr>
      </w:pPr>
    </w:p>
    <w:p>
      <w:pPr>
        <w:jc w:val="both"/>
        <w:ind w:left="20"/>
        <w:spacing w:after="0" w:line="223" w:lineRule="auto"/>
        <w:rPr>
          <w:sz w:val="20"/>
          <w:szCs w:val="20"/>
          <w:color w:val="auto"/>
        </w:rPr>
      </w:pPr>
      <w:r>
        <w:rPr>
          <w:rFonts w:ascii="Arial" w:cs="Arial" w:eastAsia="Arial" w:hAnsi="Arial"/>
          <w:sz w:val="16"/>
          <w:szCs w:val="16"/>
          <w:color w:val="auto"/>
        </w:rPr>
        <w:t>the Borrower and subject to rounding requirements of the Auction Agent made in its sole reasonable discretion) will calculate such proration (the “</w:t>
      </w:r>
      <w:r>
        <w:rPr>
          <w:rFonts w:ascii="Arial" w:cs="Arial" w:eastAsia="Arial" w:hAnsi="Arial"/>
          <w:sz w:val="16"/>
          <w:szCs w:val="16"/>
          <w:b w:val="1"/>
          <w:bCs w:val="1"/>
          <w:color w:val="auto"/>
        </w:rPr>
        <w:t>Solicited Discount Proration</w:t>
      </w:r>
      <w:r>
        <w:rPr>
          <w:rFonts w:ascii="Arial" w:cs="Arial" w:eastAsia="Arial" w:hAnsi="Arial"/>
          <w:sz w:val="16"/>
          <w:szCs w:val="16"/>
          <w:color w:val="auto"/>
        </w:rPr>
        <w:t>”). On or prior to the Discounted Prepayment Determination Date, the Auction Agent shall promptly notify (I) the Borrower of the Discounted Prepayment Effective Date and Acceptable Prepayment Amount comprising the Discounted Term Loan Prepayment and the tranches to be prepaid, (II) each Term Lender of the Discounted Prepayment Effective Date, the Acceptable Discount, and the Acceptable Prepayment Amount of all Term Loans and the tranches to be prepaid at the Applicable Discount on such date, (III) each Qualifying Lender of the aggregate principal amount and the tranches of such Lender to be prepaid at the Acceptable Discount on such date, and (IV) if applicable, each Identified Qualifying Lender of the Solicited Discount Proration. Each determination by the Auction Agent of the amounts stated in the foregoing notices to such Borrower and Lenders shall be conclusive and binding for all purposes absent manifest error. The payment amount specified in such notice to such Borrower shall be due and payable by such Borrower on the Discounted Prepayment Effective Date in accordance with subsection (F) below (subject to subsection (J) below).</w:t>
      </w:r>
    </w:p>
    <w:p>
      <w:pPr>
        <w:spacing w:after="0" w:line="137" w:lineRule="exact"/>
        <w:rPr>
          <w:sz w:val="20"/>
          <w:szCs w:val="20"/>
          <w:color w:val="auto"/>
        </w:rPr>
      </w:pPr>
    </w:p>
    <w:p>
      <w:pPr>
        <w:jc w:val="both"/>
        <w:ind w:left="20" w:right="20" w:firstLine="559"/>
        <w:spacing w:after="0" w:line="225" w:lineRule="auto"/>
        <w:tabs>
          <w:tab w:leader="none" w:pos="1153" w:val="left"/>
        </w:tabs>
        <w:numPr>
          <w:ilvl w:val="0"/>
          <w:numId w:val="127"/>
        </w:numPr>
        <w:rPr>
          <w:rFonts w:ascii="Arial" w:cs="Arial" w:eastAsia="Arial" w:hAnsi="Arial"/>
          <w:sz w:val="17"/>
          <w:szCs w:val="17"/>
          <w:color w:val="auto"/>
        </w:rPr>
      </w:pPr>
      <w:r>
        <w:rPr>
          <w:rFonts w:ascii="Arial" w:cs="Arial" w:eastAsia="Arial" w:hAnsi="Arial"/>
          <w:sz w:val="17"/>
          <w:szCs w:val="17"/>
          <w:color w:val="auto"/>
        </w:rPr>
        <w:t>In connection with any Discounted Term Loan Prepayment, the Borrower and the Lenders acknowledge and agree that the Auction Agent may require as a condition to any Discounted Term Loan Prepayment, the payment of customary fees and expenses from the Borrower in connection therewith.</w:t>
      </w:r>
    </w:p>
    <w:p>
      <w:pPr>
        <w:spacing w:after="0" w:line="136" w:lineRule="exact"/>
        <w:rPr>
          <w:rFonts w:ascii="Arial" w:cs="Arial" w:eastAsia="Arial" w:hAnsi="Arial"/>
          <w:sz w:val="17"/>
          <w:szCs w:val="17"/>
          <w:color w:val="auto"/>
        </w:rPr>
      </w:pPr>
    </w:p>
    <w:p>
      <w:pPr>
        <w:jc w:val="both"/>
        <w:ind w:left="20" w:firstLine="559"/>
        <w:spacing w:after="0" w:line="209" w:lineRule="auto"/>
        <w:tabs>
          <w:tab w:leader="none" w:pos="1155" w:val="left"/>
        </w:tabs>
        <w:numPr>
          <w:ilvl w:val="0"/>
          <w:numId w:val="127"/>
        </w:numPr>
        <w:rPr>
          <w:rFonts w:ascii="Arial" w:cs="Arial" w:eastAsia="Arial" w:hAnsi="Arial"/>
          <w:sz w:val="17"/>
          <w:szCs w:val="17"/>
          <w:color w:val="auto"/>
        </w:rPr>
      </w:pPr>
      <w:r>
        <w:rPr>
          <w:rFonts w:ascii="Arial" w:cs="Arial" w:eastAsia="Arial" w:hAnsi="Arial"/>
          <w:sz w:val="17"/>
          <w:szCs w:val="17"/>
          <w:color w:val="auto"/>
        </w:rPr>
        <w:t>If any Term Loan is to be prepaid in accordance with paragraphs (B) through (D) above, the Borrower shall prepay such Term Loans on the Discounted Prepayment Effective Date. The Borrower shall make such prepayment to the Auction Agent, for the account of the Discount Prepayment Accepting Lenders, Participating Lenders, or Qualifying Lenders, as applicable, at the Administrative Agent’s office in immediately available funds not later than 11:00 a.m., New York City time, on the Discounted Prepayment Effective Date and all such prepayments shall be applied to the remaining principal installments of the relevant tranche of Term Loans on a pro rata basis across such installments. The Term Loans so prepaid shall be accompanied by all accrued and unpaid interest on the par principal amount so prepaid up to, but not including, the Discounted Prepayment Effective Date. Each prepayment of outstanding Term Loans pursuant to this Section 2.09(a)(ii) shall be paid to the Discount Prepayment Accepting Lenders, Participating Lenders, or Qualifying Lenders, as applicable. The aggregate principal amount of the tranches and installments of the relevant Term Loans outstanding shall be deemed reduced by the full par value of the aggregate principal amount of the tranches of Term Loans prepaid on the Discounted Prepayment Effective Date in any Discounted Term Loan Prepayment.</w:t>
      </w:r>
    </w:p>
    <w:p>
      <w:pPr>
        <w:spacing w:after="0" w:line="140" w:lineRule="exact"/>
        <w:rPr>
          <w:rFonts w:ascii="Arial" w:cs="Arial" w:eastAsia="Arial" w:hAnsi="Arial"/>
          <w:sz w:val="17"/>
          <w:szCs w:val="17"/>
          <w:color w:val="auto"/>
        </w:rPr>
      </w:pPr>
    </w:p>
    <w:p>
      <w:pPr>
        <w:jc w:val="both"/>
        <w:ind w:left="20" w:firstLine="559"/>
        <w:spacing w:after="0" w:line="225" w:lineRule="auto"/>
        <w:tabs>
          <w:tab w:leader="none" w:pos="1149"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To the extent not expressly provided for herein, each Discounted Term Loan Prepayment shall be consummated pursuant to procedures consistent with the provisions in this Section 2.09(a)(ii), established by the Auction Agent acting in its reasonable discretion and as reasonably agreed by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83</w:t>
      </w:r>
    </w:p>
    <w:p>
      <w:pPr>
        <w:sectPr>
          <w:pgSz w:w="11900" w:h="16838" w:orient="portrait"/>
          <w:cols w:equalWidth="0" w:num="1">
            <w:col w:w="10140"/>
          </w:cols>
          <w:pgMar w:left="1440" w:top="1440" w:right="319" w:bottom="1440" w:gutter="0" w:footer="0" w:header="0"/>
        </w:sectPr>
      </w:pPr>
    </w:p>
    <w:bookmarkStart w:id="257" w:name="page258"/>
    <w:bookmarkEnd w:id="257"/>
    <w:p>
      <w:pPr>
        <w:spacing w:after="0" w:line="390" w:lineRule="exact"/>
        <w:rPr>
          <w:sz w:val="20"/>
          <w:szCs w:val="20"/>
          <w:color w:val="auto"/>
        </w:rPr>
      </w:pPr>
    </w:p>
    <w:p>
      <w:pPr>
        <w:jc w:val="both"/>
        <w:ind w:left="1140" w:firstLine="559"/>
        <w:spacing w:after="0" w:line="216" w:lineRule="auto"/>
        <w:tabs>
          <w:tab w:leader="none" w:pos="2269" w:val="left"/>
        </w:tabs>
        <w:numPr>
          <w:ilvl w:val="1"/>
          <w:numId w:val="128"/>
        </w:numPr>
        <w:rPr>
          <w:rFonts w:ascii="Arial" w:cs="Arial" w:eastAsia="Arial" w:hAnsi="Arial"/>
          <w:sz w:val="17"/>
          <w:szCs w:val="17"/>
          <w:color w:val="auto"/>
        </w:rPr>
      </w:pPr>
      <w:r>
        <w:rPr>
          <w:rFonts w:ascii="Arial" w:cs="Arial" w:eastAsia="Arial" w:hAnsi="Arial"/>
          <w:sz w:val="17"/>
          <w:szCs w:val="17"/>
          <w:color w:val="auto"/>
        </w:rPr>
        <w:t xml:space="preserve">Notwithstanding anything in any Loan Document to the contrary, for purposes of this Section 2.09(a)(ii), each notice or other communication required to be delivered or otherwise provided to the Auction Agent (or its delegate) shall be deemed to have been given upon Auction Agent’s (or its delegate’s) actual receipt during normal business hours of such notice or communication;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notice or communication actually received outside of normal business hours shall be deemed to have been given as of the opening of business on the next Business Day.</w:t>
      </w:r>
    </w:p>
    <w:p>
      <w:pPr>
        <w:spacing w:after="0" w:line="138" w:lineRule="exact"/>
        <w:rPr>
          <w:rFonts w:ascii="Arial" w:cs="Arial" w:eastAsia="Arial" w:hAnsi="Arial"/>
          <w:sz w:val="17"/>
          <w:szCs w:val="17"/>
          <w:color w:val="auto"/>
        </w:rPr>
      </w:pPr>
    </w:p>
    <w:p>
      <w:pPr>
        <w:jc w:val="both"/>
        <w:ind w:left="1140" w:right="20" w:firstLine="559"/>
        <w:spacing w:after="0" w:line="230" w:lineRule="auto"/>
        <w:tabs>
          <w:tab w:leader="none" w:pos="2272" w:val="left"/>
        </w:tabs>
        <w:numPr>
          <w:ilvl w:val="1"/>
          <w:numId w:val="128"/>
        </w:numPr>
        <w:rPr>
          <w:rFonts w:ascii="Arial" w:cs="Arial" w:eastAsia="Arial" w:hAnsi="Arial"/>
          <w:sz w:val="16"/>
          <w:szCs w:val="16"/>
          <w:color w:val="auto"/>
        </w:rPr>
      </w:pPr>
      <w:r>
        <w:rPr>
          <w:rFonts w:ascii="Arial" w:cs="Arial" w:eastAsia="Arial" w:hAnsi="Arial"/>
          <w:sz w:val="16"/>
          <w:szCs w:val="16"/>
          <w:color w:val="auto"/>
        </w:rPr>
        <w:t>Each of the Borrower and the Lenders acknowledges and agrees that the Auction Agent may perform any and all of its duties under this Section 2.09(a)(ii) by itself or through any Affiliate of the Auction Agent and expressly consents to any such delegation of duties by the Auction Agent to such Affiliate and the performance of such delegated duties by such Affiliate. The exculpatory provisions pursuant to this Agreement shall apply to each Affiliate of the Auction Agent and its respective activities in connection with any Discounted Term Loan Prepayment provided for in this Section 2.09(a)(ii) as well as activities of the Auction Agent.</w:t>
      </w:r>
    </w:p>
    <w:p>
      <w:pPr>
        <w:spacing w:after="0" w:line="136" w:lineRule="exact"/>
        <w:rPr>
          <w:rFonts w:ascii="Arial" w:cs="Arial" w:eastAsia="Arial" w:hAnsi="Arial"/>
          <w:sz w:val="16"/>
          <w:szCs w:val="16"/>
          <w:color w:val="auto"/>
        </w:rPr>
      </w:pPr>
    </w:p>
    <w:p>
      <w:pPr>
        <w:jc w:val="both"/>
        <w:ind w:left="1140" w:firstLine="559"/>
        <w:spacing w:after="0" w:line="230" w:lineRule="auto"/>
        <w:tabs>
          <w:tab w:leader="none" w:pos="2270" w:val="left"/>
        </w:tabs>
        <w:numPr>
          <w:ilvl w:val="1"/>
          <w:numId w:val="128"/>
        </w:numPr>
        <w:rPr>
          <w:rFonts w:ascii="Arial" w:cs="Arial" w:eastAsia="Arial" w:hAnsi="Arial"/>
          <w:sz w:val="16"/>
          <w:szCs w:val="16"/>
          <w:color w:val="auto"/>
        </w:rPr>
      </w:pPr>
      <w:r>
        <w:rPr>
          <w:rFonts w:ascii="Arial" w:cs="Arial" w:eastAsia="Arial" w:hAnsi="Arial"/>
          <w:sz w:val="16"/>
          <w:szCs w:val="16"/>
          <w:color w:val="auto"/>
        </w:rPr>
        <w:t>The Borrower shall have the right, by written notice to the Auction Agent, to revoke in full (but not in part) its offer to make a Discounted Term Loan Prepayment and rescind the applicable Specified Discount Prepayment Notice, Discount Range Prepayment Notice or Solicited Discounted Prepayment Notice therefor at its discretion at any time on or prior to the applicable Specified Discount Prepayment Response Date (and if such offer is revoked pursuant to the preceding clauses, any failure by the Borrower to make any prepayment to a Term Lender, as applicable, pursuant to this Section 2.09(a)(ii) shall not constitute a Default or Event of Default under Section 7.01 or otherwise).</w:t>
      </w:r>
    </w:p>
    <w:p>
      <w:pPr>
        <w:spacing w:after="0" w:line="136" w:lineRule="exact"/>
        <w:rPr>
          <w:rFonts w:ascii="Arial" w:cs="Arial" w:eastAsia="Arial" w:hAnsi="Arial"/>
          <w:sz w:val="16"/>
          <w:szCs w:val="16"/>
          <w:color w:val="auto"/>
        </w:rPr>
      </w:pPr>
    </w:p>
    <w:p>
      <w:pPr>
        <w:jc w:val="both"/>
        <w:ind w:firstLine="563"/>
        <w:spacing w:after="0" w:line="208" w:lineRule="auto"/>
        <w:tabs>
          <w:tab w:leader="none" w:pos="1126" w:val="left"/>
        </w:tabs>
        <w:numPr>
          <w:ilvl w:val="0"/>
          <w:numId w:val="129"/>
        </w:numPr>
        <w:rPr>
          <w:rFonts w:ascii="Arial" w:cs="Arial" w:eastAsia="Arial" w:hAnsi="Arial"/>
          <w:sz w:val="17"/>
          <w:szCs w:val="17"/>
          <w:color w:val="auto"/>
        </w:rPr>
      </w:pPr>
      <w:r>
        <w:rPr>
          <w:rFonts w:ascii="Arial" w:cs="Arial" w:eastAsia="Arial" w:hAnsi="Arial"/>
          <w:sz w:val="17"/>
          <w:szCs w:val="17"/>
          <w:color w:val="auto"/>
        </w:rPr>
        <w:t xml:space="preserve">In the event and on each occasion that any Net Proceeds are received by or on behalf of Holdings, any Intermediate Parent, the Borrower or any of its Restricted Subsidiaries (i) in respect of any Prepayment Event described in clause (b) of the definition of “Prepayment Event”, the Borrower shall, on the date of such Prepayment Event, prepay Initial Term Loans in an aggregate amount equal to 100% of the amount of such Net Proceeds, and (ii) in respect of any Prepayment Event described in clause (a) of the definition of “Prepayment Event”, the Borrower shall, within three Business Days after such Net Proceeds are received, prepay Initial Term Loans in an aggregate amount equal to the Asset Sale Percentage of such Net Proceeds;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case of any event described in clause (a) of the definition of the term “Prepayment Event,” if the Borrower and its Restricted Subsidiaries invest (or commit with a Person that is not Holdings, an Intermediate Parent, the Borrower or a Subsidiary to invest) the Net Proceeds from such event (or a portion thereof) within 18 months after receipt of such Net Proceeds in the business of the Borrower and its Restricted Subsidiaries (including in any acquisitions permitted under Section 6.04 and in working capital or trading activities), then no prepayment shall be required pursuant to this paragraph (b) in respect of such Net Proceeds in respect of such event (or the applicable portion of such Net Proceeds, if applicable) except to the extent of any such Net Proceeds therefrom that have not been so invested (or committed to be invested) by the end of such 18-month period (or if committed to be so invested within such 18-month period, have not been so invested within 24 months after receipt thereof), at which time a prepayment shall be required in an amount equal to such Net Proceeds that have not been so invested (or committed to be invested). Notwithstanding the foregoing, the Borrower may use a portion of such Net Proceeds of a Prepayment Event described in clause (a)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ectPr>
          <w:pgSz w:w="11900" w:h="16838" w:orient="portrait"/>
          <w:cols w:equalWidth="0" w:num="1">
            <w:col w:w="11260"/>
          </w:cols>
          <w:pgMar w:left="320" w:top="1440" w:right="319" w:bottom="1440" w:gutter="0" w:footer="0" w:header="0"/>
        </w:sectPr>
      </w:pPr>
    </w:p>
    <w:bookmarkStart w:id="258" w:name="page259"/>
    <w:bookmarkEnd w:id="258"/>
    <w:p>
      <w:pPr>
        <w:spacing w:after="0" w:line="390" w:lineRule="exact"/>
        <w:rPr>
          <w:sz w:val="20"/>
          <w:szCs w:val="20"/>
          <w:color w:val="auto"/>
        </w:rPr>
      </w:pPr>
    </w:p>
    <w:p>
      <w:pPr>
        <w:jc w:val="both"/>
        <w:spacing w:after="0" w:line="230" w:lineRule="auto"/>
        <w:rPr>
          <w:sz w:val="20"/>
          <w:szCs w:val="20"/>
          <w:color w:val="auto"/>
        </w:rPr>
      </w:pPr>
      <w:r>
        <w:rPr>
          <w:rFonts w:ascii="Arial" w:cs="Arial" w:eastAsia="Arial" w:hAnsi="Arial"/>
          <w:sz w:val="16"/>
          <w:szCs w:val="16"/>
          <w:color w:val="auto"/>
        </w:rPr>
        <w:t>definition of “Prepayment Event” to prepay, redeem or repurchase any Other First Lien Debt (provided, that in the case of the prepayment of any revolving Indebtedness, there is a corresponding reduction in commitments), in each case in an amount not to exceed the product of (x) the amount of such Net Proceeds and (y) a fraction, (A) the numerator of which is the outstanding principal amount of such Other First Lien Debt and (B) the denominator of which is the sum of the outstanding principal amount of such Other First Lien Debt and the outstanding principal amount of all Classes of Initial Term Loans; it being understood and agreed that such portion shall, thereafter, no longer be required to be applied to prepay the Initial Term Loans.</w:t>
      </w:r>
    </w:p>
    <w:p>
      <w:pPr>
        <w:spacing w:after="0" w:line="137" w:lineRule="exact"/>
        <w:rPr>
          <w:sz w:val="20"/>
          <w:szCs w:val="20"/>
          <w:color w:val="auto"/>
        </w:rPr>
      </w:pPr>
    </w:p>
    <w:p>
      <w:pPr>
        <w:jc w:val="both"/>
        <w:ind w:firstLine="563"/>
        <w:spacing w:after="0" w:line="219" w:lineRule="auto"/>
        <w:tabs>
          <w:tab w:leader="none" w:pos="1128" w:val="left"/>
        </w:tabs>
        <w:numPr>
          <w:ilvl w:val="0"/>
          <w:numId w:val="130"/>
        </w:numPr>
        <w:rPr>
          <w:rFonts w:ascii="Arial" w:cs="Arial" w:eastAsia="Arial" w:hAnsi="Arial"/>
          <w:sz w:val="16"/>
          <w:szCs w:val="16"/>
          <w:color w:val="auto"/>
        </w:rPr>
      </w:pPr>
      <w:r>
        <w:rPr>
          <w:rFonts w:ascii="Arial" w:cs="Arial" w:eastAsia="Arial" w:hAnsi="Arial"/>
          <w:sz w:val="16"/>
          <w:szCs w:val="16"/>
          <w:color w:val="auto"/>
        </w:rPr>
        <w:t>Commencing with the fiscal quarter of Holdings ending June 30, 2023, the Borrower shall apply an aggregate amount equal to (i) the ECF Percentage of Excess Cash Flow for the four fiscal quarter period ending on June 30 of each year (each an “</w:t>
      </w:r>
      <w:r>
        <w:rPr>
          <w:rFonts w:ascii="Arial" w:cs="Arial" w:eastAsia="Arial" w:hAnsi="Arial"/>
          <w:sz w:val="16"/>
          <w:szCs w:val="16"/>
          <w:b w:val="1"/>
          <w:bCs w:val="1"/>
          <w:color w:val="auto"/>
        </w:rPr>
        <w:t>Excess Cash Flow Period</w:t>
      </w:r>
      <w:r>
        <w:rPr>
          <w:rFonts w:ascii="Arial" w:cs="Arial" w:eastAsia="Arial" w:hAnsi="Arial"/>
          <w:sz w:val="16"/>
          <w:szCs w:val="16"/>
          <w:color w:val="auto"/>
        </w:rPr>
        <w:t>”), minus (ii) to the extent not financed using the proceeds of the incurrence of funded long term Indebtedness, the sum of (A) the aggregate amount of any voluntary prepayments, repurchases, redemption or retirements made during such Excess Cash Flow Period (plus, at the Borrower’s election, without duplication of any amounts previously deducted under this clause (i), the amount of any voluntary prepayment, repurchases, redemptions or retirements after the end of such Excess Cash Flow Period but before the date of prepayment under this clause (c) of (x) Initial Term Loans (it being understood that the amount of any voluntary prepayment, repurchase, redemption or retirement of Initial Term Loans below par shall be calculated to equal the amount of cash used and not the principal amount deemed prepaid therewith) and (y) Other First Lien Debt (provided, that (1) in the case of the prepayment of any revolving Indebtedness, there was a corresponding reduction in commitments and (2) the maximum amount of each such prepayment, repurchase, redemption or retirement of Other First Lien Debt that may be counted for purposes of this clause (A)(y) shall not exceed the amount that would have been prepaid, repurchased, redeemed or retired in respect of such Other First Lien Debt if such prepayment, repurchase, redemption or retirement had been applied on a ratable basis among the Initial Term Loans and such Other First Lien Debt (determined based on the aggregate outstanding principal amount of Initial Term Loans and the aggregate principal amount of such Other First Lien Debt on the date of such prepayment, repurchase, redemption or retirement of such Other First Lien Debt)) and (B) the amount of any permanent voluntary reductions during such Excess Cash Flow Period (plus, without duplication of any amounts previously deducted under this clause (B), the amount of any permanent voluntary reductions after the end of such Excess Cash Flow Period but before the date of prepayment under this clause (c)) of Revolving Commitments to the extent that an equal amount of Revolving Loans was simultaneously repaid to (1) prepay Initial Term Loans or (2) to prepay Initial Term Loans and to prepay, repurchase, redeem or retire any Other First Lien Debt so long as the prepayments under this clause (2) are applied in a manner such that the Initial Term Loans are prepaid on at least a ratable basis with such Other First Lien Debt (determined based on the aggregate outstanding principal amount of Initial Term Loans and the aggregate outstanding principal amount of such Other First Lien Debt on the date of such prepayment, repurchase, redemption or retirement). Each prepayment pursuant to this paragraph (c) shall be made on or before the date that is five days after the date on which financial statements are required to be delivered pursuant to Section 5.01(b) with respect to the last fiscal quarter of the four fiscal quarter period for which Excess Cash Flow is being calculated.</w:t>
      </w:r>
    </w:p>
    <w:p>
      <w:pPr>
        <w:spacing w:after="0" w:line="142" w:lineRule="exact"/>
        <w:rPr>
          <w:rFonts w:ascii="Arial" w:cs="Arial" w:eastAsia="Arial" w:hAnsi="Arial"/>
          <w:sz w:val="16"/>
          <w:szCs w:val="16"/>
          <w:color w:val="auto"/>
        </w:rPr>
      </w:pPr>
    </w:p>
    <w:p>
      <w:pPr>
        <w:jc w:val="both"/>
        <w:ind w:right="20" w:firstLine="563"/>
        <w:spacing w:after="0" w:line="220" w:lineRule="auto"/>
        <w:tabs>
          <w:tab w:leader="none" w:pos="1126" w:val="left"/>
        </w:tabs>
        <w:numPr>
          <w:ilvl w:val="0"/>
          <w:numId w:val="130"/>
        </w:numPr>
        <w:rPr>
          <w:rFonts w:ascii="Arial" w:cs="Arial" w:eastAsia="Arial" w:hAnsi="Arial"/>
          <w:sz w:val="17"/>
          <w:szCs w:val="17"/>
          <w:color w:val="auto"/>
        </w:rPr>
      </w:pPr>
      <w:r>
        <w:rPr>
          <w:rFonts w:ascii="Arial" w:cs="Arial" w:eastAsia="Arial" w:hAnsi="Arial"/>
          <w:sz w:val="17"/>
          <w:szCs w:val="17"/>
          <w:color w:val="auto"/>
        </w:rPr>
        <w:t>Prior to any optional prepayment of Borrowings pursuant to Section 2.09(a)(i), the Borrower shall select the Borrowing or Borrowings to be prepaid and shall specify such selection in the notice of such prepayment pursuant to paragraph (e) of this Section 2.09. In the event of any mandatory prepayment of Term Borrowings made at a time when Term Borrowings of more than one Class remain outstanding, the Borrower shall select Term Borrowings to be prepaid so that the aggregate amount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ectPr>
          <w:pgSz w:w="11900" w:h="16838" w:orient="portrait"/>
          <w:cols w:equalWidth="0" w:num="1">
            <w:col w:w="11260"/>
          </w:cols>
          <w:pgMar w:left="320" w:top="1440" w:right="319" w:bottom="1440" w:gutter="0" w:footer="0" w:header="0"/>
        </w:sectPr>
      </w:pPr>
    </w:p>
    <w:bookmarkStart w:id="259" w:name="page260"/>
    <w:bookmarkEnd w:id="259"/>
    <w:p>
      <w:pPr>
        <w:spacing w:after="0" w:line="390" w:lineRule="exact"/>
        <w:rPr>
          <w:sz w:val="20"/>
          <w:szCs w:val="20"/>
          <w:color w:val="auto"/>
        </w:rPr>
      </w:pPr>
    </w:p>
    <w:p>
      <w:pPr>
        <w:jc w:val="both"/>
        <w:ind w:right="20"/>
        <w:spacing w:after="0" w:line="223" w:lineRule="auto"/>
        <w:rPr>
          <w:sz w:val="20"/>
          <w:szCs w:val="20"/>
          <w:color w:val="auto"/>
        </w:rPr>
      </w:pPr>
      <w:r>
        <w:rPr>
          <w:rFonts w:ascii="Arial" w:cs="Arial" w:eastAsia="Arial" w:hAnsi="Arial"/>
          <w:sz w:val="16"/>
          <w:szCs w:val="16"/>
          <w:color w:val="auto"/>
        </w:rPr>
        <w:t xml:space="preserve">prepayment is allocated between Term Borrowings (and, to the extent provided in the Refinancing Amendment for any Class of Other Term Loans, the Borrowings of such Class) pro rata based on the aggregate principal amount of outstanding Borrowings of each such Class;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Term Lender (and, to the extent provided in the Refinancing Amendment for any Class of Other Term Loans, any Lender that holds Other Term Loans of such Class) may elect, by notice to the Administrative Agent by telephone (confirmed by facsimile) at least one Business Day prior to the prepayment date, to decline all or any portion of any prepayment of its Term Loans or Other Term Loans of any such Class pursuant to this Section 2.09 (other than an optional prepayment pursuant to paragraph (a)(i) of this Section 2.09, which may not be declined), in which case the aggregate amount of the prepayment that would have been applied to prepay Term Loans or Other Term Loans of any such Class but was so declined shall be retained by the Borrower (such amounts, “</w:t>
      </w:r>
      <w:r>
        <w:rPr>
          <w:rFonts w:ascii="Arial" w:cs="Arial" w:eastAsia="Arial" w:hAnsi="Arial"/>
          <w:sz w:val="16"/>
          <w:szCs w:val="16"/>
          <w:b w:val="1"/>
          <w:bCs w:val="1"/>
          <w:color w:val="auto"/>
        </w:rPr>
        <w:t>Declined Proceeds</w:t>
      </w:r>
      <w:r>
        <w:rPr>
          <w:rFonts w:ascii="Arial" w:cs="Arial" w:eastAsia="Arial" w:hAnsi="Arial"/>
          <w:sz w:val="16"/>
          <w:szCs w:val="16"/>
          <w:color w:val="auto"/>
        </w:rPr>
        <w:t>”). Optional prepayments of Term Borrowings shall be allocated among the Classes of Term Borrowings as directed by the Borrower. In the absence of a designation by the Borrower as described in the preceding provisions of this paragraph (d) of the Type of Borrowing of any Class, the Administrative Agent shall make such designation in its reasonable discretion with a view, but no obligation, to minimize breakage costs owing under Section 2.14.</w:t>
      </w:r>
    </w:p>
    <w:p>
      <w:pPr>
        <w:spacing w:after="0" w:line="137" w:lineRule="exact"/>
        <w:rPr>
          <w:sz w:val="20"/>
          <w:szCs w:val="20"/>
          <w:color w:val="auto"/>
        </w:rPr>
      </w:pPr>
    </w:p>
    <w:p>
      <w:pPr>
        <w:jc w:val="both"/>
        <w:ind w:firstLine="563"/>
        <w:spacing w:after="0" w:line="221" w:lineRule="auto"/>
        <w:tabs>
          <w:tab w:leader="none" w:pos="1128" w:val="left"/>
        </w:tabs>
        <w:numPr>
          <w:ilvl w:val="0"/>
          <w:numId w:val="131"/>
        </w:numPr>
        <w:rPr>
          <w:rFonts w:ascii="Arial" w:cs="Arial" w:eastAsia="Arial" w:hAnsi="Arial"/>
          <w:sz w:val="16"/>
          <w:szCs w:val="16"/>
          <w:color w:val="auto"/>
        </w:rPr>
      </w:pPr>
      <w:r>
        <w:rPr>
          <w:rFonts w:ascii="Arial" w:cs="Arial" w:eastAsia="Arial" w:hAnsi="Arial"/>
          <w:sz w:val="16"/>
          <w:szCs w:val="16"/>
          <w:color w:val="auto"/>
        </w:rPr>
        <w:t xml:space="preserve">The Borrower shall notify the Administrative Agent (and, in the case of prepayment of a Swingline Loan, the Swingline Lender) by telephone (confirmed by facsimile) of any prepayment hereunder (i) in the case of prepayment of a Term Benchmark Borrowing, not later than 11:00 a.m., New York City time, three Business Days before the date of prepayment and (ii) in the case of prepayment of an ABR Borrowing, not later than 11:00 a.m., New York City time, one Business Day before the date of prepayment. Each such notice shall be irrevocable and shall specify the prepayment date and principal amount of each Borrowing or portion thereof to be prepaid and, in the case of a mandatory prepayment, a reasonably detailed calculation of the amount of such prepayment;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a notice of optional prepayment may state that such notice is conditional upon the effectiveness of other credit facilities or the receipt of the</w:t>
      </w:r>
      <w:r>
        <w:rPr>
          <w:rFonts w:ascii="Arial" w:cs="Arial" w:eastAsia="Arial" w:hAnsi="Arial"/>
          <w:sz w:val="16"/>
          <w:szCs w:val="16"/>
          <w:i w:val="1"/>
          <w:iCs w:val="1"/>
          <w:color w:val="auto"/>
        </w:rPr>
        <w:t xml:space="preserve"> </w:t>
      </w:r>
      <w:r>
        <w:rPr>
          <w:rFonts w:ascii="Arial" w:cs="Arial" w:eastAsia="Arial" w:hAnsi="Arial"/>
          <w:sz w:val="16"/>
          <w:szCs w:val="16"/>
          <w:color w:val="auto"/>
        </w:rPr>
        <w:t>proceeds from the issuance of other Indebtedness or the occurrence of some other identifiable event or condition, in which case such notice of prepayment may be revoked by the Borrower (by notice to the Administrative Agent on or prior to the specified date of prepayment) if such condition is not satisfied. Promptly following receipt of any such notice (other than a notice relating solely to Swingline Loans), the Administrative Agent shall advise the Lenders of the contents thereof. Each partial prepayment of any Borrowing shall be in an amount that would be permitted in the case of an advance of a Borrowing of the same Type as provided in Section 2.02, except as necessary to apply fully the required amount of a mandatory prepayment. Each prepayment of a Borrowing shall be applied ratably to the Loans included in the prepaid Borrowing. Prepayments shall be accompanied by accrued interest to the extent required by Section 2.11 and any break funding payments required by Section 2.14.</w:t>
      </w:r>
    </w:p>
    <w:p>
      <w:pPr>
        <w:spacing w:after="0" w:line="141" w:lineRule="exact"/>
        <w:rPr>
          <w:rFonts w:ascii="Arial" w:cs="Arial" w:eastAsia="Arial" w:hAnsi="Arial"/>
          <w:sz w:val="16"/>
          <w:szCs w:val="16"/>
          <w:color w:val="auto"/>
        </w:rPr>
      </w:pPr>
    </w:p>
    <w:p>
      <w:pPr>
        <w:jc w:val="both"/>
        <w:ind w:firstLine="563"/>
        <w:spacing w:after="0" w:line="226" w:lineRule="auto"/>
        <w:tabs>
          <w:tab w:leader="none" w:pos="1132" w:val="left"/>
        </w:tabs>
        <w:numPr>
          <w:ilvl w:val="0"/>
          <w:numId w:val="131"/>
        </w:numPr>
        <w:rPr>
          <w:rFonts w:ascii="Arial" w:cs="Arial" w:eastAsia="Arial" w:hAnsi="Arial"/>
          <w:sz w:val="16"/>
          <w:szCs w:val="16"/>
          <w:color w:val="auto"/>
        </w:rPr>
      </w:pPr>
      <w:r>
        <w:rPr>
          <w:rFonts w:ascii="Arial" w:cs="Arial" w:eastAsia="Arial" w:hAnsi="Arial"/>
          <w:sz w:val="16"/>
          <w:szCs w:val="16"/>
          <w:color w:val="auto"/>
        </w:rPr>
        <w:t>Notwithstanding any other provisions of Section 2.09(b) or (c), (A) to the extent that any of or all the Net Proceeds of any Prepayment Event by a Foreign Subsidiary giving rise to a prepayment pursuant to Section 2.09(b) (a “</w:t>
      </w:r>
      <w:r>
        <w:rPr>
          <w:rFonts w:ascii="Arial" w:cs="Arial" w:eastAsia="Arial" w:hAnsi="Arial"/>
          <w:sz w:val="16"/>
          <w:szCs w:val="16"/>
          <w:b w:val="1"/>
          <w:bCs w:val="1"/>
          <w:color w:val="auto"/>
        </w:rPr>
        <w:t>Foreign Prepayment Event</w:t>
      </w:r>
      <w:r>
        <w:rPr>
          <w:rFonts w:ascii="Arial" w:cs="Arial" w:eastAsia="Arial" w:hAnsi="Arial"/>
          <w:sz w:val="16"/>
          <w:szCs w:val="16"/>
          <w:color w:val="auto"/>
        </w:rPr>
        <w:t>”) or Excess Cash Flow attributable to a Foreign Subsidiary are prohibited, restricted or delayed by applicable local law (e.g., financial assistance, corporate benefit, thin capitalization, capital maintenance and similar legal principles, restrictions on upstreaming cash among the Borrower and its Subsidiaries and the fiduciary and statutory duties of the directors of the relevant Subsidiaries) from being repatriated to the Borrower, the portion of such Net Proceeds or Excess Cash Flow so affected will not be required to be applied to repay Term Loans or Other First Lien Debt at the times provided in Section 2.09(b) or (c), as the case may be, and such amounts may be retained by the applicable Foreign Subsidiary so long, but only so long, as the applicable local law will not permit repatriation to the Borrower (Borrower 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ectPr>
          <w:pgSz w:w="11900" w:h="16838" w:orient="portrait"/>
          <w:cols w:equalWidth="0" w:num="1">
            <w:col w:w="11260"/>
          </w:cols>
          <w:pgMar w:left="320" w:top="1440" w:right="319" w:bottom="1440" w:gutter="0" w:footer="0" w:header="0"/>
        </w:sectPr>
      </w:pPr>
    </w:p>
    <w:bookmarkStart w:id="260" w:name="page261"/>
    <w:bookmarkEnd w:id="260"/>
    <w:p>
      <w:pPr>
        <w:spacing w:after="0" w:line="390" w:lineRule="exact"/>
        <w:rPr>
          <w:sz w:val="20"/>
          <w:szCs w:val="20"/>
          <w:color w:val="auto"/>
        </w:rPr>
      </w:pPr>
    </w:p>
    <w:p>
      <w:pPr>
        <w:jc w:val="both"/>
        <w:spacing w:after="0" w:line="211" w:lineRule="auto"/>
        <w:rPr>
          <w:sz w:val="20"/>
          <w:szCs w:val="20"/>
          <w:color w:val="auto"/>
        </w:rPr>
      </w:pPr>
      <w:r>
        <w:rPr>
          <w:rFonts w:ascii="Arial" w:cs="Arial" w:eastAsia="Arial" w:hAnsi="Arial"/>
          <w:sz w:val="17"/>
          <w:szCs w:val="17"/>
          <w:color w:val="auto"/>
        </w:rPr>
        <w:t>agreeing to cause the applicable Foreign Subsidiary to promptly take all actions reasonably required by the applicable local law to permit such repatriation), and once such repatriation of any of such affected Net Proceeds or Excess Cash Flow is permitted under the applicable local law, such Net Proceeds or Excess Cash Flow will be promptly (and in any event not later than three Business Days after any repatriation of such amounts) applied (net of additional taxes payable or reserved against as a result thereof) to the repayment of the Term Loans and/or Other First Lien Debt pursuant to Section 2.09(b) or (c), as applicable, and (B) to the extent that the Borrower has determined in good faith that repatriation of any of or all the Net Proceeds of any Foreign Prepayment Event or Foreign Subsidiary Excess Cash Flow would have a material adverse tax consequence (taking into account any foreign tax credit or benefit actually realized in connection with such repatriation) with respect to such Net Proceeds or Excess Cash Flow, the Net Proceeds or Excess Cash Flow so affected may be retained by the applicable Foreign Subsidiary.</w:t>
      </w:r>
    </w:p>
    <w:p>
      <w:pPr>
        <w:spacing w:after="0" w:line="141" w:lineRule="exact"/>
        <w:rPr>
          <w:sz w:val="20"/>
          <w:szCs w:val="20"/>
          <w:color w:val="auto"/>
        </w:rPr>
      </w:pPr>
    </w:p>
    <w:p>
      <w:pPr>
        <w:jc w:val="both"/>
        <w:ind w:firstLine="563"/>
        <w:spacing w:after="0"/>
        <w:tabs>
          <w:tab w:leader="none" w:pos="1126" w:val="left"/>
        </w:tabs>
        <w:numPr>
          <w:ilvl w:val="0"/>
          <w:numId w:val="132"/>
        </w:numPr>
        <w:rPr>
          <w:rFonts w:ascii="Arial" w:cs="Arial" w:eastAsia="Arial" w:hAnsi="Arial"/>
          <w:sz w:val="16"/>
          <w:szCs w:val="16"/>
          <w:color w:val="auto"/>
        </w:rPr>
      </w:pPr>
      <w:r>
        <w:rPr>
          <w:rFonts w:ascii="Arial" w:cs="Arial" w:eastAsia="Arial" w:hAnsi="Arial"/>
          <w:sz w:val="16"/>
          <w:szCs w:val="16"/>
          <w:color w:val="auto"/>
        </w:rPr>
        <w:t>In the event and on each occasion that the aggregate Revolving Exposures of any Class exceed the aggregate Revolving Commitments of such Class, the Borrower shall prepay Revolving Borrowings or Swingline Loans of such Class (or, if no such Borrowings are outstanding, deposit cash collateral in an account with the Administrative Agent pursuant to Section 2.22) in an aggregate amount necessary to eliminate such excess.</w:t>
      </w:r>
    </w:p>
    <w:p>
      <w:pPr>
        <w:spacing w:after="0" w:line="134" w:lineRule="exact"/>
        <w:rPr>
          <w:rFonts w:ascii="Arial" w:cs="Arial" w:eastAsia="Arial" w:hAnsi="Arial"/>
          <w:sz w:val="16"/>
          <w:szCs w:val="16"/>
          <w:color w:val="auto"/>
        </w:rPr>
      </w:pPr>
    </w:p>
    <w:p>
      <w:pPr>
        <w:jc w:val="both"/>
        <w:ind w:firstLine="563"/>
        <w:spacing w:after="0" w:line="252" w:lineRule="auto"/>
        <w:tabs>
          <w:tab w:leader="none" w:pos="1126" w:val="left"/>
        </w:tabs>
        <w:numPr>
          <w:ilvl w:val="0"/>
          <w:numId w:val="132"/>
        </w:numPr>
        <w:rPr>
          <w:rFonts w:ascii="Arial" w:cs="Arial" w:eastAsia="Arial" w:hAnsi="Arial"/>
          <w:sz w:val="15"/>
          <w:szCs w:val="15"/>
          <w:color w:val="auto"/>
        </w:rPr>
      </w:pPr>
      <w:r>
        <w:rPr>
          <w:rFonts w:ascii="Arial" w:cs="Arial" w:eastAsia="Arial" w:hAnsi="Arial"/>
          <w:sz w:val="15"/>
          <w:szCs w:val="15"/>
          <w:color w:val="auto"/>
        </w:rPr>
        <w:t>Additionally, notwithstanding anything else in this Agreement to the contrary, in the event that any Term Loan of any Lender would otherwise be repaid or prepaid from the proceeds of other Term Loans being funded on the date of such repayment or prepayment, if agreed to by the Borrower and such Lender and notified to the Administrative Agent prior to the date of the applicable repayment or prepayment, all or any portion of such Lender’s Term Loan that would have otherwise been repaid or prepaid in connection therewith may be converted on a “cashless roll” basis into a new Term Loan of the applicable Class.</w:t>
      </w:r>
    </w:p>
    <w:p>
      <w:pPr>
        <w:spacing w:after="0" w:line="128" w:lineRule="exact"/>
        <w:rPr>
          <w:sz w:val="20"/>
          <w:szCs w:val="20"/>
          <w:color w:val="auto"/>
        </w:rPr>
      </w:pPr>
    </w:p>
    <w:p>
      <w:pPr>
        <w:ind w:left="560"/>
        <w:spacing w:after="0"/>
        <w:tabs>
          <w:tab w:leader="none" w:pos="1680" w:val="left"/>
        </w:tabs>
        <w:rPr>
          <w:sz w:val="20"/>
          <w:szCs w:val="20"/>
          <w:color w:val="auto"/>
        </w:rPr>
      </w:pPr>
      <w:r>
        <w:rPr>
          <w:rFonts w:ascii="Arial" w:cs="Arial" w:eastAsia="Arial" w:hAnsi="Arial"/>
          <w:sz w:val="17"/>
          <w:szCs w:val="17"/>
          <w:color w:val="auto"/>
        </w:rPr>
        <w:t>Section 1.10.</w:t>
      </w:r>
      <w:r>
        <w:rPr>
          <w:sz w:val="20"/>
          <w:szCs w:val="20"/>
          <w:color w:val="auto"/>
        </w:rPr>
        <w:tab/>
      </w:r>
      <w:r>
        <w:rPr>
          <w:rFonts w:ascii="Arial" w:cs="Arial" w:eastAsia="Arial" w:hAnsi="Arial"/>
          <w:sz w:val="14"/>
          <w:szCs w:val="14"/>
          <w:i w:val="1"/>
          <w:iCs w:val="1"/>
          <w:color w:val="auto"/>
        </w:rPr>
        <w:t>Fees</w:t>
      </w:r>
      <w:r>
        <w:rPr>
          <w:rFonts w:ascii="Arial" w:cs="Arial" w:eastAsia="Arial" w:hAnsi="Arial"/>
          <w:sz w:val="14"/>
          <w:szCs w:val="14"/>
          <w:color w:val="auto"/>
        </w:rPr>
        <w:t>.</w:t>
      </w:r>
    </w:p>
    <w:p>
      <w:pPr>
        <w:spacing w:after="0" w:line="160" w:lineRule="exact"/>
        <w:rPr>
          <w:sz w:val="20"/>
          <w:szCs w:val="20"/>
          <w:color w:val="auto"/>
        </w:rPr>
      </w:pPr>
    </w:p>
    <w:p>
      <w:pPr>
        <w:jc w:val="both"/>
        <w:ind w:right="20" w:firstLine="563"/>
        <w:spacing w:after="0" w:line="234" w:lineRule="auto"/>
        <w:tabs>
          <w:tab w:leader="none" w:pos="1128"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The Borrower agrees to pay to the Administrative Agent and the Lead Arrangers, for their own respective accounts and the account of each applicable Lender, fees in the amounts and at the times set forth in the Engagement Letter. Any upfront fees payable to a Term Lender in respect of its Initial Term Loan shall be paid out of the proceeds of such Term Lender’s Initial Term Loan as and when funded on the Closing Date and shall be treated (and reported) by the Borrower and such Term Lender as a reduction in issue price of the Initial Term Loans for U.S. federal, state and local income tax purposes.</w:t>
      </w:r>
    </w:p>
    <w:p>
      <w:pPr>
        <w:spacing w:after="0" w:line="134" w:lineRule="exact"/>
        <w:rPr>
          <w:rFonts w:ascii="Arial" w:cs="Arial" w:eastAsia="Arial" w:hAnsi="Arial"/>
          <w:sz w:val="16"/>
          <w:szCs w:val="16"/>
          <w:color w:val="auto"/>
        </w:rPr>
      </w:pPr>
    </w:p>
    <w:p>
      <w:pPr>
        <w:jc w:val="both"/>
        <w:ind w:firstLine="563"/>
        <w:spacing w:after="0" w:line="211" w:lineRule="auto"/>
        <w:tabs>
          <w:tab w:leader="none" w:pos="1126" w:val="left"/>
        </w:tabs>
        <w:numPr>
          <w:ilvl w:val="0"/>
          <w:numId w:val="133"/>
        </w:numPr>
        <w:rPr>
          <w:rFonts w:ascii="Arial" w:cs="Arial" w:eastAsia="Arial" w:hAnsi="Arial"/>
          <w:sz w:val="17"/>
          <w:szCs w:val="17"/>
          <w:color w:val="auto"/>
        </w:rPr>
      </w:pPr>
      <w:r>
        <w:rPr>
          <w:rFonts w:ascii="Arial" w:cs="Arial" w:eastAsia="Arial" w:hAnsi="Arial"/>
          <w:sz w:val="17"/>
          <w:szCs w:val="17"/>
          <w:color w:val="auto"/>
        </w:rPr>
        <w:t>The Borrower agrees to pay to the Administrative Agent for the account of each Revolving Lender a commitment fee, which shall accrue at the Commitment Fee Rate per annum on the average daily unused amount of the Revolving Commitment of such Lender during the Revolving Availability Period. Accrued commitment fees shall be payable in arrears on the third Business Day following the last day of March, June, September and December of each year and on the date on which the Revolving Commitments terminate, commencing on the first such date to occur after Closing Date. All commitment fees shall be computed on the basis of a year of 360 days and shall be payable for the actual number of days elapsed (including the first day and the last day of each period but excluding the date on which the Commitments terminate). For purposes of computing commitment fees, a Revolving Commitment of a Lender shall be deemed to be used to the extent of the outstanding Revolving Loans and LC Exposure of such Lender, but not to the extent of the outstanding Swingline Loans or Swingline Exposure of such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ectPr>
          <w:pgSz w:w="11900" w:h="16838" w:orient="portrait"/>
          <w:cols w:equalWidth="0" w:num="1">
            <w:col w:w="11260"/>
          </w:cols>
          <w:pgMar w:left="320" w:top="1440" w:right="319" w:bottom="1440" w:gutter="0" w:footer="0" w:header="0"/>
        </w:sectPr>
      </w:pPr>
    </w:p>
    <w:bookmarkStart w:id="261" w:name="page262"/>
    <w:bookmarkEnd w:id="261"/>
    <w:p>
      <w:pPr>
        <w:spacing w:after="0" w:line="390" w:lineRule="exact"/>
        <w:rPr>
          <w:sz w:val="20"/>
          <w:szCs w:val="20"/>
          <w:color w:val="auto"/>
        </w:rPr>
      </w:pPr>
    </w:p>
    <w:p>
      <w:pPr>
        <w:jc w:val="both"/>
        <w:ind w:firstLine="563"/>
        <w:spacing w:after="0" w:line="220" w:lineRule="auto"/>
        <w:tabs>
          <w:tab w:leader="none" w:pos="1128" w:val="left"/>
        </w:tabs>
        <w:numPr>
          <w:ilvl w:val="0"/>
          <w:numId w:val="134"/>
        </w:numPr>
        <w:rPr>
          <w:rFonts w:ascii="Arial" w:cs="Arial" w:eastAsia="Arial" w:hAnsi="Arial"/>
          <w:sz w:val="16"/>
          <w:szCs w:val="16"/>
          <w:color w:val="auto"/>
        </w:rPr>
      </w:pPr>
      <w:r>
        <w:rPr>
          <w:rFonts w:ascii="Arial" w:cs="Arial" w:eastAsia="Arial" w:hAnsi="Arial"/>
          <w:sz w:val="16"/>
          <w:szCs w:val="16"/>
          <w:color w:val="auto"/>
        </w:rPr>
        <w:t xml:space="preserve">The Borrower agrees to pay (i) to the Administrative Agent for the account of each Revolving Lender (other than any Defaulting Lender) a participation fee with respect to its participations in Letters of Credit, which shall accrue at the Applicable Rate used to determine the interest rate applicable to Term Benchmark Revolving Loans on the daily amount of such Lender’s LC Exposure (excluding any portion thereof attributable to unreimbursed LC Disbursements) during the period from and including the Closing Date to but excluding the later of the date on which such Lender’s Revolving Commitment terminates and the date on which such Lender ceases to have any LC Exposure and (ii) to each Issuing Bank for its own account a fronting fee with respect to each Letter of Credit issued by such Issuing Bank, which shall accrue at the rate of 0.125% per annum on the daily maximum amount then available to be drawn under such Letter of Credit during the period from and including the Closing Date to and including the later of the date of termination of the Revolving Commitments and the date on which there ceases to be any LC Exposure with respect to Letters of Credit issued by such Issuing Bank, as well as such Issuing Bank’s standard fees with respect to the issuance, amendment, renewal or extension of any Letter of Credit and other processing fees, and other standard costs and charges, of such Issuing bank relating the Letters of Credit as from time to time in effect. Participation fees and fronting fees accrued through and including the last day of March, June, September and December of each year shall be payable on the third Business Day following such last day, commencing on the first such date to occur after the Closing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all such fees shall be payable on the date on which the Revolving Commitments terminate and any such fees accruing after the date on which the Revolving Commitments terminate shall be payable on demand. Any other fees payable to an Issuing Bank pursuant to this paragraph (c) shall be payable within 10 days after demand. All participation fees and fronting fees shall be computed on the basis of a year of 360 days and shall be payable for the actual number of days elapsed (including the first day but excluding the last day).</w:t>
      </w:r>
    </w:p>
    <w:p>
      <w:pPr>
        <w:spacing w:after="0" w:line="145" w:lineRule="exact"/>
        <w:rPr>
          <w:rFonts w:ascii="Arial" w:cs="Arial" w:eastAsia="Arial" w:hAnsi="Arial"/>
          <w:sz w:val="16"/>
          <w:szCs w:val="16"/>
          <w:color w:val="auto"/>
        </w:rPr>
      </w:pPr>
    </w:p>
    <w:p>
      <w:pPr>
        <w:ind w:right="20" w:firstLine="563"/>
        <w:spacing w:after="0" w:line="237" w:lineRule="auto"/>
        <w:tabs>
          <w:tab w:leader="none" w:pos="1126"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The Borrower agrees to pay to the Administrative Agent, for its own account, fees payable in the amounts and at the times separately agreed upon between the Borrower and the Administrative Agent.</w:t>
      </w:r>
    </w:p>
    <w:p>
      <w:pPr>
        <w:spacing w:after="0" w:line="134" w:lineRule="exact"/>
        <w:rPr>
          <w:rFonts w:ascii="Arial" w:cs="Arial" w:eastAsia="Arial" w:hAnsi="Arial"/>
          <w:sz w:val="17"/>
          <w:szCs w:val="17"/>
          <w:color w:val="auto"/>
        </w:rPr>
      </w:pPr>
    </w:p>
    <w:p>
      <w:pPr>
        <w:ind w:firstLine="563"/>
        <w:spacing w:after="0" w:line="237" w:lineRule="auto"/>
        <w:tabs>
          <w:tab w:leader="none" w:pos="1128" w:val="left"/>
        </w:tabs>
        <w:numPr>
          <w:ilvl w:val="0"/>
          <w:numId w:val="134"/>
        </w:numPr>
        <w:rPr>
          <w:rFonts w:ascii="Arial" w:cs="Arial" w:eastAsia="Arial" w:hAnsi="Arial"/>
          <w:sz w:val="17"/>
          <w:szCs w:val="17"/>
          <w:color w:val="auto"/>
        </w:rPr>
      </w:pPr>
      <w:r>
        <w:rPr>
          <w:rFonts w:ascii="Arial" w:cs="Arial" w:eastAsia="Arial" w:hAnsi="Arial"/>
          <w:sz w:val="17"/>
          <w:szCs w:val="17"/>
          <w:color w:val="auto"/>
        </w:rPr>
        <w:t>Notwithstanding the foregoing, and subject to Section 2.21, the Borrower shall not be obligated to pay any amounts to any Defaulting Lender pursuant to this Section 2.10.</w:t>
      </w:r>
    </w:p>
    <w:p>
      <w:pPr>
        <w:spacing w:after="0" w:line="135" w:lineRule="exact"/>
        <w:rPr>
          <w:sz w:val="20"/>
          <w:szCs w:val="20"/>
          <w:color w:val="auto"/>
        </w:rPr>
      </w:pPr>
    </w:p>
    <w:p>
      <w:pPr>
        <w:ind w:left="560"/>
        <w:spacing w:after="0"/>
        <w:tabs>
          <w:tab w:leader="none" w:pos="1680" w:val="left"/>
        </w:tabs>
        <w:rPr>
          <w:sz w:val="20"/>
          <w:szCs w:val="20"/>
          <w:color w:val="auto"/>
        </w:rPr>
      </w:pPr>
      <w:r>
        <w:rPr>
          <w:rFonts w:ascii="Arial" w:cs="Arial" w:eastAsia="Arial" w:hAnsi="Arial"/>
          <w:sz w:val="17"/>
          <w:szCs w:val="17"/>
          <w:color w:val="auto"/>
        </w:rPr>
        <w:t>Section 1.11.</w:t>
      </w:r>
      <w:r>
        <w:rPr>
          <w:sz w:val="20"/>
          <w:szCs w:val="20"/>
          <w:color w:val="auto"/>
        </w:rPr>
        <w:tab/>
      </w:r>
      <w:r>
        <w:rPr>
          <w:rFonts w:ascii="Arial" w:cs="Arial" w:eastAsia="Arial" w:hAnsi="Arial"/>
          <w:sz w:val="15"/>
          <w:szCs w:val="15"/>
          <w:i w:val="1"/>
          <w:iCs w:val="1"/>
          <w:color w:val="auto"/>
        </w:rPr>
        <w:t>Interest</w:t>
      </w:r>
      <w:r>
        <w:rPr>
          <w:rFonts w:ascii="Arial" w:cs="Arial" w:eastAsia="Arial" w:hAnsi="Arial"/>
          <w:sz w:val="15"/>
          <w:szCs w:val="15"/>
          <w:color w:val="auto"/>
        </w:rPr>
        <w:t>.</w:t>
      </w:r>
    </w:p>
    <w:p>
      <w:pPr>
        <w:spacing w:after="0" w:line="155" w:lineRule="exact"/>
        <w:rPr>
          <w:sz w:val="20"/>
          <w:szCs w:val="20"/>
          <w:color w:val="auto"/>
        </w:rPr>
      </w:pPr>
    </w:p>
    <w:p>
      <w:pPr>
        <w:ind w:left="1120" w:hanging="557"/>
        <w:spacing w:after="0"/>
        <w:tabs>
          <w:tab w:leader="none" w:pos="112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The Loans comprising each ABR Borrowing (including each Swingline Loan) shall bear interest at the Alternate Base Rate plus the Applicable</w:t>
      </w:r>
    </w:p>
    <w:p>
      <w:pPr>
        <w:spacing w:after="0"/>
        <w:rPr>
          <w:sz w:val="20"/>
          <w:szCs w:val="20"/>
          <w:color w:val="auto"/>
        </w:rPr>
      </w:pPr>
      <w:r>
        <w:rPr>
          <w:rFonts w:ascii="Arial" w:cs="Arial" w:eastAsia="Arial" w:hAnsi="Arial"/>
          <w:sz w:val="17"/>
          <w:szCs w:val="17"/>
          <w:color w:val="auto"/>
        </w:rPr>
        <w:t>Rate.</w:t>
      </w:r>
    </w:p>
    <w:p>
      <w:pPr>
        <w:spacing w:after="0" w:line="146" w:lineRule="exact"/>
        <w:rPr>
          <w:sz w:val="20"/>
          <w:szCs w:val="20"/>
          <w:color w:val="auto"/>
        </w:rPr>
      </w:pPr>
    </w:p>
    <w:p>
      <w:pPr>
        <w:ind w:right="20" w:firstLine="563"/>
        <w:spacing w:after="0" w:line="237" w:lineRule="auto"/>
        <w:tabs>
          <w:tab w:leader="none" w:pos="1126" w:val="left"/>
        </w:tabs>
        <w:numPr>
          <w:ilvl w:val="0"/>
          <w:numId w:val="136"/>
        </w:numPr>
        <w:rPr>
          <w:rFonts w:ascii="Arial" w:cs="Arial" w:eastAsia="Arial" w:hAnsi="Arial"/>
          <w:sz w:val="17"/>
          <w:szCs w:val="17"/>
          <w:color w:val="auto"/>
        </w:rPr>
      </w:pPr>
      <w:r>
        <w:rPr>
          <w:rFonts w:ascii="Arial" w:cs="Arial" w:eastAsia="Arial" w:hAnsi="Arial"/>
          <w:sz w:val="17"/>
          <w:szCs w:val="17"/>
          <w:color w:val="auto"/>
        </w:rPr>
        <w:t>The Loans comprising each Term Benchmark Borrowing shall bear interest at the Adjusted Term SOFR Rate for the Interest Period in effect for such Borrowing plus the Applicable Rate.</w:t>
      </w:r>
    </w:p>
    <w:p>
      <w:pPr>
        <w:spacing w:after="0" w:line="134" w:lineRule="exact"/>
        <w:rPr>
          <w:rFonts w:ascii="Arial" w:cs="Arial" w:eastAsia="Arial" w:hAnsi="Arial"/>
          <w:sz w:val="17"/>
          <w:szCs w:val="17"/>
          <w:color w:val="auto"/>
        </w:rPr>
      </w:pPr>
    </w:p>
    <w:p>
      <w:pPr>
        <w:jc w:val="both"/>
        <w:ind w:firstLine="563"/>
        <w:spacing w:after="0" w:line="244" w:lineRule="auto"/>
        <w:tabs>
          <w:tab w:leader="none" w:pos="1128" w:val="left"/>
        </w:tabs>
        <w:numPr>
          <w:ilvl w:val="0"/>
          <w:numId w:val="136"/>
        </w:numPr>
        <w:rPr>
          <w:rFonts w:ascii="Arial" w:cs="Arial" w:eastAsia="Arial" w:hAnsi="Arial"/>
          <w:sz w:val="15"/>
          <w:szCs w:val="15"/>
          <w:color w:val="auto"/>
        </w:rPr>
      </w:pPr>
      <w:r>
        <w:rPr>
          <w:rFonts w:ascii="Arial" w:cs="Arial" w:eastAsia="Arial" w:hAnsi="Arial"/>
          <w:sz w:val="15"/>
          <w:szCs w:val="15"/>
          <w:color w:val="auto"/>
        </w:rPr>
        <w:t xml:space="preserve">Notwithstanding the foregoing, if any principal of or interest on any Loan or any fee or other amount payable by the Borrower hereunder is not paid when due, whether at stated maturity, upon acceleration or otherwise, such overdue amount shall bear interest, after as well as before judgment, at a rate per annum equal to (i) in the case of overdue principal of any Loan, 2.00% per annum plus the rate otherwise applicable to such Loan as provided in the preceding paragraphs of this Section 2.11 or (ii) in the case of any other amount, 2.00% per annum plus the rate applicable to ABR Term Loans as provided in paragraph (a) of this Section;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no amount shall be payable pursuant to this Section 2.11(c) to a Defaulting Lender so long as such Lender shall be a Defaulting Lender;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further</w:t>
      </w:r>
      <w:r>
        <w:rPr>
          <w:rFonts w:ascii="Arial" w:cs="Arial" w:eastAsia="Arial" w:hAnsi="Arial"/>
          <w:sz w:val="15"/>
          <w:szCs w:val="15"/>
          <w:color w:val="auto"/>
        </w:rPr>
        <w:t>, that no amounts shall accrue pursuant to this Section 2.11(c) on any overdue amount, reimbursement obligation in respect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ectPr>
          <w:pgSz w:w="11900" w:h="16838" w:orient="portrait"/>
          <w:cols w:equalWidth="0" w:num="1">
            <w:col w:w="11260"/>
          </w:cols>
          <w:pgMar w:left="320" w:top="1440" w:right="319" w:bottom="1440" w:gutter="0" w:footer="0" w:header="0"/>
        </w:sectPr>
      </w:pPr>
    </w:p>
    <w:bookmarkStart w:id="262" w:name="page263"/>
    <w:bookmarkEnd w:id="262"/>
    <w:p>
      <w:pPr>
        <w:spacing w:after="0" w:line="390" w:lineRule="exact"/>
        <w:rPr>
          <w:sz w:val="20"/>
          <w:szCs w:val="20"/>
          <w:color w:val="auto"/>
        </w:rPr>
      </w:pPr>
    </w:p>
    <w:p>
      <w:pPr>
        <w:spacing w:after="0"/>
        <w:rPr>
          <w:sz w:val="20"/>
          <w:szCs w:val="20"/>
          <w:color w:val="auto"/>
        </w:rPr>
      </w:pPr>
      <w:r>
        <w:rPr>
          <w:rFonts w:ascii="Arial" w:cs="Arial" w:eastAsia="Arial" w:hAnsi="Arial"/>
          <w:sz w:val="17"/>
          <w:szCs w:val="17"/>
          <w:color w:val="auto"/>
        </w:rPr>
        <w:t>LC Disbursement or other amount payable to a Defaulting Lender so long as such Lender shall be a Defaulting Lender.</w:t>
      </w:r>
    </w:p>
    <w:p>
      <w:pPr>
        <w:spacing w:after="0" w:line="160" w:lineRule="exact"/>
        <w:rPr>
          <w:sz w:val="20"/>
          <w:szCs w:val="20"/>
          <w:color w:val="auto"/>
        </w:rPr>
      </w:pPr>
    </w:p>
    <w:p>
      <w:pPr>
        <w:jc w:val="both"/>
        <w:ind w:firstLine="563"/>
        <w:spacing w:after="0" w:line="214" w:lineRule="auto"/>
        <w:tabs>
          <w:tab w:leader="none" w:pos="1126" w:val="left"/>
        </w:tabs>
        <w:numPr>
          <w:ilvl w:val="0"/>
          <w:numId w:val="137"/>
        </w:numPr>
        <w:rPr>
          <w:rFonts w:ascii="Arial" w:cs="Arial" w:eastAsia="Arial" w:hAnsi="Arial"/>
          <w:sz w:val="17"/>
          <w:szCs w:val="17"/>
          <w:color w:val="auto"/>
        </w:rPr>
      </w:pPr>
      <w:r>
        <w:rPr>
          <w:rFonts w:ascii="Arial" w:cs="Arial" w:eastAsia="Arial" w:hAnsi="Arial"/>
          <w:sz w:val="17"/>
          <w:szCs w:val="17"/>
          <w:color w:val="auto"/>
        </w:rPr>
        <w:t xml:space="preserve">Accrued interest on each Loan shall be payable in arrears on each Interest Payment Date for such Loan and, in the case of Revolving Loans, upon termination of the Revolving Commitments,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interest accrued pursuant to paragraph (c) of this Section 2.11 shall be payable on demand, (ii) in the event of any repayment or prepayment of any Loan (other than a prepayment of an ABR Revolving Loan prior to the end of the Revolving Availability Period), accrued interest on the principal amount repaid or prepaid shall be payable on the date of such repayment or prepayment and (iii) in the event of any conversion of any Term Benchmark Loan prior to the end of the current Interest Period therefor, accrued interest on such Loan shall be payable on the effective date of such conversion.</w:t>
      </w:r>
    </w:p>
    <w:p>
      <w:pPr>
        <w:spacing w:after="0" w:line="138" w:lineRule="exact"/>
        <w:rPr>
          <w:rFonts w:ascii="Arial" w:cs="Arial" w:eastAsia="Arial" w:hAnsi="Arial"/>
          <w:sz w:val="17"/>
          <w:szCs w:val="17"/>
          <w:color w:val="auto"/>
        </w:rPr>
      </w:pPr>
    </w:p>
    <w:p>
      <w:pPr>
        <w:jc w:val="both"/>
        <w:ind w:firstLine="563"/>
        <w:spacing w:after="0" w:line="220" w:lineRule="auto"/>
        <w:tabs>
          <w:tab w:leader="none" w:pos="1128" w:val="left"/>
        </w:tabs>
        <w:numPr>
          <w:ilvl w:val="0"/>
          <w:numId w:val="137"/>
        </w:numPr>
        <w:rPr>
          <w:rFonts w:ascii="Arial" w:cs="Arial" w:eastAsia="Arial" w:hAnsi="Arial"/>
          <w:sz w:val="17"/>
          <w:szCs w:val="17"/>
          <w:color w:val="auto"/>
        </w:rPr>
      </w:pPr>
      <w:r>
        <w:rPr>
          <w:rFonts w:ascii="Arial" w:cs="Arial" w:eastAsia="Arial" w:hAnsi="Arial"/>
          <w:sz w:val="17"/>
          <w:szCs w:val="17"/>
          <w:color w:val="auto"/>
        </w:rPr>
        <w:t>All interest hereunder shall be computed on the basis of a year of 360 days, except that interest computed by reference to the Alternate Base Rate shall be computed on the basis of a year of 365 days (or 366 days in a leap year), and in each case shall be payable for the actual number of days elapsed (including the first day but excluding the last day). The applicable Alternate Base Rate or Adjusted Term SOFR Rate shall be determined by the Administrative Agent, and such determination shall be conclusive absent manifest error.</w:t>
      </w:r>
    </w:p>
    <w:p>
      <w:pPr>
        <w:spacing w:after="0" w:line="136" w:lineRule="exact"/>
        <w:rPr>
          <w:sz w:val="20"/>
          <w:szCs w:val="20"/>
          <w:color w:val="auto"/>
        </w:rPr>
      </w:pPr>
    </w:p>
    <w:p>
      <w:pPr>
        <w:ind w:left="560"/>
        <w:spacing w:after="0"/>
        <w:tabs>
          <w:tab w:leader="none" w:pos="1680" w:val="left"/>
        </w:tabs>
        <w:rPr>
          <w:sz w:val="20"/>
          <w:szCs w:val="20"/>
          <w:color w:val="auto"/>
        </w:rPr>
      </w:pPr>
      <w:r>
        <w:rPr>
          <w:rFonts w:ascii="Arial" w:cs="Arial" w:eastAsia="Arial" w:hAnsi="Arial"/>
          <w:sz w:val="17"/>
          <w:szCs w:val="17"/>
          <w:color w:val="auto"/>
        </w:rPr>
        <w:t>Section 1.12.</w:t>
      </w:r>
      <w:r>
        <w:rPr>
          <w:sz w:val="20"/>
          <w:szCs w:val="20"/>
          <w:color w:val="auto"/>
        </w:rPr>
        <w:tab/>
      </w:r>
      <w:r>
        <w:rPr>
          <w:rFonts w:ascii="Arial" w:cs="Arial" w:eastAsia="Arial" w:hAnsi="Arial"/>
          <w:sz w:val="15"/>
          <w:szCs w:val="15"/>
          <w:i w:val="1"/>
          <w:iCs w:val="1"/>
          <w:color w:val="auto"/>
        </w:rPr>
        <w:t>Alternate Rate of Interest</w:t>
      </w:r>
      <w:r>
        <w:rPr>
          <w:rFonts w:ascii="Arial" w:cs="Arial" w:eastAsia="Arial" w:hAnsi="Arial"/>
          <w:sz w:val="15"/>
          <w:szCs w:val="15"/>
          <w:color w:val="auto"/>
        </w:rPr>
        <w:t>. (a) Subject to clauses (b), (c), (d), (e) and (f) of this Section 2.12:</w:t>
      </w:r>
    </w:p>
    <w:p>
      <w:pPr>
        <w:spacing w:after="0" w:line="160" w:lineRule="exact"/>
        <w:rPr>
          <w:sz w:val="20"/>
          <w:szCs w:val="20"/>
          <w:color w:val="auto"/>
        </w:rPr>
      </w:pPr>
    </w:p>
    <w:p>
      <w:pPr>
        <w:jc w:val="both"/>
        <w:ind w:left="340" w:firstLine="791"/>
        <w:spacing w:after="0" w:line="225" w:lineRule="auto"/>
        <w:tabs>
          <w:tab w:leader="none" w:pos="1702" w:val="left"/>
        </w:tabs>
        <w:numPr>
          <w:ilvl w:val="0"/>
          <w:numId w:val="138"/>
        </w:numPr>
        <w:rPr>
          <w:rFonts w:ascii="Arial" w:cs="Arial" w:eastAsia="Arial" w:hAnsi="Arial"/>
          <w:sz w:val="17"/>
          <w:szCs w:val="17"/>
          <w:color w:val="auto"/>
        </w:rPr>
      </w:pPr>
      <w:r>
        <w:rPr>
          <w:rFonts w:ascii="Arial" w:cs="Arial" w:eastAsia="Arial" w:hAnsi="Arial"/>
          <w:sz w:val="17"/>
          <w:szCs w:val="17"/>
          <w:color w:val="auto"/>
        </w:rPr>
        <w:t>the Administrative Agent determines (which determination shall be conclusive absent manifest error) prior to the commencement of any Interest Period for a Term Benchmark Borrowing, that adequate and reasonable means do not exist for ascertaining the Adjusted Term SOFR Rate or the Term SOFR Rate for such Interest Period; or</w:t>
      </w:r>
    </w:p>
    <w:p>
      <w:pPr>
        <w:spacing w:after="0" w:line="136" w:lineRule="exact"/>
        <w:rPr>
          <w:rFonts w:ascii="Arial" w:cs="Arial" w:eastAsia="Arial" w:hAnsi="Arial"/>
          <w:sz w:val="17"/>
          <w:szCs w:val="17"/>
          <w:color w:val="auto"/>
        </w:rPr>
      </w:pPr>
    </w:p>
    <w:p>
      <w:pPr>
        <w:jc w:val="both"/>
        <w:ind w:left="340" w:firstLine="791"/>
        <w:spacing w:after="0" w:line="225" w:lineRule="auto"/>
        <w:tabs>
          <w:tab w:leader="none" w:pos="1702" w:val="left"/>
        </w:tabs>
        <w:numPr>
          <w:ilvl w:val="0"/>
          <w:numId w:val="138"/>
        </w:numPr>
        <w:rPr>
          <w:rFonts w:ascii="Arial" w:cs="Arial" w:eastAsia="Arial" w:hAnsi="Arial"/>
          <w:sz w:val="17"/>
          <w:szCs w:val="17"/>
          <w:color w:val="auto"/>
        </w:rPr>
      </w:pPr>
      <w:r>
        <w:rPr>
          <w:rFonts w:ascii="Arial" w:cs="Arial" w:eastAsia="Arial" w:hAnsi="Arial"/>
          <w:sz w:val="17"/>
          <w:szCs w:val="17"/>
          <w:color w:val="auto"/>
        </w:rPr>
        <w:t>the Administrative Agent is advised by the Required Lenders that prior to the commencement of any Interest Period for a Term Benchmark Borrowing or the Adjusted Term SOFR Rate for such Interest Period will not adequately and fairly reflect the cost to such Lenders (or Lender) of making or maintaining their Loans (or its Loan) included in such Borrowing for such Interest Period;</w:t>
      </w:r>
    </w:p>
    <w:p>
      <w:pPr>
        <w:spacing w:after="0" w:line="137" w:lineRule="exact"/>
        <w:rPr>
          <w:sz w:val="20"/>
          <w:szCs w:val="20"/>
          <w:color w:val="auto"/>
        </w:rPr>
      </w:pPr>
    </w:p>
    <w:p>
      <w:pPr>
        <w:jc w:val="both"/>
        <w:spacing w:after="0" w:line="238" w:lineRule="auto"/>
        <w:rPr>
          <w:sz w:val="20"/>
          <w:szCs w:val="20"/>
          <w:color w:val="auto"/>
        </w:rPr>
      </w:pPr>
      <w:r>
        <w:rPr>
          <w:rFonts w:ascii="Arial" w:cs="Arial" w:eastAsia="Arial" w:hAnsi="Arial"/>
          <w:sz w:val="15"/>
          <w:szCs w:val="15"/>
          <w:color w:val="auto"/>
        </w:rPr>
        <w:t>then the Administrative Agent shall give notice thereof to the Borrower and the Lenders by telephone, telecopy or electronic mail as promptly as practicable thereafter and, until (x) the Administrative Agent notifies the Borrower and the Lenders that the circumstances giving rise to such notice no longer exist with respect to the relevant Benchmark and (y) the Borrower delivers a new Interest Election Request in accordance with the terms of Section 2.05 or a new Borrowing Request in accordance with the terms of Section 2.03, any Interest Election Request that requests the conversion of any Borrowing to, or continuation of any Borrowing as, a Term Benchmark Borrowing and any Borrowing Request that requests a Term Benchmark Borrowing shall instead be deemed to be an Interest Election Request or a Borrowing Request, as applicable, for an ABR Borrowing. Furthermore, if any Term Benchmark Loan is outstanding on the date of the Borrower’s receipt of the notice from the Administrative Agent referred to in this Section 2.12(a), then until (x) the Administrative Agent notifies the Borrower and the Lenders that the circumstances giving rise to such notice no longer exist with respect to the relevant Benchmark and (y) the Borrower delivers a new Interest Election Request in accordance with the terms of Section 2.05 or a new Borrowing Request in accordance with the terms of Section 2.03, (1) any Term Benchmark Loan shall on the last day of the Interest Period applicable to such Loan (or the next succeeding Business Day if such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ectPr>
          <w:pgSz w:w="11900" w:h="16838" w:orient="portrait"/>
          <w:cols w:equalWidth="0" w:num="1">
            <w:col w:w="11260"/>
          </w:cols>
          <w:pgMar w:left="320" w:top="1440" w:right="319" w:bottom="1440" w:gutter="0" w:footer="0" w:header="0"/>
        </w:sectPr>
      </w:pPr>
    </w:p>
    <w:bookmarkStart w:id="263" w:name="page264"/>
    <w:bookmarkEnd w:id="263"/>
    <w:p>
      <w:pPr>
        <w:spacing w:after="0" w:line="390" w:lineRule="exact"/>
        <w:rPr>
          <w:sz w:val="20"/>
          <w:szCs w:val="20"/>
          <w:color w:val="auto"/>
        </w:rPr>
      </w:pPr>
    </w:p>
    <w:p>
      <w:pPr>
        <w:spacing w:after="0"/>
        <w:rPr>
          <w:sz w:val="20"/>
          <w:szCs w:val="20"/>
          <w:color w:val="auto"/>
        </w:rPr>
      </w:pPr>
      <w:r>
        <w:rPr>
          <w:rFonts w:ascii="Arial" w:cs="Arial" w:eastAsia="Arial" w:hAnsi="Arial"/>
          <w:sz w:val="17"/>
          <w:szCs w:val="17"/>
          <w:color w:val="auto"/>
        </w:rPr>
        <w:t>is not a Business Day), be converted by the Administrative Agent to, and shall constitute, an ABR Loan.</w:t>
      </w:r>
    </w:p>
    <w:p>
      <w:pPr>
        <w:spacing w:after="0" w:line="160" w:lineRule="exact"/>
        <w:rPr>
          <w:sz w:val="20"/>
          <w:szCs w:val="20"/>
          <w:color w:val="auto"/>
        </w:rPr>
      </w:pPr>
    </w:p>
    <w:p>
      <w:pPr>
        <w:jc w:val="both"/>
        <w:ind w:firstLine="563"/>
        <w:spacing w:after="0" w:line="222" w:lineRule="auto"/>
        <w:tabs>
          <w:tab w:leader="none" w:pos="1126" w:val="left"/>
        </w:tabs>
        <w:numPr>
          <w:ilvl w:val="0"/>
          <w:numId w:val="139"/>
        </w:numPr>
        <w:rPr>
          <w:rFonts w:ascii="Arial" w:cs="Arial" w:eastAsia="Arial" w:hAnsi="Arial"/>
          <w:sz w:val="16"/>
          <w:szCs w:val="16"/>
          <w:color w:val="auto"/>
        </w:rPr>
      </w:pPr>
      <w:r>
        <w:rPr>
          <w:rFonts w:ascii="Arial" w:cs="Arial" w:eastAsia="Arial" w:hAnsi="Arial"/>
          <w:sz w:val="16"/>
          <w:szCs w:val="16"/>
          <w:color w:val="auto"/>
        </w:rPr>
        <w:t>Notwithstanding anything to the contrary herein or in any other Loan Document (and any Swap Agreement shall be deemed not to be a “Loan Document” for purposes of this Section 2.12), if a Benchmark Transition Event and its related Benchmark Replacement Date have occurred prior to the Reference Time in respect of any setting of the then-current Benchmark, then (x) if a Benchmark Replacement is determined in accordance with clause (1)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(2)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of each affected Class.</w:t>
      </w:r>
    </w:p>
    <w:p>
      <w:pPr>
        <w:spacing w:after="0" w:line="140" w:lineRule="exact"/>
        <w:rPr>
          <w:rFonts w:ascii="Arial" w:cs="Arial" w:eastAsia="Arial" w:hAnsi="Arial"/>
          <w:sz w:val="16"/>
          <w:szCs w:val="16"/>
          <w:color w:val="auto"/>
        </w:rPr>
      </w:pPr>
    </w:p>
    <w:p>
      <w:pPr>
        <w:jc w:val="both"/>
        <w:ind w:right="20" w:firstLine="563"/>
        <w:spacing w:after="0" w:line="234" w:lineRule="auto"/>
        <w:tabs>
          <w:tab w:leader="none" w:pos="1128" w:val="left"/>
        </w:tabs>
        <w:numPr>
          <w:ilvl w:val="0"/>
          <w:numId w:val="139"/>
        </w:numPr>
        <w:rPr>
          <w:rFonts w:ascii="Arial" w:cs="Arial" w:eastAsia="Arial" w:hAnsi="Arial"/>
          <w:sz w:val="16"/>
          <w:szCs w:val="16"/>
          <w:color w:val="auto"/>
        </w:rPr>
      </w:pPr>
      <w:r>
        <w:rPr>
          <w:rFonts w:ascii="Arial" w:cs="Arial" w:eastAsia="Arial" w:hAnsi="Arial"/>
          <w:sz w:val="16"/>
          <w:szCs w:val="16"/>
          <w:color w:val="auto"/>
        </w:rPr>
        <w:t>Notwithstanding anything to the contrary herein or in any other Loan Document, in connection with the use, administration, adoption or implementation of 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134" w:lineRule="exact"/>
        <w:rPr>
          <w:rFonts w:ascii="Arial" w:cs="Arial" w:eastAsia="Arial" w:hAnsi="Arial"/>
          <w:sz w:val="16"/>
          <w:szCs w:val="16"/>
          <w:color w:val="auto"/>
        </w:rPr>
      </w:pPr>
    </w:p>
    <w:p>
      <w:pPr>
        <w:jc w:val="both"/>
        <w:ind w:firstLine="563"/>
        <w:spacing w:after="0" w:line="226" w:lineRule="auto"/>
        <w:tabs>
          <w:tab w:leader="none" w:pos="1126"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The Administrative Agent will promptly notify the Borrower and the Lenders of (i) any occurrence of a Benchmark Transition Event, (ii) the implementation of any Benchmark Replacement, (iii) the effectiveness of any Benchmark Replacement Conforming Changes, (iv) the removal or reinstatement of any tenor of a Benchmark pursuant to clause (f) below and (v) the commencement or conclusion of any Benchmark Unavailability Period. Any determination, decision or election that may be made by the Administrative Agent or, if applicable, any Lender (or group of Lenders) pursuant to this Section 2.12,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2.12.</w:t>
      </w:r>
    </w:p>
    <w:p>
      <w:pPr>
        <w:spacing w:after="0" w:line="136" w:lineRule="exact"/>
        <w:rPr>
          <w:rFonts w:ascii="Arial" w:cs="Arial" w:eastAsia="Arial" w:hAnsi="Arial"/>
          <w:sz w:val="16"/>
          <w:szCs w:val="16"/>
          <w:color w:val="auto"/>
        </w:rPr>
      </w:pPr>
    </w:p>
    <w:p>
      <w:pPr>
        <w:jc w:val="both"/>
        <w:ind w:firstLine="563"/>
        <w:spacing w:after="0" w:line="230" w:lineRule="auto"/>
        <w:tabs>
          <w:tab w:leader="none" w:pos="1128" w:val="left"/>
        </w:tabs>
        <w:numPr>
          <w:ilvl w:val="0"/>
          <w:numId w:val="139"/>
        </w:numPr>
        <w:rPr>
          <w:rFonts w:ascii="Arial" w:cs="Arial" w:eastAsia="Arial" w:hAnsi="Arial"/>
          <w:sz w:val="16"/>
          <w:szCs w:val="16"/>
          <w:color w:val="auto"/>
        </w:rPr>
      </w:pPr>
      <w:r>
        <w:rPr>
          <w:rFonts w:ascii="Arial" w:cs="Arial" w:eastAsia="Arial" w:hAnsi="Arial"/>
          <w:sz w:val="16"/>
          <w:szCs w:val="16"/>
          <w:color w:val="auto"/>
        </w:rPr>
        <w:t>Notwithstanding anything to the contrary herein or in any other Loan Document, at any time (including in connection with the implementation of a Benchmark Replacement), (i) if the then-current Benchmark is a term rate (including the Term SOFR Rate) and either (A) any tenor for such Benchmark is not displayed on a screen or other information service that publishes such rate from time to time as selected by the Administrative Agent in its reasonable discretion or (B) administrator of such Benchmark or the regulatory supervisor for the administrator of such Benchmark has provided a public statement or publication of information announcing that any tenor for such Benchmark is or will be no longer representative, then the Administrative Agent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90</w:t>
      </w:r>
    </w:p>
    <w:p>
      <w:pPr>
        <w:sectPr>
          <w:pgSz w:w="11900" w:h="16838" w:orient="portrait"/>
          <w:cols w:equalWidth="0" w:num="1">
            <w:col w:w="11260"/>
          </w:cols>
          <w:pgMar w:left="320" w:top="1440" w:right="319" w:bottom="1440" w:gutter="0" w:footer="0" w:header="0"/>
        </w:sectPr>
      </w:pPr>
    </w:p>
    <w:bookmarkStart w:id="264" w:name="page265"/>
    <w:bookmarkEnd w:id="264"/>
    <w:p>
      <w:pPr>
        <w:spacing w:after="0" w:line="390" w:lineRule="exact"/>
        <w:rPr>
          <w:sz w:val="20"/>
          <w:szCs w:val="20"/>
          <w:color w:val="auto"/>
        </w:rPr>
      </w:pPr>
    </w:p>
    <w:p>
      <w:pPr>
        <w:jc w:val="both"/>
        <w:ind w:right="20"/>
        <w:spacing w:after="0" w:line="216" w:lineRule="auto"/>
        <w:rPr>
          <w:sz w:val="20"/>
          <w:szCs w:val="20"/>
          <w:color w:val="auto"/>
        </w:rPr>
      </w:pPr>
      <w:r>
        <w:rPr>
          <w:rFonts w:ascii="Arial" w:cs="Arial" w:eastAsia="Arial" w:hAnsi="Arial"/>
          <w:sz w:val="17"/>
          <w:szCs w:val="17"/>
          <w:color w:val="auto"/>
        </w:rPr>
        <w:t>modify the definition of “Interest Period” for any Benchmark settings at or after such time to remove such unavailable, non-representative, non-compliant or non-aligned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138" w:lineRule="exact"/>
        <w:rPr>
          <w:sz w:val="20"/>
          <w:szCs w:val="20"/>
          <w:color w:val="auto"/>
        </w:rPr>
      </w:pPr>
    </w:p>
    <w:p>
      <w:pPr>
        <w:jc w:val="both"/>
        <w:ind w:firstLine="563"/>
        <w:spacing w:after="0" w:line="210" w:lineRule="auto"/>
        <w:tabs>
          <w:tab w:leader="none" w:pos="1132" w:val="left"/>
        </w:tabs>
        <w:numPr>
          <w:ilvl w:val="0"/>
          <w:numId w:val="140"/>
        </w:numPr>
        <w:rPr>
          <w:rFonts w:ascii="Arial" w:cs="Arial" w:eastAsia="Arial" w:hAnsi="Arial"/>
          <w:sz w:val="17"/>
          <w:szCs w:val="17"/>
          <w:color w:val="auto"/>
        </w:rPr>
      </w:pPr>
      <w:r>
        <w:rPr>
          <w:rFonts w:ascii="Arial" w:cs="Arial" w:eastAsia="Arial" w:hAnsi="Arial"/>
          <w:sz w:val="17"/>
          <w:szCs w:val="17"/>
          <w:color w:val="auto"/>
        </w:rPr>
        <w:t>Upon the Borrower’s receipt of notice of the commencement of a Benchmark Unavailability Period, the Borrower may revoke any request for a Term Benchmark Borrowing of, conversion to or continuation of Term Benchmark Loans to be made, converted or continued during any Benchmark Unavailability Period and, failing that, either the Borrower will be deemed to have converted any request for a Term Benchmark Borrowing into a request for a Borrowing of or conversion to an ABR Borrowing. During any Benchmark Unavailability Period or at any time that a tenor for the then-current Benchmark is not an Available Tenor, the component of ABR based upon the then-current Benchmark or such tenor for such Benchmark, as applicable, will not be used in any determination of ABR. Furthermore, if any Term Benchmark Loan is outstanding on the date of the Borrower’s receipt of notice of the commencement of a Benchmark Unavailability Period, then until such time as a Benchmark Replacement is implemented pursuant to this Section 2.12, (1) any Term Benchmark Loan shall on the last day of the Interest Period applicable to such Loan (or the next succeeding Business Day if such day is not a Business Day), be converted by the Administrative Agent to, and shall constitute, an ABR Loan.</w:t>
      </w:r>
    </w:p>
    <w:p>
      <w:pPr>
        <w:spacing w:after="0" w:line="142" w:lineRule="exact"/>
        <w:rPr>
          <w:sz w:val="20"/>
          <w:szCs w:val="20"/>
          <w:color w:val="auto"/>
        </w:rPr>
      </w:pPr>
    </w:p>
    <w:p>
      <w:pPr>
        <w:ind w:left="560"/>
        <w:spacing w:after="0"/>
        <w:tabs>
          <w:tab w:leader="none" w:pos="1680" w:val="left"/>
        </w:tabs>
        <w:rPr>
          <w:sz w:val="20"/>
          <w:szCs w:val="20"/>
          <w:color w:val="auto"/>
        </w:rPr>
      </w:pPr>
      <w:r>
        <w:rPr>
          <w:rFonts w:ascii="Arial" w:cs="Arial" w:eastAsia="Arial" w:hAnsi="Arial"/>
          <w:sz w:val="17"/>
          <w:szCs w:val="17"/>
          <w:color w:val="auto"/>
        </w:rPr>
        <w:t>Section 1.13.</w:t>
      </w:r>
      <w:r>
        <w:rPr>
          <w:sz w:val="20"/>
          <w:szCs w:val="20"/>
          <w:color w:val="auto"/>
        </w:rPr>
        <w:tab/>
      </w:r>
      <w:r>
        <w:rPr>
          <w:rFonts w:ascii="Arial" w:cs="Arial" w:eastAsia="Arial" w:hAnsi="Arial"/>
          <w:sz w:val="15"/>
          <w:szCs w:val="15"/>
          <w:i w:val="1"/>
          <w:iCs w:val="1"/>
          <w:color w:val="auto"/>
        </w:rPr>
        <w:t>Increased Costs</w:t>
      </w:r>
      <w:r>
        <w:rPr>
          <w:rFonts w:ascii="Arial" w:cs="Arial" w:eastAsia="Arial" w:hAnsi="Arial"/>
          <w:sz w:val="15"/>
          <w:szCs w:val="15"/>
          <w:color w:val="auto"/>
        </w:rPr>
        <w:t>.</w:t>
      </w:r>
    </w:p>
    <w:p>
      <w:pPr>
        <w:spacing w:after="0" w:line="160" w:lineRule="exact"/>
        <w:rPr>
          <w:sz w:val="20"/>
          <w:szCs w:val="20"/>
          <w:color w:val="auto"/>
        </w:rPr>
      </w:pPr>
    </w:p>
    <w:p>
      <w:pPr>
        <w:ind w:left="1120" w:hanging="557"/>
        <w:spacing w:after="0"/>
        <w:tabs>
          <w:tab w:leader="none" w:pos="112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If any Change in Law shall:</w:t>
      </w:r>
    </w:p>
    <w:p>
      <w:pPr>
        <w:spacing w:after="0" w:line="159" w:lineRule="exact"/>
        <w:rPr>
          <w:rFonts w:ascii="Arial" w:cs="Arial" w:eastAsia="Arial" w:hAnsi="Arial"/>
          <w:sz w:val="17"/>
          <w:szCs w:val="17"/>
          <w:color w:val="auto"/>
        </w:rPr>
      </w:pPr>
    </w:p>
    <w:p>
      <w:pPr>
        <w:jc w:val="both"/>
        <w:ind w:left="340" w:firstLine="791"/>
        <w:spacing w:after="0" w:line="225" w:lineRule="auto"/>
        <w:tabs>
          <w:tab w:leader="none" w:pos="1702" w:val="left"/>
        </w:tabs>
        <w:numPr>
          <w:ilvl w:val="1"/>
          <w:numId w:val="141"/>
        </w:numPr>
        <w:rPr>
          <w:rFonts w:ascii="Arial" w:cs="Arial" w:eastAsia="Arial" w:hAnsi="Arial"/>
          <w:sz w:val="17"/>
          <w:szCs w:val="17"/>
          <w:color w:val="auto"/>
        </w:rPr>
      </w:pPr>
      <w:r>
        <w:rPr>
          <w:rFonts w:ascii="Arial" w:cs="Arial" w:eastAsia="Arial" w:hAnsi="Arial"/>
          <w:sz w:val="17"/>
          <w:szCs w:val="17"/>
          <w:color w:val="auto"/>
        </w:rPr>
        <w:t>impose, modify or deem applicable any reserve, special deposit, compulsory loan, insurance charge or similar requirement against assets of, deposits with or for the account of, or credit extended by, any Lender or any Issuing Bank (except any such reserve requirement reflected in the Adjusted Term SOFR Rate); or</w:t>
      </w:r>
    </w:p>
    <w:p>
      <w:pPr>
        <w:spacing w:after="0" w:line="136" w:lineRule="exact"/>
        <w:rPr>
          <w:rFonts w:ascii="Arial" w:cs="Arial" w:eastAsia="Arial" w:hAnsi="Arial"/>
          <w:sz w:val="17"/>
          <w:szCs w:val="17"/>
          <w:color w:val="auto"/>
        </w:rPr>
      </w:pPr>
    </w:p>
    <w:p>
      <w:pPr>
        <w:jc w:val="both"/>
        <w:ind w:left="340" w:right="20" w:firstLine="791"/>
        <w:spacing w:after="0" w:line="225" w:lineRule="auto"/>
        <w:tabs>
          <w:tab w:leader="none" w:pos="1702" w:val="left"/>
        </w:tabs>
        <w:numPr>
          <w:ilvl w:val="1"/>
          <w:numId w:val="141"/>
        </w:numPr>
        <w:rPr>
          <w:rFonts w:ascii="Arial" w:cs="Arial" w:eastAsia="Arial" w:hAnsi="Arial"/>
          <w:sz w:val="17"/>
          <w:szCs w:val="17"/>
          <w:color w:val="auto"/>
        </w:rPr>
      </w:pPr>
      <w:r>
        <w:rPr>
          <w:rFonts w:ascii="Arial" w:cs="Arial" w:eastAsia="Arial" w:hAnsi="Arial"/>
          <w:sz w:val="17"/>
          <w:szCs w:val="17"/>
          <w:color w:val="auto"/>
        </w:rPr>
        <w:t>impose on any Lender or any Issuing Bank or the applicable offshore interbank market any other condition, cost or expense affecting this Agreement or Loans made by such Lender or any Letter of Credit or participation therein (in each case, other than any (A) Excluded Taxes, (B) Indemnified Taxes or (C) Other Taxes);</w:t>
      </w:r>
    </w:p>
    <w:p>
      <w:pPr>
        <w:spacing w:after="0" w:line="137" w:lineRule="exact"/>
        <w:rPr>
          <w:sz w:val="20"/>
          <w:szCs w:val="20"/>
          <w:color w:val="auto"/>
        </w:rPr>
      </w:pPr>
    </w:p>
    <w:p>
      <w:pPr>
        <w:jc w:val="both"/>
        <w:spacing w:after="0" w:line="214" w:lineRule="auto"/>
        <w:rPr>
          <w:sz w:val="20"/>
          <w:szCs w:val="20"/>
          <w:color w:val="auto"/>
        </w:rPr>
      </w:pPr>
      <w:r>
        <w:rPr>
          <w:rFonts w:ascii="Arial" w:cs="Arial" w:eastAsia="Arial" w:hAnsi="Arial"/>
          <w:sz w:val="17"/>
          <w:szCs w:val="17"/>
          <w:color w:val="auto"/>
        </w:rPr>
        <w:t>and the result of any of the foregoing shall be to increase the cost to such Lender of making or maintaining any Loan (or of maintaining its obligation to make any such Loan or to increase the cost of such Lender or Issuing Bank of participating in, issuing or maintaining any Letter of Credit (or of maintaining its obligation to participate in or issue any Letter of Credit) or to reduce the amount of any sum received or receivable by such Lender or Issuing Bank hereunder (whether of principal, interest or otherwise), then, from time to time upon request of such Lender or Issuing Bank, the Borrower will pay to such Lender or Issuing Bank, as the case may be, such additional amount or amounts as will compensate such Lender or Issuing Bank, as the case may be, for such increased costs actually incurred or reduction actually suffered.</w:t>
      </w:r>
    </w:p>
    <w:p>
      <w:pPr>
        <w:spacing w:after="0" w:line="138" w:lineRule="exact"/>
        <w:rPr>
          <w:sz w:val="20"/>
          <w:szCs w:val="20"/>
          <w:color w:val="auto"/>
        </w:rPr>
      </w:pPr>
    </w:p>
    <w:p>
      <w:pPr>
        <w:jc w:val="both"/>
        <w:ind w:right="20" w:firstLine="563"/>
        <w:spacing w:after="0" w:line="225" w:lineRule="auto"/>
        <w:tabs>
          <w:tab w:leader="none" w:pos="1126" w:val="left"/>
        </w:tabs>
        <w:numPr>
          <w:ilvl w:val="0"/>
          <w:numId w:val="142"/>
        </w:numPr>
        <w:rPr>
          <w:rFonts w:ascii="Arial" w:cs="Arial" w:eastAsia="Arial" w:hAnsi="Arial"/>
          <w:sz w:val="17"/>
          <w:szCs w:val="17"/>
          <w:color w:val="auto"/>
        </w:rPr>
      </w:pPr>
      <w:r>
        <w:rPr>
          <w:rFonts w:ascii="Arial" w:cs="Arial" w:eastAsia="Arial" w:hAnsi="Arial"/>
          <w:sz w:val="17"/>
          <w:szCs w:val="17"/>
          <w:color w:val="auto"/>
        </w:rPr>
        <w:t>If any Lender or Issuing Bank determines that any Change in Law regarding capital requirements has the effect of reducing the rate of return on such Lender’s or Issuing Bank’s capital or on the capital of such Lender’s or Issuing Bank’s holding company, if any, as a consequence of this Agreement or the Loans made by,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ectPr>
          <w:pgSz w:w="11900" w:h="16838" w:orient="portrait"/>
          <w:cols w:equalWidth="0" w:num="1">
            <w:col w:w="11260"/>
          </w:cols>
          <w:pgMar w:left="320" w:top="1440" w:right="319" w:bottom="1440" w:gutter="0" w:footer="0" w:header="0"/>
        </w:sectPr>
      </w:pPr>
    </w:p>
    <w:bookmarkStart w:id="265" w:name="page266"/>
    <w:bookmarkEnd w:id="265"/>
    <w:p>
      <w:pPr>
        <w:spacing w:after="0" w:line="390" w:lineRule="exact"/>
        <w:rPr>
          <w:sz w:val="20"/>
          <w:szCs w:val="20"/>
          <w:color w:val="auto"/>
        </w:rPr>
      </w:pPr>
    </w:p>
    <w:p>
      <w:pPr>
        <w:jc w:val="both"/>
        <w:spacing w:after="0" w:line="230" w:lineRule="auto"/>
        <w:rPr>
          <w:sz w:val="20"/>
          <w:szCs w:val="20"/>
          <w:color w:val="auto"/>
        </w:rPr>
      </w:pPr>
      <w:r>
        <w:rPr>
          <w:rFonts w:ascii="Arial" w:cs="Arial" w:eastAsia="Arial" w:hAnsi="Arial"/>
          <w:sz w:val="16"/>
          <w:szCs w:val="16"/>
          <w:color w:val="auto"/>
        </w:rPr>
        <w:t>participations in Letters of Credit or Swingline Loans held by such Lender, or the Letters of Credit issued by such Issuing Bank, to a level below that which such Lender or Issuing Bank or such Lender’s or Issuing Bank’s holding company could have achieved but for such Change in Law (taking into consideration such Lender’s or Issuing Bank’s policies and the policies of such Lender’s or Issuing Bank’s holding company with respect to capital adequacy), then, from time to time upon request of such Lender or Issuing Bank, the Borrower will pay to such Lender or Issuing Bank, as the case may be, such additional amount or amounts as will compensate such Lender or Issuing Bank or such Lender’s or Issuing Bank’s holding company for any such reduction actually suffered.</w:t>
      </w:r>
    </w:p>
    <w:p>
      <w:pPr>
        <w:spacing w:after="0" w:line="137" w:lineRule="exact"/>
        <w:rPr>
          <w:sz w:val="20"/>
          <w:szCs w:val="20"/>
          <w:color w:val="auto"/>
        </w:rPr>
      </w:pPr>
    </w:p>
    <w:p>
      <w:pPr>
        <w:jc w:val="both"/>
        <w:ind w:firstLine="563"/>
        <w:spacing w:after="0" w:line="220" w:lineRule="auto"/>
        <w:tabs>
          <w:tab w:leader="none" w:pos="1128" w:val="left"/>
        </w:tabs>
        <w:numPr>
          <w:ilvl w:val="0"/>
          <w:numId w:val="143"/>
        </w:numPr>
        <w:rPr>
          <w:rFonts w:ascii="Arial" w:cs="Arial" w:eastAsia="Arial" w:hAnsi="Arial"/>
          <w:sz w:val="17"/>
          <w:szCs w:val="17"/>
          <w:color w:val="auto"/>
        </w:rPr>
      </w:pPr>
      <w:r>
        <w:rPr>
          <w:rFonts w:ascii="Arial" w:cs="Arial" w:eastAsia="Arial" w:hAnsi="Arial"/>
          <w:sz w:val="17"/>
          <w:szCs w:val="17"/>
          <w:color w:val="auto"/>
        </w:rPr>
        <w:t>A certificate of a Lender or an Issuing Bank setting forth the amount or amounts necessary to compensate such Lender or Issuing Bank or its holding company in reasonable detail, as the case may be, as specified in paragraph (a) or (b) of this Section 2.13 delivered to the Borrower shall be conclusive absent manifest error. The Borrower shall pay such Lender or Issuing Bank, as the case may be, the amount shown as due on any such certificate within 15 days after receipt thereof.</w:t>
      </w:r>
    </w:p>
    <w:p>
      <w:pPr>
        <w:spacing w:after="0" w:line="135" w:lineRule="exact"/>
        <w:rPr>
          <w:rFonts w:ascii="Arial" w:cs="Arial" w:eastAsia="Arial" w:hAnsi="Arial"/>
          <w:sz w:val="17"/>
          <w:szCs w:val="17"/>
          <w:color w:val="auto"/>
        </w:rPr>
      </w:pPr>
    </w:p>
    <w:p>
      <w:pPr>
        <w:jc w:val="both"/>
        <w:ind w:firstLine="563"/>
        <w:spacing w:after="0" w:line="214" w:lineRule="auto"/>
        <w:tabs>
          <w:tab w:leader="none" w:pos="1126" w:val="left"/>
        </w:tabs>
        <w:numPr>
          <w:ilvl w:val="0"/>
          <w:numId w:val="143"/>
        </w:numPr>
        <w:rPr>
          <w:rFonts w:ascii="Arial" w:cs="Arial" w:eastAsia="Arial" w:hAnsi="Arial"/>
          <w:sz w:val="17"/>
          <w:szCs w:val="17"/>
          <w:color w:val="auto"/>
        </w:rPr>
      </w:pPr>
      <w:r>
        <w:rPr>
          <w:rFonts w:ascii="Arial" w:cs="Arial" w:eastAsia="Arial" w:hAnsi="Arial"/>
          <w:sz w:val="17"/>
          <w:szCs w:val="17"/>
          <w:color w:val="auto"/>
        </w:rPr>
        <w:t xml:space="preserve">Failure or delay on the part of any Lender or Issuing Bank to demand compensation pursuant to this Section 2.13 shall not constitute a waiver of such Lender’s or Issuing Bank’s right to demand such compensation,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Borrower shall not be required to compensate a Lender or Issuing Bank pursuant to this Section 2.13 for any increased costs incurred or reductions suffered more than 180 days prior to the date that such Lender or Issuing Bank, as the case may be, notifies the Borrower of the Change in Law giving rise to such increased costs or reductions and of such Lender’s or Issuing Bank’s intention to claim compensation therefor;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if the Change in Law giving rise to such increased costs or reductions is retroactive, then the 180-day period referred to above shall be extended to include the period of retroactive effect thereof.</w:t>
      </w:r>
    </w:p>
    <w:p>
      <w:pPr>
        <w:spacing w:after="0" w:line="138" w:lineRule="exact"/>
        <w:rPr>
          <w:sz w:val="20"/>
          <w:szCs w:val="20"/>
          <w:color w:val="auto"/>
        </w:rPr>
      </w:pPr>
    </w:p>
    <w:p>
      <w:pPr>
        <w:jc w:val="both"/>
        <w:ind w:firstLine="568"/>
        <w:spacing w:after="0" w:line="209" w:lineRule="auto"/>
        <w:rPr>
          <w:sz w:val="20"/>
          <w:szCs w:val="20"/>
          <w:color w:val="auto"/>
        </w:rPr>
      </w:pPr>
      <w:r>
        <w:rPr>
          <w:rFonts w:ascii="Arial" w:cs="Arial" w:eastAsia="Arial" w:hAnsi="Arial"/>
          <w:sz w:val="17"/>
          <w:szCs w:val="17"/>
          <w:color w:val="auto"/>
        </w:rPr>
        <w:t xml:space="preserve">Section 1.14. </w:t>
      </w:r>
      <w:r>
        <w:rPr>
          <w:rFonts w:ascii="Arial" w:cs="Arial" w:eastAsia="Arial" w:hAnsi="Arial"/>
          <w:sz w:val="17"/>
          <w:szCs w:val="17"/>
          <w:i w:val="1"/>
          <w:iCs w:val="1"/>
          <w:color w:val="auto"/>
        </w:rPr>
        <w:t>Break Funding Payments.</w:t>
      </w:r>
      <w:r>
        <w:rPr>
          <w:rFonts w:ascii="Arial" w:cs="Arial" w:eastAsia="Arial" w:hAnsi="Arial"/>
          <w:sz w:val="17"/>
          <w:szCs w:val="17"/>
          <w:color w:val="auto"/>
        </w:rPr>
        <w:t xml:space="preserve"> In the event of (i) the payment of any principal of any Term Benchmark Loan other than on the last day of an Interest Period applicable thereto (including as a result of an Event of Default or an optional or mandatory prepayment of Loans), (ii) the conversion of any Term Benchmark Loan other than on the last day of the Interest Period applicable thereto, (iii) the failure to borrow, convert, continue or prepay any Term Benchmark Loan on the date specified in any notice delivered pursuant hereto (regardless of whether such notice may be revoked under Section 2.09(e) and is revoked in accordance therewith), (iv) the assignment of any Term Benchmark Loan other than on the last day of the Interest Period applicable thereto as a result of a request by the Borrower pursuant to Section 2.17 or (v) the failure by the Borrower to make any payment of any Loan or drawing under any Letter of Credit (or interest due thereof) on its scheduled due date or any payment thereof in a different currency, then, in any such event, the Borrower shall compensate each Lender for the loss, cost and expense attributable to such event. A certificate of any Lender setting forth any amount or amounts that such Lender is entitled to receive pursuant to this Section shall be delivered to the Borrower and shall be conclusive absent manifest error. The Borrower shall pay such Lender the amount shown as due on any such certificate within 15 days after receipt thereof. This Section 2.14 shall not apply with respect to Taxes other than any Taxes arising from any non-Tax claim.</w:t>
      </w:r>
    </w:p>
    <w:p>
      <w:pPr>
        <w:spacing w:after="0" w:line="140" w:lineRule="exact"/>
        <w:rPr>
          <w:sz w:val="20"/>
          <w:szCs w:val="20"/>
          <w:color w:val="auto"/>
        </w:rPr>
      </w:pPr>
    </w:p>
    <w:p>
      <w:pPr>
        <w:ind w:left="560"/>
        <w:spacing w:after="0"/>
        <w:tabs>
          <w:tab w:leader="none" w:pos="1680" w:val="left"/>
        </w:tabs>
        <w:rPr>
          <w:sz w:val="20"/>
          <w:szCs w:val="20"/>
          <w:color w:val="auto"/>
        </w:rPr>
      </w:pPr>
      <w:r>
        <w:rPr>
          <w:rFonts w:ascii="Arial" w:cs="Arial" w:eastAsia="Arial" w:hAnsi="Arial"/>
          <w:sz w:val="17"/>
          <w:szCs w:val="17"/>
          <w:color w:val="auto"/>
        </w:rPr>
        <w:t>Section 1.15.</w:t>
      </w:r>
      <w:r>
        <w:rPr>
          <w:sz w:val="20"/>
          <w:szCs w:val="20"/>
          <w:color w:val="auto"/>
        </w:rPr>
        <w:tab/>
      </w:r>
      <w:r>
        <w:rPr>
          <w:rFonts w:ascii="Arial" w:cs="Arial" w:eastAsia="Arial" w:hAnsi="Arial"/>
          <w:sz w:val="14"/>
          <w:szCs w:val="14"/>
          <w:i w:val="1"/>
          <w:iCs w:val="1"/>
          <w:color w:val="auto"/>
        </w:rPr>
        <w:t>Taxes</w:t>
      </w:r>
      <w:r>
        <w:rPr>
          <w:rFonts w:ascii="Arial" w:cs="Arial" w:eastAsia="Arial" w:hAnsi="Arial"/>
          <w:sz w:val="14"/>
          <w:szCs w:val="14"/>
          <w:color w:val="auto"/>
        </w:rPr>
        <w:t>.</w:t>
      </w:r>
    </w:p>
    <w:p>
      <w:pPr>
        <w:spacing w:after="0" w:line="160" w:lineRule="exact"/>
        <w:rPr>
          <w:sz w:val="20"/>
          <w:szCs w:val="20"/>
          <w:color w:val="auto"/>
        </w:rPr>
      </w:pPr>
    </w:p>
    <w:p>
      <w:pPr>
        <w:jc w:val="both"/>
        <w:ind w:firstLine="563"/>
        <w:spacing w:after="0" w:line="225" w:lineRule="auto"/>
        <w:tabs>
          <w:tab w:leader="none" w:pos="1128" w:val="left"/>
        </w:tabs>
        <w:numPr>
          <w:ilvl w:val="0"/>
          <w:numId w:val="144"/>
        </w:numPr>
        <w:rPr>
          <w:rFonts w:ascii="Arial" w:cs="Arial" w:eastAsia="Arial" w:hAnsi="Arial"/>
          <w:sz w:val="17"/>
          <w:szCs w:val="17"/>
          <w:color w:val="auto"/>
        </w:rPr>
      </w:pPr>
      <w:r>
        <w:rPr>
          <w:rFonts w:ascii="Arial" w:cs="Arial" w:eastAsia="Arial" w:hAnsi="Arial"/>
          <w:sz w:val="17"/>
          <w:szCs w:val="17"/>
          <w:color w:val="auto"/>
        </w:rPr>
        <w:t xml:space="preserve">Any and all payments by or on account of any obligation of any Loan Party under any Loan Document shall be made free and clear of and without deduction or withholding for any Indemnified Taxes or Other Taxes,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applicable withholding agent shall be required by applicable Requirements of Law (as determined in the good faith discretion of the applicable withholding agent) to deduct any Indemnified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ectPr>
          <w:pgSz w:w="11900" w:h="16838" w:orient="portrait"/>
          <w:cols w:equalWidth="0" w:num="1">
            <w:col w:w="11260"/>
          </w:cols>
          <w:pgMar w:left="320" w:top="1440" w:right="319" w:bottom="1440" w:gutter="0" w:footer="0" w:header="0"/>
        </w:sectPr>
      </w:pPr>
    </w:p>
    <w:bookmarkStart w:id="266" w:name="page267"/>
    <w:bookmarkEnd w:id="266"/>
    <w:p>
      <w:pPr>
        <w:spacing w:after="0" w:line="390" w:lineRule="exact"/>
        <w:rPr>
          <w:sz w:val="20"/>
          <w:szCs w:val="20"/>
          <w:color w:val="auto"/>
        </w:rPr>
      </w:pPr>
    </w:p>
    <w:p>
      <w:pPr>
        <w:jc w:val="both"/>
        <w:spacing w:after="0" w:line="230" w:lineRule="auto"/>
        <w:rPr>
          <w:sz w:val="20"/>
          <w:szCs w:val="20"/>
          <w:color w:val="auto"/>
        </w:rPr>
      </w:pPr>
      <w:r>
        <w:rPr>
          <w:rFonts w:ascii="Arial" w:cs="Arial" w:eastAsia="Arial" w:hAnsi="Arial"/>
          <w:sz w:val="16"/>
          <w:szCs w:val="16"/>
          <w:color w:val="auto"/>
        </w:rPr>
        <w:t>Taxes or Other Taxes from such payments, then (i) the amount payable by the applicable Loan Party shall be increased as necessary so that after all required deductions have been made (including deductions applicable to additional amounts payable under this Section 2.15) the applicable Lender (or, in the case of any amount received by the Administrative Agent for its own account, the Administrative Agent) receives an amount equal to the sum it would have received had no such deductions been made, (ii) the applicable withholding agent shall make such deductions and (iii) the applicable withholding agent shall timely pay the full amount deducted to the relevant Governmental Authority in accordance with applicable Requirements of Law.</w:t>
      </w:r>
    </w:p>
    <w:p>
      <w:pPr>
        <w:spacing w:after="0" w:line="137" w:lineRule="exact"/>
        <w:rPr>
          <w:sz w:val="20"/>
          <w:szCs w:val="20"/>
          <w:color w:val="auto"/>
        </w:rPr>
      </w:pPr>
    </w:p>
    <w:p>
      <w:pPr>
        <w:ind w:right="20" w:firstLine="563"/>
        <w:spacing w:after="0" w:line="237" w:lineRule="auto"/>
        <w:tabs>
          <w:tab w:leader="none" w:pos="1126" w:val="left"/>
        </w:tabs>
        <w:numPr>
          <w:ilvl w:val="0"/>
          <w:numId w:val="145"/>
        </w:numPr>
        <w:rPr>
          <w:rFonts w:ascii="Arial" w:cs="Arial" w:eastAsia="Arial" w:hAnsi="Arial"/>
          <w:sz w:val="17"/>
          <w:szCs w:val="17"/>
          <w:color w:val="auto"/>
        </w:rPr>
      </w:pPr>
      <w:r>
        <w:rPr>
          <w:rFonts w:ascii="Arial" w:cs="Arial" w:eastAsia="Arial" w:hAnsi="Arial"/>
          <w:sz w:val="17"/>
          <w:szCs w:val="17"/>
          <w:color w:val="auto"/>
        </w:rPr>
        <w:t>Without limiting the provisions of paragraph (a) above, the Borrower shall timely pay any Other Taxes to the relevant Governmental Authority in accordance with Requirements of Law.</w:t>
      </w:r>
    </w:p>
    <w:p>
      <w:pPr>
        <w:spacing w:after="0" w:line="134" w:lineRule="exact"/>
        <w:rPr>
          <w:rFonts w:ascii="Arial" w:cs="Arial" w:eastAsia="Arial" w:hAnsi="Arial"/>
          <w:sz w:val="17"/>
          <w:szCs w:val="17"/>
          <w:color w:val="auto"/>
        </w:rPr>
      </w:pPr>
    </w:p>
    <w:p>
      <w:pPr>
        <w:jc w:val="both"/>
        <w:ind w:firstLine="563"/>
        <w:spacing w:after="0" w:line="213" w:lineRule="auto"/>
        <w:tabs>
          <w:tab w:leader="none" w:pos="1128" w:val="left"/>
        </w:tabs>
        <w:numPr>
          <w:ilvl w:val="0"/>
          <w:numId w:val="145"/>
        </w:numPr>
        <w:rPr>
          <w:rFonts w:ascii="Arial" w:cs="Arial" w:eastAsia="Arial" w:hAnsi="Arial"/>
          <w:sz w:val="17"/>
          <w:szCs w:val="17"/>
          <w:color w:val="auto"/>
        </w:rPr>
      </w:pPr>
      <w:r>
        <w:rPr>
          <w:rFonts w:ascii="Arial" w:cs="Arial" w:eastAsia="Arial" w:hAnsi="Arial"/>
          <w:sz w:val="17"/>
          <w:szCs w:val="17"/>
          <w:color w:val="auto"/>
        </w:rPr>
        <w:t>The Borrower shall indemnify the Administrative Agent and each Lender, within 30 days after written demand therefor, for the full amount of any Indemnified Taxes payable by the Administrative Agent or such Lender, as the case may be, on or with respect to any payment by or on account of any obligation of any Loan Party under any Loan Document and any Other Taxes (including Indemnified Taxes or Other Taxes imposed or asserted on or attributable to amounts payable under this Section 2.15) and any reasonable expenses arising therefrom or with respect thereto, whether or not such Indemnified Taxes or Other Taxes were correctly or legally imposed or asserted by the relevant Governmental Authority. A certificate setting forth in reasonable detail the basis and calculation of the amount of such payment or liability delivered to the Borrower by a Lender, or by the Administrative Agent on its own behalf or on behalf of a Lender, shall be conclusive absent manifest error.</w:t>
      </w:r>
    </w:p>
    <w:p>
      <w:pPr>
        <w:spacing w:after="0" w:line="135" w:lineRule="exact"/>
        <w:rPr>
          <w:rFonts w:ascii="Arial" w:cs="Arial" w:eastAsia="Arial" w:hAnsi="Arial"/>
          <w:sz w:val="17"/>
          <w:szCs w:val="17"/>
          <w:color w:val="auto"/>
        </w:rPr>
      </w:pPr>
    </w:p>
    <w:p>
      <w:pPr>
        <w:jc w:val="both"/>
        <w:ind w:firstLine="563"/>
        <w:spacing w:after="0" w:line="225" w:lineRule="auto"/>
        <w:tabs>
          <w:tab w:leader="none" w:pos="1126" w:val="left"/>
        </w:tabs>
        <w:numPr>
          <w:ilvl w:val="0"/>
          <w:numId w:val="145"/>
        </w:numPr>
        <w:rPr>
          <w:rFonts w:ascii="Arial" w:cs="Arial" w:eastAsia="Arial" w:hAnsi="Arial"/>
          <w:sz w:val="17"/>
          <w:szCs w:val="17"/>
          <w:color w:val="auto"/>
        </w:rPr>
      </w:pPr>
      <w:r>
        <w:rPr>
          <w:rFonts w:ascii="Arial" w:cs="Arial" w:eastAsia="Arial" w:hAnsi="Arial"/>
          <w:sz w:val="17"/>
          <w:szCs w:val="17"/>
          <w:color w:val="auto"/>
        </w:rPr>
        <w:t>As soon as practicable after any payment of Indemnified Taxes or Other Taxes by a Loan Party to a Governmental Authority, the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36" w:lineRule="exact"/>
        <w:rPr>
          <w:rFonts w:ascii="Arial" w:cs="Arial" w:eastAsia="Arial" w:hAnsi="Arial"/>
          <w:sz w:val="17"/>
          <w:szCs w:val="17"/>
          <w:color w:val="auto"/>
        </w:rPr>
      </w:pPr>
    </w:p>
    <w:p>
      <w:pPr>
        <w:jc w:val="both"/>
        <w:ind w:firstLine="563"/>
        <w:spacing w:after="0" w:line="225" w:lineRule="auto"/>
        <w:tabs>
          <w:tab w:leader="none" w:pos="1128" w:val="left"/>
        </w:tabs>
        <w:numPr>
          <w:ilvl w:val="0"/>
          <w:numId w:val="145"/>
        </w:numPr>
        <w:rPr>
          <w:rFonts w:ascii="Arial" w:cs="Arial" w:eastAsia="Arial" w:hAnsi="Arial"/>
          <w:sz w:val="16"/>
          <w:szCs w:val="16"/>
          <w:color w:val="auto"/>
        </w:rPr>
      </w:pPr>
      <w:r>
        <w:rPr>
          <w:rFonts w:ascii="Arial" w:cs="Arial" w:eastAsia="Arial" w:hAnsi="Arial"/>
          <w:sz w:val="16"/>
          <w:szCs w:val="16"/>
          <w:color w:val="auto"/>
        </w:rPr>
        <w:t>Each Lender shall, at such times as are reasonably requested by Borrower or the Administrative Agent, provide Borrower and the Administrative Agent with any properly completed and executed documentation prescribed by applicable Requirements of Law, or reasonably requested by Borrower or the Administrative Agent, certifying as to any entitlement of such Lender to an exemption from, or reduction in, any withholding Tax with respect to any payments to be made to such Lender under the Loan Documents (including, in the case of a Lender seeking exemption from the withholding imposed under FATCA, any documentation necessary to prevent such withholding). Unless the applicable withholding agent has received forms or other documents satisfactory to it indicating that payments under any Loan Document to or for a Lender are not subject to withholding tax or are subject to such Tax at a rate reduced by an applicable tax treaty, Borrower, Administrative Agent or other applicable withholding agent shall withhold amounts required to be withheld by applicable Requirements of Law from such payments at the applicable statutory rate.</w:t>
      </w:r>
    </w:p>
    <w:p>
      <w:pPr>
        <w:spacing w:after="0" w:line="13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Without limiting the generality of the foregoing:</w:t>
      </w:r>
    </w:p>
    <w:p>
      <w:pPr>
        <w:spacing w:after="0" w:line="160" w:lineRule="exact"/>
        <w:rPr>
          <w:sz w:val="20"/>
          <w:szCs w:val="20"/>
          <w:color w:val="auto"/>
        </w:rPr>
      </w:pPr>
    </w:p>
    <w:p>
      <w:pPr>
        <w:jc w:val="both"/>
        <w:ind w:left="340" w:firstLine="791"/>
        <w:spacing w:after="0" w:line="225" w:lineRule="auto"/>
        <w:tabs>
          <w:tab w:leader="none" w:pos="1702" w:val="left"/>
        </w:tabs>
        <w:numPr>
          <w:ilvl w:val="0"/>
          <w:numId w:val="146"/>
        </w:numPr>
        <w:rPr>
          <w:rFonts w:ascii="Arial" w:cs="Arial" w:eastAsia="Arial" w:hAnsi="Arial"/>
          <w:sz w:val="17"/>
          <w:szCs w:val="17"/>
          <w:color w:val="auto"/>
        </w:rPr>
      </w:pPr>
      <w:r>
        <w:rPr>
          <w:rFonts w:ascii="Arial" w:cs="Arial" w:eastAsia="Arial" w:hAnsi="Arial"/>
          <w:sz w:val="17"/>
          <w:szCs w:val="17"/>
          <w:color w:val="auto"/>
        </w:rPr>
        <w:t>Each Lender that is a United States person (as defined in Section 7701(a)(30) of the Code) shall deliver to Borrower and the Administrative Agent, on or before the date on which it becomes a party to this Agreement, two properly completed and duly signed original copies of Internal Revenue Service Form W-9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ectPr>
          <w:pgSz w:w="11900" w:h="16838" w:orient="portrait"/>
          <w:cols w:equalWidth="0" w:num="1">
            <w:col w:w="11260"/>
          </w:cols>
          <w:pgMar w:left="320" w:top="1440" w:right="319" w:bottom="1440" w:gutter="0" w:footer="0" w:header="0"/>
        </w:sectPr>
      </w:pPr>
    </w:p>
    <w:bookmarkStart w:id="267" w:name="page268"/>
    <w:bookmarkEnd w:id="267"/>
    <w:p>
      <w:pPr>
        <w:spacing w:after="0" w:line="39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(or any successor form) certifying that such Lender is exempt from U.S. federal backup withholding.</w:t>
      </w:r>
    </w:p>
    <w:p>
      <w:pPr>
        <w:spacing w:after="0" w:line="160" w:lineRule="exact"/>
        <w:rPr>
          <w:sz w:val="20"/>
          <w:szCs w:val="20"/>
          <w:color w:val="auto"/>
        </w:rPr>
      </w:pPr>
    </w:p>
    <w:p>
      <w:pPr>
        <w:jc w:val="both"/>
        <w:ind w:left="340" w:right="20" w:firstLine="791"/>
        <w:spacing w:after="0" w:line="225" w:lineRule="auto"/>
        <w:tabs>
          <w:tab w:leader="none" w:pos="1702" w:val="left"/>
        </w:tabs>
        <w:numPr>
          <w:ilvl w:val="0"/>
          <w:numId w:val="147"/>
        </w:numPr>
        <w:rPr>
          <w:rFonts w:ascii="Arial" w:cs="Arial" w:eastAsia="Arial" w:hAnsi="Arial"/>
          <w:sz w:val="17"/>
          <w:szCs w:val="17"/>
          <w:color w:val="auto"/>
        </w:rPr>
      </w:pPr>
      <w:r>
        <w:rPr>
          <w:rFonts w:ascii="Arial" w:cs="Arial" w:eastAsia="Arial" w:hAnsi="Arial"/>
          <w:sz w:val="17"/>
          <w:szCs w:val="17"/>
          <w:color w:val="auto"/>
        </w:rPr>
        <w:t>Each Lender that is not a United States person (as defined in Section 7701(a)(30) of the Code) shall deliver to Borrower and the Administrative Agent on or before the date on which it becomes a party to this Agreement (and from time to time thereafter when required by any Requirements of Law or upon the reasonable request of Borrower or the Administrative Agent) whichever of the following is applicable:</w:t>
      </w:r>
    </w:p>
    <w:p>
      <w:pPr>
        <w:spacing w:after="0" w:line="136" w:lineRule="exact"/>
        <w:rPr>
          <w:rFonts w:ascii="Arial" w:cs="Arial" w:eastAsia="Arial" w:hAnsi="Arial"/>
          <w:sz w:val="17"/>
          <w:szCs w:val="17"/>
          <w:color w:val="auto"/>
        </w:rPr>
      </w:pPr>
    </w:p>
    <w:p>
      <w:pPr>
        <w:ind w:left="1140" w:right="20" w:firstLine="559"/>
        <w:spacing w:after="0" w:line="237" w:lineRule="auto"/>
        <w:tabs>
          <w:tab w:leader="none" w:pos="2269" w:val="left"/>
        </w:tabs>
        <w:numPr>
          <w:ilvl w:val="1"/>
          <w:numId w:val="147"/>
        </w:numPr>
        <w:rPr>
          <w:rFonts w:ascii="Arial" w:cs="Arial" w:eastAsia="Arial" w:hAnsi="Arial"/>
          <w:sz w:val="17"/>
          <w:szCs w:val="17"/>
          <w:color w:val="auto"/>
        </w:rPr>
      </w:pPr>
      <w:r>
        <w:rPr>
          <w:rFonts w:ascii="Arial" w:cs="Arial" w:eastAsia="Arial" w:hAnsi="Arial"/>
          <w:sz w:val="17"/>
          <w:szCs w:val="17"/>
          <w:color w:val="auto"/>
        </w:rPr>
        <w:t>two duly completed copies of Internal Revenue Service Form W-8BEN or W-8BEN-E (or any successor forms) claiming eligibility for benefits of an income tax treaty to which the United States of America is a party,</w:t>
      </w:r>
    </w:p>
    <w:p>
      <w:pPr>
        <w:spacing w:after="0" w:line="134" w:lineRule="exact"/>
        <w:rPr>
          <w:rFonts w:ascii="Arial" w:cs="Arial" w:eastAsia="Arial" w:hAnsi="Arial"/>
          <w:sz w:val="17"/>
          <w:szCs w:val="17"/>
          <w:color w:val="auto"/>
        </w:rPr>
      </w:pPr>
    </w:p>
    <w:p>
      <w:pPr>
        <w:ind w:left="2260" w:hanging="561"/>
        <w:spacing w:after="0"/>
        <w:tabs>
          <w:tab w:leader="none" w:pos="2260" w:val="left"/>
        </w:tabs>
        <w:numPr>
          <w:ilvl w:val="1"/>
          <w:numId w:val="147"/>
        </w:numPr>
        <w:rPr>
          <w:rFonts w:ascii="Arial" w:cs="Arial" w:eastAsia="Arial" w:hAnsi="Arial"/>
          <w:sz w:val="17"/>
          <w:szCs w:val="17"/>
          <w:color w:val="auto"/>
        </w:rPr>
      </w:pPr>
      <w:r>
        <w:rPr>
          <w:rFonts w:ascii="Arial" w:cs="Arial" w:eastAsia="Arial" w:hAnsi="Arial"/>
          <w:sz w:val="17"/>
          <w:szCs w:val="17"/>
          <w:color w:val="auto"/>
        </w:rPr>
        <w:t>two duly completed copies of Internal Revenue Service Form W-8ECI (or any successor forms),</w:t>
      </w:r>
    </w:p>
    <w:p>
      <w:pPr>
        <w:spacing w:after="0" w:line="159" w:lineRule="exact"/>
        <w:rPr>
          <w:rFonts w:ascii="Arial" w:cs="Arial" w:eastAsia="Arial" w:hAnsi="Arial"/>
          <w:sz w:val="17"/>
          <w:szCs w:val="17"/>
          <w:color w:val="auto"/>
        </w:rPr>
      </w:pPr>
    </w:p>
    <w:p>
      <w:pPr>
        <w:jc w:val="both"/>
        <w:ind w:left="1140" w:firstLine="559"/>
        <w:spacing w:after="0" w:line="222" w:lineRule="auto"/>
        <w:tabs>
          <w:tab w:leader="none" w:pos="2271" w:val="left"/>
        </w:tabs>
        <w:numPr>
          <w:ilvl w:val="1"/>
          <w:numId w:val="147"/>
        </w:numPr>
        <w:rPr>
          <w:rFonts w:ascii="Arial" w:cs="Arial" w:eastAsia="Arial" w:hAnsi="Arial"/>
          <w:sz w:val="16"/>
          <w:szCs w:val="16"/>
          <w:color w:val="auto"/>
        </w:rPr>
      </w:pPr>
      <w:r>
        <w:rPr>
          <w:rFonts w:ascii="Arial" w:cs="Arial" w:eastAsia="Arial" w:hAnsi="Arial"/>
          <w:sz w:val="16"/>
          <w:szCs w:val="16"/>
          <w:color w:val="auto"/>
        </w:rPr>
        <w:t>in the case of a Lender claiming the benefits of the exemption for portfolio interest under Section 881(c) of the Code, (x) a certificate, in substantially the form of Exhibit P (any such certificate a “</w:t>
      </w:r>
      <w:r>
        <w:rPr>
          <w:rFonts w:ascii="Arial" w:cs="Arial" w:eastAsia="Arial" w:hAnsi="Arial"/>
          <w:sz w:val="16"/>
          <w:szCs w:val="16"/>
          <w:b w:val="1"/>
          <w:bCs w:val="1"/>
          <w:color w:val="auto"/>
        </w:rPr>
        <w:t>United States Tax Compliance Certificate</w:t>
      </w:r>
      <w:r>
        <w:rPr>
          <w:rFonts w:ascii="Arial" w:cs="Arial" w:eastAsia="Arial" w:hAnsi="Arial"/>
          <w:sz w:val="16"/>
          <w:szCs w:val="16"/>
          <w:color w:val="auto"/>
        </w:rPr>
        <w:t>”), or any other form approved by the Administrative Agent, to the effect that such Lender is not (1) a “bank” within the meaning of Section 881(c)(3)(A) of the Code,</w:t>
      </w:r>
    </w:p>
    <w:p>
      <w:pPr>
        <w:jc w:val="both"/>
        <w:ind w:left="1140"/>
        <w:spacing w:after="0" w:line="216" w:lineRule="auto"/>
        <w:rPr>
          <w:rFonts w:ascii="Arial" w:cs="Arial" w:eastAsia="Arial" w:hAnsi="Arial"/>
          <w:sz w:val="16"/>
          <w:szCs w:val="16"/>
          <w:color w:val="auto"/>
        </w:rPr>
      </w:pPr>
      <w:r>
        <w:rPr>
          <w:rFonts w:ascii="Arial" w:cs="Arial" w:eastAsia="Arial" w:hAnsi="Arial"/>
          <w:sz w:val="17"/>
          <w:szCs w:val="17"/>
          <w:color w:val="auto"/>
        </w:rPr>
        <w:t>(2) a “10 percent shareholder” of a Borrower within the meaning of Section 881(c)(3)(B) of the Code, or (3) a “controlled foreign corporation” described in Section 881(c)(3)(C) of the Code, and that no payments in connection with the Loan Documents are effectively connected with such Lender’s conduct of a U.S. trade or business and (y) two duly completed copies of Internal Revenue Service Form W-8BEN or W-8BEN-E (or any successor forms),</w:t>
      </w:r>
    </w:p>
    <w:p>
      <w:pPr>
        <w:spacing w:after="0" w:line="134" w:lineRule="exact"/>
        <w:rPr>
          <w:rFonts w:ascii="Arial" w:cs="Arial" w:eastAsia="Arial" w:hAnsi="Arial"/>
          <w:sz w:val="16"/>
          <w:szCs w:val="16"/>
          <w:color w:val="auto"/>
        </w:rPr>
      </w:pPr>
    </w:p>
    <w:p>
      <w:pPr>
        <w:jc w:val="both"/>
        <w:ind w:left="1140" w:right="20" w:firstLine="559"/>
        <w:spacing w:after="0" w:line="214" w:lineRule="auto"/>
        <w:tabs>
          <w:tab w:leader="none" w:pos="2269" w:val="left"/>
        </w:tabs>
        <w:numPr>
          <w:ilvl w:val="1"/>
          <w:numId w:val="147"/>
        </w:numPr>
        <w:rPr>
          <w:rFonts w:ascii="Arial" w:cs="Arial" w:eastAsia="Arial" w:hAnsi="Arial"/>
          <w:sz w:val="17"/>
          <w:szCs w:val="17"/>
          <w:color w:val="auto"/>
        </w:rPr>
      </w:pPr>
      <w:r>
        <w:rPr>
          <w:rFonts w:ascii="Arial" w:cs="Arial" w:eastAsia="Arial" w:hAnsi="Arial"/>
          <w:sz w:val="17"/>
          <w:szCs w:val="17"/>
          <w:color w:val="auto"/>
        </w:rPr>
        <w:t>to the extent a Lender is not the beneficial owner (for example, where the Lender is a partnership, or is a Participant holding a participation granted by a participating Lender), Internal Revenue Service Form W-8IMY (or any successor forms) of the Lender, accompanied by a Form W-8ECI, W-8BEN or W-8BEN-E, United States Tax Compliance Certificate, Form W-9, Form W-8IMY (or other successor forms) or any other required information from each beneficial owner, as applicable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Lender is a partnership (and not a participating Lender) and one or more beneficial owners are claiming the portfolio interest exemption, the United States Tax Compliance Certificate shall be provided by such Lender on behalf of such beneficial owner(s)), or</w:t>
      </w:r>
    </w:p>
    <w:p>
      <w:pPr>
        <w:spacing w:after="0" w:line="138" w:lineRule="exact"/>
        <w:rPr>
          <w:rFonts w:ascii="Arial" w:cs="Arial" w:eastAsia="Arial" w:hAnsi="Arial"/>
          <w:sz w:val="17"/>
          <w:szCs w:val="17"/>
          <w:color w:val="auto"/>
        </w:rPr>
      </w:pPr>
    </w:p>
    <w:p>
      <w:pPr>
        <w:jc w:val="both"/>
        <w:ind w:left="1140" w:firstLine="559"/>
        <w:spacing w:after="0" w:line="225" w:lineRule="auto"/>
        <w:tabs>
          <w:tab w:leader="none" w:pos="2273" w:val="left"/>
        </w:tabs>
        <w:numPr>
          <w:ilvl w:val="1"/>
          <w:numId w:val="147"/>
        </w:numPr>
        <w:rPr>
          <w:rFonts w:ascii="Arial" w:cs="Arial" w:eastAsia="Arial" w:hAnsi="Arial"/>
          <w:sz w:val="17"/>
          <w:szCs w:val="17"/>
          <w:color w:val="auto"/>
        </w:rPr>
      </w:pPr>
      <w:r>
        <w:rPr>
          <w:rFonts w:ascii="Arial" w:cs="Arial" w:eastAsia="Arial" w:hAnsi="Arial"/>
          <w:sz w:val="17"/>
          <w:szCs w:val="17"/>
          <w:color w:val="auto"/>
        </w:rPr>
        <w:t>any other form prescribed by applicable Requirements of Law as a basis for claiming exemption from or a reduction in U.S. federal withholding tax duly completed together with such supplementary documentation as may be prescribed by applicable Requirements of Law to permit Borrower and the Administrative Agent to determine the withholding or deduction required to be made.</w:t>
      </w:r>
    </w:p>
    <w:p>
      <w:pPr>
        <w:spacing w:after="0" w:line="137" w:lineRule="exact"/>
        <w:rPr>
          <w:sz w:val="20"/>
          <w:szCs w:val="20"/>
          <w:color w:val="auto"/>
        </w:rPr>
      </w:pPr>
    </w:p>
    <w:p>
      <w:pPr>
        <w:jc w:val="both"/>
        <w:ind w:right="20" w:firstLine="568"/>
        <w:spacing w:after="0" w:line="225" w:lineRule="auto"/>
        <w:rPr>
          <w:sz w:val="20"/>
          <w:szCs w:val="20"/>
          <w:color w:val="auto"/>
        </w:rPr>
      </w:pPr>
      <w:r>
        <w:rPr>
          <w:rFonts w:ascii="Arial" w:cs="Arial" w:eastAsia="Arial" w:hAnsi="Arial"/>
          <w:sz w:val="17"/>
          <w:szCs w:val="17"/>
          <w:color w:val="auto"/>
        </w:rPr>
        <w:t>Each Lender shall, from time to time after the initial delivery by such Lender of the forms described above, whenever a lapse in time or change in such Lender’s circumstances renders such forms, certificates or other evidence so delivered expired, obsolete or inaccurate, promptly (1) deliver to the Borrower and the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94</w:t>
      </w:r>
    </w:p>
    <w:p>
      <w:pPr>
        <w:sectPr>
          <w:pgSz w:w="11900" w:h="16838" w:orient="portrait"/>
          <w:cols w:equalWidth="0" w:num="1">
            <w:col w:w="11260"/>
          </w:cols>
          <w:pgMar w:left="320" w:top="1440" w:right="319" w:bottom="1440" w:gutter="0" w:footer="0" w:header="0"/>
        </w:sectPr>
      </w:pPr>
    </w:p>
    <w:bookmarkStart w:id="268" w:name="page269"/>
    <w:bookmarkEnd w:id="268"/>
    <w:p>
      <w:pPr>
        <w:spacing w:after="0" w:line="390"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Agent (in such number of copies as shall be requested by the recipient) renewals, amendments or additional or successor forms, properly completed and duly executed by such Lender, together with any other certificate or statement of exemption (including any new documentation reasonably requested by the applicable withholding agent) required in order to confirm or establish such Lender’s status or that such Lender is entitled to an exemption from or reduction in U.S. federal withholding tax or (2) notify Administrative Agent and Borrower of its inability to deliver any such forms, certificates or other evidence.</w:t>
      </w:r>
    </w:p>
    <w:p>
      <w:pPr>
        <w:spacing w:after="0" w:line="13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Notwithstanding any other provision of this clause (e), a Lender shall not be required to deliver any form that such Lender is not legally eligible to</w:t>
      </w:r>
    </w:p>
    <w:p>
      <w:pPr>
        <w:spacing w:after="0"/>
        <w:rPr>
          <w:sz w:val="20"/>
          <w:szCs w:val="20"/>
          <w:color w:val="auto"/>
        </w:rPr>
      </w:pPr>
      <w:r>
        <w:rPr>
          <w:rFonts w:ascii="Arial" w:cs="Arial" w:eastAsia="Arial" w:hAnsi="Arial"/>
          <w:sz w:val="17"/>
          <w:szCs w:val="17"/>
          <w:color w:val="auto"/>
        </w:rPr>
        <w:t>deliver.</w:t>
      </w:r>
    </w:p>
    <w:p>
      <w:pPr>
        <w:spacing w:after="0" w:line="146" w:lineRule="exact"/>
        <w:rPr>
          <w:sz w:val="20"/>
          <w:szCs w:val="20"/>
          <w:color w:val="auto"/>
        </w:rPr>
      </w:pPr>
    </w:p>
    <w:p>
      <w:pPr>
        <w:jc w:val="both"/>
        <w:ind w:right="20" w:firstLine="568"/>
        <w:spacing w:after="0" w:line="237" w:lineRule="auto"/>
        <w:rPr>
          <w:sz w:val="20"/>
          <w:szCs w:val="20"/>
          <w:color w:val="auto"/>
        </w:rPr>
      </w:pPr>
      <w:r>
        <w:rPr>
          <w:rFonts w:ascii="Arial" w:cs="Arial" w:eastAsia="Arial" w:hAnsi="Arial"/>
          <w:sz w:val="17"/>
          <w:szCs w:val="17"/>
          <w:color w:val="auto"/>
        </w:rPr>
        <w:t>Each Lender hereby authorizes the Administrative Agent to deliver to the Loan Parties and to any successor Administrative Agent any documentation provided by such Lender to the Administrative Agent pursuant to this clause (e).</w:t>
      </w:r>
    </w:p>
    <w:p>
      <w:pPr>
        <w:spacing w:after="0" w:line="135" w:lineRule="exact"/>
        <w:rPr>
          <w:sz w:val="20"/>
          <w:szCs w:val="20"/>
          <w:color w:val="auto"/>
        </w:rPr>
      </w:pPr>
    </w:p>
    <w:p>
      <w:pPr>
        <w:jc w:val="both"/>
        <w:ind w:firstLine="563"/>
        <w:spacing w:after="0" w:line="219" w:lineRule="auto"/>
        <w:tabs>
          <w:tab w:leader="none" w:pos="1132" w:val="left"/>
        </w:tabs>
        <w:numPr>
          <w:ilvl w:val="0"/>
          <w:numId w:val="148"/>
        </w:numPr>
        <w:rPr>
          <w:rFonts w:ascii="Arial" w:cs="Arial" w:eastAsia="Arial" w:hAnsi="Arial"/>
          <w:sz w:val="16"/>
          <w:szCs w:val="16"/>
          <w:color w:val="auto"/>
        </w:rPr>
      </w:pPr>
      <w:r>
        <w:rPr>
          <w:rFonts w:ascii="Arial" w:cs="Arial" w:eastAsia="Arial" w:hAnsi="Arial"/>
          <w:sz w:val="16"/>
          <w:szCs w:val="16"/>
          <w:color w:val="auto"/>
        </w:rPr>
        <w:t xml:space="preserve">If the Borrower determines in good faith that a reasonable basis exists for contesting any taxes for which indemnification has been demanded hereunder, the Administrative Agent or the relevant Lender, as applicable, shall cooperate with the Borrower in a reasonable challenge of such taxes if so requested by the Borrower,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the Administrative Agent or such Lender determines in its reasonable discretion that it would not be prejudiced by cooperating in such challenge, (b) the Borrower pays all related expenses of the Administrative Agent or such Lender, as applicable and (c) the Borrower indemnifies the Administrative Agent or such Lender, as applicable, for any liabilities or other costs incurred by such party in connection with such challenge. The Administrative Agent or a Lender shall claim any refund of any Taxes for which indemnification has been demanded hereunder that it determines is reasonably available to it, unless it concludes in its reasonable discretion that it would be adversely affected by making such a claim. If the Administrative Agent or a Lender determines, in its reasonable discretion, that it has received a refund of any Indemnified Taxes or Other Taxes as to which it has been indemnified by the Borrower or with respect to which the Borrower has paid additional amounts pursuant to this Section 2.15, it shall pay over such refund to the Borrower (but only to the extent of indemnity payments made, or additional amounts paid, by the Borrower under this Section 2.15 with respect to the Indemnified Taxes or Other Taxes giving rise to such refund), net of all out-of-pocket expenses (including Taxes) of the Administrative Agent or such Lender and without interest (other than any interest paid by the relevant Governmental Authority with respect to such refund),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Borrower, upon the request of the Administrative Agent or such Lender, agrees promptly to repay the amount paid over to the Borrower (plus any penalties, interest or other charges imposed by the relevant Governmental Authority) to the Administrative Agent or such Lender in the event the Administrative Agent or such Lender is required to repay such refund to such Governmental Authority. The Administrative Agent or such Lender, as the case may be, shall, at the Borrower’s request, provide the Borrower with a copy of any notice of assessment or other evidence of the requirement to repay such refund received from the relevant taxing authority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Administrative Agent or such Lender may delete any information therein that the Administrative Agent or such Lender deems confidential). Notwithstanding anything to the contrary, this Section 2.15 shall not be construed to require the Administrative Agent or any Lender to make available its tax returns (or any other information relating to taxes which it deems confidential).</w:t>
      </w:r>
    </w:p>
    <w:p>
      <w:pPr>
        <w:spacing w:after="0" w:line="148" w:lineRule="exact"/>
        <w:rPr>
          <w:rFonts w:ascii="Arial" w:cs="Arial" w:eastAsia="Arial" w:hAnsi="Arial"/>
          <w:sz w:val="16"/>
          <w:szCs w:val="16"/>
          <w:color w:val="auto"/>
        </w:rPr>
      </w:pPr>
    </w:p>
    <w:p>
      <w:pPr>
        <w:ind w:left="1120" w:hanging="557"/>
        <w:spacing w:after="0"/>
        <w:tabs>
          <w:tab w:leader="none" w:pos="1120" w:val="left"/>
        </w:tabs>
        <w:numPr>
          <w:ilvl w:val="0"/>
          <w:numId w:val="148"/>
        </w:numPr>
        <w:rPr>
          <w:rFonts w:ascii="Arial" w:cs="Arial" w:eastAsia="Arial" w:hAnsi="Arial"/>
          <w:sz w:val="15"/>
          <w:szCs w:val="15"/>
          <w:color w:val="auto"/>
        </w:rPr>
      </w:pPr>
      <w:r>
        <w:rPr>
          <w:rFonts w:ascii="Arial" w:cs="Arial" w:eastAsia="Arial" w:hAnsi="Arial"/>
          <w:sz w:val="15"/>
          <w:szCs w:val="15"/>
          <w:color w:val="auto"/>
        </w:rPr>
        <w:t>The agreements in this Section 2.15 shall survive the termination of this Agreement and the payment of the Loans and all other amounts payable</w:t>
      </w:r>
    </w:p>
    <w:p>
      <w:pPr>
        <w:spacing w:after="0" w:line="7"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hereunder.</w:t>
      </w:r>
    </w:p>
    <w:p>
      <w:pPr>
        <w:spacing w:after="0" w:line="145" w:lineRule="exact"/>
        <w:rPr>
          <w:rFonts w:ascii="Arial" w:cs="Arial" w:eastAsia="Arial" w:hAnsi="Arial"/>
          <w:sz w:val="15"/>
          <w:szCs w:val="15"/>
          <w:color w:val="auto"/>
        </w:rPr>
      </w:pPr>
    </w:p>
    <w:p>
      <w:pPr>
        <w:ind w:left="1120" w:hanging="557"/>
        <w:spacing w:after="0"/>
        <w:tabs>
          <w:tab w:leader="none" w:pos="112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For purposes of this Section 2.15, the term “Lender” shall include any Issuing Bank and the Swingline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95</w:t>
      </w:r>
    </w:p>
    <w:p>
      <w:pPr>
        <w:sectPr>
          <w:pgSz w:w="11900" w:h="16838" w:orient="portrait"/>
          <w:cols w:equalWidth="0" w:num="1">
            <w:col w:w="11260"/>
          </w:cols>
          <w:pgMar w:left="320" w:top="1440" w:right="319" w:bottom="1440" w:gutter="0" w:footer="0" w:header="0"/>
        </w:sectPr>
      </w:pPr>
    </w:p>
    <w:bookmarkStart w:id="269" w:name="page270"/>
    <w:bookmarkEnd w:id="269"/>
    <w:p>
      <w:pPr>
        <w:spacing w:after="0" w:line="390" w:lineRule="exact"/>
        <w:rPr>
          <w:sz w:val="20"/>
          <w:szCs w:val="20"/>
          <w:color w:val="auto"/>
        </w:rPr>
      </w:pPr>
    </w:p>
    <w:p>
      <w:pPr>
        <w:ind w:left="560"/>
        <w:spacing w:after="0"/>
        <w:tabs>
          <w:tab w:leader="none" w:pos="1680" w:val="left"/>
        </w:tabs>
        <w:rPr>
          <w:sz w:val="20"/>
          <w:szCs w:val="20"/>
          <w:color w:val="auto"/>
        </w:rPr>
      </w:pPr>
      <w:r>
        <w:rPr>
          <w:rFonts w:ascii="Arial" w:cs="Arial" w:eastAsia="Arial" w:hAnsi="Arial"/>
          <w:sz w:val="17"/>
          <w:szCs w:val="17"/>
          <w:color w:val="auto"/>
        </w:rPr>
        <w:t>Section 1.16.</w:t>
      </w:r>
      <w:r>
        <w:rPr>
          <w:sz w:val="20"/>
          <w:szCs w:val="20"/>
          <w:color w:val="auto"/>
        </w:rPr>
        <w:tab/>
      </w:r>
      <w:r>
        <w:rPr>
          <w:rFonts w:ascii="Arial" w:cs="Arial" w:eastAsia="Arial" w:hAnsi="Arial"/>
          <w:sz w:val="15"/>
          <w:szCs w:val="15"/>
          <w:i w:val="1"/>
          <w:iCs w:val="1"/>
          <w:color w:val="auto"/>
        </w:rPr>
        <w:t>Payments Generally; Pro Rata Treatment; Sharing of Setoffs</w:t>
      </w:r>
      <w:r>
        <w:rPr>
          <w:rFonts w:ascii="Arial" w:cs="Arial" w:eastAsia="Arial" w:hAnsi="Arial"/>
          <w:sz w:val="15"/>
          <w:szCs w:val="15"/>
          <w:color w:val="auto"/>
        </w:rPr>
        <w:t>.</w:t>
      </w:r>
    </w:p>
    <w:p>
      <w:pPr>
        <w:spacing w:after="0" w:line="160" w:lineRule="exact"/>
        <w:rPr>
          <w:sz w:val="20"/>
          <w:szCs w:val="20"/>
          <w:color w:val="auto"/>
        </w:rPr>
      </w:pPr>
    </w:p>
    <w:p>
      <w:pPr>
        <w:jc w:val="both"/>
        <w:ind w:firstLine="563"/>
        <w:spacing w:after="0" w:line="236" w:lineRule="auto"/>
        <w:tabs>
          <w:tab w:leader="none" w:pos="1128" w:val="left"/>
        </w:tabs>
        <w:numPr>
          <w:ilvl w:val="0"/>
          <w:numId w:val="149"/>
        </w:numPr>
        <w:rPr>
          <w:rFonts w:ascii="Arial" w:cs="Arial" w:eastAsia="Arial" w:hAnsi="Arial"/>
          <w:sz w:val="15"/>
          <w:szCs w:val="15"/>
          <w:color w:val="auto"/>
        </w:rPr>
      </w:pPr>
      <w:r>
        <w:rPr>
          <w:rFonts w:ascii="Arial" w:cs="Arial" w:eastAsia="Arial" w:hAnsi="Arial"/>
          <w:sz w:val="15"/>
          <w:szCs w:val="15"/>
          <w:color w:val="auto"/>
        </w:rPr>
        <w:t>The Borrower shall make each payment or prepayment required to be made by it under any Loan Document (whether of principal, interest, fees or reimbursement of LC Disbursements, or of amounts payable under Section 2.13, 2.14 or 2.15, or otherwise) prior to the time expressly required hereunder or under such other Loan Document for such payment (or, if no such time is expressly required, prior to 2:00 p.m., New York City time), on the date when due or the date fixed for any prepayment hereunder, in immediately available funds, without condition or deduction for any counterclaim, recoupment or setoff. Any amounts received after such time on any date may, in the discretion of the Administrative Agent, be deemed to have been received on the next succeeding Business Day for purposes of calculating interest thereon. All such payments shall be made to such account as may be specified by the Administrative Agent, except payments to be made directly to any Issuing Bank or the Swingline Lender shall be made as expressly provided herein and except that payments pursuant to Sections 2.13, 2.14, 2.15 and 9.03 shall be made directly to the Persons entitled thereto and payments pursuant to other Loan Documents shall be made to the Persons specified therein. The Administrative Agent shall distribute any such payments received by it for the account of any other Person to the appropriate recipient promptly following receipt thereof. If any payment under any Loan Document shall be due on a day that is not a Business Day, the date for payment shall be extended to the next succeeding Business Day. In the case of any payment of principal pursuant to the preceding sentence, interest thereon shall be payable at the then applicable rate for the period of such extension. All payments under each Loan Document shall be made in dollars.</w:t>
      </w:r>
    </w:p>
    <w:p>
      <w:pPr>
        <w:spacing w:after="0" w:line="143" w:lineRule="exact"/>
        <w:rPr>
          <w:rFonts w:ascii="Arial" w:cs="Arial" w:eastAsia="Arial" w:hAnsi="Arial"/>
          <w:sz w:val="15"/>
          <w:szCs w:val="15"/>
          <w:color w:val="auto"/>
        </w:rPr>
      </w:pPr>
    </w:p>
    <w:p>
      <w:pPr>
        <w:jc w:val="both"/>
        <w:ind w:right="20" w:firstLine="563"/>
        <w:spacing w:after="0" w:line="216" w:lineRule="auto"/>
        <w:tabs>
          <w:tab w:leader="none" w:pos="1126" w:val="left"/>
        </w:tabs>
        <w:numPr>
          <w:ilvl w:val="0"/>
          <w:numId w:val="149"/>
        </w:numPr>
        <w:rPr>
          <w:rFonts w:ascii="Arial" w:cs="Arial" w:eastAsia="Arial" w:hAnsi="Arial"/>
          <w:sz w:val="17"/>
          <w:szCs w:val="17"/>
          <w:color w:val="auto"/>
        </w:rPr>
      </w:pPr>
      <w:r>
        <w:rPr>
          <w:rFonts w:ascii="Arial" w:cs="Arial" w:eastAsia="Arial" w:hAnsi="Arial"/>
          <w:sz w:val="17"/>
          <w:szCs w:val="17"/>
          <w:color w:val="auto"/>
        </w:rPr>
        <w:t xml:space="preserve">If at any time insufficient funds are received by and available to the Administrative Agent to pay fully all amounts of principal, unreimbursed LC Disbursements, interest and fees then due hereunder, such funds shall be applied </w:t>
      </w:r>
      <w:r>
        <w:rPr>
          <w:rFonts w:ascii="Arial" w:cs="Arial" w:eastAsia="Arial" w:hAnsi="Arial"/>
          <w:sz w:val="17"/>
          <w:szCs w:val="17"/>
          <w:i w:val="1"/>
          <w:iCs w:val="1"/>
          <w:color w:val="auto"/>
        </w:rPr>
        <w:t>first</w:t>
      </w:r>
      <w:r>
        <w:rPr>
          <w:rFonts w:ascii="Arial" w:cs="Arial" w:eastAsia="Arial" w:hAnsi="Arial"/>
          <w:sz w:val="17"/>
          <w:szCs w:val="17"/>
          <w:color w:val="auto"/>
        </w:rPr>
        <w:t xml:space="preserve">, towards payment of interest and fees then due hereunder, ratably among the parties entitled thereto in accordance with the amounts of interest and fees then due to such parties, and </w:t>
      </w:r>
      <w:r>
        <w:rPr>
          <w:rFonts w:ascii="Arial" w:cs="Arial" w:eastAsia="Arial" w:hAnsi="Arial"/>
          <w:sz w:val="17"/>
          <w:szCs w:val="17"/>
          <w:i w:val="1"/>
          <w:iCs w:val="1"/>
          <w:color w:val="auto"/>
        </w:rPr>
        <w:t>second</w:t>
      </w:r>
      <w:r>
        <w:rPr>
          <w:rFonts w:ascii="Arial" w:cs="Arial" w:eastAsia="Arial" w:hAnsi="Arial"/>
          <w:sz w:val="17"/>
          <w:szCs w:val="17"/>
          <w:color w:val="auto"/>
        </w:rPr>
        <w:t>, towards payment of principal and unreimbursed LC Disbursements then due hereunder, ratably among the parties entitled thereto in accordance with the amounts of principal and unreimbursed LC Disbursements then due to such parties.</w:t>
      </w:r>
    </w:p>
    <w:p>
      <w:pPr>
        <w:spacing w:after="0" w:line="138" w:lineRule="exact"/>
        <w:rPr>
          <w:rFonts w:ascii="Arial" w:cs="Arial" w:eastAsia="Arial" w:hAnsi="Arial"/>
          <w:sz w:val="17"/>
          <w:szCs w:val="17"/>
          <w:color w:val="auto"/>
        </w:rPr>
      </w:pPr>
    </w:p>
    <w:p>
      <w:pPr>
        <w:jc w:val="both"/>
        <w:ind w:firstLine="563"/>
        <w:spacing w:after="0" w:line="236" w:lineRule="auto"/>
        <w:tabs>
          <w:tab w:leader="none" w:pos="1128" w:val="left"/>
        </w:tabs>
        <w:numPr>
          <w:ilvl w:val="0"/>
          <w:numId w:val="149"/>
        </w:numPr>
        <w:rPr>
          <w:rFonts w:ascii="Arial" w:cs="Arial" w:eastAsia="Arial" w:hAnsi="Arial"/>
          <w:sz w:val="15"/>
          <w:szCs w:val="15"/>
          <w:color w:val="auto"/>
        </w:rPr>
      </w:pPr>
      <w:r>
        <w:rPr>
          <w:rFonts w:ascii="Arial" w:cs="Arial" w:eastAsia="Arial" w:hAnsi="Arial"/>
          <w:sz w:val="15"/>
          <w:szCs w:val="15"/>
          <w:color w:val="auto"/>
        </w:rPr>
        <w:t xml:space="preserve">If any Lender shall, by exercising any right of setoff or counterclaim or otherwise, obtain payment in respect of any principal of or interest on any Class of its Loans or participations in LC Disbursements or Swingline Loans resulting in such Lender receiving payment of a greater proportion of the aggregate amount of its Loans of such Class and participations in LC Disbursements and Swingline Loans and accrued interest thereon than the proportion received by any other Lender, then the Lender receiving such greater proportion shall purchase (for cash at face value) participations in the Loans of such Class and participations in LC Disbursements and Swingline Loans of other Lenders to the extent necessary so that the benefit of all such payments shall be shared by the Lenders ratably in accordance with the aggregate amount of principal of and accrued interest on their respective Loans of such Class and participations in LC Disbursements and Swingline Loans;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(c) shall not be construed to apply to (A) any payment made by the Borrower pursuant to and in accordance with the express terms of this Agreement (including the application of funds arising from the existence of a Defaulting Lender), (B) any payment obtained by a Lender as consideration for the assignment of or sale of a participation in any of its Loans or participations in LC Disbursements or Swingline Loans to any assignee or participant or (C) any disproportionate payment obtained by a Lender of any Class as a result of the extension by Lenders of the maturity date or expiration date of some but not all Loans or Revolving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96</w:t>
      </w:r>
    </w:p>
    <w:p>
      <w:pPr>
        <w:sectPr>
          <w:pgSz w:w="11900" w:h="16838" w:orient="portrait"/>
          <w:cols w:equalWidth="0" w:num="1">
            <w:col w:w="11260"/>
          </w:cols>
          <w:pgMar w:left="320" w:top="1440" w:right="319" w:bottom="1440" w:gutter="0" w:footer="0" w:header="0"/>
        </w:sectPr>
      </w:pPr>
    </w:p>
    <w:bookmarkStart w:id="270" w:name="page271"/>
    <w:bookmarkEnd w:id="270"/>
    <w:p>
      <w:pPr>
        <w:spacing w:after="0" w:line="390" w:lineRule="exact"/>
        <w:rPr>
          <w:sz w:val="20"/>
          <w:szCs w:val="20"/>
          <w:color w:val="auto"/>
        </w:rPr>
      </w:pPr>
    </w:p>
    <w:p>
      <w:pPr>
        <w:jc w:val="both"/>
        <w:ind w:left="5"/>
        <w:spacing w:after="0" w:line="220" w:lineRule="auto"/>
        <w:rPr>
          <w:sz w:val="20"/>
          <w:szCs w:val="20"/>
          <w:color w:val="auto"/>
        </w:rPr>
      </w:pPr>
      <w:r>
        <w:rPr>
          <w:rFonts w:ascii="Arial" w:cs="Arial" w:eastAsia="Arial" w:hAnsi="Arial"/>
          <w:sz w:val="17"/>
          <w:szCs w:val="17"/>
          <w:color w:val="auto"/>
        </w:rPr>
        <w:t>Commitments of that Class or any increase in the Applicable Rate in respect of Loans of Lenders that have consented to any such extension.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36" w:lineRule="exact"/>
        <w:rPr>
          <w:sz w:val="20"/>
          <w:szCs w:val="20"/>
          <w:color w:val="auto"/>
        </w:rPr>
      </w:pPr>
    </w:p>
    <w:p>
      <w:pPr>
        <w:jc w:val="both"/>
        <w:ind w:left="5" w:firstLine="563"/>
        <w:spacing w:after="0" w:line="224" w:lineRule="auto"/>
        <w:tabs>
          <w:tab w:leader="none" w:pos="1131" w:val="left"/>
        </w:tabs>
        <w:numPr>
          <w:ilvl w:val="0"/>
          <w:numId w:val="150"/>
        </w:numPr>
        <w:rPr>
          <w:rFonts w:ascii="Arial" w:cs="Arial" w:eastAsia="Arial" w:hAnsi="Arial"/>
          <w:sz w:val="16"/>
          <w:szCs w:val="16"/>
          <w:color w:val="auto"/>
        </w:rPr>
      </w:pPr>
      <w:r>
        <w:rPr>
          <w:rFonts w:ascii="Arial" w:cs="Arial" w:eastAsia="Arial" w:hAnsi="Arial"/>
          <w:sz w:val="16"/>
          <w:szCs w:val="16"/>
          <w:color w:val="auto"/>
        </w:rPr>
        <w:t>Unless the Administrative Agent shall have received, prior to any date on which any payment is due to the Administrative Agent for the account of the Lenders or the Issuing Banks pursuant to the terms hereof or any other Loan Document (including any date that is fixed for prepayment by notice from the Borrower to the Administrative Agent pursuant to Section 2.09(b)), notice from the Borrower that the Borrower will not make such payment or prepayment, the Administrative Agent may assume that the Borrower has made such payment on such date in accordance herewith and may, in reliance upon such assumption and in its sole discretion, distribute to the Lenders or Issuing Banks, as the case may be, the amount due. In such event, if the Borrower has not in fact made such payment, then each of the Lenders or Issuing Banks, as the case may be,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w:t>
      </w:r>
    </w:p>
    <w:p>
      <w:pPr>
        <w:spacing w:after="0" w:line="136" w:lineRule="exact"/>
        <w:rPr>
          <w:sz w:val="20"/>
          <w:szCs w:val="20"/>
          <w:color w:val="auto"/>
        </w:rPr>
      </w:pPr>
    </w:p>
    <w:p>
      <w:pPr>
        <w:ind w:left="565"/>
        <w:spacing w:after="0"/>
        <w:tabs>
          <w:tab w:leader="none" w:pos="1685" w:val="left"/>
        </w:tabs>
        <w:rPr>
          <w:sz w:val="20"/>
          <w:szCs w:val="20"/>
          <w:color w:val="auto"/>
        </w:rPr>
      </w:pPr>
      <w:r>
        <w:rPr>
          <w:rFonts w:ascii="Arial" w:cs="Arial" w:eastAsia="Arial" w:hAnsi="Arial"/>
          <w:sz w:val="17"/>
          <w:szCs w:val="17"/>
          <w:color w:val="auto"/>
        </w:rPr>
        <w:t>Section 1.17.</w:t>
      </w:r>
      <w:r>
        <w:rPr>
          <w:sz w:val="20"/>
          <w:szCs w:val="20"/>
          <w:color w:val="auto"/>
        </w:rPr>
        <w:tab/>
      </w:r>
      <w:r>
        <w:rPr>
          <w:rFonts w:ascii="Arial" w:cs="Arial" w:eastAsia="Arial" w:hAnsi="Arial"/>
          <w:sz w:val="16"/>
          <w:szCs w:val="16"/>
          <w:i w:val="1"/>
          <w:iCs w:val="1"/>
          <w:color w:val="auto"/>
        </w:rPr>
        <w:t>Mitigation Obligations; Replacement of Lenders</w:t>
      </w:r>
      <w:r>
        <w:rPr>
          <w:rFonts w:ascii="Arial" w:cs="Arial" w:eastAsia="Arial" w:hAnsi="Arial"/>
          <w:sz w:val="16"/>
          <w:szCs w:val="16"/>
          <w:color w:val="auto"/>
        </w:rPr>
        <w:t>.</w:t>
      </w:r>
    </w:p>
    <w:p>
      <w:pPr>
        <w:spacing w:after="0" w:line="160" w:lineRule="exact"/>
        <w:rPr>
          <w:sz w:val="20"/>
          <w:szCs w:val="20"/>
          <w:color w:val="auto"/>
        </w:rPr>
      </w:pPr>
    </w:p>
    <w:p>
      <w:pPr>
        <w:jc w:val="both"/>
        <w:ind w:left="5" w:firstLine="563"/>
        <w:spacing w:after="0" w:line="213" w:lineRule="auto"/>
        <w:tabs>
          <w:tab w:leader="none" w:pos="1133" w:val="left"/>
        </w:tabs>
        <w:numPr>
          <w:ilvl w:val="1"/>
          <w:numId w:val="151"/>
        </w:numPr>
        <w:rPr>
          <w:rFonts w:ascii="Arial" w:cs="Arial" w:eastAsia="Arial" w:hAnsi="Arial"/>
          <w:sz w:val="17"/>
          <w:szCs w:val="17"/>
          <w:color w:val="auto"/>
        </w:rPr>
      </w:pPr>
      <w:r>
        <w:rPr>
          <w:rFonts w:ascii="Arial" w:cs="Arial" w:eastAsia="Arial" w:hAnsi="Arial"/>
          <w:sz w:val="17"/>
          <w:szCs w:val="17"/>
          <w:color w:val="auto"/>
        </w:rPr>
        <w:t>If any Lender requests compensation under Section 2.13, or if the Borrower is required to pay any additional amount to any Lender or any Governmental Authority for the account of any Lender pursuant to Section 2.15, then such Lender shall use reasonable efforts to designate a different lending office for funding or booking its Loans hereunder or its participation in any Letter of Credit affected by such event, or to assign and delegate its rights and obligations hereunder to another of its offices, branches or Affiliates, if, in the judgment of such Lender, such designation or assignment and delegation (i) would eliminate or reduce amounts payable pursuant to Section 2.13 or 2.15, as the case may be, and (ii) would not subject such Lender to any unreimbursed cost or expense reasonably deemed by such Lender to be material and would not be inconsistent with the internal policies of, or otherwise be disadvantageous in any material economic, legal or regulatory respect to, such Lender.</w:t>
      </w:r>
    </w:p>
    <w:p>
      <w:pPr>
        <w:spacing w:after="0" w:line="135" w:lineRule="exact"/>
        <w:rPr>
          <w:rFonts w:ascii="Arial" w:cs="Arial" w:eastAsia="Arial" w:hAnsi="Arial"/>
          <w:sz w:val="17"/>
          <w:szCs w:val="17"/>
          <w:color w:val="auto"/>
        </w:rPr>
      </w:pPr>
    </w:p>
    <w:p>
      <w:pPr>
        <w:jc w:val="both"/>
        <w:ind w:left="5" w:right="20" w:firstLine="563"/>
        <w:spacing w:after="0" w:line="234" w:lineRule="auto"/>
        <w:tabs>
          <w:tab w:leader="none" w:pos="1131" w:val="left"/>
        </w:tabs>
        <w:numPr>
          <w:ilvl w:val="1"/>
          <w:numId w:val="151"/>
        </w:numPr>
        <w:rPr>
          <w:rFonts w:ascii="Arial" w:cs="Arial" w:eastAsia="Arial" w:hAnsi="Arial"/>
          <w:sz w:val="15"/>
          <w:szCs w:val="15"/>
          <w:color w:val="auto"/>
        </w:rPr>
      </w:pPr>
      <w:r>
        <w:rPr>
          <w:rFonts w:ascii="Arial" w:cs="Arial" w:eastAsia="Arial" w:hAnsi="Arial"/>
          <w:sz w:val="15"/>
          <w:szCs w:val="15"/>
          <w:color w:val="auto"/>
        </w:rPr>
        <w:t xml:space="preserve">If (i) any Lender requests compensation under Section 2.13, (ii) the Borrower is required to pay any additional amount to any Lender or to any Governmental Authority for the account of any Lender pursuant to Section 2.15 or (iii) any Lender is a Defaulting Lender, then the Borrower may, at its sole expense and effort, upon notice to such Lender and the Administrative Agent, require such Lender to assign and delegate, without recourse (in accordance with and subject to the restrictions contained in Section 9.04), all its interests, rights and obligations under this Agreement and the other Loan Documents to an Eligible Assignee that shall assume such obligations (which assignee may be another Lender, if a Lender accepts such assignment and delegation);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w:t>
      </w:r>
    </w:p>
    <w:p>
      <w:pPr>
        <w:spacing w:after="0" w:line="1" w:lineRule="exact"/>
        <w:rPr>
          <w:rFonts w:ascii="Arial" w:cs="Arial" w:eastAsia="Arial" w:hAnsi="Arial"/>
          <w:sz w:val="15"/>
          <w:szCs w:val="15"/>
          <w:color w:val="auto"/>
        </w:rPr>
      </w:pPr>
    </w:p>
    <w:p>
      <w:pPr>
        <w:jc w:val="both"/>
        <w:ind w:left="5" w:hanging="5"/>
        <w:spacing w:after="0" w:line="229" w:lineRule="auto"/>
        <w:tabs>
          <w:tab w:leader="none" w:pos="289" w:val="left"/>
        </w:tabs>
        <w:numPr>
          <w:ilvl w:val="0"/>
          <w:numId w:val="152"/>
        </w:numPr>
        <w:rPr>
          <w:rFonts w:ascii="Arial" w:cs="Arial" w:eastAsia="Arial" w:hAnsi="Arial"/>
          <w:sz w:val="16"/>
          <w:szCs w:val="16"/>
          <w:color w:val="auto"/>
        </w:rPr>
      </w:pPr>
      <w:r>
        <w:rPr>
          <w:rFonts w:ascii="Arial" w:cs="Arial" w:eastAsia="Arial" w:hAnsi="Arial"/>
          <w:sz w:val="16"/>
          <w:szCs w:val="16"/>
          <w:color w:val="auto"/>
        </w:rPr>
        <w:t>the Borrower shall have received the prior written consent of the Administrative Agent to the extent such consent would be required under Section 9.04(b) for an assignment of Loans or Commitments, as applicable (and if a Revolving Commitment is being assigned and delegated, each Issuing Bank and each Swingline Lender), which consents, in each case, shall not unreasonably be withheld or delayed, (B) such Lender shall have received payment of an amount equal to the outstanding principal of its Loans and unreimbursed participations in LC Disbursements and Swingline Loans, accrued but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4"/>
        <w:spacing w:after="0"/>
        <w:rPr>
          <w:sz w:val="20"/>
          <w:szCs w:val="20"/>
          <w:color w:val="auto"/>
        </w:rPr>
      </w:pPr>
      <w:r>
        <w:rPr>
          <w:rFonts w:ascii="Arial" w:cs="Arial" w:eastAsia="Arial" w:hAnsi="Arial"/>
          <w:sz w:val="17"/>
          <w:szCs w:val="17"/>
          <w:color w:val="auto"/>
        </w:rPr>
        <w:t>97</w:t>
      </w:r>
    </w:p>
    <w:p>
      <w:pPr>
        <w:sectPr>
          <w:pgSz w:w="11900" w:h="16838" w:orient="portrait"/>
          <w:cols w:equalWidth="0" w:num="1">
            <w:col w:w="11265"/>
          </w:cols>
          <w:pgMar w:left="315" w:top="1440" w:right="319" w:bottom="1440" w:gutter="0" w:footer="0" w:header="0"/>
        </w:sectPr>
      </w:pPr>
    </w:p>
    <w:bookmarkStart w:id="271" w:name="page272"/>
    <w:bookmarkEnd w:id="271"/>
    <w:p>
      <w:pPr>
        <w:spacing w:after="0" w:line="390" w:lineRule="exact"/>
        <w:rPr>
          <w:sz w:val="20"/>
          <w:szCs w:val="20"/>
          <w:color w:val="auto"/>
        </w:rPr>
      </w:pPr>
    </w:p>
    <w:p>
      <w:pPr>
        <w:jc w:val="both"/>
        <w:spacing w:after="0" w:line="220" w:lineRule="auto"/>
        <w:rPr>
          <w:sz w:val="20"/>
          <w:szCs w:val="20"/>
          <w:color w:val="auto"/>
        </w:rPr>
      </w:pPr>
      <w:r>
        <w:rPr>
          <w:rFonts w:ascii="Arial" w:cs="Arial" w:eastAsia="Arial" w:hAnsi="Arial"/>
          <w:sz w:val="16"/>
          <w:szCs w:val="16"/>
          <w:color w:val="auto"/>
        </w:rPr>
        <w:t xml:space="preserve">unpaid interest thereon, accrued but unpaid fees and all other amounts payable to it hereunder from the assignee (to the extent of such outstanding principal and accrued interest and fees) or the Borrower (in the case of all other amounts), (C) the Borrower or such assignee shall have paid (unless waived) to the Administrative Agent the processing and recordation fee specified in Section 9.04(b)(ii) and (D) in the case of any such assignment resulting from a claim for compensation under Section 2.13, or payments required to be made pursuant to Section 2.15, such assignment will result in a material reduction in such compensation or payments. A Lender shall not be required to make any such assignment and delegation if, prior thereto, as a result of a waiver by such Lender or otherwise (including as a result of any action taken by such Lender under paragraph (a) above), the circumstances entitling the Borrower to require such assignment and delegation cease to apply. Each party hereto agrees that an assignment required pursuant to this paragraph may be effected pursuant to an Assignment and Assumption executed by the Borrower, the Administrative Agent and the assignee and that the Lender required to make such assignment need not be a party thereto. Each party hereto agrees that (i) an assignment required pursuant to this paragraph may be effected pursuant to an Assignment and Assumption executed by the Borrower, the Administrative Agent and the assignee (or, to the extent applicable, an agreement incorporating an Assignment and Assumption by reference pursuant to an Approved Electronic Platform as to which the Administrative Agent and such parties are participants), and (ii) the Lender required to make such assignment need not be a party thereto in order for such assignment to be effective and shall be deemed to have consented to an be bound by the terms thereof; provided that, following the effectiveness of any such assignment, the other parties to such assignment agree to execute and deliver such documents necessary to evidence such assignment as reasonably requested by the applicable Lender;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documents shall be without recourse to or warranty by the parties thereto.</w:t>
      </w:r>
    </w:p>
    <w:p>
      <w:pPr>
        <w:spacing w:after="0" w:line="146" w:lineRule="exact"/>
        <w:rPr>
          <w:sz w:val="20"/>
          <w:szCs w:val="20"/>
          <w:color w:val="auto"/>
        </w:rPr>
      </w:pPr>
    </w:p>
    <w:p>
      <w:pPr>
        <w:ind w:left="560"/>
        <w:spacing w:after="0"/>
        <w:tabs>
          <w:tab w:leader="none" w:pos="1680" w:val="left"/>
        </w:tabs>
        <w:rPr>
          <w:sz w:val="20"/>
          <w:szCs w:val="20"/>
          <w:color w:val="auto"/>
        </w:rPr>
      </w:pPr>
      <w:r>
        <w:rPr>
          <w:rFonts w:ascii="Arial" w:cs="Arial" w:eastAsia="Arial" w:hAnsi="Arial"/>
          <w:sz w:val="17"/>
          <w:szCs w:val="17"/>
          <w:color w:val="auto"/>
        </w:rPr>
        <w:t>Section 1.18.</w:t>
      </w:r>
      <w:r>
        <w:rPr>
          <w:sz w:val="20"/>
          <w:szCs w:val="20"/>
          <w:color w:val="auto"/>
        </w:rPr>
        <w:tab/>
      </w:r>
      <w:r>
        <w:rPr>
          <w:rFonts w:ascii="Arial" w:cs="Arial" w:eastAsia="Arial" w:hAnsi="Arial"/>
          <w:sz w:val="15"/>
          <w:szCs w:val="15"/>
          <w:i w:val="1"/>
          <w:iCs w:val="1"/>
          <w:color w:val="auto"/>
        </w:rPr>
        <w:t>Incremental Credit Extensions</w:t>
      </w:r>
      <w:r>
        <w:rPr>
          <w:rFonts w:ascii="Arial" w:cs="Arial" w:eastAsia="Arial" w:hAnsi="Arial"/>
          <w:sz w:val="15"/>
          <w:szCs w:val="15"/>
          <w:color w:val="auto"/>
        </w:rPr>
        <w:t>.</w:t>
      </w:r>
    </w:p>
    <w:p>
      <w:pPr>
        <w:spacing w:after="0" w:line="160" w:lineRule="exact"/>
        <w:rPr>
          <w:sz w:val="20"/>
          <w:szCs w:val="20"/>
          <w:color w:val="auto"/>
        </w:rPr>
      </w:pPr>
    </w:p>
    <w:p>
      <w:pPr>
        <w:jc w:val="both"/>
        <w:ind w:firstLine="563"/>
        <w:spacing w:after="0" w:line="220" w:lineRule="auto"/>
        <w:tabs>
          <w:tab w:leader="none" w:pos="1206" w:val="left"/>
        </w:tabs>
        <w:numPr>
          <w:ilvl w:val="0"/>
          <w:numId w:val="153"/>
        </w:numPr>
        <w:rPr>
          <w:rFonts w:ascii="Arial" w:cs="Arial" w:eastAsia="Arial" w:hAnsi="Arial"/>
          <w:sz w:val="16"/>
          <w:szCs w:val="16"/>
          <w:color w:val="auto"/>
        </w:rPr>
      </w:pPr>
      <w:r>
        <w:rPr>
          <w:rFonts w:ascii="Arial" w:cs="Arial" w:eastAsia="Arial" w:hAnsi="Arial"/>
          <w:sz w:val="16"/>
          <w:szCs w:val="16"/>
          <w:color w:val="auto"/>
        </w:rPr>
        <w:t>At any time and from time to time after the Closing Date, subject to the terms and conditions set forth herein, the Borrower may, by notice to the Administrative Agent (whereupon the Administrative Agent shall promptly make available such notice to each of the Lenders), request to effect one or more additional revolving credit facility tranches hereunder (or an increase of the Revolving Commitments hereunder) (“</w:t>
      </w:r>
      <w:r>
        <w:rPr>
          <w:rFonts w:ascii="Arial" w:cs="Arial" w:eastAsia="Arial" w:hAnsi="Arial"/>
          <w:sz w:val="16"/>
          <w:szCs w:val="16"/>
          <w:b w:val="1"/>
          <w:bCs w:val="1"/>
          <w:color w:val="auto"/>
        </w:rPr>
        <w:t>Incremental Revolving Facilities</w:t>
      </w:r>
      <w:r>
        <w:rPr>
          <w:rFonts w:ascii="Arial" w:cs="Arial" w:eastAsia="Arial" w:hAnsi="Arial"/>
          <w:sz w:val="16"/>
          <w:szCs w:val="16"/>
          <w:color w:val="auto"/>
        </w:rPr>
        <w:t xml:space="preserve">”) from Additional Revolving Lenders;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at the time of each such request and upon the effectiveness of each Incremental Revolving Facility Amendment, no Default shall have occurred and be continuing or shall result therefrom (or, in the case of the incurrence or provision of any Incremental Revolving Facility in connection with a Limited Condition Acquisition, no Specified Event of Default shall have occurred and be continuing or shall result therefrom), (B) the Borrower shall have delivered a certificate of a Financial Officer certifying as to clause (A) above and setting forth the applicable clause(s) of the definition of “Incremental Cap” utilized for such Incremental Revolving Facility, together with, to the extent utilizing clause (b) of the definition of “Incremental Cap,” reasonably detailed calculations demonstrating compliance with such clause (b) (which calculations shall, if made as of the last day of any fiscal quarter of the Borrower for which the Borrower has not delivered to the Administrative Agent the financial statements and Compliance Certificate required to be delivered by Section 5.01(a) or (b) and Section 5.01(d), respectively, be accompanied by a reasonably detailed calculation of Consolidated EBITDA or Consolidated Interest Expense, as applicable, for the relevant period), (C) such Incremental Revolving Facility (x) shall be secured solely by Collateral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basis with or junior basis to the Initial Revolving Loans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to the extent such Incremental Revolving Facility is secured by junior Liens, the applicable parties shall have entered into the Junior Lien Intercreditor Agreement) or shall otherwise be unsecured and (y) shall not be guaranteed by any Persons other than Loan Parties, (D) except as set forth in clause (F) below, the interest rate margins, rate floors,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98</w:t>
      </w:r>
    </w:p>
    <w:p>
      <w:pPr>
        <w:sectPr>
          <w:pgSz w:w="11900" w:h="16838" w:orient="portrait"/>
          <w:cols w:equalWidth="0" w:num="1">
            <w:col w:w="11260"/>
          </w:cols>
          <w:pgMar w:left="320" w:top="1440" w:right="319" w:bottom="1440" w:gutter="0" w:footer="0" w:header="0"/>
        </w:sectPr>
      </w:pPr>
    </w:p>
    <w:bookmarkStart w:id="272" w:name="page273"/>
    <w:bookmarkEnd w:id="272"/>
    <w:p>
      <w:pPr>
        <w:spacing w:after="0" w:line="390" w:lineRule="exact"/>
        <w:rPr>
          <w:sz w:val="20"/>
          <w:szCs w:val="20"/>
          <w:color w:val="auto"/>
        </w:rPr>
      </w:pPr>
    </w:p>
    <w:p>
      <w:pPr>
        <w:jc w:val="both"/>
        <w:spacing w:after="0" w:line="221" w:lineRule="auto"/>
        <w:rPr>
          <w:sz w:val="20"/>
          <w:szCs w:val="20"/>
          <w:color w:val="auto"/>
        </w:rPr>
      </w:pPr>
      <w:r>
        <w:rPr>
          <w:rFonts w:ascii="Arial" w:cs="Arial" w:eastAsia="Arial" w:hAnsi="Arial"/>
          <w:sz w:val="16"/>
          <w:szCs w:val="16"/>
          <w:color w:val="auto"/>
        </w:rPr>
        <w:t xml:space="preserve">premiums and maturity applicable to any Incremental Revolving Facility shall be determined by the Borrower and the Additional Revolving Lenders providing such Incremental Revolving Facility,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Incremental Revolving Facility shall mature prior to the Revolving Maturity Date or require any scheduled amortization or mandatory commitment reductions prior to the Revolving Maturity Date, (E) any Incremental Revolving Facility may be provided in any currency as mutually agreed among the Administrative Agent, the Borrower and the Additional Revolving Lenders, (F) in the case of an increase in the Revolving Commitments hereunder, the maturity date of such increase in the Revolving Commitment shall be the Revolving Maturity Date, such increase in the Revolving Commitment shall require no scheduled amortization or mandatory commitment reduction prior to the Revolving Maturity Date and shall be on the same terms governing the Revolving Commitments pursuant to this Agreement and (G) subject to the express requirements herein, any Incremental Revolving Facility Amendment shall be on the terms and pursuant to documentation to be determined by the Borrower and the Additional Revolving Lenders providing the applicable Incremental Revolving Facilities;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to the extent such terms and documentation are not consistent with this Agreement (except to the extent permitted by clause (D) or (E) above), they shall be reasonably satisfactory to the Administrative Agent;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no Issuing Bank shall be required to act as “issuing bank” and no Swingline Lender shall be required to act as a “swingline lender” under any such Incremental Revolving Facility without its written consent. Each Incremental Revolving Facility shall be in a minimum principal amount of $10,000,000 and integral multiples of $1,000,000 in excess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amount may be less than $10,000,000 if such amount represents all the remaining availability under the Incremental Cap.</w:t>
      </w:r>
    </w:p>
    <w:p>
      <w:pPr>
        <w:spacing w:after="0" w:line="142" w:lineRule="exact"/>
        <w:rPr>
          <w:sz w:val="20"/>
          <w:szCs w:val="20"/>
          <w:color w:val="auto"/>
        </w:rPr>
      </w:pPr>
    </w:p>
    <w:p>
      <w:pPr>
        <w:jc w:val="both"/>
        <w:ind w:left="340" w:firstLine="791"/>
        <w:spacing w:after="0" w:line="220" w:lineRule="auto"/>
        <w:tabs>
          <w:tab w:leader="none" w:pos="1702" w:val="left"/>
        </w:tabs>
        <w:numPr>
          <w:ilvl w:val="0"/>
          <w:numId w:val="154"/>
        </w:numPr>
        <w:rPr>
          <w:rFonts w:ascii="Arial" w:cs="Arial" w:eastAsia="Arial" w:hAnsi="Arial"/>
          <w:sz w:val="16"/>
          <w:szCs w:val="16"/>
          <w:color w:val="auto"/>
        </w:rPr>
      </w:pPr>
      <w:r>
        <w:rPr>
          <w:rFonts w:ascii="Arial" w:cs="Arial" w:eastAsia="Arial" w:hAnsi="Arial"/>
          <w:sz w:val="16"/>
          <w:szCs w:val="16"/>
          <w:color w:val="auto"/>
        </w:rPr>
        <w:t>At any time and from time to time after the Closing Date, subject to the terms and conditions set forth herein, the Borrower may, by notice to the Administrative Agent (whereupon the Administrative Agent shall promptly make available such notice to each of the Lenders), request to effect one or more additional tranches of term loans hereunder or increases (so long as the interest rate margins, rate floors, fees, funding discounts and other terms of any such increase are identical to the Term Loans being increased) in the amount of Term Loans (“</w:t>
      </w:r>
      <w:r>
        <w:rPr>
          <w:rFonts w:ascii="Arial" w:cs="Arial" w:eastAsia="Arial" w:hAnsi="Arial"/>
          <w:sz w:val="16"/>
          <w:szCs w:val="16"/>
          <w:b w:val="1"/>
          <w:bCs w:val="1"/>
          <w:color w:val="auto"/>
        </w:rPr>
        <w:t>Incremental Term Facilities</w:t>
      </w:r>
      <w:r>
        <w:rPr>
          <w:rFonts w:ascii="Arial" w:cs="Arial" w:eastAsia="Arial" w:hAnsi="Arial"/>
          <w:sz w:val="16"/>
          <w:szCs w:val="16"/>
          <w:color w:val="auto"/>
        </w:rPr>
        <w:t>” and, together with any Incremental Revolving Facility, an “</w:t>
      </w:r>
      <w:r>
        <w:rPr>
          <w:rFonts w:ascii="Arial" w:cs="Arial" w:eastAsia="Arial" w:hAnsi="Arial"/>
          <w:sz w:val="16"/>
          <w:szCs w:val="16"/>
          <w:b w:val="1"/>
          <w:bCs w:val="1"/>
          <w:color w:val="auto"/>
        </w:rPr>
        <w:t>Incremental Facility</w:t>
      </w:r>
      <w:r>
        <w:rPr>
          <w:rFonts w:ascii="Arial" w:cs="Arial" w:eastAsia="Arial" w:hAnsi="Arial"/>
          <w:sz w:val="16"/>
          <w:szCs w:val="16"/>
          <w:color w:val="auto"/>
        </w:rPr>
        <w:t xml:space="preserve">”) from one or more Additional Term Lenders;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at the time of each such request and upon the effectiveness of each Incremental Term Facility Amendment, no Default shall have occurred and be continuing or shall result therefrom (or, in the case of the incurrence or provision of any Incremental Term Facility in connection with a Limited Condition Acquisition, no Specified Event of Default shall have occurred and be continuing or shall result therefrom), (B) the Borrower shall have delivered a certificate of a Financial Officer certifying as to clause (A) above and setting forth the applicable clause(s) of the definition of Incremental Cap utilized for such Incremental Term Facility, together with, to the extent utilizing clause (b) of the definition of Incremental Cap, reasonably detailed calculations demonstrating compliance with such clause (b) (which calculations shall, if made as of the last day of any fiscal quarter of the Borrower for which the Borrower has not delivered to the Administrative Agent the financial statements and Compliance Certificate required to be delivered by Section 5.01(a) or (b) and Section 5.01(d), respectively, be accompanied by a reasonably detailed calculation of Consolidated EBITDA or Consolidated Interest Expense, as applicable, for the relevant period), (C) the maturity date of any Incremental Term Loans incurred pursuant to any Incremental Term Facility shall not be earlier than the Term Maturity Date and such Incremental Term Facility shall not have a Weighted Average Life to Maturity shorter than the Weighted Average Life to Maturity of the Term Loans); </w:t>
      </w:r>
      <w:r>
        <w:rPr>
          <w:rFonts w:ascii="Arial" w:cs="Arial" w:eastAsia="Arial" w:hAnsi="Arial"/>
          <w:sz w:val="16"/>
          <w:szCs w:val="16"/>
          <w:i w:val="1"/>
          <w:iCs w:val="1"/>
          <w:color w:val="auto"/>
        </w:rPr>
        <w:t>provided</w:t>
      </w:r>
      <w:r>
        <w:rPr>
          <w:rFonts w:ascii="Arial" w:cs="Arial" w:eastAsia="Arial" w:hAnsi="Arial"/>
          <w:sz w:val="16"/>
          <w:szCs w:val="16"/>
          <w:color w:val="auto"/>
        </w:rPr>
        <w:t>, that that this clause (C) shall not apply to any Incremental Term Facilities incurred in the form of Customary Bridge Loans (provided that any loans, notes securities or other debt which are exchanged for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99</w:t>
      </w:r>
    </w:p>
    <w:p>
      <w:pPr>
        <w:sectPr>
          <w:pgSz w:w="11900" w:h="16838" w:orient="portrait"/>
          <w:cols w:equalWidth="0" w:num="1">
            <w:col w:w="11260"/>
          </w:cols>
          <w:pgMar w:left="320" w:top="1440" w:right="319" w:bottom="1440" w:gutter="0" w:footer="0" w:header="0"/>
        </w:sectPr>
      </w:pPr>
    </w:p>
    <w:bookmarkStart w:id="273" w:name="page274"/>
    <w:bookmarkEnd w:id="273"/>
    <w:p>
      <w:pPr>
        <w:spacing w:after="0" w:line="390" w:lineRule="exact"/>
        <w:rPr>
          <w:sz w:val="20"/>
          <w:szCs w:val="20"/>
          <w:color w:val="auto"/>
        </w:rPr>
      </w:pPr>
    </w:p>
    <w:p>
      <w:pPr>
        <w:jc w:val="both"/>
        <w:spacing w:after="0"/>
        <w:rPr>
          <w:sz w:val="20"/>
          <w:szCs w:val="20"/>
          <w:color w:val="auto"/>
        </w:rPr>
      </w:pPr>
      <w:r>
        <w:rPr>
          <w:rFonts w:ascii="Arial" w:cs="Arial" w:eastAsia="Arial" w:hAnsi="Arial"/>
          <w:sz w:val="15"/>
          <w:szCs w:val="15"/>
          <w:color w:val="auto"/>
        </w:rPr>
        <w:t xml:space="preserve">otherwise replace such Customary Bridge Loans shall be subject to the requirements of this clause (C)) and/or in an aggregate principal amount outstanding that is not in excess of the then remaining capacity under the Inside Maturity Basket, (D) the All-In Yield for any term loans incurred pursuant to any Incremental Term Facility shall be determined by the Borrower and the Additional Term Lenders;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in the event that on or prior to the date this is twelve months after the Closing Date in the case of floating rate term loans (other than Customary Bridge Loans (provided that any loans, notes securities or other debt which are exchanged for or otherwise replace such Customary Bridge Loans shall be subject to the requirements of this clause (D))) that are (w) secured by Liens on the Collateral on a </w:t>
      </w:r>
      <w:r>
        <w:rPr>
          <w:rFonts w:ascii="Arial" w:cs="Arial" w:eastAsia="Arial" w:hAnsi="Arial"/>
          <w:sz w:val="15"/>
          <w:szCs w:val="15"/>
          <w:i w:val="1"/>
          <w:iCs w:val="1"/>
          <w:color w:val="auto"/>
        </w:rPr>
        <w:t>pari passu</w:t>
      </w:r>
      <w:r>
        <w:rPr>
          <w:rFonts w:ascii="Arial" w:cs="Arial" w:eastAsia="Arial" w:hAnsi="Arial"/>
          <w:sz w:val="15"/>
          <w:szCs w:val="15"/>
          <w:color w:val="auto"/>
        </w:rPr>
        <w:t xml:space="preserve"> basis with the Initial Term Loans, (x) denominated in dollars and (y) broadly syndicated to banks and other institutional investors, if the All-In Yield for such term loans is greater than the All-In Yield for the Initial Term Loans by more than 50 basis points, then the All-In Yield for the Initial Term Loans shall be increased to the extent necessary so that the All-In Yield is equal to the All-In Yield for such term loans incurred pursuant to such Incremental Term Facility minus 50 basis points; </w:t>
      </w:r>
      <w:r>
        <w:rPr>
          <w:rFonts w:ascii="Arial" w:cs="Arial" w:eastAsia="Arial" w:hAnsi="Arial"/>
          <w:sz w:val="15"/>
          <w:szCs w:val="15"/>
          <w:i w:val="1"/>
          <w:iCs w:val="1"/>
          <w:color w:val="auto"/>
        </w:rPr>
        <w:t>provided, further</w:t>
      </w:r>
      <w:r>
        <w:rPr>
          <w:rFonts w:ascii="Arial" w:cs="Arial" w:eastAsia="Arial" w:hAnsi="Arial"/>
          <w:sz w:val="15"/>
          <w:szCs w:val="15"/>
          <w:color w:val="auto"/>
        </w:rPr>
        <w:t>, that, in determining the All-In Yield applicable to the term loans incurred pursuant to such Incremental Term Facility and the Initial Term Loans (x) original issue discount (“</w:t>
      </w:r>
      <w:r>
        <w:rPr>
          <w:rFonts w:ascii="Arial" w:cs="Arial" w:eastAsia="Arial" w:hAnsi="Arial"/>
          <w:sz w:val="15"/>
          <w:szCs w:val="15"/>
          <w:b w:val="1"/>
          <w:bCs w:val="1"/>
          <w:color w:val="auto"/>
        </w:rPr>
        <w:t>OID</w:t>
      </w:r>
      <w:r>
        <w:rPr>
          <w:rFonts w:ascii="Arial" w:cs="Arial" w:eastAsia="Arial" w:hAnsi="Arial"/>
          <w:sz w:val="15"/>
          <w:szCs w:val="15"/>
          <w:color w:val="auto"/>
        </w:rPr>
        <w:t xml:space="preserve">”) or upfront fees (which shall be deemed to constitute like amounts of OID) payable by Borrower to the Term Lenders or any Additional Term Lenders in the initial primary syndication thereof shall be included (with OID being equated to interest based on assumed four-year life to maturity), (y) customary arrangement or commitment fees payable to the Lead Arrangers (or their respective affiliates) in connection with this Agreement or to one or more arrangers (or their affiliates) of any Incremental Term Facility shall be excluded and (z) if the Incremental Term Facility includes an interest rate floor greater than the interest rate floor applicable to the Initial Term Loans, such differential in interest rate floors shall be equated to interest margin for purposes of determining whether an increase to the applicable interest margin for the Initial Term Loans shall be required, but only to the extent an increase in the interest rate floor in the Initial Term Loans would cause an increase in the interest rate then in effect thereunder, and in such case the interest rate floor (but not the interest rate margin) applicable to the existing Initial Term Loans shall be increased by such amount (not to exceed the extent of such differential between interest rate floors) as will result in the interest margin applicable to such Incremental Term Facility plus the interest rate floor applicable to such Incremental Term Facility being no greater than the interest rate floor (as so increased) plus the interest rate margin applicable to Initial Term Loans minus 50 basis points;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further</w:t>
      </w:r>
      <w:r>
        <w:rPr>
          <w:rFonts w:ascii="Arial" w:cs="Arial" w:eastAsia="Arial" w:hAnsi="Arial"/>
          <w:sz w:val="15"/>
          <w:szCs w:val="15"/>
          <w:color w:val="auto"/>
        </w:rPr>
        <w:t>, that this clause (D) shall not apply to (1) any Incremental Term Facility that is incurred with a principal amount not in excess of the greater of $300,000,000 and 30% of Consolidated EBITDA calculated on a Pro Forma Basis for the most recently ended Test Period for which financial statements are available, (2) any Incremental Term Facility with a maturity date more than two (2) years after the maturity date of the Initial Term Loans, or (3) any Incremental Term Facility incurred to finance a Permitted Acquisition, other similar Investment or New Project (this clause (D), the “</w:t>
      </w:r>
      <w:r>
        <w:rPr>
          <w:rFonts w:ascii="Arial" w:cs="Arial" w:eastAsia="Arial" w:hAnsi="Arial"/>
          <w:sz w:val="15"/>
          <w:szCs w:val="15"/>
          <w:b w:val="1"/>
          <w:bCs w:val="1"/>
          <w:color w:val="auto"/>
        </w:rPr>
        <w:t>MFN Protections</w:t>
      </w:r>
      <w:r>
        <w:rPr>
          <w:rFonts w:ascii="Arial" w:cs="Arial" w:eastAsia="Arial" w:hAnsi="Arial"/>
          <w:sz w:val="15"/>
          <w:szCs w:val="15"/>
          <w:color w:val="auto"/>
        </w:rPr>
        <w:t xml:space="preserve">”), (E) the Incremental Term Loans incurred pursuant to any Incremental Term Facility (x) shall be secured solely by the Collateral on a </w:t>
      </w:r>
      <w:r>
        <w:rPr>
          <w:rFonts w:ascii="Arial" w:cs="Arial" w:eastAsia="Arial" w:hAnsi="Arial"/>
          <w:sz w:val="15"/>
          <w:szCs w:val="15"/>
          <w:i w:val="1"/>
          <w:iCs w:val="1"/>
          <w:color w:val="auto"/>
        </w:rPr>
        <w:t>pari passu</w:t>
      </w:r>
      <w:r>
        <w:rPr>
          <w:rFonts w:ascii="Arial" w:cs="Arial" w:eastAsia="Arial" w:hAnsi="Arial"/>
          <w:sz w:val="15"/>
          <w:szCs w:val="15"/>
          <w:color w:val="auto"/>
        </w:rPr>
        <w:t xml:space="preserve"> basis with or junior basis to the Initial Term Loans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to the extent such Incremental Term Facility is secured by junior Liens the applicable parties shall have entered into the Junior Lien Intercreditor Agreement) or shall be unsecured and (y) shall not be guaranteed by any Persons other than Loan Parties, (F) any Incremental Term Facility may be provided in any currency as mutually agreed among the Administrative Agent, the Borrower and the Additional Term Lenders and (G) subject to the express requirements herein, any Incremental Term Facility Amendment shall be on the terms and pursuant to documentation to be determined by the Borrower and the Additional Term Lenders providing the applicable Incremental Term Facilities;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to the extent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40"/>
        <w:spacing w:after="0"/>
        <w:rPr>
          <w:sz w:val="20"/>
          <w:szCs w:val="20"/>
          <w:color w:val="auto"/>
        </w:rPr>
      </w:pPr>
      <w:r>
        <w:rPr>
          <w:rFonts w:ascii="Arial" w:cs="Arial" w:eastAsia="Arial" w:hAnsi="Arial"/>
          <w:sz w:val="17"/>
          <w:szCs w:val="17"/>
          <w:color w:val="auto"/>
        </w:rPr>
        <w:t>100</w:t>
      </w:r>
    </w:p>
    <w:p>
      <w:pPr>
        <w:sectPr>
          <w:pgSz w:w="11900" w:h="16838" w:orient="portrait"/>
          <w:cols w:equalWidth="0" w:num="1">
            <w:col w:w="10920"/>
          </w:cols>
          <w:pgMar w:left="660" w:top="1440" w:right="319" w:bottom="1440" w:gutter="0" w:footer="0" w:header="0"/>
        </w:sectPr>
      </w:pPr>
    </w:p>
    <w:bookmarkStart w:id="274" w:name="page275"/>
    <w:bookmarkEnd w:id="274"/>
    <w:p>
      <w:pPr>
        <w:spacing w:after="0" w:line="390" w:lineRule="exact"/>
        <w:rPr>
          <w:sz w:val="20"/>
          <w:szCs w:val="20"/>
          <w:color w:val="auto"/>
        </w:rPr>
      </w:pPr>
    </w:p>
    <w:p>
      <w:pPr>
        <w:jc w:val="both"/>
        <w:ind w:left="340"/>
        <w:spacing w:after="0" w:line="220" w:lineRule="auto"/>
        <w:rPr>
          <w:sz w:val="20"/>
          <w:szCs w:val="20"/>
          <w:color w:val="auto"/>
        </w:rPr>
      </w:pPr>
      <w:r>
        <w:rPr>
          <w:rFonts w:ascii="Arial" w:cs="Arial" w:eastAsia="Arial" w:hAnsi="Arial"/>
          <w:sz w:val="17"/>
          <w:szCs w:val="17"/>
          <w:color w:val="auto"/>
        </w:rPr>
        <w:t xml:space="preserve">such terms and documentation are not consistent with this Agreement (except to the extent permitted by clause (D), (E) or (F) above), they shall be reasonably satisfactory to the Administrative Agent. Each Incremental Term Facility shall be in a minimum principal amount of $10,000,000 and integral multiples of $1,000,000 in excess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amount may be less than $10,000,000 if such amount represents all the remaining availability under the Incremental Cap.</w:t>
      </w:r>
    </w:p>
    <w:p>
      <w:pPr>
        <w:spacing w:after="0" w:line="136" w:lineRule="exact"/>
        <w:rPr>
          <w:sz w:val="20"/>
          <w:szCs w:val="20"/>
          <w:color w:val="auto"/>
        </w:rPr>
      </w:pPr>
    </w:p>
    <w:p>
      <w:pPr>
        <w:jc w:val="both"/>
        <w:ind w:left="340" w:firstLine="791"/>
        <w:spacing w:after="0" w:line="225" w:lineRule="auto"/>
        <w:tabs>
          <w:tab w:leader="none" w:pos="1703" w:val="left"/>
        </w:tabs>
        <w:numPr>
          <w:ilvl w:val="1"/>
          <w:numId w:val="155"/>
        </w:numPr>
        <w:rPr>
          <w:rFonts w:ascii="Arial" w:cs="Arial" w:eastAsia="Arial" w:hAnsi="Arial"/>
          <w:sz w:val="17"/>
          <w:szCs w:val="17"/>
          <w:color w:val="auto"/>
        </w:rPr>
      </w:pPr>
      <w:r>
        <w:rPr>
          <w:rFonts w:ascii="Arial" w:cs="Arial" w:eastAsia="Arial" w:hAnsi="Arial"/>
          <w:sz w:val="17"/>
          <w:szCs w:val="17"/>
          <w:color w:val="auto"/>
        </w:rPr>
        <w:t>Notwithstanding anything to the contrary herein, no Incremental Facility may be established or incurred under this Section 2.18 in an amount that would exceed the Incremental Cap at the time of such establishment or incurrence. Notwithstanding anything herein to the contrary, no existing Lender will be required to participate in any Incremental Revolving Facility or Incremental Term Facility without its consent.</w:t>
      </w:r>
    </w:p>
    <w:p>
      <w:pPr>
        <w:spacing w:after="0" w:line="136" w:lineRule="exact"/>
        <w:rPr>
          <w:rFonts w:ascii="Arial" w:cs="Arial" w:eastAsia="Arial" w:hAnsi="Arial"/>
          <w:sz w:val="17"/>
          <w:szCs w:val="17"/>
          <w:color w:val="auto"/>
        </w:rPr>
      </w:pPr>
    </w:p>
    <w:p>
      <w:pPr>
        <w:ind w:firstLine="563"/>
        <w:spacing w:after="0" w:line="237" w:lineRule="auto"/>
        <w:tabs>
          <w:tab w:leader="none" w:pos="1234" w:val="left"/>
        </w:tabs>
        <w:numPr>
          <w:ilvl w:val="0"/>
          <w:numId w:val="156"/>
        </w:numPr>
        <w:rPr>
          <w:rFonts w:ascii="Arial" w:cs="Arial" w:eastAsia="Arial" w:hAnsi="Arial"/>
          <w:sz w:val="17"/>
          <w:szCs w:val="17"/>
          <w:color w:val="auto"/>
        </w:rPr>
      </w:pPr>
      <w:r>
        <w:rPr>
          <w:rFonts w:ascii="Arial" w:cs="Arial" w:eastAsia="Arial" w:hAnsi="Arial"/>
          <w:sz w:val="17"/>
          <w:szCs w:val="17"/>
          <w:color w:val="auto"/>
        </w:rPr>
        <w:t>Each notice from the Borrower pursuant to this Section shall set forth the requested amount of the relevant Incremental Revolving Facility or Incremental Term Facility.</w:t>
      </w:r>
    </w:p>
    <w:p>
      <w:pPr>
        <w:spacing w:after="0" w:line="134" w:lineRule="exact"/>
        <w:rPr>
          <w:rFonts w:ascii="Arial" w:cs="Arial" w:eastAsia="Arial" w:hAnsi="Arial"/>
          <w:sz w:val="17"/>
          <w:szCs w:val="17"/>
          <w:color w:val="auto"/>
        </w:rPr>
      </w:pPr>
    </w:p>
    <w:p>
      <w:pPr>
        <w:jc w:val="both"/>
        <w:ind w:left="340" w:firstLine="791"/>
        <w:spacing w:after="0" w:line="220" w:lineRule="auto"/>
        <w:tabs>
          <w:tab w:leader="none" w:pos="1702" w:val="left"/>
        </w:tabs>
        <w:numPr>
          <w:ilvl w:val="1"/>
          <w:numId w:val="156"/>
        </w:numPr>
        <w:rPr>
          <w:rFonts w:ascii="Arial" w:cs="Arial" w:eastAsia="Arial" w:hAnsi="Arial"/>
          <w:sz w:val="16"/>
          <w:szCs w:val="16"/>
          <w:color w:val="auto"/>
        </w:rPr>
      </w:pPr>
      <w:r>
        <w:rPr>
          <w:rFonts w:ascii="Arial" w:cs="Arial" w:eastAsia="Arial" w:hAnsi="Arial"/>
          <w:sz w:val="16"/>
          <w:szCs w:val="16"/>
          <w:color w:val="auto"/>
        </w:rPr>
        <w:t>Commitments in respect of any Incremental Revolving Facility shall become Commitments under this Agreement pursuant to an amendment (an “</w:t>
      </w:r>
      <w:r>
        <w:rPr>
          <w:rFonts w:ascii="Arial" w:cs="Arial" w:eastAsia="Arial" w:hAnsi="Arial"/>
          <w:sz w:val="16"/>
          <w:szCs w:val="16"/>
          <w:b w:val="1"/>
          <w:bCs w:val="1"/>
          <w:color w:val="auto"/>
        </w:rPr>
        <w:t>Incremental Revolving Facility Amendment</w:t>
      </w:r>
      <w:r>
        <w:rPr>
          <w:rFonts w:ascii="Arial" w:cs="Arial" w:eastAsia="Arial" w:hAnsi="Arial"/>
          <w:sz w:val="16"/>
          <w:szCs w:val="16"/>
          <w:color w:val="auto"/>
        </w:rPr>
        <w:t>”) to this Agreement and, as appropriate, the other Loan Documents, executed by the Borrower, the applicable Additional Revolving Lenders and the Administrative Agent. Incremental Revolving Facilities may be provided, subject to the prior written consent of the Borrower (not to be unreasonably withheld), by any existing Lender (it being understood that no existing Lender shall have the right to participate in any Incremental Revolving Facility or, unless it agrees, be obligated to participate in any Incremental Revolving Facility) or by any Additional Revolving Lender. An Incremental Revolving Facility Amendment may, without the consent of any other Lenders, effect such amendments to any Loan Documents as may be necessary or appropriate, in the reasonable opinion of the Administrative Agent, to effect the provisions of this Section (including to provide for the issuance of letters of credit and swingline loans thereunder and to provide for the treatment of defaulting lenders). Subject to Section 1.08, in the case of an Incremental Revolving Facility incurred to finance a Limited Condition Acquisition, the effectiveness of any Incremental Revolving Facility Amendment shall, unless otherwise agreed to by the Administrative Agent and the Additional Revolving Lenders, be subject to the satisfaction on the date thereof (each, an “</w:t>
      </w:r>
      <w:r>
        <w:rPr>
          <w:rFonts w:ascii="Arial" w:cs="Arial" w:eastAsia="Arial" w:hAnsi="Arial"/>
          <w:sz w:val="16"/>
          <w:szCs w:val="16"/>
          <w:b w:val="1"/>
          <w:bCs w:val="1"/>
          <w:color w:val="auto"/>
        </w:rPr>
        <w:t>Incremental Revolving Facility Closing Date</w:t>
      </w:r>
      <w:r>
        <w:rPr>
          <w:rFonts w:ascii="Arial" w:cs="Arial" w:eastAsia="Arial" w:hAnsi="Arial"/>
          <w:sz w:val="16"/>
          <w:szCs w:val="16"/>
          <w:color w:val="auto"/>
        </w:rPr>
        <w:t>”) of each of the conditions set forth in Section 4.02 (it being understood that all references to “the date of such Borrowing” (or other similar reference) in Section 4.02 shall be deemed to refer to the Incremental Revolving Facility Closing Date) and, to the extent reasonably requested by the Administrative Agent, receipt by the Administrative Agent of legal opinions, board resolutions, officers’ certificates and/or reaffirmation agreements consistent with those delivered on the Closing Date under Section 4.01 (other than changes to such legal opinions resulting from a change in law, change in fact or change to counsel’s form of opinion reasonably satisfactory to the Administrative Agent).</w:t>
      </w:r>
    </w:p>
    <w:p>
      <w:pPr>
        <w:spacing w:after="0" w:line="143" w:lineRule="exact"/>
        <w:rPr>
          <w:sz w:val="20"/>
          <w:szCs w:val="20"/>
          <w:color w:val="auto"/>
        </w:rPr>
      </w:pPr>
    </w:p>
    <w:p>
      <w:pPr>
        <w:jc w:val="both"/>
        <w:ind w:left="340" w:firstLine="791"/>
        <w:spacing w:after="0" w:line="216" w:lineRule="auto"/>
        <w:tabs>
          <w:tab w:leader="none" w:pos="1703" w:val="left"/>
        </w:tabs>
        <w:numPr>
          <w:ilvl w:val="0"/>
          <w:numId w:val="157"/>
        </w:numPr>
        <w:rPr>
          <w:rFonts w:ascii="Arial" w:cs="Arial" w:eastAsia="Arial" w:hAnsi="Arial"/>
          <w:sz w:val="17"/>
          <w:szCs w:val="17"/>
          <w:color w:val="auto"/>
        </w:rPr>
      </w:pPr>
      <w:r>
        <w:rPr>
          <w:rFonts w:ascii="Arial" w:cs="Arial" w:eastAsia="Arial" w:hAnsi="Arial"/>
          <w:sz w:val="17"/>
          <w:szCs w:val="17"/>
          <w:color w:val="auto"/>
        </w:rPr>
        <w:t>Commitments in respect of any Incremental Term Facility shall become Commitments under this Agreement pursuant to an amendment (an “</w:t>
      </w:r>
      <w:r>
        <w:rPr>
          <w:rFonts w:ascii="Arial" w:cs="Arial" w:eastAsia="Arial" w:hAnsi="Arial"/>
          <w:sz w:val="17"/>
          <w:szCs w:val="17"/>
          <w:b w:val="1"/>
          <w:bCs w:val="1"/>
          <w:color w:val="auto"/>
        </w:rPr>
        <w:t>Incremental Term Facility Amendment</w:t>
      </w:r>
      <w:r>
        <w:rPr>
          <w:rFonts w:ascii="Arial" w:cs="Arial" w:eastAsia="Arial" w:hAnsi="Arial"/>
          <w:sz w:val="17"/>
          <w:szCs w:val="17"/>
          <w:color w:val="auto"/>
        </w:rPr>
        <w:t>”) to this Agreement and, as appropriate, the other Loan Documents executed by the Borrower, the applicable Additional Term Lenders and the Administrative Agent. Incremental Term Facilities may be provided, subject to the prior written consent of the Borrower (not to be unreasonably withheld), by any existing Lender (it being understood that no existing Lender shall have any right to participate in any Incremental Term Facility or, unless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101</w:t>
      </w:r>
    </w:p>
    <w:p>
      <w:pPr>
        <w:sectPr>
          <w:pgSz w:w="11900" w:h="16838" w:orient="portrait"/>
          <w:cols w:equalWidth="0" w:num="1">
            <w:col w:w="11260"/>
          </w:cols>
          <w:pgMar w:left="320" w:top="1440" w:right="319" w:bottom="1440" w:gutter="0" w:footer="0" w:header="0"/>
        </w:sectPr>
      </w:pPr>
    </w:p>
    <w:bookmarkStart w:id="275" w:name="page276"/>
    <w:bookmarkEnd w:id="275"/>
    <w:p>
      <w:pPr>
        <w:spacing w:after="0" w:line="390" w:lineRule="exact"/>
        <w:rPr>
          <w:sz w:val="20"/>
          <w:szCs w:val="20"/>
          <w:color w:val="auto"/>
        </w:rPr>
      </w:pPr>
    </w:p>
    <w:p>
      <w:pPr>
        <w:jc w:val="both"/>
        <w:ind w:left="340"/>
        <w:spacing w:after="0" w:line="223" w:lineRule="auto"/>
        <w:rPr>
          <w:sz w:val="20"/>
          <w:szCs w:val="20"/>
          <w:color w:val="auto"/>
        </w:rPr>
      </w:pPr>
      <w:r>
        <w:rPr>
          <w:rFonts w:ascii="Arial" w:cs="Arial" w:eastAsia="Arial" w:hAnsi="Arial"/>
          <w:sz w:val="16"/>
          <w:szCs w:val="16"/>
          <w:color w:val="auto"/>
        </w:rPr>
        <w:t>it agrees, be obligated to provide any Incremental Term Facilities) or by any Additional Term Lender. An Incremental Term Facility Amendment may, without the consent of any other Lenders, effect such amendments to any Loan Documents as may be necessary or appropriate, in the reasonable opinion of the Administrative Agent, to effect the provisions of this Section. Subject to Section 1.08 in the case of an Incremental Term Facility incurred to finance a Limited Condition Acquisition, the effectiveness of any Incremental Term Facility Amendment shall, unless otherwise agreed to by the Administrative Agent and the Additional Term Lenders, be subject to the satisfaction on the date thereof (each, an “</w:t>
      </w:r>
      <w:r>
        <w:rPr>
          <w:rFonts w:ascii="Arial" w:cs="Arial" w:eastAsia="Arial" w:hAnsi="Arial"/>
          <w:sz w:val="16"/>
          <w:szCs w:val="16"/>
          <w:b w:val="1"/>
          <w:bCs w:val="1"/>
          <w:color w:val="auto"/>
        </w:rPr>
        <w:t>Incremental Term Facility Closing Date</w:t>
      </w:r>
      <w:r>
        <w:rPr>
          <w:rFonts w:ascii="Arial" w:cs="Arial" w:eastAsia="Arial" w:hAnsi="Arial"/>
          <w:sz w:val="16"/>
          <w:szCs w:val="16"/>
          <w:color w:val="auto"/>
        </w:rPr>
        <w:t>”) of each of the conditions set forth in Section 4.02 (it being understood that all references to “the date of such Borrowing” (or other similar reference) in Section 4.02 shall be deemed to refer to the Incremental Term Facility Closing Date) and, to the extent reasonably requested by the Administrative Agent, receipt by the Administrative Agent of legal opinions, board resolutions, officers’ certificates and/or reaffirmation agreements consistent with those delivered on the Closing Date under Section 4.01 (other than changes to such legal opinions resulting from a change in law, change in fact or change to counsel’s form of opinion reasonably satisfactory to the Administrative Agent).</w:t>
      </w:r>
    </w:p>
    <w:p>
      <w:pPr>
        <w:spacing w:after="0" w:line="137" w:lineRule="exact"/>
        <w:rPr>
          <w:sz w:val="20"/>
          <w:szCs w:val="20"/>
          <w:color w:val="auto"/>
        </w:rPr>
      </w:pPr>
    </w:p>
    <w:p>
      <w:pPr>
        <w:jc w:val="both"/>
        <w:ind w:firstLine="563"/>
        <w:spacing w:after="0" w:line="222" w:lineRule="auto"/>
        <w:tabs>
          <w:tab w:leader="none" w:pos="1128" w:val="left"/>
        </w:tabs>
        <w:numPr>
          <w:ilvl w:val="0"/>
          <w:numId w:val="158"/>
        </w:numPr>
        <w:rPr>
          <w:rFonts w:ascii="Arial" w:cs="Arial" w:eastAsia="Arial" w:hAnsi="Arial"/>
          <w:sz w:val="16"/>
          <w:szCs w:val="16"/>
          <w:color w:val="auto"/>
        </w:rPr>
      </w:pPr>
      <w:r>
        <w:rPr>
          <w:rFonts w:ascii="Arial" w:cs="Arial" w:eastAsia="Arial" w:hAnsi="Arial"/>
          <w:sz w:val="16"/>
          <w:szCs w:val="16"/>
          <w:color w:val="auto"/>
        </w:rPr>
        <w:t>(i) Upon each increase in the Revolving Commitments pursuant to this Section, each Revolving Lender immediately prior to such increase will automatically and without further act be deemed to have assigned to each Additional Revolving Lender providing a portion of such increase (each a “</w:t>
      </w:r>
      <w:r>
        <w:rPr>
          <w:rFonts w:ascii="Arial" w:cs="Arial" w:eastAsia="Arial" w:hAnsi="Arial"/>
          <w:sz w:val="16"/>
          <w:szCs w:val="16"/>
          <w:b w:val="1"/>
          <w:bCs w:val="1"/>
          <w:color w:val="auto"/>
        </w:rPr>
        <w:t>Revolving</w:t>
      </w:r>
      <w:r>
        <w:rPr>
          <w:rFonts w:ascii="Arial" w:cs="Arial" w:eastAsia="Arial" w:hAnsi="Arial"/>
          <w:sz w:val="16"/>
          <w:szCs w:val="16"/>
          <w:color w:val="auto"/>
        </w:rPr>
        <w:t xml:space="preserve"> </w:t>
      </w:r>
      <w:r>
        <w:rPr>
          <w:rFonts w:ascii="Arial" w:cs="Arial" w:eastAsia="Arial" w:hAnsi="Arial"/>
          <w:sz w:val="16"/>
          <w:szCs w:val="16"/>
          <w:b w:val="1"/>
          <w:bCs w:val="1"/>
          <w:color w:val="auto"/>
        </w:rPr>
        <w:t>Commitment Increase Lender</w:t>
      </w:r>
      <w:r>
        <w:rPr>
          <w:rFonts w:ascii="Arial" w:cs="Arial" w:eastAsia="Arial" w:hAnsi="Arial"/>
          <w:sz w:val="16"/>
          <w:szCs w:val="16"/>
          <w:color w:val="auto"/>
        </w:rPr>
        <w:t>”), and each such Revolving Commitment Increase Lender will automatically and without further act be deemed to have</w:t>
      </w:r>
      <w:r>
        <w:rPr>
          <w:rFonts w:ascii="Arial" w:cs="Arial" w:eastAsia="Arial" w:hAnsi="Arial"/>
          <w:sz w:val="16"/>
          <w:szCs w:val="16"/>
          <w:b w:val="1"/>
          <w:bCs w:val="1"/>
          <w:color w:val="auto"/>
        </w:rPr>
        <w:t xml:space="preserve"> </w:t>
      </w:r>
      <w:r>
        <w:rPr>
          <w:rFonts w:ascii="Arial" w:cs="Arial" w:eastAsia="Arial" w:hAnsi="Arial"/>
          <w:sz w:val="16"/>
          <w:szCs w:val="16"/>
          <w:color w:val="auto"/>
        </w:rPr>
        <w:t>assumed, a portion of such Revolving Lender's participations hereunder in outstanding Letters of Credit such that, after giving effect to such increase and each such deemed assignment and assumption of participations, the percentage of the aggregate outstanding participations hereunder in Letters of Credit held by each Revolving Lender (including each such Revolving Commitment Increase Lender) will equal such Revolving Lender's Applicable Percentage. If, on the date of such increase, there are any Revolving Loans outstanding, such Revolving Loans shall, upon the effectiveness of the applicable Incremental Revolving Facility, be prepaid from the proceeds of Revolving Loans made under such Incremental Revolving Facility so that Revolving Loans are thereafter held by the Revolving Lenders according to their Applicable Percentage (after giving effect to the increase in Revolving Commitments), which prepayment shall be accompanied by accrued interest on the Revolving Loans being prepaid and any costs incurred by any Revolving Lender in accordance with Section 2.13. The Administrative Agent and the Lenders hereby agree that the minimum borrowing, pro rata borrowing, pro rata payment requirements and notice requirements contained elsewhere in this Agreement shall not apply to the transactions effected pursuant to the immediately preceding sentence.</w:t>
      </w:r>
    </w:p>
    <w:p>
      <w:pPr>
        <w:spacing w:after="0" w:line="136" w:lineRule="exact"/>
        <w:rPr>
          <w:rFonts w:ascii="Arial" w:cs="Arial" w:eastAsia="Arial" w:hAnsi="Arial"/>
          <w:sz w:val="16"/>
          <w:szCs w:val="16"/>
          <w:color w:val="auto"/>
        </w:rPr>
      </w:pPr>
    </w:p>
    <w:p>
      <w:pPr>
        <w:jc w:val="both"/>
        <w:ind w:firstLine="563"/>
        <w:spacing w:after="0"/>
        <w:tabs>
          <w:tab w:leader="none" w:pos="1126" w:val="left"/>
        </w:tabs>
        <w:numPr>
          <w:ilvl w:val="0"/>
          <w:numId w:val="158"/>
        </w:numPr>
        <w:rPr>
          <w:rFonts w:ascii="Arial" w:cs="Arial" w:eastAsia="Arial" w:hAnsi="Arial"/>
          <w:sz w:val="16"/>
          <w:szCs w:val="16"/>
          <w:color w:val="auto"/>
        </w:rPr>
      </w:pPr>
      <w:r>
        <w:rPr>
          <w:rFonts w:ascii="Arial" w:cs="Arial" w:eastAsia="Arial" w:hAnsi="Arial"/>
          <w:sz w:val="16"/>
          <w:szCs w:val="16"/>
          <w:color w:val="auto"/>
        </w:rPr>
        <w:t>Upon each Incremental Term Facility Closing Date pursuant to this Section, each Additional Term Lender participating in the applicable Incremental Term Facility shall make an additional term loan to the Borrower in a principal amount equal to such Additional Term Lender’s commitment in respect of such Incremental Term Facility. Any such term loan shall be a “Term Loan” for all purposes of this Agreement and the other Loan Documents.</w:t>
      </w:r>
    </w:p>
    <w:p>
      <w:pPr>
        <w:spacing w:after="0" w:line="134" w:lineRule="exact"/>
        <w:rPr>
          <w:rFonts w:ascii="Arial" w:cs="Arial" w:eastAsia="Arial" w:hAnsi="Arial"/>
          <w:sz w:val="16"/>
          <w:szCs w:val="16"/>
          <w:color w:val="auto"/>
        </w:rPr>
      </w:pPr>
    </w:p>
    <w:p>
      <w:pPr>
        <w:ind w:left="1120" w:hanging="557"/>
        <w:spacing w:after="0"/>
        <w:tabs>
          <w:tab w:leader="none" w:pos="112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This Section 2.18 shall supersede any provisions in Section 2.16 or Section 9.02 to the contrary.</w:t>
      </w:r>
    </w:p>
    <w:p>
      <w:pPr>
        <w:spacing w:after="0" w:line="160" w:lineRule="exact"/>
        <w:rPr>
          <w:sz w:val="20"/>
          <w:szCs w:val="20"/>
          <w:color w:val="auto"/>
        </w:rPr>
      </w:pPr>
    </w:p>
    <w:p>
      <w:pPr>
        <w:ind w:left="560"/>
        <w:spacing w:after="0"/>
        <w:tabs>
          <w:tab w:leader="none" w:pos="1680" w:val="left"/>
        </w:tabs>
        <w:rPr>
          <w:sz w:val="20"/>
          <w:szCs w:val="20"/>
          <w:color w:val="auto"/>
        </w:rPr>
      </w:pPr>
      <w:r>
        <w:rPr>
          <w:rFonts w:ascii="Arial" w:cs="Arial" w:eastAsia="Arial" w:hAnsi="Arial"/>
          <w:sz w:val="17"/>
          <w:szCs w:val="17"/>
          <w:color w:val="auto"/>
        </w:rPr>
        <w:t>Section 1.19.</w:t>
      </w:r>
      <w:r>
        <w:rPr>
          <w:sz w:val="20"/>
          <w:szCs w:val="20"/>
          <w:color w:val="auto"/>
        </w:rPr>
        <w:tab/>
      </w:r>
      <w:r>
        <w:rPr>
          <w:rFonts w:ascii="Arial" w:cs="Arial" w:eastAsia="Arial" w:hAnsi="Arial"/>
          <w:sz w:val="15"/>
          <w:szCs w:val="15"/>
          <w:i w:val="1"/>
          <w:iCs w:val="1"/>
          <w:color w:val="auto"/>
        </w:rPr>
        <w:t>Refinancing Amendments; Maturity Extension</w:t>
      </w:r>
      <w:r>
        <w:rPr>
          <w:rFonts w:ascii="Arial" w:cs="Arial" w:eastAsia="Arial" w:hAnsi="Arial"/>
          <w:sz w:val="15"/>
          <w:szCs w:val="15"/>
          <w:color w:val="auto"/>
        </w:rPr>
        <w:t>.</w:t>
      </w:r>
    </w:p>
    <w:p>
      <w:pPr>
        <w:spacing w:after="0" w:line="160" w:lineRule="exact"/>
        <w:rPr>
          <w:sz w:val="20"/>
          <w:szCs w:val="20"/>
          <w:color w:val="auto"/>
        </w:rPr>
      </w:pPr>
    </w:p>
    <w:p>
      <w:pPr>
        <w:ind w:firstLine="563"/>
        <w:spacing w:after="0" w:line="237" w:lineRule="auto"/>
        <w:tabs>
          <w:tab w:leader="none" w:pos="1128" w:val="left"/>
        </w:tabs>
        <w:numPr>
          <w:ilvl w:val="0"/>
          <w:numId w:val="159"/>
        </w:numPr>
        <w:rPr>
          <w:rFonts w:ascii="Arial" w:cs="Arial" w:eastAsia="Arial" w:hAnsi="Arial"/>
          <w:sz w:val="17"/>
          <w:szCs w:val="17"/>
          <w:color w:val="auto"/>
        </w:rPr>
      </w:pPr>
      <w:r>
        <w:rPr>
          <w:rFonts w:ascii="Arial" w:cs="Arial" w:eastAsia="Arial" w:hAnsi="Arial"/>
          <w:sz w:val="17"/>
          <w:szCs w:val="17"/>
          <w:color w:val="auto"/>
        </w:rPr>
        <w:t>At any time after the Closing Date, the Borrower may obtain, from any Lender or any Additional Lender, Credit Agreement Refinancing Indebtedness in respect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102</w:t>
      </w:r>
    </w:p>
    <w:p>
      <w:pPr>
        <w:sectPr>
          <w:pgSz w:w="11900" w:h="16838" w:orient="portrait"/>
          <w:cols w:equalWidth="0" w:num="1">
            <w:col w:w="11260"/>
          </w:cols>
          <w:pgMar w:left="320" w:top="1440" w:right="319" w:bottom="1440" w:gutter="0" w:footer="0" w:header="0"/>
        </w:sectPr>
      </w:pPr>
    </w:p>
    <w:bookmarkStart w:id="276" w:name="page277"/>
    <w:bookmarkEnd w:id="276"/>
    <w:p>
      <w:pPr>
        <w:spacing w:after="0" w:line="386" w:lineRule="exact"/>
        <w:rPr>
          <w:sz w:val="20"/>
          <w:szCs w:val="20"/>
          <w:color w:val="auto"/>
        </w:rPr>
      </w:pPr>
    </w:p>
    <w:p>
      <w:pPr>
        <w:ind w:left="5"/>
        <w:spacing w:after="0"/>
        <w:rPr>
          <w:sz w:val="20"/>
          <w:szCs w:val="20"/>
          <w:color w:val="auto"/>
        </w:rPr>
      </w:pPr>
      <w:r>
        <w:rPr>
          <w:rFonts w:ascii="Arial" w:cs="Arial" w:eastAsia="Arial" w:hAnsi="Arial"/>
          <w:sz w:val="16"/>
          <w:szCs w:val="16"/>
          <w:color w:val="auto"/>
        </w:rPr>
        <w:t>of (a) all or any portion of the Term Loans (which for purposes of this sentence will be deemed to include any Incremental Term Loans or Other Term Loans) or</w:t>
      </w:r>
    </w:p>
    <w:p>
      <w:pPr>
        <w:jc w:val="both"/>
        <w:ind w:left="5" w:hanging="5"/>
        <w:spacing w:after="0" w:line="217" w:lineRule="auto"/>
        <w:tabs>
          <w:tab w:leader="none" w:pos="256" w:val="left"/>
        </w:tabs>
        <w:numPr>
          <w:ilvl w:val="0"/>
          <w:numId w:val="160"/>
        </w:numPr>
        <w:rPr>
          <w:rFonts w:ascii="Arial" w:cs="Arial" w:eastAsia="Arial" w:hAnsi="Arial"/>
          <w:sz w:val="16"/>
          <w:szCs w:val="16"/>
          <w:color w:val="auto"/>
        </w:rPr>
      </w:pPr>
      <w:r>
        <w:rPr>
          <w:rFonts w:ascii="Arial" w:cs="Arial" w:eastAsia="Arial" w:hAnsi="Arial"/>
          <w:sz w:val="16"/>
          <w:szCs w:val="16"/>
          <w:color w:val="auto"/>
        </w:rPr>
        <w:t xml:space="preserve">all or any portion of the Revolving Loans (or unused Revolving Commitments) then outstanding under this Agreement (which for purposes of this clause (b) will be deemed to include any then outstanding loans under any Incremental Revolving Facility, Incremental Revolving Commitments, Other Revolving Loans and Other Revolving Commitments), in the form of (x) Other Term Loans or Other Term Commitments or (y) Other Revolving Loans or Other Revolving Commitments, as the case may be, in each case pursuant to a Refinancing Amendment;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Credit Agreement Refinancing Indebtedness (i) may be secured by Liens on the Collateral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or junior basis with respect to the Liens on the Collateral securing the other Loans and Commitments 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to the extent such term loans are secured by junior Liens the applicable parties shall have entered into a Junior Lien Intercreditor Agreement), (ii) will have such pricing and optional prepayment terms as may be agreed by the Borrower and the Lenders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Credit Agreement Refinancing Indebtedness may participate on a pro rata basis or on a less than pro rata basis (but not on a greater than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in any voluntary or mandatory prepayments hereunder, as specified in the applicable Refinancing Amendment), (iii) (x) with respect to any Other Revolving Loans or Other Revolving Commitments, will have a maturity date that is not prior to the maturity date of the Revolving Loans (or unused Revolving Commitments) being refinanced and (y) with respect to any Other Term Loans or Other Term Commitments, will have a maturity date that is not prior to the maturity date of, and will have a Weighted Average Life to Maturity that is not shorter than, the Term Loans being refinanced;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this clause (y) shall not apply to Indebtedness incurred in the form of Customary Bridge Loans (provided that any loans, notes securities or other debt which are exchanged for or otherwise replace such Customary Bridge Loans shall be subject to the requirements of this clause (y)) and/or Indebtedness in an aggregate principal amount outstanding that is not in excess of the then remaining capacity under the Inside Maturity Basket, (iv) the proceeds of such Credit Agreement Refinancing Indebtedness shall be applied, substantially concurrently with the incurrence thereof, to the prepayment of outstanding Term Loans or reduction of the Revolving Commitments, the Other Revolving Commitments or the commitments under the Incremental Revolving Facility being so refinanced and (v) subject to clause (ii) above, will have terms and conditions that are substantially identical to, or less favorable (taken as a whole) to the investors providing such Credit Agreement Refinancing Indebtedness than, the Refinanced Debt;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the terms and conditions applicable to such Credit Agreement Refinancing Indebtedness may provide for any additional or different financial or other covenants or other provisions that are agreed between the Borrower and the Lenders thereof and applicable only during periods after the Latest Maturity Date that is in effect on the date such Credit Agreement Refinancing Indebtedness is issued, incurred or obtained;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in no event shall such Credit Agreement Refinancing Indebtedness be subject to the MFN Protections. The effectiveness of any Refinancing</w:t>
      </w:r>
      <w:r>
        <w:rPr>
          <w:rFonts w:ascii="Arial" w:cs="Arial" w:eastAsia="Arial" w:hAnsi="Arial"/>
          <w:sz w:val="16"/>
          <w:szCs w:val="16"/>
          <w:i w:val="1"/>
          <w:iCs w:val="1"/>
          <w:color w:val="auto"/>
        </w:rPr>
        <w:t xml:space="preserve"> </w:t>
      </w:r>
      <w:r>
        <w:rPr>
          <w:rFonts w:ascii="Arial" w:cs="Arial" w:eastAsia="Arial" w:hAnsi="Arial"/>
          <w:sz w:val="16"/>
          <w:szCs w:val="16"/>
          <w:color w:val="auto"/>
        </w:rPr>
        <w:t>Amendment shall be subject to the satisfaction on the date thereof of each of the conditions set forth in Section 4.02 and, to the extent reasonably requested by the Administrative Agent, receipt by the Administrative Agent of legal opinions, board resolutions, officers’ certificates and/or reaffirmation agreements consistent with those delivered on the Closing Date under Section 4.01 (other than changes to such legal opinions resulting from a change in law, change in fact or change to counsel’s form of opinion reasonably satisfactory to the Administrative Agent). Each Class of Credit Agreement Refinancing Indebtedness incurred under this Section 2.19 shall be in an aggregate principal amount that is (x) not less than $25,000,000 in the case of Other Term Loans or $5,000,000 in the case of Other Revolving Loans and (y) an integral multiple of $1,000,000 in excess thereof in each case. Any Refinancing Amendment may provide for the issuance of Letters of Credit for the account of the Borrower, or the provision to the Borrower of Swingline Loans, pursuant to any Other Revolving Commitments established thereby, in each case, on terms substantially equivalent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4"/>
        <w:spacing w:after="0"/>
        <w:rPr>
          <w:sz w:val="20"/>
          <w:szCs w:val="20"/>
          <w:color w:val="auto"/>
        </w:rPr>
      </w:pPr>
      <w:r>
        <w:rPr>
          <w:rFonts w:ascii="Arial" w:cs="Arial" w:eastAsia="Arial" w:hAnsi="Arial"/>
          <w:sz w:val="17"/>
          <w:szCs w:val="17"/>
          <w:color w:val="auto"/>
        </w:rPr>
        <w:t>103</w:t>
      </w:r>
    </w:p>
    <w:p>
      <w:pPr>
        <w:sectPr>
          <w:pgSz w:w="11900" w:h="16838" w:orient="portrait"/>
          <w:cols w:equalWidth="0" w:num="1">
            <w:col w:w="11265"/>
          </w:cols>
          <w:pgMar w:left="315" w:top="1440" w:right="319" w:bottom="1440" w:gutter="0" w:footer="0" w:header="0"/>
        </w:sectPr>
      </w:pPr>
    </w:p>
    <w:bookmarkStart w:id="277" w:name="page278"/>
    <w:bookmarkEnd w:id="277"/>
    <w:p>
      <w:pPr>
        <w:spacing w:after="0" w:line="390" w:lineRule="exact"/>
        <w:rPr>
          <w:sz w:val="20"/>
          <w:szCs w:val="20"/>
          <w:color w:val="auto"/>
        </w:rPr>
      </w:pPr>
    </w:p>
    <w:p>
      <w:pPr>
        <w:jc w:val="both"/>
        <w:spacing w:after="0" w:line="221" w:lineRule="auto"/>
        <w:rPr>
          <w:sz w:val="20"/>
          <w:szCs w:val="20"/>
          <w:color w:val="auto"/>
        </w:rPr>
      </w:pPr>
      <w:r>
        <w:rPr>
          <w:rFonts w:ascii="Arial" w:cs="Arial" w:eastAsia="Arial" w:hAnsi="Arial"/>
          <w:sz w:val="16"/>
          <w:szCs w:val="16"/>
          <w:color w:val="auto"/>
        </w:rPr>
        <w:t xml:space="preserve">terms applicable to Letters of Credit and Swingline Loans under the Revolving Commitments;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Issuing Bank or Swingline Lender shall be required to act as “issuing bank” or “swingline lender” under any such Refinancing Amendment without its written consent. The Administrative Agent shall promptly notify each Lender as to the effectiveness of each Refinancing Amendment. Each of the parties hereto hereby agrees that, upon the effectiveness of any Refinancing Amendment, this Agreement shall be deemed amended to the extent (but only to the extent) necessary to reflect the existence and terms of the Credit Agreement Refinancing Indebtedness incurred pursuant thereto (including any amendments necessary to treat the Loans and Commitments subject thereto as Other Revolving Loans, Other Term Loans, Other Revolving Commitments and/or Other Term Commitments). Any Refinancing Amendment may, without the consent of any other Lenders, effect such amendments to this Agreement and the other Loan Documents as may be necessary or appropriate, in the reasonable opinion of the Administrative Agent and the Borrower, to effect the provisions of this Section. In addition, if so provided in the relevant Refinancing Amendment and with the consent of each Issuing Bank, participations in Letters of Credit expiring on or after the Revolving Maturity Date shall be reallocated from Lenders holding Revolving Commitments to Lenders holding extended revolving commitments in accordance with the terms of such Refinancing Amendment;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participation interests shall, upon receipt thereof by the relevant Lenders holding Revolving Commitments, be deemed to be participation</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interests in respect of such Revolving Commitments and the terms of such participation interests (including, without limitation, the commission applicable thereto) shall be adjusted accordingly.</w:t>
      </w:r>
    </w:p>
    <w:p>
      <w:pPr>
        <w:spacing w:after="0" w:line="142" w:lineRule="exact"/>
        <w:rPr>
          <w:sz w:val="20"/>
          <w:szCs w:val="20"/>
          <w:color w:val="auto"/>
        </w:rPr>
      </w:pPr>
    </w:p>
    <w:p>
      <w:pPr>
        <w:jc w:val="both"/>
        <w:ind w:firstLine="563"/>
        <w:spacing w:after="0" w:line="225" w:lineRule="auto"/>
        <w:tabs>
          <w:tab w:leader="none" w:pos="1126" w:val="left"/>
        </w:tabs>
        <w:numPr>
          <w:ilvl w:val="0"/>
          <w:numId w:val="161"/>
        </w:numPr>
        <w:rPr>
          <w:rFonts w:ascii="Arial" w:cs="Arial" w:eastAsia="Arial" w:hAnsi="Arial"/>
          <w:sz w:val="17"/>
          <w:szCs w:val="17"/>
          <w:color w:val="auto"/>
        </w:rPr>
      </w:pPr>
      <w:r>
        <w:rPr>
          <w:rFonts w:ascii="Arial" w:cs="Arial" w:eastAsia="Arial" w:hAnsi="Arial"/>
          <w:sz w:val="17"/>
          <w:szCs w:val="17"/>
          <w:color w:val="auto"/>
        </w:rPr>
        <w:t>At any time after the Closing Date, the Borrower and any Lender may agree, by notice to the Administrative Agent (each such notice, an “</w:t>
      </w:r>
      <w:r>
        <w:rPr>
          <w:rFonts w:ascii="Arial" w:cs="Arial" w:eastAsia="Arial" w:hAnsi="Arial"/>
          <w:sz w:val="17"/>
          <w:szCs w:val="17"/>
          <w:b w:val="1"/>
          <w:bCs w:val="1"/>
          <w:color w:val="auto"/>
        </w:rPr>
        <w:t>Extension Notice</w:t>
      </w:r>
      <w:r>
        <w:rPr>
          <w:rFonts w:ascii="Arial" w:cs="Arial" w:eastAsia="Arial" w:hAnsi="Arial"/>
          <w:sz w:val="17"/>
          <w:szCs w:val="17"/>
          <w:color w:val="auto"/>
        </w:rPr>
        <w:t>”), to extend the maturity date of such Lender’s Revolving Commitments and/or Term Loans to the extended maturity date specified in such Extension Notice.</w:t>
      </w:r>
    </w:p>
    <w:p>
      <w:pPr>
        <w:spacing w:after="0" w:line="136" w:lineRule="exact"/>
        <w:rPr>
          <w:rFonts w:ascii="Arial" w:cs="Arial" w:eastAsia="Arial" w:hAnsi="Arial"/>
          <w:sz w:val="17"/>
          <w:szCs w:val="17"/>
          <w:color w:val="auto"/>
        </w:rPr>
      </w:pPr>
    </w:p>
    <w:p>
      <w:pPr>
        <w:ind w:left="1120" w:hanging="557"/>
        <w:spacing w:after="0"/>
        <w:tabs>
          <w:tab w:leader="none" w:pos="112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This Section 2.19 shall supersede any provisions in Section 2.16 or Section 9.02 to the contrary.</w:t>
      </w:r>
    </w:p>
    <w:p>
      <w:pPr>
        <w:spacing w:after="0" w:line="160" w:lineRule="exact"/>
        <w:rPr>
          <w:sz w:val="20"/>
          <w:szCs w:val="20"/>
          <w:color w:val="auto"/>
        </w:rPr>
      </w:pPr>
    </w:p>
    <w:p>
      <w:pPr>
        <w:ind w:left="560"/>
        <w:spacing w:after="0"/>
        <w:tabs>
          <w:tab w:leader="none" w:pos="1680" w:val="left"/>
        </w:tabs>
        <w:rPr>
          <w:sz w:val="20"/>
          <w:szCs w:val="20"/>
          <w:color w:val="auto"/>
        </w:rPr>
      </w:pPr>
      <w:r>
        <w:rPr>
          <w:rFonts w:ascii="Arial" w:cs="Arial" w:eastAsia="Arial" w:hAnsi="Arial"/>
          <w:sz w:val="17"/>
          <w:szCs w:val="17"/>
          <w:color w:val="auto"/>
        </w:rPr>
        <w:t>Section 1.20.</w:t>
      </w:r>
      <w:r>
        <w:rPr>
          <w:sz w:val="20"/>
          <w:szCs w:val="20"/>
          <w:color w:val="auto"/>
        </w:rPr>
        <w:tab/>
      </w:r>
      <w:r>
        <w:rPr>
          <w:rFonts w:ascii="Arial" w:cs="Arial" w:eastAsia="Arial" w:hAnsi="Arial"/>
          <w:sz w:val="16"/>
          <w:szCs w:val="16"/>
          <w:i w:val="1"/>
          <w:iCs w:val="1"/>
          <w:color w:val="auto"/>
        </w:rPr>
        <w:t>[Reserved].</w:t>
      </w:r>
    </w:p>
    <w:p>
      <w:pPr>
        <w:spacing w:after="0" w:line="160" w:lineRule="exact"/>
        <w:rPr>
          <w:sz w:val="20"/>
          <w:szCs w:val="20"/>
          <w:color w:val="auto"/>
        </w:rPr>
      </w:pPr>
    </w:p>
    <w:p>
      <w:pPr>
        <w:ind w:firstLine="568"/>
        <w:spacing w:after="0" w:line="237" w:lineRule="auto"/>
        <w:rPr>
          <w:sz w:val="20"/>
          <w:szCs w:val="20"/>
          <w:color w:val="auto"/>
        </w:rPr>
      </w:pPr>
      <w:r>
        <w:rPr>
          <w:rFonts w:ascii="Arial" w:cs="Arial" w:eastAsia="Arial" w:hAnsi="Arial"/>
          <w:sz w:val="17"/>
          <w:szCs w:val="17"/>
          <w:color w:val="auto"/>
        </w:rPr>
        <w:t xml:space="preserve">Section 1.21. </w:t>
      </w:r>
      <w:r>
        <w:rPr>
          <w:rFonts w:ascii="Arial" w:cs="Arial" w:eastAsia="Arial" w:hAnsi="Arial"/>
          <w:sz w:val="17"/>
          <w:szCs w:val="17"/>
          <w:i w:val="1"/>
          <w:iCs w:val="1"/>
          <w:color w:val="auto"/>
        </w:rPr>
        <w:t>Defaulting Lenders.</w:t>
      </w:r>
      <w:r>
        <w:rPr>
          <w:rFonts w:ascii="Arial" w:cs="Arial" w:eastAsia="Arial" w:hAnsi="Arial"/>
          <w:sz w:val="17"/>
          <w:szCs w:val="17"/>
          <w:color w:val="auto"/>
        </w:rPr>
        <w:t xml:space="preserve"> Notwithstanding any provision of this Agreement to the contrary, if any Lender becomes a Defaulting Lender, then the following provisions shall apply for so long as such Lender is a Defaulting Lender:</w:t>
      </w:r>
    </w:p>
    <w:p>
      <w:pPr>
        <w:spacing w:after="0" w:line="135" w:lineRule="exact"/>
        <w:rPr>
          <w:sz w:val="20"/>
          <w:szCs w:val="20"/>
          <w:color w:val="auto"/>
        </w:rPr>
      </w:pPr>
    </w:p>
    <w:p>
      <w:pPr>
        <w:jc w:val="both"/>
        <w:ind w:right="20" w:firstLine="563"/>
        <w:spacing w:after="0" w:line="225" w:lineRule="auto"/>
        <w:tabs>
          <w:tab w:leader="none" w:pos="1128" w:val="left"/>
        </w:tabs>
        <w:numPr>
          <w:ilvl w:val="0"/>
          <w:numId w:val="162"/>
        </w:numPr>
        <w:rPr>
          <w:rFonts w:ascii="Arial" w:cs="Arial" w:eastAsia="Arial" w:hAnsi="Arial"/>
          <w:sz w:val="17"/>
          <w:szCs w:val="17"/>
          <w:color w:val="auto"/>
        </w:rPr>
      </w:pPr>
      <w:r>
        <w:rPr>
          <w:rFonts w:ascii="Arial" w:cs="Arial" w:eastAsia="Arial" w:hAnsi="Arial"/>
          <w:sz w:val="17"/>
          <w:szCs w:val="17"/>
          <w:color w:val="auto"/>
        </w:rPr>
        <w:t>fees shall cease to accrue on the unfunded portion of the Revolving Commitment of such Defaulting Lender pursuant to Section 2.10(b) (it being understood, for the avoidance of doubt, that the Borrower shall have no obligation to retroactively pay such fees after such Lender ceases to be a Defaulting Lender);</w:t>
      </w:r>
    </w:p>
    <w:p>
      <w:pPr>
        <w:spacing w:after="0" w:line="136" w:lineRule="exact"/>
        <w:rPr>
          <w:rFonts w:ascii="Arial" w:cs="Arial" w:eastAsia="Arial" w:hAnsi="Arial"/>
          <w:sz w:val="17"/>
          <w:szCs w:val="17"/>
          <w:color w:val="auto"/>
        </w:rPr>
      </w:pPr>
    </w:p>
    <w:p>
      <w:pPr>
        <w:jc w:val="both"/>
        <w:ind w:firstLine="563"/>
        <w:spacing w:after="0" w:line="220" w:lineRule="auto"/>
        <w:tabs>
          <w:tab w:leader="none" w:pos="1126" w:val="left"/>
        </w:tabs>
        <w:numPr>
          <w:ilvl w:val="0"/>
          <w:numId w:val="162"/>
        </w:numPr>
        <w:rPr>
          <w:rFonts w:ascii="Arial" w:cs="Arial" w:eastAsia="Arial" w:hAnsi="Arial"/>
          <w:sz w:val="17"/>
          <w:szCs w:val="17"/>
          <w:color w:val="auto"/>
        </w:rPr>
      </w:pPr>
      <w:r>
        <w:rPr>
          <w:rFonts w:ascii="Arial" w:cs="Arial" w:eastAsia="Arial" w:hAnsi="Arial"/>
          <w:sz w:val="17"/>
          <w:szCs w:val="17"/>
          <w:color w:val="auto"/>
        </w:rPr>
        <w:t xml:space="preserve">the Revolving Commitment and Revolving Exposure of such Defaulting Lender shall not be included in determining whether the Required Lenders or the Majority in Interest have taken or may take any action hereunder (including any consent to any amendment, waiver or other modification pursuant to Section 9.02);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this clause (b) shall not apply to the vote of a Defaulting Lender in the case of an amendment, waiver or other modification requiring the consent of such Lender or each Lender affected thereby;</w:t>
      </w:r>
    </w:p>
    <w:p>
      <w:pPr>
        <w:spacing w:after="0" w:line="135" w:lineRule="exact"/>
        <w:rPr>
          <w:rFonts w:ascii="Arial" w:cs="Arial" w:eastAsia="Arial" w:hAnsi="Arial"/>
          <w:sz w:val="17"/>
          <w:szCs w:val="17"/>
          <w:color w:val="auto"/>
        </w:rPr>
      </w:pPr>
    </w:p>
    <w:p>
      <w:pPr>
        <w:jc w:val="both"/>
        <w:ind w:right="20" w:firstLine="563"/>
        <w:spacing w:after="0" w:line="225" w:lineRule="auto"/>
        <w:tabs>
          <w:tab w:leader="none" w:pos="1128" w:val="left"/>
        </w:tabs>
        <w:numPr>
          <w:ilvl w:val="0"/>
          <w:numId w:val="162"/>
        </w:numPr>
        <w:rPr>
          <w:rFonts w:ascii="Arial" w:cs="Arial" w:eastAsia="Arial" w:hAnsi="Arial"/>
          <w:sz w:val="17"/>
          <w:szCs w:val="17"/>
          <w:color w:val="auto"/>
        </w:rPr>
      </w:pPr>
      <w:r>
        <w:rPr>
          <w:rFonts w:ascii="Arial" w:cs="Arial" w:eastAsia="Arial" w:hAnsi="Arial"/>
          <w:sz w:val="17"/>
          <w:szCs w:val="17"/>
          <w:color w:val="auto"/>
        </w:rPr>
        <w:t xml:space="preserve">any payment of principal, interest, fees or other amounts received by the Administrative Agent for the account of such Defaulting Lender (whether voluntary or mandatory, at maturity, pursuant to Article 7 or otherwise) or received by the Administrative Agent from a Defaulting Lender pursuant to Article 8 shall be applied at such time or times as may be determined by the Administrative Agent as follows: </w:t>
      </w:r>
      <w:r>
        <w:rPr>
          <w:rFonts w:ascii="Arial" w:cs="Arial" w:eastAsia="Arial" w:hAnsi="Arial"/>
          <w:sz w:val="17"/>
          <w:szCs w:val="17"/>
          <w:i w:val="1"/>
          <w:iCs w:val="1"/>
          <w:color w:val="auto"/>
        </w:rPr>
        <w:t>first</w:t>
      </w:r>
      <w:r>
        <w:rPr>
          <w:rFonts w:ascii="Arial" w:cs="Arial" w:eastAsia="Arial" w:hAnsi="Arial"/>
          <w:sz w:val="17"/>
          <w:szCs w:val="17"/>
          <w:color w:val="auto"/>
        </w:rPr>
        <w: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104</w:t>
      </w:r>
    </w:p>
    <w:p>
      <w:pPr>
        <w:sectPr>
          <w:pgSz w:w="11900" w:h="16838" w:orient="portrait"/>
          <w:cols w:equalWidth="0" w:num="1">
            <w:col w:w="11260"/>
          </w:cols>
          <w:pgMar w:left="320" w:top="1440" w:right="319" w:bottom="1440" w:gutter="0" w:footer="0" w:header="0"/>
        </w:sectPr>
      </w:pPr>
    </w:p>
    <w:bookmarkStart w:id="278" w:name="page279"/>
    <w:bookmarkEnd w:id="278"/>
    <w:p>
      <w:pPr>
        <w:spacing w:after="0" w:line="390" w:lineRule="exact"/>
        <w:rPr>
          <w:sz w:val="20"/>
          <w:szCs w:val="20"/>
          <w:color w:val="auto"/>
        </w:rPr>
      </w:pPr>
    </w:p>
    <w:p>
      <w:pPr>
        <w:jc w:val="both"/>
        <w:spacing w:after="0" w:line="221" w:lineRule="auto"/>
        <w:rPr>
          <w:sz w:val="20"/>
          <w:szCs w:val="20"/>
          <w:color w:val="auto"/>
        </w:rPr>
      </w:pPr>
      <w:r>
        <w:rPr>
          <w:rFonts w:ascii="Arial" w:cs="Arial" w:eastAsia="Arial" w:hAnsi="Arial"/>
          <w:sz w:val="16"/>
          <w:szCs w:val="16"/>
          <w:color w:val="auto"/>
        </w:rPr>
        <w:t xml:space="preserve">the payment of any amounts owing by such Defaulting Lender to the Administrative Agent hereunder; </w:t>
      </w:r>
      <w:r>
        <w:rPr>
          <w:rFonts w:ascii="Arial" w:cs="Arial" w:eastAsia="Arial" w:hAnsi="Arial"/>
          <w:sz w:val="16"/>
          <w:szCs w:val="16"/>
          <w:i w:val="1"/>
          <w:iCs w:val="1"/>
          <w:color w:val="auto"/>
        </w:rPr>
        <w:t>second</w:t>
      </w:r>
      <w:r>
        <w:rPr>
          <w:rFonts w:ascii="Arial" w:cs="Arial" w:eastAsia="Arial" w:hAnsi="Arial"/>
          <w:sz w:val="16"/>
          <w:szCs w:val="16"/>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Arial" w:cs="Arial" w:eastAsia="Arial" w:hAnsi="Arial"/>
          <w:sz w:val="16"/>
          <w:szCs w:val="16"/>
          <w:i w:val="1"/>
          <w:iCs w:val="1"/>
          <w:color w:val="auto"/>
        </w:rPr>
        <w:t>third</w:t>
      </w:r>
      <w:r>
        <w:rPr>
          <w:rFonts w:ascii="Arial" w:cs="Arial" w:eastAsia="Arial" w:hAnsi="Arial"/>
          <w:sz w:val="16"/>
          <w:szCs w:val="16"/>
          <w:color w:val="auto"/>
        </w:rPr>
        <w:t xml:space="preserve">, if so determined by the Administrative Agent and the Borrower, to be held in a deposit account and released pro rata in order to satisfy such Defaulting Lender’s potential future funding obligations with respect to Loans under this Agreement; </w:t>
      </w:r>
      <w:r>
        <w:rPr>
          <w:rFonts w:ascii="Arial" w:cs="Arial" w:eastAsia="Arial" w:hAnsi="Arial"/>
          <w:sz w:val="16"/>
          <w:szCs w:val="16"/>
          <w:i w:val="1"/>
          <w:iCs w:val="1"/>
          <w:color w:val="auto"/>
        </w:rPr>
        <w:t>fourth</w:t>
      </w:r>
      <w:r>
        <w:rPr>
          <w:rFonts w:ascii="Arial" w:cs="Arial" w:eastAsia="Arial" w:hAnsi="Arial"/>
          <w:sz w:val="16"/>
          <w:szCs w:val="16"/>
          <w:color w:val="auto"/>
        </w:rPr>
        <w:t xml:space="preserve">, to the payment of any amounts owing to the Lenders as a result of any judgment of a court of competent jurisdiction obtained by any Lender against such Defaulting Lender as a result of such Defaulting Lender’s breach of its obligations under this Agreement; </w:t>
      </w:r>
      <w:r>
        <w:rPr>
          <w:rFonts w:ascii="Arial" w:cs="Arial" w:eastAsia="Arial" w:hAnsi="Arial"/>
          <w:sz w:val="16"/>
          <w:szCs w:val="16"/>
          <w:i w:val="1"/>
          <w:iCs w:val="1"/>
          <w:color w:val="auto"/>
        </w:rPr>
        <w:t>fifth</w:t>
      </w:r>
      <w:r>
        <w:rPr>
          <w:rFonts w:ascii="Arial" w:cs="Arial" w:eastAsia="Arial" w:hAnsi="Arial"/>
          <w:sz w:val="16"/>
          <w:szCs w:val="16"/>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Arial" w:cs="Arial" w:eastAsia="Arial" w:hAnsi="Arial"/>
          <w:sz w:val="16"/>
          <w:szCs w:val="16"/>
          <w:i w:val="1"/>
          <w:iCs w:val="1"/>
          <w:color w:val="auto"/>
        </w:rPr>
        <w:t>sixth</w:t>
      </w:r>
      <w:r>
        <w:rPr>
          <w:rFonts w:ascii="Arial" w:cs="Arial" w:eastAsia="Arial" w:hAnsi="Arial"/>
          <w:sz w:val="16"/>
          <w:szCs w:val="16"/>
          <w:color w:val="auto"/>
        </w:rPr>
        <w:t xml:space="preserve">, to such Defaulting Lender or as otherwise directed by a court of competent jurisdiction;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payment is a payment of the principal amount of any Loans or LC Disbursements in respect of which such Defaulting Lender has not fully funded its appropriate share, such payment shall be applied solely to pay the Loans of, and LC Disbursements owed to, all non-Defaulting Lenders on a pro rata basis prior to being applied to the payment of any Loans of, or LC Disbursements owed to, such Defaulting Lender until such time as all Loans are held by the Lenders pro rata in accordance with the Revolving Commitments. Any payments, prepayments or other amounts paid or payable to a Defaulting Lender that are applied (or held) to pay amounts owed by a Defaulting Lender or to post cash collateral pursuant to this Section 2.21(c) shall be deemed paid to and redirected by such Defaulting Lender, and each Lender irrevocably consents hereto;</w:t>
      </w:r>
    </w:p>
    <w:p>
      <w:pPr>
        <w:spacing w:after="0" w:line="138" w:lineRule="exact"/>
        <w:rPr>
          <w:sz w:val="20"/>
          <w:szCs w:val="20"/>
          <w:color w:val="auto"/>
        </w:rPr>
      </w:pPr>
    </w:p>
    <w:p>
      <w:pPr>
        <w:ind w:left="1120" w:hanging="557"/>
        <w:spacing w:after="0"/>
        <w:tabs>
          <w:tab w:leader="none" w:pos="112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if any Swingline Exposure or LC Exposure exists at the time such Lender becomes a Defaulting Lender then:</w:t>
      </w:r>
    </w:p>
    <w:p>
      <w:pPr>
        <w:spacing w:after="0" w:line="159" w:lineRule="exact"/>
        <w:rPr>
          <w:rFonts w:ascii="Arial" w:cs="Arial" w:eastAsia="Arial" w:hAnsi="Arial"/>
          <w:sz w:val="17"/>
          <w:szCs w:val="17"/>
          <w:color w:val="auto"/>
        </w:rPr>
      </w:pPr>
    </w:p>
    <w:p>
      <w:pPr>
        <w:jc w:val="both"/>
        <w:ind w:left="340" w:firstLine="791"/>
        <w:spacing w:after="0" w:line="234" w:lineRule="auto"/>
        <w:tabs>
          <w:tab w:leader="none" w:pos="1702" w:val="left"/>
        </w:tabs>
        <w:numPr>
          <w:ilvl w:val="1"/>
          <w:numId w:val="163"/>
        </w:numPr>
        <w:rPr>
          <w:rFonts w:ascii="Arial" w:cs="Arial" w:eastAsia="Arial" w:hAnsi="Arial"/>
          <w:sz w:val="16"/>
          <w:szCs w:val="16"/>
          <w:color w:val="auto"/>
        </w:rPr>
      </w:pPr>
      <w:r>
        <w:rPr>
          <w:rFonts w:ascii="Arial" w:cs="Arial" w:eastAsia="Arial" w:hAnsi="Arial"/>
          <w:sz w:val="16"/>
          <w:szCs w:val="16"/>
          <w:color w:val="auto"/>
        </w:rPr>
        <w:t xml:space="preserve">all or any part of the Swingline Exposure and LC Exposure of such Defaulting Lender shall be reallocated among the non-Defaulting Lenders in accordance with their respective Applicable Percentage but only to the extent the sum of all non-Defaulting Lenders’ Revolving Exposure plus such Defaulting Lender’s LC Exposure does not exceed the total of all non-Defaulting Lenders’ Revolving Commitments;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each such reallocation shall be given effect only if, at the date the applicable Lender becomes a Defaulting Lender, no Default or Event of Default exists;</w:t>
      </w:r>
    </w:p>
    <w:p>
      <w:pPr>
        <w:spacing w:after="0" w:line="134" w:lineRule="exact"/>
        <w:rPr>
          <w:rFonts w:ascii="Arial" w:cs="Arial" w:eastAsia="Arial" w:hAnsi="Arial"/>
          <w:sz w:val="16"/>
          <w:szCs w:val="16"/>
          <w:color w:val="auto"/>
        </w:rPr>
      </w:pPr>
    </w:p>
    <w:p>
      <w:pPr>
        <w:jc w:val="both"/>
        <w:ind w:left="340" w:firstLine="791"/>
        <w:spacing w:after="0" w:line="216" w:lineRule="auto"/>
        <w:tabs>
          <w:tab w:leader="none" w:pos="1702" w:val="left"/>
        </w:tabs>
        <w:numPr>
          <w:ilvl w:val="1"/>
          <w:numId w:val="163"/>
        </w:numPr>
        <w:rPr>
          <w:rFonts w:ascii="Arial" w:cs="Arial" w:eastAsia="Arial" w:hAnsi="Arial"/>
          <w:sz w:val="17"/>
          <w:szCs w:val="17"/>
          <w:color w:val="auto"/>
        </w:rPr>
      </w:pPr>
      <w:r>
        <w:rPr>
          <w:rFonts w:ascii="Arial" w:cs="Arial" w:eastAsia="Arial" w:hAnsi="Arial"/>
          <w:sz w:val="17"/>
          <w:szCs w:val="17"/>
          <w:color w:val="auto"/>
        </w:rPr>
        <w:t>if the reallocation described in clause (i) above cannot, or can only partially, be effected, the Borrower shall, without prejudice to any right or remedy available to it hereunder or under law, within one Business Day following notice by the Administrative Agent (x) first, prepay such Swingline Exposure and (y) second, cash collateralize for the benefit of the applicable Issuing Bank only the Borrower’s obligations corresponding to such Defaulting Lender’s LC Exposure (after giving effect to any partial reallocation pursuant to clause (i) above) in accordance with the procedures set forth in Section 2.22 for so long as such LC Exposure is outstanding;</w:t>
      </w:r>
    </w:p>
    <w:p>
      <w:pPr>
        <w:spacing w:after="0" w:line="138" w:lineRule="exact"/>
        <w:rPr>
          <w:rFonts w:ascii="Arial" w:cs="Arial" w:eastAsia="Arial" w:hAnsi="Arial"/>
          <w:sz w:val="17"/>
          <w:szCs w:val="17"/>
          <w:color w:val="auto"/>
        </w:rPr>
      </w:pPr>
    </w:p>
    <w:p>
      <w:pPr>
        <w:jc w:val="both"/>
        <w:ind w:left="340" w:right="20" w:firstLine="791"/>
        <w:spacing w:after="0" w:line="225" w:lineRule="auto"/>
        <w:tabs>
          <w:tab w:leader="none" w:pos="1703" w:val="left"/>
        </w:tabs>
        <w:numPr>
          <w:ilvl w:val="1"/>
          <w:numId w:val="163"/>
        </w:numPr>
        <w:rPr>
          <w:rFonts w:ascii="Arial" w:cs="Arial" w:eastAsia="Arial" w:hAnsi="Arial"/>
          <w:sz w:val="17"/>
          <w:szCs w:val="17"/>
          <w:color w:val="auto"/>
        </w:rPr>
      </w:pPr>
      <w:r>
        <w:rPr>
          <w:rFonts w:ascii="Arial" w:cs="Arial" w:eastAsia="Arial" w:hAnsi="Arial"/>
          <w:sz w:val="17"/>
          <w:szCs w:val="17"/>
          <w:color w:val="auto"/>
        </w:rPr>
        <w:t>if the Borrower cash collateralizes any portion of such Defaulting Lender’s LC Exposure pursuant to clause (ii) above, the Borrower shall not be required to pay any fees to such Defaulting Lender pursuant to Section 2.10(c) with respect to such Defaulting Lender’s LC Exposure during the period such Defaulting Lender’s LC Exposure is cash collateralized;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105</w:t>
      </w:r>
    </w:p>
    <w:p>
      <w:pPr>
        <w:sectPr>
          <w:pgSz w:w="11900" w:h="16838" w:orient="portrait"/>
          <w:cols w:equalWidth="0" w:num="1">
            <w:col w:w="11260"/>
          </w:cols>
          <w:pgMar w:left="320" w:top="1440" w:right="319" w:bottom="1440" w:gutter="0" w:footer="0" w:header="0"/>
        </w:sectPr>
      </w:pPr>
    </w:p>
    <w:bookmarkStart w:id="279" w:name="page280"/>
    <w:bookmarkEnd w:id="279"/>
    <w:p>
      <w:pPr>
        <w:spacing w:after="0" w:line="390" w:lineRule="exact"/>
        <w:rPr>
          <w:sz w:val="20"/>
          <w:szCs w:val="20"/>
          <w:color w:val="auto"/>
        </w:rPr>
      </w:pPr>
    </w:p>
    <w:p>
      <w:pPr>
        <w:ind w:left="340" w:firstLine="791"/>
        <w:spacing w:after="0" w:line="264" w:lineRule="auto"/>
        <w:tabs>
          <w:tab w:leader="none" w:pos="1694" w:val="left"/>
        </w:tabs>
        <w:numPr>
          <w:ilvl w:val="1"/>
          <w:numId w:val="164"/>
        </w:numPr>
        <w:rPr>
          <w:rFonts w:ascii="Arial" w:cs="Arial" w:eastAsia="Arial" w:hAnsi="Arial"/>
          <w:sz w:val="16"/>
          <w:szCs w:val="16"/>
          <w:color w:val="auto"/>
        </w:rPr>
      </w:pPr>
      <w:r>
        <w:rPr>
          <w:rFonts w:ascii="Arial" w:cs="Arial" w:eastAsia="Arial" w:hAnsi="Arial"/>
          <w:sz w:val="16"/>
          <w:szCs w:val="16"/>
          <w:color w:val="auto"/>
        </w:rPr>
        <w:t>if the LC Exposure of the non-Defaulting Lenders is reallocated pursuant to clause (i) above, then the fees payable to the Lenders pursuant to Section 2.10(b) and Section 2.10(c) shall be adjusted in accordance with such non-Defaulting Lenders’ Applicable Percentages; and</w:t>
      </w:r>
    </w:p>
    <w:p>
      <w:pPr>
        <w:spacing w:after="0" w:line="116" w:lineRule="exact"/>
        <w:rPr>
          <w:rFonts w:ascii="Arial" w:cs="Arial" w:eastAsia="Arial" w:hAnsi="Arial"/>
          <w:sz w:val="16"/>
          <w:szCs w:val="16"/>
          <w:color w:val="auto"/>
        </w:rPr>
      </w:pPr>
    </w:p>
    <w:p>
      <w:pPr>
        <w:jc w:val="both"/>
        <w:ind w:left="340" w:firstLine="791"/>
        <w:spacing w:after="0" w:line="220" w:lineRule="auto"/>
        <w:tabs>
          <w:tab w:leader="none" w:pos="1693" w:val="left"/>
        </w:tabs>
        <w:numPr>
          <w:ilvl w:val="1"/>
          <w:numId w:val="164"/>
        </w:numPr>
        <w:rPr>
          <w:rFonts w:ascii="Arial" w:cs="Arial" w:eastAsia="Arial" w:hAnsi="Arial"/>
          <w:sz w:val="17"/>
          <w:szCs w:val="17"/>
          <w:color w:val="auto"/>
        </w:rPr>
      </w:pPr>
      <w:r>
        <w:rPr>
          <w:rFonts w:ascii="Arial" w:cs="Arial" w:eastAsia="Arial" w:hAnsi="Arial"/>
          <w:sz w:val="17"/>
          <w:szCs w:val="17"/>
          <w:color w:val="auto"/>
        </w:rPr>
        <w:t>if all or any portion of such Defaulting Lender’s LC Exposure is neither reallocated nor cash collateralized pursuant to clause (i) or (ii) above, then, without prejudice to any rights or remedies of any Issuing Bank or any other Lender hereunder, all fees payable under Section 2.10(c) with respect to such Defaulting Lender’s LC Exposure shall be payable to the applicable Issuing Bank until and to the extent that such LC Exposure is reallocated and/or cash collateralized; and</w:t>
      </w:r>
    </w:p>
    <w:p>
      <w:pPr>
        <w:spacing w:after="0" w:line="135" w:lineRule="exact"/>
        <w:rPr>
          <w:rFonts w:ascii="Arial" w:cs="Arial" w:eastAsia="Arial" w:hAnsi="Arial"/>
          <w:sz w:val="17"/>
          <w:szCs w:val="17"/>
          <w:color w:val="auto"/>
        </w:rPr>
      </w:pPr>
    </w:p>
    <w:p>
      <w:pPr>
        <w:jc w:val="both"/>
        <w:ind w:firstLine="563"/>
        <w:spacing w:after="0" w:line="230" w:lineRule="auto"/>
        <w:tabs>
          <w:tab w:leader="none" w:pos="1128" w:val="left"/>
        </w:tabs>
        <w:numPr>
          <w:ilvl w:val="0"/>
          <w:numId w:val="165"/>
        </w:numPr>
        <w:rPr>
          <w:rFonts w:ascii="Arial" w:cs="Arial" w:eastAsia="Arial" w:hAnsi="Arial"/>
          <w:sz w:val="16"/>
          <w:szCs w:val="16"/>
          <w:color w:val="auto"/>
        </w:rPr>
      </w:pPr>
      <w:r>
        <w:rPr>
          <w:rFonts w:ascii="Arial" w:cs="Arial" w:eastAsia="Arial" w:hAnsi="Arial"/>
          <w:sz w:val="16"/>
          <w:szCs w:val="16"/>
          <w:color w:val="auto"/>
        </w:rPr>
        <w:t>so long as such Lender is a Defaulting Lender, no Swingline Lenders shall be required to fund any Swingline Loan and no Issuing Bank shall be required to issue, amend or increase any Letter of Credit, unless it is satisfied that the related exposure and the Defaulting Lender’s then outstanding LC Exposure will be 100% covered by the Revolving Commitments of the non-Defaulting Lenders and/or cash collateral will be provided by the Borrower in accordance with Section 2.21(d), and participating interests in any newly made Swingline Loan or newly issued or increased Letter of Credit shall be allocated among non-Defaulting Lenders in a manner consistent with Section 2.21(d)(i) (and such Defaulting Lender shall not participate therein).</w:t>
      </w:r>
    </w:p>
    <w:p>
      <w:pPr>
        <w:spacing w:after="0" w:line="137" w:lineRule="exact"/>
        <w:rPr>
          <w:sz w:val="20"/>
          <w:szCs w:val="20"/>
          <w:color w:val="auto"/>
        </w:rPr>
      </w:pPr>
    </w:p>
    <w:p>
      <w:pPr>
        <w:jc w:val="both"/>
        <w:ind w:firstLine="568"/>
        <w:spacing w:after="0" w:line="230" w:lineRule="auto"/>
        <w:rPr>
          <w:sz w:val="20"/>
          <w:szCs w:val="20"/>
          <w:color w:val="auto"/>
        </w:rPr>
      </w:pPr>
      <w:r>
        <w:rPr>
          <w:rFonts w:ascii="Arial" w:cs="Arial" w:eastAsia="Arial" w:hAnsi="Arial"/>
          <w:sz w:val="16"/>
          <w:szCs w:val="16"/>
          <w:color w:val="auto"/>
        </w:rPr>
        <w:t>If (i) a Bankruptcy Event with respect to a Lender Parent of any Lender shall occur following the Closing Date and for so long as such event shall continue or (ii) any Swingline Lender or Issuing Bank has a good faith belief that any Lender has defaulted in fulfilling its obligations under one or more other agreements in which such Lender commits to extend credit, no Swingline Lender shall be required to fund any Swingline Loan and no Issuing Bank shall be required to issue, amend or increase any Letter of Credit, unless Swingline Lenders or the Issuing Banks, as the case may be, shall have entered into arrangements with the Borrower or such Lender, satisfactory to the applicable Issuing Bank to defease any risk to it in respect of such Lender hereunder.</w:t>
      </w:r>
    </w:p>
    <w:p>
      <w:pPr>
        <w:spacing w:after="0" w:line="137" w:lineRule="exact"/>
        <w:rPr>
          <w:sz w:val="20"/>
          <w:szCs w:val="20"/>
          <w:color w:val="auto"/>
        </w:rPr>
      </w:pPr>
    </w:p>
    <w:p>
      <w:pPr>
        <w:jc w:val="both"/>
        <w:ind w:firstLine="568"/>
        <w:spacing w:after="0" w:line="216" w:lineRule="auto"/>
        <w:rPr>
          <w:sz w:val="20"/>
          <w:szCs w:val="20"/>
          <w:color w:val="auto"/>
        </w:rPr>
      </w:pPr>
      <w:r>
        <w:rPr>
          <w:rFonts w:ascii="Arial" w:cs="Arial" w:eastAsia="Arial" w:hAnsi="Arial"/>
          <w:sz w:val="17"/>
          <w:szCs w:val="17"/>
          <w:color w:val="auto"/>
        </w:rPr>
        <w:t>In the event that the Administrative Agent, the Borrower, each Swingline Lender and each Issuing Bank each agrees that a Defaulting Lender has adequately remedied all matters that caused such Lender to be a Defaulting Lender, then the Swingline Exposure and LC Exposure of the Lenders shall be readjusted to reflect the inclusion of such Lender’s Revolving Commitment and on such date such Lender shall purchase at par such of the Revolving Loans of the other Lenders (other than Swingline Loans) as the Administrative Agent shall determine may be necessary in order for such Lender to hold such Revolving Loans in accordance with its Applicable Percentage.</w:t>
      </w:r>
    </w:p>
    <w:p>
      <w:pPr>
        <w:spacing w:after="0" w:line="138" w:lineRule="exact"/>
        <w:rPr>
          <w:sz w:val="20"/>
          <w:szCs w:val="20"/>
          <w:color w:val="auto"/>
        </w:rPr>
      </w:pPr>
    </w:p>
    <w:p>
      <w:pPr>
        <w:ind w:left="560"/>
        <w:spacing w:after="0"/>
        <w:tabs>
          <w:tab w:leader="none" w:pos="1680" w:val="left"/>
        </w:tabs>
        <w:rPr>
          <w:sz w:val="20"/>
          <w:szCs w:val="20"/>
          <w:color w:val="auto"/>
        </w:rPr>
      </w:pPr>
      <w:r>
        <w:rPr>
          <w:rFonts w:ascii="Arial" w:cs="Arial" w:eastAsia="Arial" w:hAnsi="Arial"/>
          <w:sz w:val="17"/>
          <w:szCs w:val="17"/>
          <w:color w:val="auto"/>
        </w:rPr>
        <w:t>Section 1.22.</w:t>
      </w:r>
      <w:r>
        <w:rPr>
          <w:sz w:val="20"/>
          <w:szCs w:val="20"/>
          <w:color w:val="auto"/>
        </w:rPr>
        <w:tab/>
      </w:r>
      <w:r>
        <w:rPr>
          <w:rFonts w:ascii="Arial" w:cs="Arial" w:eastAsia="Arial" w:hAnsi="Arial"/>
          <w:sz w:val="15"/>
          <w:szCs w:val="15"/>
          <w:i w:val="1"/>
          <w:iCs w:val="1"/>
          <w:color w:val="auto"/>
        </w:rPr>
        <w:t>Letters of Credit</w:t>
      </w:r>
      <w:r>
        <w:rPr>
          <w:rFonts w:ascii="Arial" w:cs="Arial" w:eastAsia="Arial" w:hAnsi="Arial"/>
          <w:sz w:val="15"/>
          <w:szCs w:val="15"/>
          <w:color w:val="auto"/>
        </w:rPr>
        <w:t>.</w:t>
      </w:r>
    </w:p>
    <w:p>
      <w:pPr>
        <w:spacing w:after="0" w:line="160" w:lineRule="exact"/>
        <w:rPr>
          <w:sz w:val="20"/>
          <w:szCs w:val="20"/>
          <w:color w:val="auto"/>
        </w:rPr>
      </w:pPr>
    </w:p>
    <w:p>
      <w:pPr>
        <w:jc w:val="both"/>
        <w:ind w:firstLine="563"/>
        <w:spacing w:after="0" w:line="211" w:lineRule="auto"/>
        <w:tabs>
          <w:tab w:leader="none" w:pos="1128" w:val="left"/>
        </w:tabs>
        <w:numPr>
          <w:ilvl w:val="0"/>
          <w:numId w:val="166"/>
        </w:numPr>
        <w:rPr>
          <w:rFonts w:ascii="Arial" w:cs="Arial" w:eastAsia="Arial" w:hAnsi="Arial"/>
          <w:sz w:val="17"/>
          <w:szCs w:val="17"/>
          <w:color w:val="auto"/>
        </w:rPr>
      </w:pPr>
      <w:r>
        <w:rPr>
          <w:rFonts w:ascii="Arial" w:cs="Arial" w:eastAsia="Arial" w:hAnsi="Arial"/>
          <w:sz w:val="17"/>
          <w:szCs w:val="17"/>
          <w:i w:val="1"/>
          <w:iCs w:val="1"/>
          <w:color w:val="auto"/>
        </w:rPr>
        <w:t xml:space="preserve">LC Commitment. </w:t>
      </w:r>
      <w:r>
        <w:rPr>
          <w:rFonts w:ascii="Arial" w:cs="Arial" w:eastAsia="Arial" w:hAnsi="Arial"/>
          <w:sz w:val="17"/>
          <w:szCs w:val="17"/>
          <w:color w:val="auto"/>
        </w:rPr>
        <w:t>Subject to the terms and conditions hereof, each Issuing Bank, in reliance on (among other things) the agreements of the other</w:t>
      </w:r>
      <w:r>
        <w:rPr>
          <w:rFonts w:ascii="Arial" w:cs="Arial" w:eastAsia="Arial" w:hAnsi="Arial"/>
          <w:sz w:val="17"/>
          <w:szCs w:val="17"/>
          <w:i w:val="1"/>
          <w:iCs w:val="1"/>
          <w:color w:val="auto"/>
        </w:rPr>
        <w:t xml:space="preserve"> </w:t>
      </w:r>
      <w:r>
        <w:rPr>
          <w:rFonts w:ascii="Arial" w:cs="Arial" w:eastAsia="Arial" w:hAnsi="Arial"/>
          <w:sz w:val="17"/>
          <w:szCs w:val="17"/>
          <w:color w:val="auto"/>
        </w:rPr>
        <w:t>Revolving Lenders set forth in Section 2.22(c), agrees to issue standby letters of credit denominated in dollars (“</w:t>
      </w:r>
      <w:r>
        <w:rPr>
          <w:rFonts w:ascii="Arial" w:cs="Arial" w:eastAsia="Arial" w:hAnsi="Arial"/>
          <w:sz w:val="17"/>
          <w:szCs w:val="17"/>
          <w:b w:val="1"/>
          <w:bCs w:val="1"/>
          <w:color w:val="auto"/>
        </w:rPr>
        <w:t>Letters of Credit</w:t>
      </w:r>
      <w:r>
        <w:rPr>
          <w:rFonts w:ascii="Arial" w:cs="Arial" w:eastAsia="Arial" w:hAnsi="Arial"/>
          <w:sz w:val="17"/>
          <w:szCs w:val="17"/>
          <w:color w:val="auto"/>
        </w:rPr>
        <w:t xml:space="preserve">”) for the account of the Borrower (or for the account of any Subsidiary so long as the Borrower and such Subsidiary are co-applicants in respect of such Letter of Credit) on any Business Day during the Revolving Availability Period in such form as may be approved from time to time by such Issuing Bank;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Issuing Bank shall have no obligation to issue any Letter of Credit if, after giving effect to such issuance, (i) (x) the aggregate undrawn amount of all outstanding Letters of Credit issued by any Issuing Bank at such time plus (y) the aggregate amount of all LC Disbursements made by such Issuing Bank that have not yet been reimbursed by or on behalf of the Borrower at such time shall not exceed its LC Commitment;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upon the request of the Borrower, any Issuing Bank may agree, in its sole discretion,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106</w:t>
      </w:r>
    </w:p>
    <w:p>
      <w:pPr>
        <w:sectPr>
          <w:pgSz w:w="11900" w:h="16838" w:orient="portrait"/>
          <w:cols w:equalWidth="0" w:num="1">
            <w:col w:w="11260"/>
          </w:cols>
          <w:pgMar w:left="320" w:top="1440" w:right="319" w:bottom="1440" w:gutter="0" w:footer="0" w:header="0"/>
        </w:sectPr>
      </w:pPr>
    </w:p>
    <w:bookmarkStart w:id="280" w:name="page281"/>
    <w:bookmarkEnd w:id="280"/>
    <w:p>
      <w:pPr>
        <w:spacing w:after="0" w:line="390"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 xml:space="preserve">issue Letters of Credit in excess of such Issuing Bank’s LC Commitment, and the Revolving Lenders shall be obligated to participate in any such Letter of Credit, so long as the LC Exposure does not exceed the Letter of Credit Sublimit and the aggregate Revolving Exposure of all Lenders does not exceed the total LC Commitments, (ii) the LC Exposure shall not exceed the total LC Commitments, (iii) no Lender’s Revolving Exposure shall exceed its Commitment. Each Letter of Credit shall, except as provided in Section 2.22(a)(ii) below, expire no later than the earlier of (A) the first anniversary of its date of issuance and (B) the date that is five Business Days prior to the Revolving Maturity Date;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any Letter of Credit with a one-year term may provide for the renewal thereof for additional one-year periods (which shall in no event extend beyond the date referred to in clause (B) above, except as provided in Section 2.22(a)(ii) below).</w:t>
      </w:r>
    </w:p>
    <w:p>
      <w:pPr>
        <w:spacing w:after="0" w:line="132" w:lineRule="exact"/>
        <w:rPr>
          <w:sz w:val="20"/>
          <w:szCs w:val="20"/>
          <w:color w:val="auto"/>
        </w:rPr>
      </w:pPr>
    </w:p>
    <w:p>
      <w:pPr>
        <w:jc w:val="both"/>
        <w:ind w:left="340" w:firstLine="791"/>
        <w:spacing w:after="0" w:line="214" w:lineRule="auto"/>
        <w:tabs>
          <w:tab w:leader="none" w:pos="1702" w:val="left"/>
        </w:tabs>
        <w:numPr>
          <w:ilvl w:val="0"/>
          <w:numId w:val="167"/>
        </w:numPr>
        <w:rPr>
          <w:rFonts w:ascii="Arial" w:cs="Arial" w:eastAsia="Arial" w:hAnsi="Arial"/>
          <w:sz w:val="17"/>
          <w:szCs w:val="17"/>
          <w:color w:val="auto"/>
        </w:rPr>
      </w:pPr>
      <w:r>
        <w:rPr>
          <w:rFonts w:ascii="Arial" w:cs="Arial" w:eastAsia="Arial" w:hAnsi="Arial"/>
          <w:sz w:val="17"/>
          <w:szCs w:val="17"/>
          <w:color w:val="auto"/>
        </w:rPr>
        <w:t>If requested by the Borrower and if the applicable Issuing Bank agrees, such Issuing Bank may issue one or more Letters of Credit hereunder, with expiry dates that would occur after the fifth Business Day prior to the Revolving Maturity Date, based upon the Borrower’s agreement to cash collateralize the LC Exposure in accordance with Section 2.22(h). If the Borrower fails to cash collateralize the outstanding LC Exposure in accordance with the requirements of Section 2.22(h), each outstanding Letter of Credit shall automatically be deemed to be drawn in full on such date and the reimbursement obligations of the Borrower set forth in Section 2.22(d) shall be deemed to apply and shall be construed such that the reimbursement obligation is to provide cash collateral in accordance with the requirements of Section 2.22(h).</w:t>
      </w:r>
    </w:p>
    <w:p>
      <w:pPr>
        <w:spacing w:after="0" w:line="138" w:lineRule="exact"/>
        <w:rPr>
          <w:rFonts w:ascii="Arial" w:cs="Arial" w:eastAsia="Arial" w:hAnsi="Arial"/>
          <w:sz w:val="17"/>
          <w:szCs w:val="17"/>
          <w:color w:val="auto"/>
        </w:rPr>
      </w:pPr>
    </w:p>
    <w:p>
      <w:pPr>
        <w:jc w:val="both"/>
        <w:ind w:left="340" w:firstLine="791"/>
        <w:spacing w:after="0" w:line="230" w:lineRule="auto"/>
        <w:tabs>
          <w:tab w:leader="none" w:pos="1703" w:val="left"/>
        </w:tabs>
        <w:numPr>
          <w:ilvl w:val="0"/>
          <w:numId w:val="167"/>
        </w:numPr>
        <w:rPr>
          <w:rFonts w:ascii="Arial" w:cs="Arial" w:eastAsia="Arial" w:hAnsi="Arial"/>
          <w:sz w:val="16"/>
          <w:szCs w:val="16"/>
          <w:color w:val="auto"/>
        </w:rPr>
      </w:pPr>
      <w:r>
        <w:rPr>
          <w:rFonts w:ascii="Arial" w:cs="Arial" w:eastAsia="Arial" w:hAnsi="Arial"/>
          <w:sz w:val="16"/>
          <w:szCs w:val="16"/>
          <w:color w:val="auto"/>
        </w:rPr>
        <w:t>The Borrower shall grant to the Administrative Agent for the benefit of the Issuing Banks and the Lenders, pursuant to a collateral agreement, a security interest in all cash, deposit accounts and all balances therein and all proceeds of the foregoing as required to be deposited pursuant to Section 2.22(a)(ii) or Section 2.22(h). Cash collateral shall be maintained in blocked, interest bearing deposit accounts at the Administrative Agent (or any affiliate thereof) (the “</w:t>
      </w:r>
      <w:r>
        <w:rPr>
          <w:rFonts w:ascii="Arial" w:cs="Arial" w:eastAsia="Arial" w:hAnsi="Arial"/>
          <w:sz w:val="16"/>
          <w:szCs w:val="16"/>
          <w:b w:val="1"/>
          <w:bCs w:val="1"/>
          <w:color w:val="auto"/>
        </w:rPr>
        <w:t>LC Cash Collateral Account</w:t>
      </w:r>
      <w:r>
        <w:rPr>
          <w:rFonts w:ascii="Arial" w:cs="Arial" w:eastAsia="Arial" w:hAnsi="Arial"/>
          <w:sz w:val="16"/>
          <w:szCs w:val="16"/>
          <w:color w:val="auto"/>
        </w:rPr>
        <w:t xml:space="preserve">”). All interest on such cash collateral shall be paid to the Borrower upon the Borrower’s request,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such interest shall first be applied to all outstanding LC Exposure at such time and the balance shall be distributed to the Borrower.</w:t>
      </w:r>
    </w:p>
    <w:p>
      <w:pPr>
        <w:spacing w:after="0" w:line="136" w:lineRule="exact"/>
        <w:rPr>
          <w:rFonts w:ascii="Arial" w:cs="Arial" w:eastAsia="Arial" w:hAnsi="Arial"/>
          <w:sz w:val="16"/>
          <w:szCs w:val="16"/>
          <w:color w:val="auto"/>
        </w:rPr>
      </w:pPr>
    </w:p>
    <w:p>
      <w:pPr>
        <w:ind w:left="340" w:right="20" w:firstLine="791"/>
        <w:spacing w:after="0" w:line="237" w:lineRule="auto"/>
        <w:tabs>
          <w:tab w:leader="none" w:pos="1694" w:val="left"/>
        </w:tabs>
        <w:numPr>
          <w:ilvl w:val="0"/>
          <w:numId w:val="167"/>
        </w:numPr>
        <w:rPr>
          <w:rFonts w:ascii="Arial" w:cs="Arial" w:eastAsia="Arial" w:hAnsi="Arial"/>
          <w:sz w:val="17"/>
          <w:szCs w:val="17"/>
          <w:color w:val="auto"/>
        </w:rPr>
      </w:pPr>
      <w:r>
        <w:rPr>
          <w:rFonts w:ascii="Arial" w:cs="Arial" w:eastAsia="Arial" w:hAnsi="Arial"/>
          <w:sz w:val="17"/>
          <w:szCs w:val="17"/>
          <w:color w:val="auto"/>
        </w:rPr>
        <w:t>No Issuing Bank shall at any time be obligated to issue any Letter of Credit if such issuance would conflict with, or cause such Issuing Bank or any LC Participant to exceed any limits imposed by, any applicable Requirement of Law.</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color w:val="auto"/>
        </w:rPr>
        <w:t>An Issuing Bank shall not be under any obligation to issue any Letter of Credit if:</w:t>
      </w:r>
    </w:p>
    <w:p>
      <w:pPr>
        <w:spacing w:after="0" w:line="183" w:lineRule="exact"/>
        <w:rPr>
          <w:sz w:val="20"/>
          <w:szCs w:val="20"/>
          <w:color w:val="auto"/>
        </w:rPr>
      </w:pPr>
    </w:p>
    <w:p>
      <w:pPr>
        <w:jc w:val="both"/>
        <w:ind w:left="640" w:firstLine="1131"/>
        <w:spacing w:after="0" w:line="214" w:lineRule="auto"/>
        <w:tabs>
          <w:tab w:leader="none" w:pos="2272" w:val="left"/>
        </w:tabs>
        <w:numPr>
          <w:ilvl w:val="0"/>
          <w:numId w:val="168"/>
        </w:numPr>
        <w:rPr>
          <w:rFonts w:ascii="Arial" w:cs="Arial" w:eastAsia="Arial" w:hAnsi="Arial"/>
          <w:sz w:val="17"/>
          <w:szCs w:val="17"/>
          <w:color w:val="auto"/>
        </w:rPr>
      </w:pPr>
      <w:r>
        <w:rPr>
          <w:rFonts w:ascii="Arial" w:cs="Arial" w:eastAsia="Arial" w:hAnsi="Arial"/>
          <w:sz w:val="17"/>
          <w:szCs w:val="17"/>
          <w:color w:val="auto"/>
        </w:rPr>
        <w:t>any order, judgment or decree of any Governmental Authority or arbitrator shall by its terms purport to enjoin or restrain such Issuing Bank from issuing such Letter of Credit, or any law applicable to such Issuing Bank shall prohibit, or require that such Issuing Bank refrain from, the issuance of letters of credit generally or such Letter of Credit in particular or shall impose upon such Issuing Bank with respect to such Letter of Credit any restriction, reserve or capital requirement (for which such Issuing Bank is not otherwise compensated hereunder) not in effect on the Closing Date, or shall impose upon such Issuing Bank any unreimbursed loss, cost or expense that was not applicable on the Closing Date and that such Issuing Bank in good faith deems material to it;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107</w:t>
      </w:r>
    </w:p>
    <w:p>
      <w:pPr>
        <w:sectPr>
          <w:pgSz w:w="11900" w:h="16838" w:orient="portrait"/>
          <w:cols w:equalWidth="0" w:num="1">
            <w:col w:w="11260"/>
          </w:cols>
          <w:pgMar w:left="320" w:top="1440" w:right="319" w:bottom="1440" w:gutter="0" w:footer="0" w:header="0"/>
        </w:sectPr>
      </w:pPr>
    </w:p>
    <w:bookmarkStart w:id="281" w:name="page282"/>
    <w:bookmarkEnd w:id="281"/>
    <w:p>
      <w:pPr>
        <w:spacing w:after="0" w:line="386" w:lineRule="exact"/>
        <w:rPr>
          <w:sz w:val="20"/>
          <w:szCs w:val="20"/>
          <w:color w:val="auto"/>
        </w:rPr>
      </w:pPr>
    </w:p>
    <w:p>
      <w:pPr>
        <w:ind w:left="2260" w:hanging="489"/>
        <w:spacing w:after="0"/>
        <w:tabs>
          <w:tab w:leader="none" w:pos="226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the issuance of such Letter of Credit would violate one or more policies of such Issuing Bank applicable to letters of credit</w:t>
      </w:r>
    </w:p>
    <w:p>
      <w:pPr>
        <w:ind w:left="640"/>
        <w:spacing w:after="0"/>
        <w:rPr>
          <w:sz w:val="20"/>
          <w:szCs w:val="20"/>
          <w:color w:val="auto"/>
        </w:rPr>
      </w:pPr>
      <w:r>
        <w:rPr>
          <w:rFonts w:ascii="Arial" w:cs="Arial" w:eastAsia="Arial" w:hAnsi="Arial"/>
          <w:sz w:val="17"/>
          <w:szCs w:val="17"/>
          <w:color w:val="auto"/>
        </w:rPr>
        <w:t>generally.</w:t>
      </w:r>
    </w:p>
    <w:p>
      <w:pPr>
        <w:spacing w:after="0" w:line="110" w:lineRule="exact"/>
        <w:rPr>
          <w:sz w:val="20"/>
          <w:szCs w:val="20"/>
          <w:color w:val="auto"/>
        </w:rPr>
      </w:pPr>
    </w:p>
    <w:p>
      <w:pPr>
        <w:jc w:val="both"/>
        <w:ind w:firstLine="563"/>
        <w:spacing w:after="0" w:line="210" w:lineRule="auto"/>
        <w:tabs>
          <w:tab w:leader="none" w:pos="1126" w:val="left"/>
        </w:tabs>
        <w:numPr>
          <w:ilvl w:val="0"/>
          <w:numId w:val="170"/>
        </w:numPr>
        <w:rPr>
          <w:rFonts w:ascii="Arial" w:cs="Arial" w:eastAsia="Arial" w:hAnsi="Arial"/>
          <w:sz w:val="17"/>
          <w:szCs w:val="17"/>
          <w:color w:val="auto"/>
        </w:rPr>
      </w:pPr>
      <w:r>
        <w:rPr>
          <w:rFonts w:ascii="Arial" w:cs="Arial" w:eastAsia="Arial" w:hAnsi="Arial"/>
          <w:sz w:val="17"/>
          <w:szCs w:val="17"/>
          <w:i w:val="1"/>
          <w:iCs w:val="1"/>
          <w:color w:val="auto"/>
        </w:rPr>
        <w:t xml:space="preserve">Procedure for Issuance of Letter of Credit. </w:t>
      </w:r>
      <w:r>
        <w:rPr>
          <w:rFonts w:ascii="Arial" w:cs="Arial" w:eastAsia="Arial" w:hAnsi="Arial"/>
          <w:sz w:val="17"/>
          <w:szCs w:val="17"/>
          <w:color w:val="auto"/>
        </w:rPr>
        <w:t>The Borrower may from time to time request that an Issuing Bank issue a Letter of Credit by</w:t>
      </w:r>
      <w:r>
        <w:rPr>
          <w:rFonts w:ascii="Arial" w:cs="Arial" w:eastAsia="Arial" w:hAnsi="Arial"/>
          <w:sz w:val="17"/>
          <w:szCs w:val="17"/>
          <w:i w:val="1"/>
          <w:iCs w:val="1"/>
          <w:color w:val="auto"/>
        </w:rPr>
        <w:t xml:space="preserve"> </w:t>
      </w:r>
      <w:r>
        <w:rPr>
          <w:rFonts w:ascii="Arial" w:cs="Arial" w:eastAsia="Arial" w:hAnsi="Arial"/>
          <w:sz w:val="17"/>
          <w:szCs w:val="17"/>
          <w:color w:val="auto"/>
        </w:rPr>
        <w:t>delivering to such Issuing Bank at its address for notices specified herein an Application therefor, completed to the satisfaction of such Issuing Bank, and such other certificates, documents and other papers and information as such Issuing Bank may reasonably request. Upon receipt of any Application, such Issuing Bank will process such Application and the certificates, documents and other papers and information delivered to it in connection therewith in accordance with its customary procedures and shall promptly issue the Letter of Credit requested thereby (but in no event shall such Issuing Bank be required to issue any Letter of Credit earlier than three Business Days after its receipt of the Application therefor and all such other certificates, documents and other papers and information relating thereto) by issuing the original of such Letter of Credit to the beneficiary thereof or as otherwise may be agreed to by such Issuing Bank and the Borrower. Such Issuing Bank shall furnish a copy of such Letter of Credit to the Borrower promptly following the issuance thereof. Such Issuing Bank shall promptly furnish to the Administrative Agent, which shall in turn promptly furnish to the Lenders, notice of the issuance of each Letter of Credit (including the amount thereof).</w:t>
      </w:r>
    </w:p>
    <w:p>
      <w:pPr>
        <w:spacing w:after="0" w:line="136" w:lineRule="exact"/>
        <w:rPr>
          <w:rFonts w:ascii="Arial" w:cs="Arial" w:eastAsia="Arial" w:hAnsi="Arial"/>
          <w:sz w:val="17"/>
          <w:szCs w:val="17"/>
          <w:color w:val="auto"/>
        </w:rPr>
      </w:pPr>
    </w:p>
    <w:p>
      <w:pPr>
        <w:jc w:val="both"/>
        <w:ind w:firstLine="563"/>
        <w:spacing w:after="0" w:line="221" w:lineRule="auto"/>
        <w:tabs>
          <w:tab w:leader="none" w:pos="1128" w:val="left"/>
        </w:tabs>
        <w:numPr>
          <w:ilvl w:val="0"/>
          <w:numId w:val="170"/>
        </w:numPr>
        <w:rPr>
          <w:rFonts w:ascii="Arial" w:cs="Arial" w:eastAsia="Arial" w:hAnsi="Arial"/>
          <w:sz w:val="16"/>
          <w:szCs w:val="16"/>
          <w:color w:val="auto"/>
        </w:rPr>
      </w:pPr>
      <w:r>
        <w:rPr>
          <w:rFonts w:ascii="Arial" w:cs="Arial" w:eastAsia="Arial" w:hAnsi="Arial"/>
          <w:sz w:val="16"/>
          <w:szCs w:val="16"/>
          <w:i w:val="1"/>
          <w:iCs w:val="1"/>
          <w:color w:val="auto"/>
        </w:rPr>
        <w:t xml:space="preserve">LC Participation. </w:t>
      </w:r>
      <w:r>
        <w:rPr>
          <w:rFonts w:ascii="Arial" w:cs="Arial" w:eastAsia="Arial" w:hAnsi="Arial"/>
          <w:sz w:val="16"/>
          <w:szCs w:val="16"/>
          <w:color w:val="auto"/>
        </w:rPr>
        <w:t>Each Issuing Bank irrevocably agrees to grant and hereby grants to each LC Participant, and, to induce each Issuing Bank to</w:t>
      </w:r>
      <w:r>
        <w:rPr>
          <w:rFonts w:ascii="Arial" w:cs="Arial" w:eastAsia="Arial" w:hAnsi="Arial"/>
          <w:sz w:val="16"/>
          <w:szCs w:val="16"/>
          <w:i w:val="1"/>
          <w:iCs w:val="1"/>
          <w:color w:val="auto"/>
        </w:rPr>
        <w:t xml:space="preserve"> </w:t>
      </w:r>
      <w:r>
        <w:rPr>
          <w:rFonts w:ascii="Arial" w:cs="Arial" w:eastAsia="Arial" w:hAnsi="Arial"/>
          <w:sz w:val="16"/>
          <w:szCs w:val="16"/>
          <w:color w:val="auto"/>
        </w:rPr>
        <w:t>issue Letters of Credit, each LC Participant irrevocably agrees to accept and purchase and hereby accepts and purchases from each Issuing Bank, on the terms and conditions set forth below, for such LC Participant’s own account and risk a participation in such Letter of Credit equal to such LC Participant’s Applicable Percentage in the aggregate amount available to be drawn under such Letter of Credit. Each LC Participant agrees with each Issuing Bank that, if a drawing is paid under any Letter of Credit for which such Issuing Bank is not reimbursed in full by the Borrower in accordance with the terms of this Agreement (or in the event that any reimbursement received by such Issuing Bank shall be required to be returned by it at any time), such LC Participant shall pay to such Issuing Bank upon demand at such Issuing Bank’s address for notices specified herein an amount equal to such LC Participant’s Applicable Percentage of the amount that is not so reimbursed (or is so returned). Each LC Participant’s obligation to pay such amount shall be absolute and unconditional and shall not be affected by any circumstance, including (A) any setoff, counterclaim, recoupment, defense or other right that such LC Participant may have against such Issuing Bank, the Borrower or any other Person for any reason whatsoever, (B) the occurrence or continuance of a Default or an Event of Default or the failure to satisfy any of the other conditions specified in Section 4.02, (C) any adverse change in the condition (financial or otherwise) of the Borrower, (D) any breach of this Agreement or any other Loan Document by the Borrower, any other Loan Party or any other LC Participant or (E) any other circumstance, happening or event whatsoever, whether or not similar to any of the foregoing.</w:t>
      </w:r>
    </w:p>
    <w:p>
      <w:pPr>
        <w:spacing w:after="0" w:line="141" w:lineRule="exact"/>
        <w:rPr>
          <w:rFonts w:ascii="Arial" w:cs="Arial" w:eastAsia="Arial" w:hAnsi="Arial"/>
          <w:sz w:val="16"/>
          <w:szCs w:val="16"/>
          <w:color w:val="auto"/>
        </w:rPr>
      </w:pPr>
    </w:p>
    <w:p>
      <w:pPr>
        <w:jc w:val="both"/>
        <w:ind w:left="340" w:firstLine="791"/>
        <w:spacing w:after="0" w:line="244" w:lineRule="auto"/>
        <w:tabs>
          <w:tab w:leader="none" w:pos="1702" w:val="left"/>
        </w:tabs>
        <w:numPr>
          <w:ilvl w:val="1"/>
          <w:numId w:val="170"/>
        </w:numPr>
        <w:rPr>
          <w:rFonts w:ascii="Arial" w:cs="Arial" w:eastAsia="Arial" w:hAnsi="Arial"/>
          <w:sz w:val="15"/>
          <w:szCs w:val="15"/>
          <w:color w:val="auto"/>
        </w:rPr>
      </w:pPr>
      <w:r>
        <w:rPr>
          <w:rFonts w:ascii="Arial" w:cs="Arial" w:eastAsia="Arial" w:hAnsi="Arial"/>
          <w:sz w:val="15"/>
          <w:szCs w:val="15"/>
          <w:color w:val="auto"/>
        </w:rPr>
        <w:t>If any amount required to be paid by any LC Participant to any Issuing Bank pursuant to Section 2.22(c) in respect of any unreimbursed portion of any payment made by such Issuing Bank under such Letter of Credit is paid to such Issuing Bank within three Business Days after the date such payment is due, such LC Participant shall pay to such Issuing Bank on demand an amount equal to the product of (A) such amount, times (B) the daily average Federal Funds Effective Rate during the period from and including the date such payment is required to the date on which such payment is immediately available to such Issuing Bank, times (C) a fraction the numerator of which is the number of days that elapse during such period (including the first day but excluding the last day) and the denominator of which is 360. If any such amount required to be paid by any LC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108</w:t>
      </w:r>
    </w:p>
    <w:p>
      <w:pPr>
        <w:sectPr>
          <w:pgSz w:w="11900" w:h="16838" w:orient="portrait"/>
          <w:cols w:equalWidth="0" w:num="1">
            <w:col w:w="11260"/>
          </w:cols>
          <w:pgMar w:left="320" w:top="1440" w:right="319" w:bottom="1440" w:gutter="0" w:footer="0" w:header="0"/>
        </w:sectPr>
      </w:pPr>
    </w:p>
    <w:bookmarkStart w:id="282" w:name="page283"/>
    <w:bookmarkEnd w:id="282"/>
    <w:p>
      <w:pPr>
        <w:spacing w:after="0" w:line="390" w:lineRule="exact"/>
        <w:rPr>
          <w:sz w:val="20"/>
          <w:szCs w:val="20"/>
          <w:color w:val="auto"/>
        </w:rPr>
      </w:pPr>
    </w:p>
    <w:p>
      <w:pPr>
        <w:jc w:val="both"/>
        <w:ind w:left="340" w:right="20"/>
        <w:spacing w:after="0" w:line="220" w:lineRule="auto"/>
        <w:rPr>
          <w:sz w:val="20"/>
          <w:szCs w:val="20"/>
          <w:color w:val="auto"/>
        </w:rPr>
      </w:pPr>
      <w:r>
        <w:rPr>
          <w:rFonts w:ascii="Arial" w:cs="Arial" w:eastAsia="Arial" w:hAnsi="Arial"/>
          <w:sz w:val="17"/>
          <w:szCs w:val="17"/>
          <w:color w:val="auto"/>
        </w:rPr>
        <w:t>pursuant to Section 2.22(c) is not made available to such Issuing Bank by such LC Participant within three Business Days after the date such payment is due, such Issuing Bank shall be entitled to recover from such LC Participant, on demand, such amount with interest thereon calculated from such due date at the Applicable Rate to ABR Revolving Loans. A certificate of the applicable Issuing Bank submitted to any LC Participant with respect to any amounts owing under this Section shall be conclusive in the absence of manifest error.</w:t>
      </w:r>
    </w:p>
    <w:p>
      <w:pPr>
        <w:spacing w:after="0" w:line="136" w:lineRule="exact"/>
        <w:rPr>
          <w:sz w:val="20"/>
          <w:szCs w:val="20"/>
          <w:color w:val="auto"/>
        </w:rPr>
      </w:pPr>
    </w:p>
    <w:p>
      <w:pPr>
        <w:jc w:val="both"/>
        <w:ind w:left="340" w:firstLine="791"/>
        <w:spacing w:after="0" w:line="214" w:lineRule="auto"/>
        <w:tabs>
          <w:tab w:leader="none" w:pos="1703" w:val="left"/>
        </w:tabs>
        <w:numPr>
          <w:ilvl w:val="1"/>
          <w:numId w:val="171"/>
        </w:numPr>
        <w:rPr>
          <w:rFonts w:ascii="Arial" w:cs="Arial" w:eastAsia="Arial" w:hAnsi="Arial"/>
          <w:sz w:val="17"/>
          <w:szCs w:val="17"/>
          <w:color w:val="auto"/>
        </w:rPr>
      </w:pPr>
      <w:r>
        <w:rPr>
          <w:rFonts w:ascii="Arial" w:cs="Arial" w:eastAsia="Arial" w:hAnsi="Arial"/>
          <w:sz w:val="17"/>
          <w:szCs w:val="17"/>
          <w:color w:val="auto"/>
        </w:rPr>
        <w:t xml:space="preserve">Whenever, at any time after the applicable Issuing Bank has made payment under any Letter of Credit and has received from any LC Participant its pro rata share of such payment in accordance with Section 2.22(c), such Issuing Bank receives any payment related to such Letter of Credit (whether directly from the Borrower or otherwise, including proceeds of collateral applied thereto by such Issuing Bank), or any payment of interest on account thereof, such Issuing Bank will distribute to such LC Participant its pro rata share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in the event that any such payment received by such Issuing Bank shall be required to be returned by such Issuing Bank, such LC Participant shall return to such Issuing Bank the portion thereof previously distributed by such Issuing Bank to it.</w:t>
      </w:r>
    </w:p>
    <w:p>
      <w:pPr>
        <w:spacing w:after="0" w:line="138" w:lineRule="exact"/>
        <w:rPr>
          <w:rFonts w:ascii="Arial" w:cs="Arial" w:eastAsia="Arial" w:hAnsi="Arial"/>
          <w:sz w:val="17"/>
          <w:szCs w:val="17"/>
          <w:color w:val="auto"/>
        </w:rPr>
      </w:pPr>
    </w:p>
    <w:p>
      <w:pPr>
        <w:jc w:val="both"/>
        <w:ind w:firstLine="563"/>
        <w:spacing w:after="0" w:line="228" w:lineRule="auto"/>
        <w:tabs>
          <w:tab w:leader="none" w:pos="1126" w:val="left"/>
        </w:tabs>
        <w:numPr>
          <w:ilvl w:val="0"/>
          <w:numId w:val="172"/>
        </w:numPr>
        <w:rPr>
          <w:rFonts w:ascii="Arial" w:cs="Arial" w:eastAsia="Arial" w:hAnsi="Arial"/>
          <w:sz w:val="16"/>
          <w:szCs w:val="16"/>
          <w:color w:val="auto"/>
        </w:rPr>
      </w:pPr>
      <w:r>
        <w:rPr>
          <w:rFonts w:ascii="Arial" w:cs="Arial" w:eastAsia="Arial" w:hAnsi="Arial"/>
          <w:sz w:val="16"/>
          <w:szCs w:val="16"/>
          <w:i w:val="1"/>
          <w:iCs w:val="1"/>
          <w:color w:val="auto"/>
        </w:rPr>
        <w:t xml:space="preserve">Reimbursement Obligations of the Borrower. </w:t>
      </w:r>
      <w:r>
        <w:rPr>
          <w:rFonts w:ascii="Arial" w:cs="Arial" w:eastAsia="Arial" w:hAnsi="Arial"/>
          <w:sz w:val="16"/>
          <w:szCs w:val="16"/>
          <w:color w:val="auto"/>
        </w:rPr>
        <w:t>If any drawing is paid under any Letter of Credit, the Borrower shall reimburse the applicable</w:t>
      </w:r>
      <w:r>
        <w:rPr>
          <w:rFonts w:ascii="Arial" w:cs="Arial" w:eastAsia="Arial" w:hAnsi="Arial"/>
          <w:sz w:val="16"/>
          <w:szCs w:val="16"/>
          <w:i w:val="1"/>
          <w:iCs w:val="1"/>
          <w:color w:val="auto"/>
        </w:rPr>
        <w:t xml:space="preserve"> </w:t>
      </w:r>
      <w:r>
        <w:rPr>
          <w:rFonts w:ascii="Arial" w:cs="Arial" w:eastAsia="Arial" w:hAnsi="Arial"/>
          <w:sz w:val="16"/>
          <w:szCs w:val="16"/>
          <w:color w:val="auto"/>
        </w:rPr>
        <w:t>Issuing Bank for the amount of (x) the drawing so paid and (y) any taxes, fees, charges or other costs or expenses incurred by such Issuing Bank in connection with such payment, not later than 12:00 Noon, New York City time, on the Business Day immediately following the day that the Borrower receives such notice from the relevant Issuing Bank. Each such payment shall be made to such Issuing Bank at its address for notices referred to herein in dollars and in immediately available funds. Interest shall be payable on any such amounts from the date on which the relevant drawing is paid until payment in full at the rate set forth in (x) until the Business Day next succeeding the date of the relevant notice, Section 2.11(b) and (y) thereafter, Section 2.11(c).</w:t>
      </w:r>
    </w:p>
    <w:p>
      <w:pPr>
        <w:spacing w:after="0" w:line="135" w:lineRule="exact"/>
        <w:rPr>
          <w:rFonts w:ascii="Arial" w:cs="Arial" w:eastAsia="Arial" w:hAnsi="Arial"/>
          <w:sz w:val="16"/>
          <w:szCs w:val="16"/>
          <w:color w:val="auto"/>
        </w:rPr>
      </w:pPr>
    </w:p>
    <w:p>
      <w:pPr>
        <w:jc w:val="both"/>
        <w:ind w:firstLine="563"/>
        <w:spacing w:after="0" w:line="221" w:lineRule="auto"/>
        <w:tabs>
          <w:tab w:leader="none" w:pos="1128" w:val="left"/>
        </w:tabs>
        <w:numPr>
          <w:ilvl w:val="0"/>
          <w:numId w:val="172"/>
        </w:numPr>
        <w:rPr>
          <w:rFonts w:ascii="Arial" w:cs="Arial" w:eastAsia="Arial" w:hAnsi="Arial"/>
          <w:sz w:val="16"/>
          <w:szCs w:val="16"/>
          <w:color w:val="auto"/>
        </w:rPr>
      </w:pPr>
      <w:r>
        <w:rPr>
          <w:rFonts w:ascii="Arial" w:cs="Arial" w:eastAsia="Arial" w:hAnsi="Arial"/>
          <w:sz w:val="16"/>
          <w:szCs w:val="16"/>
          <w:i w:val="1"/>
          <w:iCs w:val="1"/>
          <w:color w:val="auto"/>
        </w:rPr>
        <w:t xml:space="preserve">Obligations Absolute. </w:t>
      </w:r>
      <w:r>
        <w:rPr>
          <w:rFonts w:ascii="Arial" w:cs="Arial" w:eastAsia="Arial" w:hAnsi="Arial"/>
          <w:sz w:val="16"/>
          <w:szCs w:val="16"/>
          <w:color w:val="auto"/>
        </w:rPr>
        <w:t>The Borrower’s obligations under this Section 2.22(e) shall be absolute, unconditional and irrevocable under any and all</w:t>
      </w:r>
      <w:r>
        <w:rPr>
          <w:rFonts w:ascii="Arial" w:cs="Arial" w:eastAsia="Arial" w:hAnsi="Arial"/>
          <w:sz w:val="16"/>
          <w:szCs w:val="16"/>
          <w:i w:val="1"/>
          <w:iCs w:val="1"/>
          <w:color w:val="auto"/>
        </w:rPr>
        <w:t xml:space="preserve"> </w:t>
      </w:r>
      <w:r>
        <w:rPr>
          <w:rFonts w:ascii="Arial" w:cs="Arial" w:eastAsia="Arial" w:hAnsi="Arial"/>
          <w:sz w:val="16"/>
          <w:szCs w:val="16"/>
          <w:color w:val="auto"/>
        </w:rPr>
        <w:t>circumstances and irrespective of any setoff, counterclaim or defense to payment that the Borrower may have or have had against any Issuing Bank, any beneficiary of a Letter of Credit or any other Person. The Borrower also agrees with the Issuing Banks that no Issuing Bank shall be responsible for, and the Borrower’s Reimbursement Obligations under this Section 2.22(e) shall not be affected by, among other things, the validity or genuineness of documents or of any endorsements thereon, even though such documents shall in fact prove to be invalid, fraudulent or forged, or any dispute between or among the Borrower and any beneficiary of any Letter of Credit or any other party to which such Letter of Credit may be transferred or any claims whatsoever of the Borrower against any beneficiary of such Letter of Credit or any such transferee or payment by the applicable Issuing Bank under a Letter of Credit against presentation of a draft or other document that does not comply with the terms of such Letter of Credit or any other event or circumstance whatsoever, whether or not similar to any of the foregoing, that might, but for the provisions of this Section, constitute a legal or equitable discharge of, or provide a right of setoff against, the Borrower’s obligations hereunder. No Issuing Bank shall be liable for any error, omission, interruption or delay in transmission, dispatch or delivery of any message or advice, however transmitted, in connection with any Letter of Credit, except that the foregoing shall not be construed to excuse any Issuing Bank from liability to the Borrower to the extent of any direct damages (as opposed to special, indirect, consequential or punitive damages, claims in respect of which are hereby waived by the Borrower to the extent permitted by applicable law) suffered by the Borrower that are caused by errors or omissions found by a final and nonappealable decision of a court of competent jurisdiction to have resulted from the gross negligence or willful misconduct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109</w:t>
      </w:r>
    </w:p>
    <w:p>
      <w:pPr>
        <w:sectPr>
          <w:pgSz w:w="11900" w:h="16838" w:orient="portrait"/>
          <w:cols w:equalWidth="0" w:num="1">
            <w:col w:w="11260"/>
          </w:cols>
          <w:pgMar w:left="320" w:top="1440" w:right="319" w:bottom="1440" w:gutter="0" w:footer="0" w:header="0"/>
        </w:sectPr>
      </w:pPr>
    </w:p>
    <w:bookmarkStart w:id="283" w:name="page284"/>
    <w:bookmarkEnd w:id="283"/>
    <w:p>
      <w:pPr>
        <w:spacing w:after="0" w:line="390" w:lineRule="exact"/>
        <w:rPr>
          <w:sz w:val="20"/>
          <w:szCs w:val="20"/>
          <w:color w:val="auto"/>
        </w:rPr>
      </w:pPr>
    </w:p>
    <w:p>
      <w:pPr>
        <w:jc w:val="both"/>
        <w:spacing w:after="0" w:line="220" w:lineRule="auto"/>
        <w:rPr>
          <w:sz w:val="20"/>
          <w:szCs w:val="20"/>
          <w:color w:val="auto"/>
        </w:rPr>
      </w:pPr>
      <w:r>
        <w:rPr>
          <w:rFonts w:ascii="Arial" w:cs="Arial" w:eastAsia="Arial" w:hAnsi="Arial"/>
          <w:sz w:val="17"/>
          <w:szCs w:val="17"/>
          <w:color w:val="auto"/>
        </w:rPr>
        <w:t xml:space="preserve">of such Issuing Bank. The Borrower agrees that any action taken or omitted by an Issuing Bank under or in connection with any Letter of Credit or the related drafts or documents, if done in the absence of gross negligence or willful misconduct, shall be binding on the Borrower and shall not result in any liability of such Issuing Bank to the Borrower;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in no event shall any Issuing Bank have any liability to any other Person for indirect, special, incidental, consequential or punitive damages (as opposed to direct or actual damages).</w:t>
      </w:r>
    </w:p>
    <w:p>
      <w:pPr>
        <w:spacing w:after="0" w:line="136" w:lineRule="exact"/>
        <w:rPr>
          <w:sz w:val="20"/>
          <w:szCs w:val="20"/>
          <w:color w:val="auto"/>
        </w:rPr>
      </w:pPr>
    </w:p>
    <w:p>
      <w:pPr>
        <w:jc w:val="both"/>
        <w:ind w:firstLine="563"/>
        <w:spacing w:after="0" w:line="216" w:lineRule="auto"/>
        <w:tabs>
          <w:tab w:leader="none" w:pos="1132" w:val="left"/>
        </w:tabs>
        <w:numPr>
          <w:ilvl w:val="0"/>
          <w:numId w:val="173"/>
        </w:numPr>
        <w:rPr>
          <w:rFonts w:ascii="Arial" w:cs="Arial" w:eastAsia="Arial" w:hAnsi="Arial"/>
          <w:sz w:val="17"/>
          <w:szCs w:val="17"/>
          <w:color w:val="auto"/>
        </w:rPr>
      </w:pPr>
      <w:r>
        <w:rPr>
          <w:rFonts w:ascii="Arial" w:cs="Arial" w:eastAsia="Arial" w:hAnsi="Arial"/>
          <w:sz w:val="17"/>
          <w:szCs w:val="17"/>
          <w:i w:val="1"/>
          <w:iCs w:val="1"/>
          <w:color w:val="auto"/>
        </w:rPr>
        <w:t xml:space="preserve">Letters of Credit Payment. </w:t>
      </w:r>
      <w:r>
        <w:rPr>
          <w:rFonts w:ascii="Arial" w:cs="Arial" w:eastAsia="Arial" w:hAnsi="Arial"/>
          <w:sz w:val="17"/>
          <w:szCs w:val="17"/>
          <w:color w:val="auto"/>
        </w:rPr>
        <w:t>If any draft shall be presented for payment under any Letter of Credit, the applicable Issuing Bank shall promptly</w:t>
      </w:r>
      <w:r>
        <w:rPr>
          <w:rFonts w:ascii="Arial" w:cs="Arial" w:eastAsia="Arial" w:hAnsi="Arial"/>
          <w:sz w:val="17"/>
          <w:szCs w:val="17"/>
          <w:i w:val="1"/>
          <w:iCs w:val="1"/>
          <w:color w:val="auto"/>
        </w:rPr>
        <w:t xml:space="preserve"> </w:t>
      </w:r>
      <w:r>
        <w:rPr>
          <w:rFonts w:ascii="Arial" w:cs="Arial" w:eastAsia="Arial" w:hAnsi="Arial"/>
          <w:sz w:val="17"/>
          <w:szCs w:val="17"/>
          <w:color w:val="auto"/>
        </w:rPr>
        <w:t>notify the Borrower of the date and amount thereof. The responsibility of the applicable Issuing Bank to the Borrower in connection with any compliant drawing presented for payment under any Letter of Credit shall, in addition to any payment obligation expressly provided for in such Letter of Credit, be limited to determining that the documents (including each drawing) delivered under such Letter of Credit in connection with such presentment are substantially in conformity with such Letter of Credit.</w:t>
      </w:r>
    </w:p>
    <w:p>
      <w:pPr>
        <w:spacing w:after="0" w:line="138" w:lineRule="exact"/>
        <w:rPr>
          <w:rFonts w:ascii="Arial" w:cs="Arial" w:eastAsia="Arial" w:hAnsi="Arial"/>
          <w:sz w:val="17"/>
          <w:szCs w:val="17"/>
          <w:color w:val="auto"/>
        </w:rPr>
      </w:pPr>
    </w:p>
    <w:p>
      <w:pPr>
        <w:jc w:val="both"/>
        <w:ind w:firstLine="563"/>
        <w:spacing w:after="0" w:line="225" w:lineRule="auto"/>
        <w:tabs>
          <w:tab w:leader="none" w:pos="1126" w:val="left"/>
        </w:tabs>
        <w:numPr>
          <w:ilvl w:val="0"/>
          <w:numId w:val="173"/>
        </w:numPr>
        <w:rPr>
          <w:rFonts w:ascii="Arial" w:cs="Arial" w:eastAsia="Arial" w:hAnsi="Arial"/>
          <w:sz w:val="17"/>
          <w:szCs w:val="17"/>
          <w:color w:val="auto"/>
        </w:rPr>
      </w:pPr>
      <w:r>
        <w:rPr>
          <w:rFonts w:ascii="Arial" w:cs="Arial" w:eastAsia="Arial" w:hAnsi="Arial"/>
          <w:sz w:val="17"/>
          <w:szCs w:val="17"/>
          <w:i w:val="1"/>
          <w:iCs w:val="1"/>
          <w:color w:val="auto"/>
        </w:rPr>
        <w:t xml:space="preserve">Applications. </w:t>
      </w:r>
      <w:r>
        <w:rPr>
          <w:rFonts w:ascii="Arial" w:cs="Arial" w:eastAsia="Arial" w:hAnsi="Arial"/>
          <w:sz w:val="17"/>
          <w:szCs w:val="17"/>
          <w:color w:val="auto"/>
        </w:rPr>
        <w:t>To the extent that any provision of any Application or other agreement submitted by the Borrower to, or entered into by the</w:t>
      </w:r>
      <w:r>
        <w:rPr>
          <w:rFonts w:ascii="Arial" w:cs="Arial" w:eastAsia="Arial" w:hAnsi="Arial"/>
          <w:sz w:val="17"/>
          <w:szCs w:val="17"/>
          <w:i w:val="1"/>
          <w:iCs w:val="1"/>
          <w:color w:val="auto"/>
        </w:rPr>
        <w:t xml:space="preserve"> </w:t>
      </w:r>
      <w:r>
        <w:rPr>
          <w:rFonts w:ascii="Arial" w:cs="Arial" w:eastAsia="Arial" w:hAnsi="Arial"/>
          <w:sz w:val="17"/>
          <w:szCs w:val="17"/>
          <w:color w:val="auto"/>
        </w:rPr>
        <w:t>Borrower with, the applicable Issuing Bank related to any Letter of Credit is inconsistent with the provisions of this Agreement, the provisions of this Agreement shall apply.</w:t>
      </w:r>
    </w:p>
    <w:p>
      <w:pPr>
        <w:spacing w:after="0" w:line="136" w:lineRule="exact"/>
        <w:rPr>
          <w:rFonts w:ascii="Arial" w:cs="Arial" w:eastAsia="Arial" w:hAnsi="Arial"/>
          <w:sz w:val="17"/>
          <w:szCs w:val="17"/>
          <w:color w:val="auto"/>
        </w:rPr>
      </w:pPr>
    </w:p>
    <w:p>
      <w:pPr>
        <w:ind w:left="1120" w:hanging="557"/>
        <w:spacing w:after="0"/>
        <w:tabs>
          <w:tab w:leader="none" w:pos="1120" w:val="left"/>
        </w:tabs>
        <w:numPr>
          <w:ilvl w:val="0"/>
          <w:numId w:val="173"/>
        </w:numPr>
        <w:rPr>
          <w:rFonts w:ascii="Arial" w:cs="Arial" w:eastAsia="Arial" w:hAnsi="Arial"/>
          <w:sz w:val="17"/>
          <w:szCs w:val="17"/>
          <w:color w:val="auto"/>
        </w:rPr>
      </w:pPr>
      <w:r>
        <w:rPr>
          <w:rFonts w:ascii="Arial" w:cs="Arial" w:eastAsia="Arial" w:hAnsi="Arial"/>
          <w:sz w:val="17"/>
          <w:szCs w:val="17"/>
          <w:i w:val="1"/>
          <w:iCs w:val="1"/>
          <w:color w:val="auto"/>
        </w:rPr>
        <w:t>Action in Respect of Letters of Credit.</w:t>
      </w:r>
    </w:p>
    <w:p>
      <w:pPr>
        <w:spacing w:after="0" w:line="159" w:lineRule="exact"/>
        <w:rPr>
          <w:rFonts w:ascii="Arial" w:cs="Arial" w:eastAsia="Arial" w:hAnsi="Arial"/>
          <w:sz w:val="17"/>
          <w:szCs w:val="17"/>
          <w:color w:val="auto"/>
        </w:rPr>
      </w:pPr>
    </w:p>
    <w:p>
      <w:pPr>
        <w:jc w:val="both"/>
        <w:ind w:left="340" w:firstLine="791"/>
        <w:spacing w:after="0" w:line="230" w:lineRule="auto"/>
        <w:tabs>
          <w:tab w:leader="none" w:pos="1702" w:val="left"/>
        </w:tabs>
        <w:numPr>
          <w:ilvl w:val="1"/>
          <w:numId w:val="173"/>
        </w:numPr>
        <w:rPr>
          <w:rFonts w:ascii="Arial" w:cs="Arial" w:eastAsia="Arial" w:hAnsi="Arial"/>
          <w:sz w:val="16"/>
          <w:szCs w:val="16"/>
          <w:color w:val="auto"/>
        </w:rPr>
      </w:pPr>
      <w:r>
        <w:rPr>
          <w:rFonts w:ascii="Arial" w:cs="Arial" w:eastAsia="Arial" w:hAnsi="Arial"/>
          <w:sz w:val="16"/>
          <w:szCs w:val="16"/>
          <w:color w:val="auto"/>
        </w:rPr>
        <w:t>Not later than the date that is ten (10) Business Days prior to the Revolving Maturity Date, or at any time after the Revolving Maturity Date when the aggregate funds on deposit in the LC Cash Collateral Account shall be less than the amounts required herein, the Borrower shall pay to the Administrative Agent in immediately available funds, at the Administrative Agent’s office referred to in Section 9.01, for deposit in the LC Cash Collateral Account described in Section 2.22(a)(ii), the amount required so that, after such payment, the aggregate funds on deposit in the LC Cash Collateral Account are not less than 103% of the sum of all outstanding LC Exposure with an expiration date beyond the Revolving Maturity Date.</w:t>
      </w:r>
    </w:p>
    <w:p>
      <w:pPr>
        <w:spacing w:after="0" w:line="136" w:lineRule="exact"/>
        <w:rPr>
          <w:rFonts w:ascii="Arial" w:cs="Arial" w:eastAsia="Arial" w:hAnsi="Arial"/>
          <w:sz w:val="16"/>
          <w:szCs w:val="16"/>
          <w:color w:val="auto"/>
        </w:rPr>
      </w:pPr>
    </w:p>
    <w:p>
      <w:pPr>
        <w:jc w:val="both"/>
        <w:ind w:left="340" w:right="20" w:firstLine="791"/>
        <w:spacing w:after="0" w:line="234" w:lineRule="auto"/>
        <w:tabs>
          <w:tab w:leader="none" w:pos="1702" w:val="left"/>
        </w:tabs>
        <w:numPr>
          <w:ilvl w:val="1"/>
          <w:numId w:val="173"/>
        </w:numPr>
        <w:rPr>
          <w:rFonts w:ascii="Arial" w:cs="Arial" w:eastAsia="Arial" w:hAnsi="Arial"/>
          <w:sz w:val="16"/>
          <w:szCs w:val="16"/>
          <w:color w:val="auto"/>
        </w:rPr>
      </w:pPr>
      <w:r>
        <w:rPr>
          <w:rFonts w:ascii="Arial" w:cs="Arial" w:eastAsia="Arial" w:hAnsi="Arial"/>
          <w:sz w:val="16"/>
          <w:szCs w:val="16"/>
          <w:color w:val="auto"/>
        </w:rPr>
        <w:t xml:space="preserve">The Administrative Agent may, from time to time after funds are deposited in any LC Cash Collateral Account, apply funds then held in such LC Cash Collateral Account to the payment of any amounts, in accordance with the terms herein, as shall have become or shall become due and payable by the Borrower to the Issuing Banks or Lenders in respect of the LC Exposure. The Administrative Agent shall promptly give written notice of any such application;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failure to give such written notice shall not invalidate any such application.</w:t>
      </w:r>
    </w:p>
    <w:p>
      <w:pPr>
        <w:spacing w:after="0" w:line="134" w:lineRule="exact"/>
        <w:rPr>
          <w:rFonts w:ascii="Arial" w:cs="Arial" w:eastAsia="Arial" w:hAnsi="Arial"/>
          <w:sz w:val="16"/>
          <w:szCs w:val="16"/>
          <w:color w:val="auto"/>
        </w:rPr>
      </w:pPr>
    </w:p>
    <w:p>
      <w:pPr>
        <w:jc w:val="both"/>
        <w:ind w:firstLine="563"/>
        <w:spacing w:after="0" w:line="228" w:lineRule="auto"/>
        <w:tabs>
          <w:tab w:leader="none" w:pos="1134" w:val="left"/>
        </w:tabs>
        <w:numPr>
          <w:ilvl w:val="0"/>
          <w:numId w:val="173"/>
        </w:numPr>
        <w:rPr>
          <w:rFonts w:ascii="Arial" w:cs="Arial" w:eastAsia="Arial" w:hAnsi="Arial"/>
          <w:sz w:val="16"/>
          <w:szCs w:val="16"/>
          <w:color w:val="auto"/>
        </w:rPr>
      </w:pPr>
      <w:r>
        <w:rPr>
          <w:rFonts w:ascii="Arial" w:cs="Arial" w:eastAsia="Arial" w:hAnsi="Arial"/>
          <w:sz w:val="16"/>
          <w:szCs w:val="16"/>
          <w:i w:val="1"/>
          <w:iCs w:val="1"/>
          <w:color w:val="auto"/>
        </w:rPr>
        <w:t>Designation of Additional Issuing Banks</w:t>
      </w:r>
      <w:r>
        <w:rPr>
          <w:rFonts w:ascii="Arial" w:cs="Arial" w:eastAsia="Arial" w:hAnsi="Arial"/>
          <w:sz w:val="16"/>
          <w:szCs w:val="16"/>
          <w:color w:val="auto"/>
        </w:rPr>
        <w:t>. The Borrower may, at any time and from time to time, designate as additional Issuing Banks one or</w:t>
      </w:r>
      <w:r>
        <w:rPr>
          <w:rFonts w:ascii="Arial" w:cs="Arial" w:eastAsia="Arial" w:hAnsi="Arial"/>
          <w:sz w:val="16"/>
          <w:szCs w:val="16"/>
          <w:i w:val="1"/>
          <w:iCs w:val="1"/>
          <w:color w:val="auto"/>
        </w:rPr>
        <w:t xml:space="preserve"> </w:t>
      </w:r>
      <w:r>
        <w:rPr>
          <w:rFonts w:ascii="Arial" w:cs="Arial" w:eastAsia="Arial" w:hAnsi="Arial"/>
          <w:sz w:val="16"/>
          <w:szCs w:val="16"/>
          <w:color w:val="auto"/>
        </w:rPr>
        <w:t>more Revolving Lenders that agree, in their sole discretion, to serve in such capacity as provided below. The acceptance by a Revolving Lender of an appointment as an Issuing Bank hereunder shall be evidenced by an agreement, which shall be in form and substance reasonably satisfactory to the Administrative Agent and the Borrower, executed by the Borrower, the Administrative Agent and such designated Revolving Lender and, from and after the effective date of such agreement, (i) such Revolving Lender shall have all the rights and obligations of an Issuing Bank under this Agreement and (ii) references herein to the term “Issuing Bank” shall be deemed to include such Revolving Lender in its capacity as an issuer of Letters of Credit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110</w:t>
      </w:r>
    </w:p>
    <w:p>
      <w:pPr>
        <w:sectPr>
          <w:pgSz w:w="11900" w:h="16838" w:orient="portrait"/>
          <w:cols w:equalWidth="0" w:num="1">
            <w:col w:w="11260"/>
          </w:cols>
          <w:pgMar w:left="320" w:top="1440" w:right="319" w:bottom="1440" w:gutter="0" w:footer="0" w:header="0"/>
        </w:sectPr>
      </w:pPr>
    </w:p>
    <w:bookmarkStart w:id="284" w:name="page285"/>
    <w:bookmarkEnd w:id="284"/>
    <w:p>
      <w:pPr>
        <w:spacing w:after="0" w:line="390" w:lineRule="exact"/>
        <w:rPr>
          <w:sz w:val="20"/>
          <w:szCs w:val="20"/>
          <w:color w:val="auto"/>
        </w:rPr>
      </w:pPr>
    </w:p>
    <w:p>
      <w:pPr>
        <w:jc w:val="both"/>
        <w:ind w:firstLine="563"/>
        <w:spacing w:after="0" w:line="211" w:lineRule="auto"/>
        <w:tabs>
          <w:tab w:leader="none" w:pos="1134" w:val="left"/>
        </w:tabs>
        <w:numPr>
          <w:ilvl w:val="0"/>
          <w:numId w:val="174"/>
        </w:numPr>
        <w:rPr>
          <w:rFonts w:ascii="Arial" w:cs="Arial" w:eastAsia="Arial" w:hAnsi="Arial"/>
          <w:sz w:val="17"/>
          <w:szCs w:val="17"/>
          <w:color w:val="auto"/>
        </w:rPr>
      </w:pPr>
      <w:r>
        <w:rPr>
          <w:rFonts w:ascii="Arial" w:cs="Arial" w:eastAsia="Arial" w:hAnsi="Arial"/>
          <w:sz w:val="17"/>
          <w:szCs w:val="17"/>
          <w:i w:val="1"/>
          <w:iCs w:val="1"/>
          <w:color w:val="auto"/>
        </w:rPr>
        <w:t>Termination of an Issuing Bank</w:t>
      </w:r>
      <w:r>
        <w:rPr>
          <w:rFonts w:ascii="Arial" w:cs="Arial" w:eastAsia="Arial" w:hAnsi="Arial"/>
          <w:sz w:val="17"/>
          <w:szCs w:val="17"/>
          <w:color w:val="auto"/>
        </w:rPr>
        <w:t>. The Borrower may terminate the appointment of any Issuing Bank as an “Issuing Bank” hereunder by providing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 written notice thereof to such Issuing Bank, with a copy to the Administrative Agent. Any such termination shall become effective upon the earlier of (i) such Issuing Bank’s acknowledging receipt of such notice and (ii) the fifth Business Day following the date of delivery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such termination shall become effective unless and until the LC Exposure attributable to Letters of Credit issued by such Issuing Bank (or its Affiliates) shall have been reduced to zero. At the time any such termination shall become effective, the Borrower shall pay all unpaid fees accrued for the account of the terminated Issuing Bank pursuant to Section 2.10(c). Notwithstanding the effectiveness of any such termination, the terminated Issuing Bank shall remain a party hereto and shall continue to have all the rights of an Issuing Bank under this Agreement with respect to Letters of Credit issued by it prior to such termination, but shall not issue any additional Letters of Credit.</w:t>
      </w:r>
    </w:p>
    <w:p>
      <w:pPr>
        <w:spacing w:after="0" w:line="140" w:lineRule="exact"/>
        <w:rPr>
          <w:rFonts w:ascii="Arial" w:cs="Arial" w:eastAsia="Arial" w:hAnsi="Arial"/>
          <w:sz w:val="17"/>
          <w:szCs w:val="17"/>
          <w:color w:val="auto"/>
        </w:rPr>
      </w:pPr>
    </w:p>
    <w:p>
      <w:pPr>
        <w:jc w:val="both"/>
        <w:ind w:right="20" w:firstLine="563"/>
        <w:spacing w:after="0" w:line="216" w:lineRule="auto"/>
        <w:tabs>
          <w:tab w:leader="none" w:pos="1126" w:val="left"/>
        </w:tabs>
        <w:numPr>
          <w:ilvl w:val="0"/>
          <w:numId w:val="174"/>
        </w:numPr>
        <w:rPr>
          <w:rFonts w:ascii="Arial" w:cs="Arial" w:eastAsia="Arial" w:hAnsi="Arial"/>
          <w:sz w:val="17"/>
          <w:szCs w:val="17"/>
          <w:color w:val="auto"/>
        </w:rPr>
      </w:pPr>
      <w:r>
        <w:rPr>
          <w:rFonts w:ascii="Arial" w:cs="Arial" w:eastAsia="Arial" w:hAnsi="Arial"/>
          <w:sz w:val="17"/>
          <w:szCs w:val="17"/>
          <w:i w:val="1"/>
          <w:iCs w:val="1"/>
          <w:color w:val="auto"/>
        </w:rPr>
        <w:t xml:space="preserve">Resignation of the Issuing Banks. </w:t>
      </w:r>
      <w:r>
        <w:rPr>
          <w:rFonts w:ascii="Arial" w:cs="Arial" w:eastAsia="Arial" w:hAnsi="Arial"/>
          <w:sz w:val="17"/>
          <w:szCs w:val="17"/>
          <w:color w:val="auto"/>
        </w:rPr>
        <w:t>Any Issuing Bank may resign at any time by giving 30 days’ prior notice to the Administrative Agent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Borrower. At the time any such resignation shall become effective, the Borrower shall pay all unpaid fees accrued for the account of the terminated Issuing Bank pursuant to Section 2.10(c). Notwithstanding the effectiveness of any such resignation, the retiring Issuing Bank shall remain a party hereto and shall continue to have all the rights of an Issuing Bank under this Agreement with respect to Letters of Credit issued by it prior to such resignation, but shall not be required to issue additional Letters of Credit or to extend, reinstate, or increase any existing Letter of Credit.</w:t>
      </w:r>
    </w:p>
    <w:p>
      <w:pPr>
        <w:spacing w:after="0" w:line="138" w:lineRule="exact"/>
        <w:rPr>
          <w:rFonts w:ascii="Arial" w:cs="Arial" w:eastAsia="Arial" w:hAnsi="Arial"/>
          <w:sz w:val="17"/>
          <w:szCs w:val="17"/>
          <w:color w:val="auto"/>
        </w:rPr>
      </w:pPr>
    </w:p>
    <w:p>
      <w:pPr>
        <w:jc w:val="both"/>
        <w:ind w:firstLine="563"/>
        <w:spacing w:after="0" w:line="223" w:lineRule="auto"/>
        <w:tabs>
          <w:tab w:leader="none" w:pos="1134" w:val="left"/>
        </w:tabs>
        <w:numPr>
          <w:ilvl w:val="0"/>
          <w:numId w:val="174"/>
        </w:numPr>
        <w:rPr>
          <w:rFonts w:ascii="Arial" w:cs="Arial" w:eastAsia="Arial" w:hAnsi="Arial"/>
          <w:sz w:val="16"/>
          <w:szCs w:val="16"/>
          <w:color w:val="auto"/>
        </w:rPr>
      </w:pPr>
      <w:r>
        <w:rPr>
          <w:rFonts w:ascii="Arial" w:cs="Arial" w:eastAsia="Arial" w:hAnsi="Arial"/>
          <w:sz w:val="16"/>
          <w:szCs w:val="16"/>
          <w:i w:val="1"/>
          <w:iCs w:val="1"/>
          <w:color w:val="auto"/>
        </w:rPr>
        <w:t>Issuing Bank Reports to the Administrative Agent</w:t>
      </w:r>
      <w:r>
        <w:rPr>
          <w:rFonts w:ascii="Arial" w:cs="Arial" w:eastAsia="Arial" w:hAnsi="Arial"/>
          <w:sz w:val="16"/>
          <w:szCs w:val="16"/>
          <w:color w:val="auto"/>
        </w:rPr>
        <w:t>. Unless otherwise agreed by the Administrative Agent, each Issuing Bank shall, in addition to</w:t>
      </w:r>
      <w:r>
        <w:rPr>
          <w:rFonts w:ascii="Arial" w:cs="Arial" w:eastAsia="Arial" w:hAnsi="Arial"/>
          <w:sz w:val="16"/>
          <w:szCs w:val="16"/>
          <w:i w:val="1"/>
          <w:iCs w:val="1"/>
          <w:color w:val="auto"/>
        </w:rPr>
        <w:t xml:space="preserve"> </w:t>
      </w:r>
      <w:r>
        <w:rPr>
          <w:rFonts w:ascii="Arial" w:cs="Arial" w:eastAsia="Arial" w:hAnsi="Arial"/>
          <w:sz w:val="16"/>
          <w:szCs w:val="16"/>
          <w:color w:val="auto"/>
        </w:rPr>
        <w:t>its notification obligations set forth elsewhere in this Section, report in writing to the Administrative Agent (i) periodic activity (for such period or recurrent periods as shall be requested by the Administrative Agent) in respect of Letters of Credit issued by such Issuing Bank, including all issuances, extensions, amendments and renewals, all expirations and cancellations and all disbursements and reimbursements, (ii) within five Business Days following the time that such Issuing Bank issues, amends, renews or extends any Letter of Credit, the date of such issuance, amendment, renewal or extension, and the currency and amount of the Letters of Credit issued, amended, renewed or extended by it and outstanding after giving effect to such issuance, amendment, renewal or extension (and whether the amounts thereof shall have changed), (iii) on each Business Day on which such Issuing Bank makes any LC Disbursement, the date and amount of such LC Disbursement, (iv) on any Business Day on which the Borrower fails to reimburse an LC Disbursement required to be reimbursed to such Issuing Bank on such day, the date of such failure and amount of such LC Disbursement and (v) on any other Business Day, such other information as the Administrative Agent shall reasonably request as to the Letters of Credit issued by such Issuing Bank.</w:t>
      </w:r>
    </w:p>
    <w:p>
      <w:pPr>
        <w:spacing w:after="0" w:line="137" w:lineRule="exact"/>
        <w:rPr>
          <w:sz w:val="20"/>
          <w:szCs w:val="20"/>
          <w:color w:val="auto"/>
        </w:rPr>
      </w:pPr>
    </w:p>
    <w:p>
      <w:pPr>
        <w:ind w:left="560"/>
        <w:spacing w:after="0"/>
        <w:tabs>
          <w:tab w:leader="none" w:pos="1680" w:val="left"/>
        </w:tabs>
        <w:rPr>
          <w:sz w:val="20"/>
          <w:szCs w:val="20"/>
          <w:color w:val="auto"/>
        </w:rPr>
      </w:pPr>
      <w:r>
        <w:rPr>
          <w:rFonts w:ascii="Arial" w:cs="Arial" w:eastAsia="Arial" w:hAnsi="Arial"/>
          <w:sz w:val="17"/>
          <w:szCs w:val="17"/>
          <w:color w:val="auto"/>
        </w:rPr>
        <w:t>Section 1.23.</w:t>
      </w:r>
      <w:r>
        <w:rPr>
          <w:sz w:val="20"/>
          <w:szCs w:val="20"/>
          <w:color w:val="auto"/>
        </w:rPr>
        <w:tab/>
      </w:r>
      <w:r>
        <w:rPr>
          <w:rFonts w:ascii="Arial" w:cs="Arial" w:eastAsia="Arial" w:hAnsi="Arial"/>
          <w:sz w:val="15"/>
          <w:szCs w:val="15"/>
          <w:i w:val="1"/>
          <w:iCs w:val="1"/>
          <w:color w:val="auto"/>
        </w:rPr>
        <w:t>Swingline Loans</w:t>
      </w:r>
      <w:r>
        <w:rPr>
          <w:rFonts w:ascii="Arial" w:cs="Arial" w:eastAsia="Arial" w:hAnsi="Arial"/>
          <w:sz w:val="15"/>
          <w:szCs w:val="15"/>
          <w:color w:val="auto"/>
        </w:rPr>
        <w:t>.</w:t>
      </w:r>
    </w:p>
    <w:p>
      <w:pPr>
        <w:spacing w:after="0" w:line="160" w:lineRule="exact"/>
        <w:rPr>
          <w:sz w:val="20"/>
          <w:szCs w:val="20"/>
          <w:color w:val="auto"/>
        </w:rPr>
      </w:pPr>
    </w:p>
    <w:p>
      <w:pPr>
        <w:jc w:val="both"/>
        <w:ind w:firstLine="563"/>
        <w:spacing w:after="0" w:line="214" w:lineRule="auto"/>
        <w:tabs>
          <w:tab w:leader="none" w:pos="1128" w:val="left"/>
        </w:tabs>
        <w:numPr>
          <w:ilvl w:val="0"/>
          <w:numId w:val="175"/>
        </w:numPr>
        <w:rPr>
          <w:rFonts w:ascii="Arial" w:cs="Arial" w:eastAsia="Arial" w:hAnsi="Arial"/>
          <w:sz w:val="17"/>
          <w:szCs w:val="17"/>
          <w:color w:val="auto"/>
        </w:rPr>
      </w:pPr>
      <w:r>
        <w:rPr>
          <w:rFonts w:ascii="Arial" w:cs="Arial" w:eastAsia="Arial" w:hAnsi="Arial"/>
          <w:sz w:val="17"/>
          <w:szCs w:val="17"/>
          <w:i w:val="1"/>
          <w:iCs w:val="1"/>
          <w:color w:val="auto"/>
        </w:rPr>
        <w:t>Swingline Loans</w:t>
      </w:r>
      <w:r>
        <w:rPr>
          <w:rFonts w:ascii="Arial" w:cs="Arial" w:eastAsia="Arial" w:hAnsi="Arial"/>
          <w:sz w:val="17"/>
          <w:szCs w:val="17"/>
          <w:color w:val="auto"/>
        </w:rPr>
        <w:t>. Subject to the terms and conditions set forth herein, the Swingline Lender, in reliance on the agreements of the Revolving</w:t>
      </w:r>
      <w:r>
        <w:rPr>
          <w:rFonts w:ascii="Arial" w:cs="Arial" w:eastAsia="Arial" w:hAnsi="Arial"/>
          <w:sz w:val="17"/>
          <w:szCs w:val="17"/>
          <w:i w:val="1"/>
          <w:iCs w:val="1"/>
          <w:color w:val="auto"/>
        </w:rPr>
        <w:t xml:space="preserve"> </w:t>
      </w:r>
      <w:r>
        <w:rPr>
          <w:rFonts w:ascii="Arial" w:cs="Arial" w:eastAsia="Arial" w:hAnsi="Arial"/>
          <w:sz w:val="17"/>
          <w:szCs w:val="17"/>
          <w:color w:val="auto"/>
        </w:rPr>
        <w:t>Lenders set forth in this Section, agrees to make Swingline Loans denominated in dollars to the Borrower from time to time on any Business Day during the Revolving Availability Period, in an aggregate principal amount at any time outstanding that will not result in (i) unless otherwise agreed by the Swingline Lender in its sole discretion from time to time, the aggregate principal amount of outstanding Swingline Loans, when aggregated with the aggregate principal amount of Revolving Loans made by the Lender acting as Swingline Lender, exceeding such Lender’s Revolving Commitment, (ii) the sum of the total Revolving Exposures exceeding the Total Revolving Commitment or (iii) the aggregate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111</w:t>
      </w:r>
    </w:p>
    <w:p>
      <w:pPr>
        <w:sectPr>
          <w:pgSz w:w="11900" w:h="16838" w:orient="portrait"/>
          <w:cols w:equalWidth="0" w:num="1">
            <w:col w:w="11260"/>
          </w:cols>
          <w:pgMar w:left="320" w:top="1440" w:right="319" w:bottom="1440" w:gutter="0" w:footer="0" w:header="0"/>
        </w:sectPr>
      </w:pPr>
    </w:p>
    <w:bookmarkStart w:id="285" w:name="page286"/>
    <w:bookmarkEnd w:id="285"/>
    <w:p>
      <w:pPr>
        <w:spacing w:after="0" w:line="390" w:lineRule="exact"/>
        <w:rPr>
          <w:sz w:val="20"/>
          <w:szCs w:val="20"/>
          <w:color w:val="auto"/>
        </w:rPr>
      </w:pPr>
    </w:p>
    <w:p>
      <w:pPr>
        <w:jc w:val="both"/>
        <w:ind w:right="20"/>
        <w:spacing w:after="0" w:line="225" w:lineRule="auto"/>
        <w:rPr>
          <w:sz w:val="20"/>
          <w:szCs w:val="20"/>
          <w:color w:val="auto"/>
        </w:rPr>
      </w:pPr>
      <w:r>
        <w:rPr>
          <w:rFonts w:ascii="Arial" w:cs="Arial" w:eastAsia="Arial" w:hAnsi="Arial"/>
          <w:sz w:val="17"/>
          <w:szCs w:val="17"/>
          <w:color w:val="auto"/>
        </w:rPr>
        <w:t xml:space="preserve">principal amount of outstanding Swingline Loans of the Swingline Lender exceeding its Swingline Commitment;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the Swingline Lender shall not be required to make a Swingline Loan to refinance an outstanding Swingline Loan. Within the foregoing limits and subject to the terms and conditions set forth herein, the Borrower may borrow, prepay and reborrow Swingline Loans.</w:t>
      </w:r>
    </w:p>
    <w:p>
      <w:pPr>
        <w:spacing w:after="0" w:line="137" w:lineRule="exact"/>
        <w:rPr>
          <w:sz w:val="20"/>
          <w:szCs w:val="20"/>
          <w:color w:val="auto"/>
        </w:rPr>
      </w:pPr>
    </w:p>
    <w:p>
      <w:pPr>
        <w:jc w:val="both"/>
        <w:ind w:firstLine="563"/>
        <w:spacing w:after="0" w:line="221" w:lineRule="auto"/>
        <w:tabs>
          <w:tab w:leader="none" w:pos="1126" w:val="left"/>
        </w:tabs>
        <w:numPr>
          <w:ilvl w:val="0"/>
          <w:numId w:val="176"/>
        </w:numPr>
        <w:rPr>
          <w:rFonts w:ascii="Arial" w:cs="Arial" w:eastAsia="Arial" w:hAnsi="Arial"/>
          <w:sz w:val="16"/>
          <w:szCs w:val="16"/>
          <w:color w:val="auto"/>
        </w:rPr>
      </w:pPr>
      <w:r>
        <w:rPr>
          <w:rFonts w:ascii="Arial" w:cs="Arial" w:eastAsia="Arial" w:hAnsi="Arial"/>
          <w:sz w:val="16"/>
          <w:szCs w:val="16"/>
          <w:i w:val="1"/>
          <w:iCs w:val="1"/>
          <w:color w:val="auto"/>
        </w:rPr>
        <w:t>Borrowing Procedures for Swingline Loans</w:t>
      </w:r>
      <w:r>
        <w:rPr>
          <w:rFonts w:ascii="Arial" w:cs="Arial" w:eastAsia="Arial" w:hAnsi="Arial"/>
          <w:sz w:val="16"/>
          <w:szCs w:val="16"/>
          <w:color w:val="auto"/>
        </w:rPr>
        <w:t>. Each Borrowing of Swingline Loans shall be made upon the Borrower’s notice to the Swingline</w:t>
      </w:r>
      <w:r>
        <w:rPr>
          <w:rFonts w:ascii="Arial" w:cs="Arial" w:eastAsia="Arial" w:hAnsi="Arial"/>
          <w:sz w:val="16"/>
          <w:szCs w:val="16"/>
          <w:i w:val="1"/>
          <w:iCs w:val="1"/>
          <w:color w:val="auto"/>
        </w:rPr>
        <w:t xml:space="preserve"> </w:t>
      </w:r>
      <w:r>
        <w:rPr>
          <w:rFonts w:ascii="Arial" w:cs="Arial" w:eastAsia="Arial" w:hAnsi="Arial"/>
          <w:sz w:val="16"/>
          <w:szCs w:val="16"/>
          <w:color w:val="auto"/>
        </w:rPr>
        <w:t>Lender and the Administrative Agent. Each such notice shall be given by telephone to the Swingline Lender and the Administrative Agent not later than 2:00 p.m., New York City time, on the date of the requested Borrowing of Swingline Loan, and such notice shall specify (i) the amount to be borrowed, which shall be in a minimum of $100,000 or a larger multiple of $100,000, (ii) the date of such Borrowing of Swingline Loans (which shall be a Business Day), (iii) (other than in the case of Swingline Loans requested to finance the reimbursement of an LC Disbursement, in which case Section 2.03(vi) shall apply) if the funds are not to be credited to a general deposit account of the Borrower maintained with the Swingline Lender because the Borrower is unable to maintain a general deposit account with the Swingline Lender under applicable Requirements of Law, the location and number of the Borrower’s account to which funds are to be disbursed, which shall comply with Section 2.04 and (iv) shall otherwise contain the information required for Borrowing Requests set forth in Section 2.03. Each such telephonic Borrowing Request shall be irrevocable and shall be confirmed promptly by hand delivery or facsimile to the Administrative Agent and the Swingline Lender of a written Borrowing Request signed by the Borrower. Subject to the terms and conditions set forth herein, such Swingline Lender shall make each Swingline Loan available to the Borrower by credit to the Borrower’s account with such Swingline Lender or by wire transfer in accordance with instructions provided to (and reasonably acceptable to) such Swingline Lender (or, in the case of a Swingline Loan made to finance the reimbursement of an LC Disbursement as provided in Section 2.22(d), by remittance to the respective Issuing Bank), not later than 3:00 p.m., New York City time, on the requested date of such Swingline Loan.</w:t>
      </w:r>
    </w:p>
    <w:p>
      <w:pPr>
        <w:spacing w:after="0" w:line="137" w:lineRule="exact"/>
        <w:rPr>
          <w:rFonts w:ascii="Arial" w:cs="Arial" w:eastAsia="Arial" w:hAnsi="Arial"/>
          <w:sz w:val="16"/>
          <w:szCs w:val="16"/>
          <w:color w:val="auto"/>
        </w:rPr>
      </w:pPr>
    </w:p>
    <w:p>
      <w:pPr>
        <w:ind w:left="1120" w:hanging="557"/>
        <w:spacing w:after="0"/>
        <w:tabs>
          <w:tab w:leader="none" w:pos="1120" w:val="left"/>
        </w:tabs>
        <w:numPr>
          <w:ilvl w:val="0"/>
          <w:numId w:val="176"/>
        </w:numPr>
        <w:rPr>
          <w:rFonts w:ascii="Arial" w:cs="Arial" w:eastAsia="Arial" w:hAnsi="Arial"/>
          <w:sz w:val="17"/>
          <w:szCs w:val="17"/>
          <w:color w:val="auto"/>
        </w:rPr>
      </w:pPr>
      <w:r>
        <w:rPr>
          <w:rFonts w:ascii="Arial" w:cs="Arial" w:eastAsia="Arial" w:hAnsi="Arial"/>
          <w:sz w:val="17"/>
          <w:szCs w:val="17"/>
          <w:i w:val="1"/>
          <w:iCs w:val="1"/>
          <w:color w:val="auto"/>
        </w:rPr>
        <w:t>Participations by Lenders in Swingline Loans</w:t>
      </w:r>
      <w:r>
        <w:rPr>
          <w:rFonts w:ascii="Arial" w:cs="Arial" w:eastAsia="Arial" w:hAnsi="Arial"/>
          <w:sz w:val="17"/>
          <w:szCs w:val="17"/>
          <w:color w:val="auto"/>
        </w:rPr>
        <w:t>.</w:t>
      </w:r>
    </w:p>
    <w:p>
      <w:pPr>
        <w:spacing w:after="0" w:line="159" w:lineRule="exact"/>
        <w:rPr>
          <w:rFonts w:ascii="Arial" w:cs="Arial" w:eastAsia="Arial" w:hAnsi="Arial"/>
          <w:sz w:val="17"/>
          <w:szCs w:val="17"/>
          <w:color w:val="auto"/>
        </w:rPr>
      </w:pPr>
    </w:p>
    <w:p>
      <w:pPr>
        <w:jc w:val="both"/>
        <w:ind w:left="340" w:firstLine="791"/>
        <w:spacing w:after="0" w:line="222" w:lineRule="auto"/>
        <w:tabs>
          <w:tab w:leader="none" w:pos="1702" w:val="left"/>
        </w:tabs>
        <w:numPr>
          <w:ilvl w:val="1"/>
          <w:numId w:val="176"/>
        </w:numPr>
        <w:rPr>
          <w:rFonts w:ascii="Arial" w:cs="Arial" w:eastAsia="Arial" w:hAnsi="Arial"/>
          <w:sz w:val="16"/>
          <w:szCs w:val="16"/>
          <w:color w:val="auto"/>
        </w:rPr>
      </w:pPr>
      <w:r>
        <w:rPr>
          <w:rFonts w:ascii="Arial" w:cs="Arial" w:eastAsia="Arial" w:hAnsi="Arial"/>
          <w:sz w:val="16"/>
          <w:szCs w:val="16"/>
          <w:color w:val="auto"/>
        </w:rPr>
        <w:t xml:space="preserve">Immediately upon the making of a Swingline Loan by a Swingline Lender, and without any further action on the part of such Swingline Lender or the Revolving Lenders, such Swingline Lender hereby grants to each Revolving Lender, and each Revolving Lender hereby acquires from such Swingline Lender, a participation in such Swingline Loan equal to such Revolving Lender’s Applicable Percentage of the amount of such Swingline Loan. Each Revolving Lender hereby absolutely, unconditionally and irrevocably agrees to pay to the Administrative Agent, for account of the Swingline Lender, such Revolving Lender’s Applicable Percentage of such Swingline Loan or Loans. Each Revolving Lender acknowledges and agrees that its obligation to acquire and fund participations in Swingline Loans pursuant to this paragraph is absolute, unconditional and irrevocable and shall not be affected by any circumstance whatsoever, including the occurrence and continuance of a Default or reduction or termination of the Revolving Commitments, and that each such payment shall be made without any offset, abatement, withholding or reduction whatsoever. Each Revolving Lender shall comply with its obligation under this paragraph by wire transfer of immediately available funds, in the same manner and timing as provided in Section 2.04 with respect to Loans made by such Revolving Lender (with references to 12:00 noon, New York City time, in such Section being deemed to be references to 3:00 p.m., New York City time) (and Section 2.04 shall apply, </w:t>
      </w:r>
      <w:r>
        <w:rPr>
          <w:rFonts w:ascii="Arial" w:cs="Arial" w:eastAsia="Arial" w:hAnsi="Arial"/>
          <w:sz w:val="16"/>
          <w:szCs w:val="16"/>
          <w:i w:val="1"/>
          <w:iCs w:val="1"/>
          <w:color w:val="auto"/>
        </w:rPr>
        <w:t>mutatis mutandis</w:t>
      </w:r>
      <w:r>
        <w:rPr>
          <w:rFonts w:ascii="Arial" w:cs="Arial" w:eastAsia="Arial" w:hAnsi="Arial"/>
          <w:sz w:val="16"/>
          <w:szCs w:val="16"/>
          <w:color w:val="auto"/>
        </w:rPr>
        <w:t>, to the payment obligations of the Revolving Lenders pursuant to this paragraph), and the Administrative Agent shall promptly remit to the Swingline Lender the amounts so received by it from the Revolving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112</w:t>
      </w:r>
    </w:p>
    <w:p>
      <w:pPr>
        <w:sectPr>
          <w:pgSz w:w="11900" w:h="16838" w:orient="portrait"/>
          <w:cols w:equalWidth="0" w:num="1">
            <w:col w:w="11260"/>
          </w:cols>
          <w:pgMar w:left="320" w:top="1440" w:right="319" w:bottom="1440" w:gutter="0" w:footer="0" w:header="0"/>
        </w:sectPr>
      </w:pPr>
    </w:p>
    <w:bookmarkStart w:id="286" w:name="page287"/>
    <w:bookmarkEnd w:id="286"/>
    <w:p>
      <w:pPr>
        <w:spacing w:after="0" w:line="390" w:lineRule="exact"/>
        <w:rPr>
          <w:sz w:val="20"/>
          <w:szCs w:val="20"/>
          <w:color w:val="auto"/>
        </w:rPr>
      </w:pPr>
    </w:p>
    <w:p>
      <w:pPr>
        <w:jc w:val="both"/>
        <w:ind w:left="340" w:firstLine="791"/>
        <w:spacing w:after="0" w:line="210" w:lineRule="auto"/>
        <w:tabs>
          <w:tab w:leader="none" w:pos="1702" w:val="left"/>
        </w:tabs>
        <w:numPr>
          <w:ilvl w:val="1"/>
          <w:numId w:val="177"/>
        </w:numPr>
        <w:rPr>
          <w:rFonts w:ascii="Arial" w:cs="Arial" w:eastAsia="Arial" w:hAnsi="Arial"/>
          <w:sz w:val="17"/>
          <w:szCs w:val="17"/>
          <w:color w:val="auto"/>
        </w:rPr>
      </w:pPr>
      <w:r>
        <w:rPr>
          <w:rFonts w:ascii="Arial" w:cs="Arial" w:eastAsia="Arial" w:hAnsi="Arial"/>
          <w:sz w:val="17"/>
          <w:szCs w:val="17"/>
          <w:color w:val="auto"/>
        </w:rPr>
        <w:t xml:space="preserve">The Administrative Agent shall notify the Borrower of any participations in any Swingline Loan funded pursuant to the preceding paragraph, and thereafter payments in respect of such Swingline Loan shall be made to the Administrative Agent and not to the applicable Swingline Lender. Any amounts received by a Swingline Lender from the Borrower (or other party on behalf of the Borrower) in respect of a Swingline Loan made by such Swingline Lender after receipt by such Swingline Lender of the proceeds of a sale of participations therein shall be promptly remitted to the Administrative Agent. Any such amounts received by the Administrative Agent shall be promptly remitted by the Administrative Agent to the Lenders that shall have made their payments pursuant to the preceding paragraph and to such Swingline Lender, as their interests may appear,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payment so remitted shall be repaid to such Swingline Lender or to the Administrative Agent, as applicable, if and to the extent such payment is required to be refunded to the Borrower for any reason. The purchase of participations in a Swingline Loan pursuant to this paragraph shall not relieve the Borrower of any default in the payment thereof.</w:t>
      </w:r>
    </w:p>
    <w:p>
      <w:pPr>
        <w:spacing w:after="0" w:line="141" w:lineRule="exact"/>
        <w:rPr>
          <w:rFonts w:ascii="Arial" w:cs="Arial" w:eastAsia="Arial" w:hAnsi="Arial"/>
          <w:sz w:val="17"/>
          <w:szCs w:val="17"/>
          <w:color w:val="auto"/>
        </w:rPr>
      </w:pPr>
    </w:p>
    <w:p>
      <w:pPr>
        <w:jc w:val="both"/>
        <w:ind w:left="340" w:firstLine="791"/>
        <w:spacing w:after="0" w:line="238" w:lineRule="auto"/>
        <w:tabs>
          <w:tab w:leader="none" w:pos="1703" w:val="left"/>
        </w:tabs>
        <w:numPr>
          <w:ilvl w:val="1"/>
          <w:numId w:val="177"/>
        </w:numPr>
        <w:rPr>
          <w:rFonts w:ascii="Arial" w:cs="Arial" w:eastAsia="Arial" w:hAnsi="Arial"/>
          <w:sz w:val="15"/>
          <w:szCs w:val="15"/>
          <w:color w:val="auto"/>
        </w:rPr>
      </w:pPr>
      <w:r>
        <w:rPr>
          <w:rFonts w:ascii="Arial" w:cs="Arial" w:eastAsia="Arial" w:hAnsi="Arial"/>
          <w:sz w:val="15"/>
          <w:szCs w:val="15"/>
          <w:color w:val="auto"/>
        </w:rPr>
        <w:t>If any Revolving Lender fails to make available to the Administrative Agent for the account of the Swingline Lender any amount required to be paid by such Revolving Lender pursuant to the foregoing provisions of this Section 2.23 (including by the time referred to in Section 2.23(c) (i)), the Swingline Lender shall be entitled to recover from such Revolving Lender (acting through the Administrative Agent), on demand, an amount equal to the product of (A) such amount, times (B) the daily average Federal Funds Effective Rate during the period from and including the date such payment is required to the date on which such payment is immediately available to the Swingline Lender, times (C) a fraction the numerator of which is the number of days that elapse during such period (including the first day but excluding the last day) and the denominator of which is 360. If any such amount required to be paid by any Revolving Lender pursuant to this Section 2.23 is not made available to the Swingline Lender by such Revolving Lender within three Business Days after the date such payment is due, the Swingline Lender shall be entitled to recover from such Revolving Lender, on demand, such amount with interest thereon calculated from such due date at the Applicable Rate to ABR Revolving Loans. A certificate of the Swingline Lender submitted to any Revolving Lender (through the Administrative Agent) with respect to any amounts owing under this clause (iii) shall be conclusive absent manifest error.</w:t>
      </w:r>
    </w:p>
    <w:p>
      <w:pPr>
        <w:spacing w:after="0" w:line="136" w:lineRule="exact"/>
        <w:rPr>
          <w:rFonts w:ascii="Arial" w:cs="Arial" w:eastAsia="Arial" w:hAnsi="Arial"/>
          <w:sz w:val="15"/>
          <w:szCs w:val="15"/>
          <w:color w:val="auto"/>
        </w:rPr>
      </w:pPr>
    </w:p>
    <w:p>
      <w:pPr>
        <w:jc w:val="both"/>
        <w:ind w:firstLine="563"/>
        <w:spacing w:after="0" w:line="220" w:lineRule="auto"/>
        <w:tabs>
          <w:tab w:leader="none" w:pos="1126" w:val="left"/>
        </w:tabs>
        <w:numPr>
          <w:ilvl w:val="0"/>
          <w:numId w:val="178"/>
        </w:numPr>
        <w:rPr>
          <w:rFonts w:ascii="Arial" w:cs="Arial" w:eastAsia="Arial" w:hAnsi="Arial"/>
          <w:sz w:val="17"/>
          <w:szCs w:val="17"/>
          <w:color w:val="auto"/>
        </w:rPr>
      </w:pPr>
      <w:r>
        <w:rPr>
          <w:rFonts w:ascii="Arial" w:cs="Arial" w:eastAsia="Arial" w:hAnsi="Arial"/>
          <w:sz w:val="17"/>
          <w:szCs w:val="17"/>
          <w:i w:val="1"/>
          <w:iCs w:val="1"/>
          <w:color w:val="auto"/>
        </w:rPr>
        <w:t>Resignation of Swingline Lender</w:t>
      </w:r>
      <w:r>
        <w:rPr>
          <w:rFonts w:ascii="Arial" w:cs="Arial" w:eastAsia="Arial" w:hAnsi="Arial"/>
          <w:sz w:val="17"/>
          <w:szCs w:val="17"/>
          <w:color w:val="auto"/>
        </w:rPr>
        <w:t>. Any Swingline Lender may resign at any time by giving 30 days’ prior notice to the Administrative Agent, the</w:t>
      </w:r>
      <w:r>
        <w:rPr>
          <w:rFonts w:ascii="Arial" w:cs="Arial" w:eastAsia="Arial" w:hAnsi="Arial"/>
          <w:sz w:val="17"/>
          <w:szCs w:val="17"/>
          <w:i w:val="1"/>
          <w:iCs w:val="1"/>
          <w:color w:val="auto"/>
        </w:rPr>
        <w:t xml:space="preserve"> </w:t>
      </w:r>
      <w:r>
        <w:rPr>
          <w:rFonts w:ascii="Arial" w:cs="Arial" w:eastAsia="Arial" w:hAnsi="Arial"/>
          <w:sz w:val="17"/>
          <w:szCs w:val="17"/>
          <w:color w:val="auto"/>
        </w:rPr>
        <w:t>Lenders and the Borrower. After the resignation of a Swingline Lender hereunder, the retiring Swingline Lender shall remain a party hereto and shall continue to have all the rights and obligations of a Swingline Lender under this Agreement and the other Loan Documents with respect to Swingline Loans made by it prior to such resignation, but shall not be required to make any additional Swingline Loans.</w:t>
      </w:r>
    </w:p>
    <w:p>
      <w:pPr>
        <w:spacing w:after="0" w:line="173" w:lineRule="exact"/>
        <w:rPr>
          <w:sz w:val="20"/>
          <w:szCs w:val="20"/>
          <w:color w:val="auto"/>
        </w:rPr>
      </w:pPr>
    </w:p>
    <w:p>
      <w:pPr>
        <w:jc w:val="center"/>
        <w:ind w:right="360"/>
        <w:spacing w:after="0"/>
        <w:rPr>
          <w:sz w:val="20"/>
          <w:szCs w:val="20"/>
          <w:color w:val="auto"/>
        </w:rPr>
      </w:pPr>
      <w:r>
        <w:rPr>
          <w:rFonts w:ascii="Arial" w:cs="Arial" w:eastAsia="Arial" w:hAnsi="Arial"/>
          <w:sz w:val="16"/>
          <w:szCs w:val="16"/>
          <w:color w:val="auto"/>
        </w:rPr>
        <w:t>ARTICLE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Representations and Warranties</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Each of Holdings and the Borrower represents and warrants to the Administrative Agent and each of the Lenders that:</w:t>
      </w:r>
    </w:p>
    <w:p>
      <w:pPr>
        <w:spacing w:after="0" w:line="160" w:lineRule="exact"/>
        <w:rPr>
          <w:sz w:val="20"/>
          <w:szCs w:val="20"/>
          <w:color w:val="auto"/>
        </w:rPr>
      </w:pPr>
    </w:p>
    <w:p>
      <w:pPr>
        <w:jc w:val="both"/>
        <w:ind w:right="20" w:firstLine="568"/>
        <w:spacing w:after="0" w:line="225" w:lineRule="auto"/>
        <w:rPr>
          <w:sz w:val="20"/>
          <w:szCs w:val="20"/>
          <w:color w:val="auto"/>
        </w:rPr>
      </w:pPr>
      <w:r>
        <w:rPr>
          <w:rFonts w:ascii="Arial" w:cs="Arial" w:eastAsia="Arial" w:hAnsi="Arial"/>
          <w:sz w:val="17"/>
          <w:szCs w:val="17"/>
          <w:color w:val="auto"/>
        </w:rPr>
        <w:t xml:space="preserve">Section 1.01. </w:t>
      </w:r>
      <w:r>
        <w:rPr>
          <w:rFonts w:ascii="Arial" w:cs="Arial" w:eastAsia="Arial" w:hAnsi="Arial"/>
          <w:sz w:val="17"/>
          <w:szCs w:val="17"/>
          <w:i w:val="1"/>
          <w:iCs w:val="1"/>
          <w:color w:val="auto"/>
        </w:rPr>
        <w:t>Organization; Powers.</w:t>
      </w:r>
      <w:r>
        <w:rPr>
          <w:rFonts w:ascii="Arial" w:cs="Arial" w:eastAsia="Arial" w:hAnsi="Arial"/>
          <w:sz w:val="17"/>
          <w:szCs w:val="17"/>
          <w:color w:val="auto"/>
        </w:rPr>
        <w:t xml:space="preserve"> Each of Holdings, the Borrower and the Restricted Subsidiaries is duly organized, validly existing and in good standing (to the extent such concept exists in the relevant jurisdictions) under the laws of the jurisdiction of its organization, has the corporate or other organizational power and authority to carry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113</w:t>
      </w:r>
    </w:p>
    <w:p>
      <w:pPr>
        <w:sectPr>
          <w:pgSz w:w="11900" w:h="16838" w:orient="portrait"/>
          <w:cols w:equalWidth="0" w:num="1">
            <w:col w:w="11260"/>
          </w:cols>
          <w:pgMar w:left="320" w:top="1440" w:right="319" w:bottom="1440" w:gutter="0" w:footer="0" w:header="0"/>
        </w:sectPr>
      </w:pPr>
    </w:p>
    <w:bookmarkStart w:id="287" w:name="page288"/>
    <w:bookmarkEnd w:id="287"/>
    <w:p>
      <w:pPr>
        <w:spacing w:after="0" w:line="390" w:lineRule="exact"/>
        <w:rPr>
          <w:sz w:val="20"/>
          <w:szCs w:val="20"/>
          <w:color w:val="auto"/>
        </w:rPr>
      </w:pPr>
    </w:p>
    <w:p>
      <w:pPr>
        <w:jc w:val="both"/>
        <w:ind w:right="20"/>
        <w:spacing w:after="0"/>
        <w:rPr>
          <w:sz w:val="20"/>
          <w:szCs w:val="20"/>
          <w:color w:val="auto"/>
        </w:rPr>
      </w:pPr>
      <w:r>
        <w:rPr>
          <w:rFonts w:ascii="Arial" w:cs="Arial" w:eastAsia="Arial" w:hAnsi="Arial"/>
          <w:sz w:val="16"/>
          <w:szCs w:val="16"/>
          <w:color w:val="auto"/>
        </w:rPr>
        <w:t>on its business as now conducted and as proposed to be conducted and to execute, deliver and perform its obligations under each Loan Document to which it is a party and to effect the Transactions and, except where the failure to do so, individually or in the aggregate, could not reasonably be expected to result in a Material Adverse Effect, is qualified to do business in, and is in good standing in, every jurisdiction where such qualification is required.</w:t>
      </w:r>
    </w:p>
    <w:p>
      <w:pPr>
        <w:spacing w:after="0" w:line="135" w:lineRule="exact"/>
        <w:rPr>
          <w:sz w:val="20"/>
          <w:szCs w:val="20"/>
          <w:color w:val="auto"/>
        </w:rPr>
      </w:pPr>
    </w:p>
    <w:p>
      <w:pPr>
        <w:jc w:val="both"/>
        <w:ind w:firstLine="568"/>
        <w:spacing w:after="0" w:line="228" w:lineRule="auto"/>
        <w:rPr>
          <w:sz w:val="20"/>
          <w:szCs w:val="20"/>
          <w:color w:val="auto"/>
        </w:rPr>
      </w:pPr>
      <w:r>
        <w:rPr>
          <w:rFonts w:ascii="Arial" w:cs="Arial" w:eastAsia="Arial" w:hAnsi="Arial"/>
          <w:sz w:val="16"/>
          <w:szCs w:val="16"/>
          <w:color w:val="auto"/>
        </w:rPr>
        <w:t xml:space="preserve">Section 1.02. </w:t>
      </w:r>
      <w:r>
        <w:rPr>
          <w:rFonts w:ascii="Arial" w:cs="Arial" w:eastAsia="Arial" w:hAnsi="Arial"/>
          <w:sz w:val="16"/>
          <w:szCs w:val="16"/>
          <w:i w:val="1"/>
          <w:iCs w:val="1"/>
          <w:color w:val="auto"/>
        </w:rPr>
        <w:t>Authorization; Enforceability.</w:t>
      </w:r>
      <w:r>
        <w:rPr>
          <w:rFonts w:ascii="Arial" w:cs="Arial" w:eastAsia="Arial" w:hAnsi="Arial"/>
          <w:sz w:val="16"/>
          <w:szCs w:val="16"/>
          <w:color w:val="auto"/>
        </w:rPr>
        <w:t xml:space="preserve"> The Transactions to be entered into by each Loan Party have been duly authorized by all necessary corporate or other action and, if required, action by the holders of such Loan Party’s Equity Interests. This Agreement has been duly executed and delivered by each of Holdings and the Borrower and constitutes, and each other Loan Document to which any Loan Party is to be a party, when executed and delivered by such Loan Party, will constitute, a legal, valid and binding obligation of Holdings, the Borrower or such Loan Party, as the case may be, enforceable against it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35" w:lineRule="exact"/>
        <w:rPr>
          <w:sz w:val="20"/>
          <w:szCs w:val="20"/>
          <w:color w:val="auto"/>
        </w:rPr>
      </w:pPr>
    </w:p>
    <w:p>
      <w:pPr>
        <w:jc w:val="both"/>
        <w:ind w:firstLine="568"/>
        <w:spacing w:after="0" w:line="223" w:lineRule="auto"/>
        <w:rPr>
          <w:sz w:val="20"/>
          <w:szCs w:val="20"/>
          <w:color w:val="auto"/>
        </w:rPr>
      </w:pPr>
      <w:r>
        <w:rPr>
          <w:rFonts w:ascii="Arial" w:cs="Arial" w:eastAsia="Arial" w:hAnsi="Arial"/>
          <w:sz w:val="16"/>
          <w:szCs w:val="16"/>
          <w:color w:val="auto"/>
        </w:rPr>
        <w:t xml:space="preserve">Section 1.03. </w:t>
      </w:r>
      <w:r>
        <w:rPr>
          <w:rFonts w:ascii="Arial" w:cs="Arial" w:eastAsia="Arial" w:hAnsi="Arial"/>
          <w:sz w:val="16"/>
          <w:szCs w:val="16"/>
          <w:i w:val="1"/>
          <w:iCs w:val="1"/>
          <w:color w:val="auto"/>
        </w:rPr>
        <w:t>Governmental Approvals; No Conflicts.</w:t>
      </w:r>
      <w:r>
        <w:rPr>
          <w:rFonts w:ascii="Arial" w:cs="Arial" w:eastAsia="Arial" w:hAnsi="Arial"/>
          <w:sz w:val="16"/>
          <w:szCs w:val="16"/>
          <w:color w:val="auto"/>
        </w:rPr>
        <w:t xml:space="preserve"> The Transactions (a) do not require any consent or approval of, registration or filing with, or any other action by, any Governmental Authority or Regulatory Supervising Organization, except such as have been obtained or made and are in full force and effect and except filings necessary to perfect Liens created under the Loan Documents, (b) will not violate (i) the Organizational Documents of, or (ii) any Requirements of Law applicable to, Holdings, the Borrower or any Restricted Subsidiary, (c) will not violate or result in a default under any indenture or other agreement or instrument binding upon Holdings, the Borrower or any Restricted Subsidiary or their respective assets, or give rise to a right thereunder to require any payment, repurchase or redemption to be made by Holdings, the Borrower or any Restricted Subsidiary, or give rise to a right of, or result in, termination, cancellation or acceleration of any obligation thereunder and (d) will not result in the creation or imposition of any Lien on any asset of Holdings, the Borrower or any Restricted Subsidiary, except Liens created under the Loan Documents, except (in the case of each of clauses (a), (b)(ii) and (c)) to the extent that the failure to obtain or make such consent, approval, registration, filing or action, or such violation, as the case may be, individually or in the aggregate, could not reasonably be expected to have a Material Adverse Effect.</w:t>
      </w:r>
    </w:p>
    <w:p>
      <w:pPr>
        <w:spacing w:after="0" w:line="137" w:lineRule="exact"/>
        <w:rPr>
          <w:sz w:val="20"/>
          <w:szCs w:val="20"/>
          <w:color w:val="auto"/>
        </w:rPr>
      </w:pPr>
    </w:p>
    <w:p>
      <w:pPr>
        <w:ind w:left="560"/>
        <w:spacing w:after="0"/>
        <w:tabs>
          <w:tab w:leader="none" w:pos="1680" w:val="left"/>
        </w:tabs>
        <w:rPr>
          <w:sz w:val="20"/>
          <w:szCs w:val="20"/>
          <w:color w:val="auto"/>
        </w:rPr>
      </w:pPr>
      <w:r>
        <w:rPr>
          <w:rFonts w:ascii="Arial" w:cs="Arial" w:eastAsia="Arial" w:hAnsi="Arial"/>
          <w:sz w:val="17"/>
          <w:szCs w:val="17"/>
          <w:color w:val="auto"/>
        </w:rPr>
        <w:t>Section 1.04.</w:t>
      </w:r>
      <w:r>
        <w:rPr>
          <w:sz w:val="20"/>
          <w:szCs w:val="20"/>
          <w:color w:val="auto"/>
        </w:rPr>
        <w:tab/>
      </w:r>
      <w:r>
        <w:rPr>
          <w:rFonts w:ascii="Arial" w:cs="Arial" w:eastAsia="Arial" w:hAnsi="Arial"/>
          <w:sz w:val="16"/>
          <w:szCs w:val="16"/>
          <w:i w:val="1"/>
          <w:iCs w:val="1"/>
          <w:color w:val="auto"/>
        </w:rPr>
        <w:t>Financial Condition; No Material Adverse Effect</w:t>
      </w:r>
      <w:r>
        <w:rPr>
          <w:rFonts w:ascii="Arial" w:cs="Arial" w:eastAsia="Arial" w:hAnsi="Arial"/>
          <w:sz w:val="16"/>
          <w:szCs w:val="16"/>
          <w:color w:val="auto"/>
        </w:rPr>
        <w:t>.</w:t>
      </w:r>
    </w:p>
    <w:p>
      <w:pPr>
        <w:spacing w:after="0" w:line="160" w:lineRule="exact"/>
        <w:rPr>
          <w:sz w:val="20"/>
          <w:szCs w:val="20"/>
          <w:color w:val="auto"/>
        </w:rPr>
      </w:pPr>
    </w:p>
    <w:p>
      <w:pPr>
        <w:jc w:val="both"/>
        <w:ind w:firstLine="563"/>
        <w:spacing w:after="0" w:line="234" w:lineRule="auto"/>
        <w:tabs>
          <w:tab w:leader="none" w:pos="1128" w:val="left"/>
        </w:tabs>
        <w:numPr>
          <w:ilvl w:val="0"/>
          <w:numId w:val="179"/>
        </w:numPr>
        <w:rPr>
          <w:rFonts w:ascii="Arial" w:cs="Arial" w:eastAsia="Arial" w:hAnsi="Arial"/>
          <w:sz w:val="16"/>
          <w:szCs w:val="16"/>
          <w:color w:val="auto"/>
        </w:rPr>
      </w:pPr>
      <w:r>
        <w:rPr>
          <w:rFonts w:ascii="Arial" w:cs="Arial" w:eastAsia="Arial" w:hAnsi="Arial"/>
          <w:sz w:val="16"/>
          <w:szCs w:val="16"/>
          <w:color w:val="auto"/>
        </w:rPr>
        <w:t>The Financial Statements (i) were prepared in accordance with GAAP consistently applied throughout the periods covered thereby, except as otherwise expressly noted therein and (ii) fairly present the financial condition of Holdings and its consolidated Subsidiaries as of the date thereof and their results of operations for the periods covered thereby in accordance with GAAP consistently applied throughout the periods covered thereby, except, in the case of the Unaudited Financial Statements, for the absence of notes and for normal year-end adjustments and except as otherwise expressly noted therein.</w:t>
      </w:r>
    </w:p>
    <w:p>
      <w:pPr>
        <w:spacing w:after="0" w:line="134" w:lineRule="exact"/>
        <w:rPr>
          <w:rFonts w:ascii="Arial" w:cs="Arial" w:eastAsia="Arial" w:hAnsi="Arial"/>
          <w:sz w:val="16"/>
          <w:szCs w:val="16"/>
          <w:color w:val="auto"/>
        </w:rPr>
      </w:pPr>
    </w:p>
    <w:p>
      <w:pPr>
        <w:ind w:left="1120" w:hanging="557"/>
        <w:spacing w:after="0"/>
        <w:tabs>
          <w:tab w:leader="none" w:pos="1120" w:val="left"/>
        </w:tabs>
        <w:numPr>
          <w:ilvl w:val="0"/>
          <w:numId w:val="179"/>
        </w:numPr>
        <w:rPr>
          <w:rFonts w:ascii="Arial" w:cs="Arial" w:eastAsia="Arial" w:hAnsi="Arial"/>
          <w:sz w:val="17"/>
          <w:szCs w:val="17"/>
          <w:color w:val="auto"/>
        </w:rPr>
      </w:pPr>
      <w:r>
        <w:rPr>
          <w:rFonts w:ascii="Arial" w:cs="Arial" w:eastAsia="Arial" w:hAnsi="Arial"/>
          <w:sz w:val="17"/>
          <w:szCs w:val="17"/>
          <w:color w:val="auto"/>
        </w:rPr>
        <w:t>Since December 31, 2020, there has been no Material Adverse Effect.</w:t>
      </w:r>
    </w:p>
    <w:p>
      <w:pPr>
        <w:spacing w:after="0" w:line="160" w:lineRule="exact"/>
        <w:rPr>
          <w:sz w:val="20"/>
          <w:szCs w:val="20"/>
          <w:color w:val="auto"/>
        </w:rPr>
      </w:pPr>
    </w:p>
    <w:p>
      <w:pPr>
        <w:ind w:left="560"/>
        <w:spacing w:after="0"/>
        <w:tabs>
          <w:tab w:leader="none" w:pos="1680" w:val="left"/>
        </w:tabs>
        <w:rPr>
          <w:sz w:val="20"/>
          <w:szCs w:val="20"/>
          <w:color w:val="auto"/>
        </w:rPr>
      </w:pPr>
      <w:r>
        <w:rPr>
          <w:rFonts w:ascii="Arial" w:cs="Arial" w:eastAsia="Arial" w:hAnsi="Arial"/>
          <w:sz w:val="17"/>
          <w:szCs w:val="17"/>
          <w:color w:val="auto"/>
        </w:rPr>
        <w:t>Section 1.05.</w:t>
      </w:r>
      <w:r>
        <w:rPr>
          <w:sz w:val="20"/>
          <w:szCs w:val="20"/>
          <w:color w:val="auto"/>
        </w:rPr>
        <w:tab/>
      </w:r>
      <w:r>
        <w:rPr>
          <w:rFonts w:ascii="Arial" w:cs="Arial" w:eastAsia="Arial" w:hAnsi="Arial"/>
          <w:sz w:val="15"/>
          <w:szCs w:val="15"/>
          <w:i w:val="1"/>
          <w:iCs w:val="1"/>
          <w:color w:val="auto"/>
        </w:rPr>
        <w:t>Properties</w:t>
      </w:r>
      <w:r>
        <w:rPr>
          <w:rFonts w:ascii="Arial" w:cs="Arial" w:eastAsia="Arial" w:hAnsi="Arial"/>
          <w:sz w:val="15"/>
          <w:szCs w:val="15"/>
          <w:color w:val="auto"/>
        </w:rPr>
        <w:t>.</w:t>
      </w:r>
    </w:p>
    <w:p>
      <w:pPr>
        <w:spacing w:after="0" w:line="160" w:lineRule="exact"/>
        <w:rPr>
          <w:sz w:val="20"/>
          <w:szCs w:val="20"/>
          <w:color w:val="auto"/>
        </w:rPr>
      </w:pPr>
    </w:p>
    <w:p>
      <w:pPr>
        <w:jc w:val="both"/>
        <w:ind w:right="20" w:firstLine="563"/>
        <w:spacing w:after="0" w:line="225" w:lineRule="auto"/>
        <w:tabs>
          <w:tab w:leader="none" w:pos="1128" w:val="left"/>
        </w:tabs>
        <w:numPr>
          <w:ilvl w:val="0"/>
          <w:numId w:val="180"/>
        </w:numPr>
        <w:rPr>
          <w:rFonts w:ascii="Arial" w:cs="Arial" w:eastAsia="Arial" w:hAnsi="Arial"/>
          <w:sz w:val="17"/>
          <w:szCs w:val="17"/>
          <w:color w:val="auto"/>
        </w:rPr>
      </w:pPr>
      <w:r>
        <w:rPr>
          <w:rFonts w:ascii="Arial" w:cs="Arial" w:eastAsia="Arial" w:hAnsi="Arial"/>
          <w:sz w:val="17"/>
          <w:szCs w:val="17"/>
          <w:color w:val="auto"/>
        </w:rPr>
        <w:t>Each of Holdings, the Borrower and the Restricted Subsidiaries has good title to, or valid leasehold interests in, all its real and personal property material to its business, if any (including the Mortgaged Properties), (i) free and clear of all Liens except for Liens permitted by Section 6.02 and (ii) except for defects in title that do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114</w:t>
      </w:r>
    </w:p>
    <w:p>
      <w:pPr>
        <w:sectPr>
          <w:pgSz w:w="11900" w:h="16838" w:orient="portrait"/>
          <w:cols w:equalWidth="0" w:num="1">
            <w:col w:w="11260"/>
          </w:cols>
          <w:pgMar w:left="320" w:top="1440" w:right="319" w:bottom="1440" w:gutter="0" w:footer="0" w:header="0"/>
        </w:sectPr>
      </w:pPr>
    </w:p>
    <w:bookmarkStart w:id="288" w:name="page289"/>
    <w:bookmarkEnd w:id="288"/>
    <w:p>
      <w:pPr>
        <w:spacing w:after="0" w:line="390"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interfere with its ability to conduct its business as currently conducted or as proposed to be conducted or to utilize such properties for their intended purposes, in each case, except where the failure to do so could not reasonably be expected to have, individually or in the aggregate, a Material Adverse Effect.</w:t>
      </w:r>
    </w:p>
    <w:p>
      <w:pPr>
        <w:spacing w:after="0" w:line="116" w:lineRule="exact"/>
        <w:rPr>
          <w:sz w:val="20"/>
          <w:szCs w:val="20"/>
          <w:color w:val="auto"/>
        </w:rPr>
      </w:pPr>
    </w:p>
    <w:p>
      <w:pPr>
        <w:ind w:right="20" w:firstLine="563"/>
        <w:spacing w:after="0" w:line="237" w:lineRule="auto"/>
        <w:tabs>
          <w:tab w:leader="none" w:pos="1126" w:val="left"/>
        </w:tabs>
        <w:numPr>
          <w:ilvl w:val="0"/>
          <w:numId w:val="181"/>
        </w:numPr>
        <w:rPr>
          <w:rFonts w:ascii="Arial" w:cs="Arial" w:eastAsia="Arial" w:hAnsi="Arial"/>
          <w:sz w:val="17"/>
          <w:szCs w:val="17"/>
          <w:color w:val="auto"/>
        </w:rPr>
      </w:pPr>
      <w:r>
        <w:rPr>
          <w:rFonts w:ascii="Arial" w:cs="Arial" w:eastAsia="Arial" w:hAnsi="Arial"/>
          <w:sz w:val="17"/>
          <w:szCs w:val="17"/>
          <w:color w:val="auto"/>
        </w:rPr>
        <w:t>As of the Closing Date, after giving effect to the Transactions to be consummated on or prior to the Closing Date, none of Holdings, the Borrower or any Restricted Subsidiary owns any real property with a fair market value in excess of $10,000,000.</w:t>
      </w:r>
    </w:p>
    <w:p>
      <w:pPr>
        <w:spacing w:after="0" w:line="135" w:lineRule="exact"/>
        <w:rPr>
          <w:sz w:val="20"/>
          <w:szCs w:val="20"/>
          <w:color w:val="auto"/>
        </w:rPr>
      </w:pPr>
    </w:p>
    <w:p>
      <w:pPr>
        <w:ind w:left="560"/>
        <w:spacing w:after="0"/>
        <w:tabs>
          <w:tab w:leader="none" w:pos="1680" w:val="left"/>
        </w:tabs>
        <w:rPr>
          <w:sz w:val="20"/>
          <w:szCs w:val="20"/>
          <w:color w:val="auto"/>
        </w:rPr>
      </w:pPr>
      <w:r>
        <w:rPr>
          <w:rFonts w:ascii="Arial" w:cs="Arial" w:eastAsia="Arial" w:hAnsi="Arial"/>
          <w:sz w:val="17"/>
          <w:szCs w:val="17"/>
          <w:color w:val="auto"/>
        </w:rPr>
        <w:t>Section 1.06.</w:t>
      </w:r>
      <w:r>
        <w:rPr>
          <w:sz w:val="20"/>
          <w:szCs w:val="20"/>
          <w:color w:val="auto"/>
        </w:rPr>
        <w:tab/>
      </w:r>
      <w:r>
        <w:rPr>
          <w:rFonts w:ascii="Arial" w:cs="Arial" w:eastAsia="Arial" w:hAnsi="Arial"/>
          <w:sz w:val="16"/>
          <w:szCs w:val="16"/>
          <w:i w:val="1"/>
          <w:iCs w:val="1"/>
          <w:color w:val="auto"/>
        </w:rPr>
        <w:t>Litigation and Environmental Matters</w:t>
      </w:r>
      <w:r>
        <w:rPr>
          <w:rFonts w:ascii="Arial" w:cs="Arial" w:eastAsia="Arial" w:hAnsi="Arial"/>
          <w:sz w:val="16"/>
          <w:szCs w:val="16"/>
          <w:color w:val="auto"/>
        </w:rPr>
        <w:t>.</w:t>
      </w:r>
    </w:p>
    <w:p>
      <w:pPr>
        <w:spacing w:after="0" w:line="160" w:lineRule="exact"/>
        <w:rPr>
          <w:sz w:val="20"/>
          <w:szCs w:val="20"/>
          <w:color w:val="auto"/>
        </w:rPr>
      </w:pPr>
    </w:p>
    <w:p>
      <w:pPr>
        <w:jc w:val="both"/>
        <w:ind w:firstLine="563"/>
        <w:spacing w:after="0" w:line="214" w:lineRule="auto"/>
        <w:tabs>
          <w:tab w:leader="none" w:pos="1128" w:val="left"/>
        </w:tabs>
        <w:numPr>
          <w:ilvl w:val="0"/>
          <w:numId w:val="182"/>
        </w:numPr>
        <w:rPr>
          <w:rFonts w:ascii="Arial" w:cs="Arial" w:eastAsia="Arial" w:hAnsi="Arial"/>
          <w:sz w:val="17"/>
          <w:szCs w:val="17"/>
          <w:color w:val="auto"/>
        </w:rPr>
      </w:pPr>
      <w:r>
        <w:rPr>
          <w:rFonts w:ascii="Arial" w:cs="Arial" w:eastAsia="Arial" w:hAnsi="Arial"/>
          <w:sz w:val="17"/>
          <w:szCs w:val="17"/>
          <w:color w:val="auto"/>
        </w:rPr>
        <w:t>Except for routine examinations conducted by a Regulatory Supervising Organization or Governmental Authority in the ordinary course of the business of the Borrower and its Subsidiaries, there is no claim, action, suit, investigation or proceeding pending against, or, to the knowledge of Holdings or the Borrower, threatened in writing against or affecting (i) Holdings, the Borrower or any Restricted Subsidiary or (ii) any officer, director or key employee of Holdings, the Borrower or any Restricted Subsidiary in their respective capacities in such positions, in each case, before (or, in the case of material threatened claims, actions, suits, investigations or proceedings, would be before) or by any Governmental Authority, Regulatory Supervising Organization or arbitrator that could reasonably be expected, individually or in the aggregate, to result in a Material Adverse Effect.</w:t>
      </w:r>
    </w:p>
    <w:p>
      <w:pPr>
        <w:spacing w:after="0" w:line="138" w:lineRule="exact"/>
        <w:rPr>
          <w:rFonts w:ascii="Arial" w:cs="Arial" w:eastAsia="Arial" w:hAnsi="Arial"/>
          <w:sz w:val="17"/>
          <w:szCs w:val="17"/>
          <w:color w:val="auto"/>
        </w:rPr>
      </w:pPr>
    </w:p>
    <w:p>
      <w:pPr>
        <w:jc w:val="both"/>
        <w:ind w:right="20" w:firstLine="563"/>
        <w:spacing w:after="0" w:line="214" w:lineRule="auto"/>
        <w:tabs>
          <w:tab w:leader="none" w:pos="1126" w:val="left"/>
        </w:tabs>
        <w:numPr>
          <w:ilvl w:val="0"/>
          <w:numId w:val="182"/>
        </w:numPr>
        <w:rPr>
          <w:rFonts w:ascii="Arial" w:cs="Arial" w:eastAsia="Arial" w:hAnsi="Arial"/>
          <w:sz w:val="17"/>
          <w:szCs w:val="17"/>
          <w:color w:val="auto"/>
        </w:rPr>
      </w:pPr>
      <w:r>
        <w:rPr>
          <w:rFonts w:ascii="Arial" w:cs="Arial" w:eastAsia="Arial" w:hAnsi="Arial"/>
          <w:sz w:val="17"/>
          <w:szCs w:val="17"/>
          <w:color w:val="auto"/>
        </w:rPr>
        <w:t>Except with respect to any matters that, individually or in the aggregate, could not reasonably be expected to result in a Material Adverse Effect, none of Holdings, the Borrower or any Restricted Subsidiary (i) has failed to comply with any Environmental Law or to obtain, maintain or comply with any permit, license or other approval required under any Environmental Law, (ii) has, to the knowledge of Holdings or the Borrower, become subject to any Environmental Liability, (iii) has received written notice of any claim, allegation, investigation or order with respect to any Environmental Liability or (iv) has, to the knowledge of Holdings or the Borrower, any basis to reasonably expect that Holdings, the Borrower or any Restricted Subsidiary will become subject to any Environmental Liability.</w:t>
      </w:r>
    </w:p>
    <w:p>
      <w:pPr>
        <w:spacing w:after="0" w:line="138" w:lineRule="exact"/>
        <w:rPr>
          <w:sz w:val="20"/>
          <w:szCs w:val="20"/>
          <w:color w:val="auto"/>
        </w:rPr>
      </w:pPr>
    </w:p>
    <w:p>
      <w:pPr>
        <w:jc w:val="both"/>
        <w:ind w:firstLine="568"/>
        <w:spacing w:after="0" w:line="220" w:lineRule="auto"/>
        <w:rPr>
          <w:sz w:val="20"/>
          <w:szCs w:val="20"/>
          <w:color w:val="auto"/>
        </w:rPr>
      </w:pPr>
      <w:r>
        <w:rPr>
          <w:rFonts w:ascii="Arial" w:cs="Arial" w:eastAsia="Arial" w:hAnsi="Arial"/>
          <w:sz w:val="17"/>
          <w:szCs w:val="17"/>
          <w:color w:val="auto"/>
        </w:rPr>
        <w:t xml:space="preserve">Section 1.07. </w:t>
      </w:r>
      <w:r>
        <w:rPr>
          <w:rFonts w:ascii="Arial" w:cs="Arial" w:eastAsia="Arial" w:hAnsi="Arial"/>
          <w:sz w:val="17"/>
          <w:szCs w:val="17"/>
          <w:i w:val="1"/>
          <w:iCs w:val="1"/>
          <w:color w:val="auto"/>
        </w:rPr>
        <w:t>Compliance with Laws and Agreements</w:t>
      </w:r>
      <w:r>
        <w:rPr>
          <w:rFonts w:ascii="Arial" w:cs="Arial" w:eastAsia="Arial" w:hAnsi="Arial"/>
          <w:sz w:val="17"/>
          <w:szCs w:val="17"/>
          <w:color w:val="auto"/>
        </w:rPr>
        <w:t>. Each of Holdings, the Borrower and its Restricted Subsidiaries is in compliance with (i) its Organizational Documents, (ii) all Requirements of Law applicable to it or its property and (iii) all indentures and other agreements and instruments binding upon it or its property, except, in the case of clauses (ii) and (iii) of this Section, where the failure to do so, individually or in the aggregate, could not reasonably be expected to result in a Material Adverse Effect.</w:t>
      </w:r>
    </w:p>
    <w:p>
      <w:pPr>
        <w:spacing w:after="0" w:line="136" w:lineRule="exact"/>
        <w:rPr>
          <w:sz w:val="20"/>
          <w:szCs w:val="20"/>
          <w:color w:val="auto"/>
        </w:rPr>
      </w:pPr>
    </w:p>
    <w:p>
      <w:pPr>
        <w:jc w:val="both"/>
        <w:ind w:right="20" w:firstLine="568"/>
        <w:spacing w:after="0" w:line="237" w:lineRule="auto"/>
        <w:rPr>
          <w:sz w:val="20"/>
          <w:szCs w:val="20"/>
          <w:color w:val="auto"/>
        </w:rPr>
      </w:pPr>
      <w:r>
        <w:rPr>
          <w:rFonts w:ascii="Arial" w:cs="Arial" w:eastAsia="Arial" w:hAnsi="Arial"/>
          <w:sz w:val="17"/>
          <w:szCs w:val="17"/>
          <w:color w:val="auto"/>
        </w:rPr>
        <w:t xml:space="preserve">Section 1.08. </w:t>
      </w:r>
      <w:r>
        <w:rPr>
          <w:rFonts w:ascii="Arial" w:cs="Arial" w:eastAsia="Arial" w:hAnsi="Arial"/>
          <w:sz w:val="17"/>
          <w:szCs w:val="17"/>
          <w:i w:val="1"/>
          <w:iCs w:val="1"/>
          <w:color w:val="auto"/>
        </w:rPr>
        <w:t>Investment Company Status.</w:t>
      </w:r>
      <w:r>
        <w:rPr>
          <w:rFonts w:ascii="Arial" w:cs="Arial" w:eastAsia="Arial" w:hAnsi="Arial"/>
          <w:sz w:val="17"/>
          <w:szCs w:val="17"/>
          <w:color w:val="auto"/>
        </w:rPr>
        <w:t xml:space="preserve"> No Loan Party is required to be registered as an “investment company” within the meaning of the Investment Company Act of 1940, as amended from time to time.</w:t>
      </w:r>
    </w:p>
    <w:p>
      <w:pPr>
        <w:spacing w:after="0" w:line="135" w:lineRule="exact"/>
        <w:rPr>
          <w:sz w:val="20"/>
          <w:szCs w:val="20"/>
          <w:color w:val="auto"/>
        </w:rPr>
      </w:pPr>
    </w:p>
    <w:p>
      <w:pPr>
        <w:jc w:val="both"/>
        <w:ind w:right="20" w:firstLine="568"/>
        <w:spacing w:after="0" w:line="230" w:lineRule="auto"/>
        <w:rPr>
          <w:sz w:val="20"/>
          <w:szCs w:val="20"/>
          <w:color w:val="auto"/>
        </w:rPr>
      </w:pPr>
      <w:r>
        <w:rPr>
          <w:rFonts w:ascii="Arial" w:cs="Arial" w:eastAsia="Arial" w:hAnsi="Arial"/>
          <w:sz w:val="16"/>
          <w:szCs w:val="16"/>
          <w:color w:val="auto"/>
        </w:rPr>
        <w:t xml:space="preserve">Section 1.09. </w:t>
      </w:r>
      <w:r>
        <w:rPr>
          <w:rFonts w:ascii="Arial" w:cs="Arial" w:eastAsia="Arial" w:hAnsi="Arial"/>
          <w:sz w:val="16"/>
          <w:szCs w:val="16"/>
          <w:i w:val="1"/>
          <w:iCs w:val="1"/>
          <w:color w:val="auto"/>
        </w:rPr>
        <w:t>Taxes.</w:t>
      </w:r>
      <w:r>
        <w:rPr>
          <w:rFonts w:ascii="Arial" w:cs="Arial" w:eastAsia="Arial" w:hAnsi="Arial"/>
          <w:sz w:val="16"/>
          <w:szCs w:val="16"/>
          <w:color w:val="auto"/>
        </w:rPr>
        <w:t xml:space="preserve"> Except as could not, individually or in the aggregate, reasonably be expected to have a Material Adverse Effect, Holdings, the Borrower and each Restricted Subsidiary (a) have timely filed or caused to be filed all Tax returns and reports required to have been filed and (b) have paid or caused to be paid all Taxes required to have been paid (whether or not shown on a Tax return) including in their capacity as tax withholding agents, except any Taxes (i) that are not overdue by more than 30 days or (ii) that are being contested in good faith by appropriate proceedings,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Holdings, the Borrower or such Subsidiary, as the case may be, has set aside on its books adequate reserves therefor in accordance with GAAP. There are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115</w:t>
      </w:r>
    </w:p>
    <w:p>
      <w:pPr>
        <w:sectPr>
          <w:pgSz w:w="11900" w:h="16838" w:orient="portrait"/>
          <w:cols w:equalWidth="0" w:num="1">
            <w:col w:w="11260"/>
          </w:cols>
          <w:pgMar w:left="320" w:top="1440" w:right="319" w:bottom="1440" w:gutter="0" w:footer="0" w:header="0"/>
        </w:sectPr>
      </w:pPr>
    </w:p>
    <w:bookmarkStart w:id="289" w:name="page290"/>
    <w:bookmarkEnd w:id="289"/>
    <w:p>
      <w:pPr>
        <w:spacing w:after="0" w:line="390"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audits, assessments, claims or other Tax proceedings against Holdings, the Borrower or any Restricted Subsidiary that could, individually or in the aggregate, reasonably be expected to have a Material Adverse Effect.</w:t>
      </w:r>
    </w:p>
    <w:p>
      <w:pPr>
        <w:spacing w:after="0" w:line="135" w:lineRule="exact"/>
        <w:rPr>
          <w:sz w:val="20"/>
          <w:szCs w:val="20"/>
          <w:color w:val="auto"/>
        </w:rPr>
      </w:pPr>
    </w:p>
    <w:p>
      <w:pPr>
        <w:ind w:left="560"/>
        <w:spacing w:after="0"/>
        <w:tabs>
          <w:tab w:leader="none" w:pos="1680" w:val="left"/>
        </w:tabs>
        <w:rPr>
          <w:sz w:val="20"/>
          <w:szCs w:val="20"/>
          <w:color w:val="auto"/>
        </w:rPr>
      </w:pPr>
      <w:r>
        <w:rPr>
          <w:rFonts w:ascii="Arial" w:cs="Arial" w:eastAsia="Arial" w:hAnsi="Arial"/>
          <w:sz w:val="17"/>
          <w:szCs w:val="17"/>
          <w:color w:val="auto"/>
        </w:rPr>
        <w:t>Section 1.10.</w:t>
      </w:r>
      <w:r>
        <w:rPr>
          <w:sz w:val="20"/>
          <w:szCs w:val="20"/>
          <w:color w:val="auto"/>
        </w:rPr>
        <w:tab/>
      </w:r>
      <w:r>
        <w:rPr>
          <w:rFonts w:ascii="Arial" w:cs="Arial" w:eastAsia="Arial" w:hAnsi="Arial"/>
          <w:sz w:val="15"/>
          <w:szCs w:val="15"/>
          <w:i w:val="1"/>
          <w:iCs w:val="1"/>
          <w:color w:val="auto"/>
        </w:rPr>
        <w:t>ERISA</w:t>
      </w:r>
      <w:r>
        <w:rPr>
          <w:rFonts w:ascii="Arial" w:cs="Arial" w:eastAsia="Arial" w:hAnsi="Arial"/>
          <w:sz w:val="15"/>
          <w:szCs w:val="15"/>
          <w:color w:val="auto"/>
        </w:rPr>
        <w:t>.</w:t>
      </w:r>
    </w:p>
    <w:p>
      <w:pPr>
        <w:spacing w:after="0" w:line="160" w:lineRule="exact"/>
        <w:rPr>
          <w:sz w:val="20"/>
          <w:szCs w:val="20"/>
          <w:color w:val="auto"/>
        </w:rPr>
      </w:pPr>
    </w:p>
    <w:p>
      <w:pPr>
        <w:ind w:firstLine="563"/>
        <w:spacing w:after="0" w:line="237" w:lineRule="auto"/>
        <w:tabs>
          <w:tab w:leader="none" w:pos="1128" w:val="left"/>
        </w:tabs>
        <w:numPr>
          <w:ilvl w:val="0"/>
          <w:numId w:val="183"/>
        </w:numPr>
        <w:rPr>
          <w:rFonts w:ascii="Arial" w:cs="Arial" w:eastAsia="Arial" w:hAnsi="Arial"/>
          <w:sz w:val="17"/>
          <w:szCs w:val="17"/>
          <w:color w:val="auto"/>
        </w:rPr>
      </w:pPr>
      <w:r>
        <w:rPr>
          <w:rFonts w:ascii="Arial" w:cs="Arial" w:eastAsia="Arial" w:hAnsi="Arial"/>
          <w:sz w:val="17"/>
          <w:szCs w:val="17"/>
          <w:color w:val="auto"/>
        </w:rPr>
        <w:t>Except as could not, individually or in the aggregate, reasonably be expected to result in a Material Adverse Effect, each Plan is in compliance with the applicable provisions of ERISA, the Code and other federal or state laws.</w:t>
      </w:r>
    </w:p>
    <w:p>
      <w:pPr>
        <w:spacing w:after="0" w:line="134" w:lineRule="exact"/>
        <w:rPr>
          <w:rFonts w:ascii="Arial" w:cs="Arial" w:eastAsia="Arial" w:hAnsi="Arial"/>
          <w:sz w:val="17"/>
          <w:szCs w:val="17"/>
          <w:color w:val="auto"/>
        </w:rPr>
      </w:pPr>
    </w:p>
    <w:p>
      <w:pPr>
        <w:jc w:val="both"/>
        <w:ind w:right="20" w:firstLine="563"/>
        <w:spacing w:after="0" w:line="214" w:lineRule="auto"/>
        <w:tabs>
          <w:tab w:leader="none" w:pos="1126" w:val="left"/>
        </w:tabs>
        <w:numPr>
          <w:ilvl w:val="0"/>
          <w:numId w:val="183"/>
        </w:numPr>
        <w:rPr>
          <w:rFonts w:ascii="Arial" w:cs="Arial" w:eastAsia="Arial" w:hAnsi="Arial"/>
          <w:sz w:val="17"/>
          <w:szCs w:val="17"/>
          <w:color w:val="auto"/>
        </w:rPr>
      </w:pPr>
      <w:r>
        <w:rPr>
          <w:rFonts w:ascii="Arial" w:cs="Arial" w:eastAsia="Arial" w:hAnsi="Arial"/>
          <w:sz w:val="17"/>
          <w:szCs w:val="17"/>
          <w:color w:val="auto"/>
        </w:rPr>
        <w:t>Except as could not reasonably be expected, individually or in the aggregate, to result in a Material Adverse Effect, (i) no ERISA Event has occurred or is reasonably expected to occur, (ii) neither the Borrower nor any ERISA Affiliate has incurred, or reasonably expects to incur, any liability under Title IV of ERISA with respect to any Plan (other than premiums due and not delinquent under Section 4007 of ERISA), (iii) neither the Borrower nor any ERISA Affiliate has incurred, or reasonably expects to incur, any liability (and no event has occurred which, with the giving of notice under Section 4219 of ERISA, would result in such liability) under Sections 4201 or 4243 of ERISA with respect to a Multiemployer Plan and (iv) neither the Borrower nor any ERISA Affiliate has engaged in a transaction that could be subject to Section 4069 or 4212(c) of ERISA.</w:t>
      </w:r>
    </w:p>
    <w:p>
      <w:pPr>
        <w:spacing w:after="0" w:line="138" w:lineRule="exact"/>
        <w:rPr>
          <w:sz w:val="20"/>
          <w:szCs w:val="20"/>
          <w:color w:val="auto"/>
        </w:rPr>
      </w:pPr>
    </w:p>
    <w:p>
      <w:pPr>
        <w:ind w:left="560"/>
        <w:spacing w:after="0"/>
        <w:tabs>
          <w:tab w:leader="none" w:pos="1680" w:val="left"/>
        </w:tabs>
        <w:rPr>
          <w:sz w:val="20"/>
          <w:szCs w:val="20"/>
          <w:color w:val="auto"/>
        </w:rPr>
      </w:pPr>
      <w:r>
        <w:rPr>
          <w:rFonts w:ascii="Arial" w:cs="Arial" w:eastAsia="Arial" w:hAnsi="Arial"/>
          <w:sz w:val="17"/>
          <w:szCs w:val="17"/>
          <w:color w:val="auto"/>
        </w:rPr>
        <w:t>Section 1.11.</w:t>
      </w:r>
      <w:r>
        <w:rPr>
          <w:sz w:val="20"/>
          <w:szCs w:val="20"/>
          <w:color w:val="auto"/>
        </w:rPr>
        <w:tab/>
      </w:r>
      <w:r>
        <w:rPr>
          <w:rFonts w:ascii="Arial" w:cs="Arial" w:eastAsia="Arial" w:hAnsi="Arial"/>
          <w:sz w:val="15"/>
          <w:szCs w:val="15"/>
          <w:i w:val="1"/>
          <w:iCs w:val="1"/>
          <w:color w:val="auto"/>
        </w:rPr>
        <w:t>Disclosure</w:t>
      </w:r>
      <w:r>
        <w:rPr>
          <w:rFonts w:ascii="Arial" w:cs="Arial" w:eastAsia="Arial" w:hAnsi="Arial"/>
          <w:sz w:val="15"/>
          <w:szCs w:val="15"/>
          <w:color w:val="auto"/>
        </w:rPr>
        <w:t>.</w:t>
      </w:r>
    </w:p>
    <w:p>
      <w:pPr>
        <w:spacing w:after="0" w:line="160" w:lineRule="exact"/>
        <w:rPr>
          <w:sz w:val="20"/>
          <w:szCs w:val="20"/>
          <w:color w:val="auto"/>
        </w:rPr>
      </w:pPr>
    </w:p>
    <w:p>
      <w:pPr>
        <w:jc w:val="both"/>
        <w:ind w:firstLine="563"/>
        <w:spacing w:after="0" w:line="211" w:lineRule="auto"/>
        <w:tabs>
          <w:tab w:leader="none" w:pos="1128" w:val="left"/>
        </w:tabs>
        <w:numPr>
          <w:ilvl w:val="0"/>
          <w:numId w:val="184"/>
        </w:numPr>
        <w:rPr>
          <w:rFonts w:ascii="Arial" w:cs="Arial" w:eastAsia="Arial" w:hAnsi="Arial"/>
          <w:sz w:val="17"/>
          <w:szCs w:val="17"/>
          <w:color w:val="auto"/>
        </w:rPr>
      </w:pPr>
      <w:r>
        <w:rPr>
          <w:rFonts w:ascii="Arial" w:cs="Arial" w:eastAsia="Arial" w:hAnsi="Arial"/>
          <w:sz w:val="17"/>
          <w:szCs w:val="17"/>
          <w:color w:val="auto"/>
        </w:rPr>
        <w:t xml:space="preserve">Neither (i) the Information Materials as of the Closing Date nor (ii) any of the other reports, financial statements, certificates or other written information furnished by or on behalf of any Loan Party to the Administrative Agent or any Lender in connection with the negotiation of any Loan Document or delivered thereunder (as modified or supplemented by other information so furnished) when taken as a whole contains any material misstatement of fact or omits to state any material fact necessary to make the statements therein, in the light of the circumstances under which they were made, not materially misleading;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with respect to projected financial information, Holdings and the Borrower represent only that such information was prepared in good faith based</w:t>
      </w:r>
      <w:r>
        <w:rPr>
          <w:rFonts w:ascii="Arial" w:cs="Arial" w:eastAsia="Arial" w:hAnsi="Arial"/>
          <w:sz w:val="17"/>
          <w:szCs w:val="17"/>
          <w:i w:val="1"/>
          <w:iCs w:val="1"/>
          <w:color w:val="auto"/>
        </w:rPr>
        <w:t xml:space="preserve"> </w:t>
      </w:r>
      <w:r>
        <w:rPr>
          <w:rFonts w:ascii="Arial" w:cs="Arial" w:eastAsia="Arial" w:hAnsi="Arial"/>
          <w:sz w:val="17"/>
          <w:szCs w:val="17"/>
          <w:color w:val="auto"/>
        </w:rPr>
        <w:t>upon assumptions believed by them to be reasonable at the time delivered and, if such projected financial information was delivered prior to the Closing Date in connection with the transactions consummated on the Closing Date, as of the Closing Date, it being understood that any such projected financial information may vary from actual results and such variations could be material.</w:t>
      </w:r>
    </w:p>
    <w:p>
      <w:pPr>
        <w:spacing w:after="0" w:line="140" w:lineRule="exact"/>
        <w:rPr>
          <w:rFonts w:ascii="Arial" w:cs="Arial" w:eastAsia="Arial" w:hAnsi="Arial"/>
          <w:sz w:val="17"/>
          <w:szCs w:val="17"/>
          <w:color w:val="auto"/>
        </w:rPr>
      </w:pPr>
    </w:p>
    <w:p>
      <w:pPr>
        <w:jc w:val="both"/>
        <w:ind w:right="20" w:firstLine="563"/>
        <w:spacing w:after="0" w:line="225" w:lineRule="auto"/>
        <w:tabs>
          <w:tab w:leader="none" w:pos="1126" w:val="left"/>
        </w:tabs>
        <w:numPr>
          <w:ilvl w:val="0"/>
          <w:numId w:val="184"/>
        </w:numPr>
        <w:rPr>
          <w:rFonts w:ascii="Arial" w:cs="Arial" w:eastAsia="Arial" w:hAnsi="Arial"/>
          <w:sz w:val="17"/>
          <w:szCs w:val="17"/>
          <w:color w:val="auto"/>
        </w:rPr>
      </w:pPr>
      <w:r>
        <w:rPr>
          <w:rFonts w:ascii="Arial" w:cs="Arial" w:eastAsia="Arial" w:hAnsi="Arial"/>
          <w:sz w:val="17"/>
          <w:szCs w:val="17"/>
          <w:color w:val="auto"/>
        </w:rPr>
        <w:t>If the Borrower has provided a Beneficial Ownership Certification to any Lender in connection with this Agreement on or prior to the Closing Date, as of the Closing Date, to the best knowledge of the Borrower, the information included in such Beneficial Ownership Certification is true and correct in all respects.</w:t>
      </w:r>
    </w:p>
    <w:p>
      <w:pPr>
        <w:spacing w:after="0" w:line="137" w:lineRule="exact"/>
        <w:rPr>
          <w:sz w:val="20"/>
          <w:szCs w:val="20"/>
          <w:color w:val="auto"/>
        </w:rPr>
      </w:pPr>
    </w:p>
    <w:p>
      <w:pPr>
        <w:jc w:val="both"/>
        <w:ind w:firstLine="568"/>
        <w:spacing w:after="0" w:line="237" w:lineRule="auto"/>
        <w:rPr>
          <w:sz w:val="20"/>
          <w:szCs w:val="20"/>
          <w:color w:val="auto"/>
        </w:rPr>
      </w:pPr>
      <w:r>
        <w:rPr>
          <w:rFonts w:ascii="Arial" w:cs="Arial" w:eastAsia="Arial" w:hAnsi="Arial"/>
          <w:sz w:val="17"/>
          <w:szCs w:val="17"/>
          <w:color w:val="auto"/>
        </w:rPr>
        <w:t xml:space="preserve">Section 1.12. </w:t>
      </w:r>
      <w:r>
        <w:rPr>
          <w:rFonts w:ascii="Arial" w:cs="Arial" w:eastAsia="Arial" w:hAnsi="Arial"/>
          <w:sz w:val="17"/>
          <w:szCs w:val="17"/>
          <w:i w:val="1"/>
          <w:iCs w:val="1"/>
          <w:color w:val="auto"/>
        </w:rPr>
        <w:t>Subsidiaries.</w:t>
      </w:r>
      <w:r>
        <w:rPr>
          <w:rFonts w:ascii="Arial" w:cs="Arial" w:eastAsia="Arial" w:hAnsi="Arial"/>
          <w:sz w:val="17"/>
          <w:szCs w:val="17"/>
          <w:color w:val="auto"/>
        </w:rPr>
        <w:t xml:space="preserve"> As of the Closing Date, Schedule 3.12 sets forth the name of, and the ownership interest of Holdings, the Borrower and each Subsidiary in, each Subsidiary.</w:t>
      </w:r>
    </w:p>
    <w:p>
      <w:pPr>
        <w:spacing w:after="0" w:line="135" w:lineRule="exact"/>
        <w:rPr>
          <w:sz w:val="20"/>
          <w:szCs w:val="20"/>
          <w:color w:val="auto"/>
        </w:rPr>
      </w:pPr>
    </w:p>
    <w:p>
      <w:pPr>
        <w:jc w:val="both"/>
        <w:ind w:firstLine="568"/>
        <w:spacing w:after="0" w:line="216" w:lineRule="auto"/>
        <w:rPr>
          <w:sz w:val="20"/>
          <w:szCs w:val="20"/>
          <w:color w:val="auto"/>
        </w:rPr>
      </w:pPr>
      <w:r>
        <w:rPr>
          <w:rFonts w:ascii="Arial" w:cs="Arial" w:eastAsia="Arial" w:hAnsi="Arial"/>
          <w:sz w:val="17"/>
          <w:szCs w:val="17"/>
          <w:color w:val="auto"/>
        </w:rPr>
        <w:t xml:space="preserve">Section 1.13. </w:t>
      </w:r>
      <w:r>
        <w:rPr>
          <w:rFonts w:ascii="Arial" w:cs="Arial" w:eastAsia="Arial" w:hAnsi="Arial"/>
          <w:sz w:val="17"/>
          <w:szCs w:val="17"/>
          <w:i w:val="1"/>
          <w:iCs w:val="1"/>
          <w:color w:val="auto"/>
        </w:rPr>
        <w:t>Intellectual Property; Licenses, Etc</w:t>
      </w:r>
      <w:r>
        <w:rPr>
          <w:rFonts w:ascii="Arial" w:cs="Arial" w:eastAsia="Arial" w:hAnsi="Arial"/>
          <w:sz w:val="17"/>
          <w:szCs w:val="17"/>
          <w:color w:val="auto"/>
        </w:rPr>
        <w:t>. Each of Holdings, the Borrower and the Restricted Subsidiaries owns, licenses or possesses the right to use all Intellectual Property that is reasonably necessary for the operation of its business as currently conducted, and, without conflict with the rights of any Person, except to the extent such conflicts, individually or in the aggregate, could not reasonably be expected to have a Material Adverse Effect. None of Holdings, the Borrower or any Restricted Subsidiary, in the operation of its business as currently conducted, infringes upon, misappropriates or otherwise violates any Intellectual Property rights held by any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116</w:t>
      </w:r>
    </w:p>
    <w:p>
      <w:pPr>
        <w:sectPr>
          <w:pgSz w:w="11900" w:h="16838" w:orient="portrait"/>
          <w:cols w:equalWidth="0" w:num="1">
            <w:col w:w="11260"/>
          </w:cols>
          <w:pgMar w:left="320" w:top="1440" w:right="319" w:bottom="1440" w:gutter="0" w:footer="0" w:header="0"/>
        </w:sectPr>
      </w:pPr>
    </w:p>
    <w:bookmarkStart w:id="290" w:name="page291"/>
    <w:bookmarkEnd w:id="290"/>
    <w:p>
      <w:pPr>
        <w:spacing w:after="0" w:line="390" w:lineRule="exact"/>
        <w:rPr>
          <w:sz w:val="20"/>
          <w:szCs w:val="20"/>
          <w:color w:val="auto"/>
        </w:rPr>
      </w:pPr>
    </w:p>
    <w:p>
      <w:pPr>
        <w:jc w:val="both"/>
        <w:ind w:right="20"/>
        <w:spacing w:after="0" w:line="225" w:lineRule="auto"/>
        <w:rPr>
          <w:sz w:val="20"/>
          <w:szCs w:val="20"/>
          <w:color w:val="auto"/>
        </w:rPr>
      </w:pPr>
      <w:r>
        <w:rPr>
          <w:rFonts w:ascii="Arial" w:cs="Arial" w:eastAsia="Arial" w:hAnsi="Arial"/>
          <w:sz w:val="17"/>
          <w:szCs w:val="17"/>
          <w:color w:val="auto"/>
        </w:rPr>
        <w:t>except for such infringements, individually or in the aggregate, which could not reasonably be expected to have a Material Adverse Effect. No claim or litigation regarding any Intellectual Property is pending or, to the knowledge of Holdings and the Borrower, threatened against Holdings, the Borrower or any Restricted Subsidiary, which, individually or in the aggregate, could reasonably be expected to have a Material Adverse Effect.</w:t>
      </w:r>
    </w:p>
    <w:p>
      <w:pPr>
        <w:spacing w:after="0" w:line="137" w:lineRule="exact"/>
        <w:rPr>
          <w:sz w:val="20"/>
          <w:szCs w:val="20"/>
          <w:color w:val="auto"/>
        </w:rPr>
      </w:pPr>
    </w:p>
    <w:p>
      <w:pPr>
        <w:jc w:val="both"/>
        <w:ind w:firstLine="568"/>
        <w:spacing w:after="0" w:line="237" w:lineRule="auto"/>
        <w:rPr>
          <w:sz w:val="20"/>
          <w:szCs w:val="20"/>
          <w:color w:val="auto"/>
        </w:rPr>
      </w:pPr>
      <w:r>
        <w:rPr>
          <w:rFonts w:ascii="Arial" w:cs="Arial" w:eastAsia="Arial" w:hAnsi="Arial"/>
          <w:sz w:val="17"/>
          <w:szCs w:val="17"/>
          <w:color w:val="auto"/>
        </w:rPr>
        <w:t xml:space="preserve">Section 1.14. </w:t>
      </w:r>
      <w:r>
        <w:rPr>
          <w:rFonts w:ascii="Arial" w:cs="Arial" w:eastAsia="Arial" w:hAnsi="Arial"/>
          <w:sz w:val="17"/>
          <w:szCs w:val="17"/>
          <w:i w:val="1"/>
          <w:iCs w:val="1"/>
          <w:color w:val="auto"/>
        </w:rPr>
        <w:t>Solvency.</w:t>
      </w:r>
      <w:r>
        <w:rPr>
          <w:rFonts w:ascii="Arial" w:cs="Arial" w:eastAsia="Arial" w:hAnsi="Arial"/>
          <w:sz w:val="17"/>
          <w:szCs w:val="17"/>
          <w:color w:val="auto"/>
        </w:rPr>
        <w:t xml:space="preserve"> Immediately after the consummation of the Transactions to occur on the Closing Date, the Borrower and its Subsidiaries, on a consolidated basis, will not be Insolvent.</w:t>
      </w:r>
    </w:p>
    <w:p>
      <w:pPr>
        <w:spacing w:after="0" w:line="135" w:lineRule="exact"/>
        <w:rPr>
          <w:sz w:val="20"/>
          <w:szCs w:val="20"/>
          <w:color w:val="auto"/>
        </w:rPr>
      </w:pPr>
    </w:p>
    <w:p>
      <w:pPr>
        <w:jc w:val="both"/>
        <w:ind w:right="20" w:firstLine="568"/>
        <w:spacing w:after="0" w:line="237" w:lineRule="auto"/>
        <w:rPr>
          <w:sz w:val="20"/>
          <w:szCs w:val="20"/>
          <w:color w:val="auto"/>
        </w:rPr>
      </w:pPr>
      <w:r>
        <w:rPr>
          <w:rFonts w:ascii="Arial" w:cs="Arial" w:eastAsia="Arial" w:hAnsi="Arial"/>
          <w:sz w:val="17"/>
          <w:szCs w:val="17"/>
          <w:color w:val="auto"/>
        </w:rPr>
        <w:t xml:space="preserve">Section 1.15. </w:t>
      </w:r>
      <w:r>
        <w:rPr>
          <w:rFonts w:ascii="Arial" w:cs="Arial" w:eastAsia="Arial" w:hAnsi="Arial"/>
          <w:sz w:val="17"/>
          <w:szCs w:val="17"/>
          <w:i w:val="1"/>
          <w:iCs w:val="1"/>
          <w:color w:val="auto"/>
        </w:rPr>
        <w:t>Senior Indebtedness.</w:t>
      </w:r>
      <w:r>
        <w:rPr>
          <w:rFonts w:ascii="Arial" w:cs="Arial" w:eastAsia="Arial" w:hAnsi="Arial"/>
          <w:sz w:val="17"/>
          <w:szCs w:val="17"/>
          <w:color w:val="auto"/>
        </w:rPr>
        <w:t xml:space="preserve"> The Loan Document Obligations constitute “Senior Indebtedness” (or any comparable term) under and as defined in the documentation governing any Junior Financing.</w:t>
      </w:r>
    </w:p>
    <w:p>
      <w:pPr>
        <w:spacing w:after="0" w:line="135" w:lineRule="exact"/>
        <w:rPr>
          <w:sz w:val="20"/>
          <w:szCs w:val="20"/>
          <w:color w:val="auto"/>
        </w:rPr>
      </w:pPr>
    </w:p>
    <w:p>
      <w:pPr>
        <w:jc w:val="both"/>
        <w:ind w:right="20" w:firstLine="568"/>
        <w:spacing w:after="0" w:line="225" w:lineRule="auto"/>
        <w:rPr>
          <w:sz w:val="20"/>
          <w:szCs w:val="20"/>
          <w:color w:val="auto"/>
        </w:rPr>
      </w:pPr>
      <w:r>
        <w:rPr>
          <w:rFonts w:ascii="Arial" w:cs="Arial" w:eastAsia="Arial" w:hAnsi="Arial"/>
          <w:sz w:val="17"/>
          <w:szCs w:val="17"/>
          <w:color w:val="auto"/>
        </w:rPr>
        <w:t xml:space="preserve">Section 1.16. </w:t>
      </w:r>
      <w:r>
        <w:rPr>
          <w:rFonts w:ascii="Arial" w:cs="Arial" w:eastAsia="Arial" w:hAnsi="Arial"/>
          <w:sz w:val="17"/>
          <w:szCs w:val="17"/>
          <w:i w:val="1"/>
          <w:iCs w:val="1"/>
          <w:color w:val="auto"/>
        </w:rPr>
        <w:t>Federal Reserve Regulations</w:t>
      </w:r>
      <w:r>
        <w:rPr>
          <w:rFonts w:ascii="Arial" w:cs="Arial" w:eastAsia="Arial" w:hAnsi="Arial"/>
          <w:sz w:val="17"/>
          <w:szCs w:val="17"/>
          <w:color w:val="auto"/>
        </w:rPr>
        <w:t>. No part of the proceeds of the Loans will be used, directly or indirectly, to purchase or carry any margin stock or to refinance any Indebtedness originally incurred for such purpose, in each case, in a manner that entails a violation (including on the part of any Lender) of the provisions of Regulations U or X of the Board of Governors.</w:t>
      </w:r>
    </w:p>
    <w:p>
      <w:pPr>
        <w:spacing w:after="0" w:line="137" w:lineRule="exact"/>
        <w:rPr>
          <w:sz w:val="20"/>
          <w:szCs w:val="20"/>
          <w:color w:val="auto"/>
        </w:rPr>
      </w:pPr>
    </w:p>
    <w:p>
      <w:pPr>
        <w:ind w:left="560"/>
        <w:spacing w:after="0"/>
        <w:tabs>
          <w:tab w:leader="none" w:pos="1680" w:val="left"/>
        </w:tabs>
        <w:rPr>
          <w:sz w:val="20"/>
          <w:szCs w:val="20"/>
          <w:color w:val="auto"/>
        </w:rPr>
      </w:pPr>
      <w:r>
        <w:rPr>
          <w:rFonts w:ascii="Arial" w:cs="Arial" w:eastAsia="Arial" w:hAnsi="Arial"/>
          <w:sz w:val="17"/>
          <w:szCs w:val="17"/>
          <w:color w:val="auto"/>
        </w:rPr>
        <w:t>Section 1.17.</w:t>
      </w:r>
      <w:r>
        <w:rPr>
          <w:sz w:val="20"/>
          <w:szCs w:val="20"/>
          <w:color w:val="auto"/>
        </w:rPr>
        <w:tab/>
      </w:r>
      <w:r>
        <w:rPr>
          <w:rFonts w:ascii="Arial" w:cs="Arial" w:eastAsia="Arial" w:hAnsi="Arial"/>
          <w:sz w:val="15"/>
          <w:szCs w:val="15"/>
          <w:i w:val="1"/>
          <w:iCs w:val="1"/>
          <w:color w:val="auto"/>
        </w:rPr>
        <w:t>Use of Proceeds</w:t>
      </w:r>
      <w:r>
        <w:rPr>
          <w:rFonts w:ascii="Arial" w:cs="Arial" w:eastAsia="Arial" w:hAnsi="Arial"/>
          <w:sz w:val="15"/>
          <w:szCs w:val="15"/>
          <w:color w:val="auto"/>
        </w:rPr>
        <w:t>.</w:t>
      </w:r>
    </w:p>
    <w:p>
      <w:pPr>
        <w:spacing w:after="0" w:line="160" w:lineRule="exact"/>
        <w:rPr>
          <w:sz w:val="20"/>
          <w:szCs w:val="20"/>
          <w:color w:val="auto"/>
        </w:rPr>
      </w:pPr>
    </w:p>
    <w:p>
      <w:pPr>
        <w:jc w:val="both"/>
        <w:ind w:right="20" w:firstLine="563"/>
        <w:spacing w:after="0" w:line="225" w:lineRule="auto"/>
        <w:tabs>
          <w:tab w:leader="none" w:pos="1128" w:val="left"/>
        </w:tabs>
        <w:numPr>
          <w:ilvl w:val="0"/>
          <w:numId w:val="185"/>
        </w:numPr>
        <w:rPr>
          <w:rFonts w:ascii="Arial" w:cs="Arial" w:eastAsia="Arial" w:hAnsi="Arial"/>
          <w:sz w:val="17"/>
          <w:szCs w:val="17"/>
          <w:color w:val="auto"/>
        </w:rPr>
      </w:pPr>
      <w:r>
        <w:rPr>
          <w:rFonts w:ascii="Arial" w:cs="Arial" w:eastAsia="Arial" w:hAnsi="Arial"/>
          <w:sz w:val="17"/>
          <w:szCs w:val="17"/>
          <w:color w:val="auto"/>
        </w:rPr>
        <w:t>The Borrower and its Restricted Subsidiaries will use the proceeds of borrowings under the Revolving Commitment and use the Letters of Credit issued hereunder for general corporate purposes (including, without limitation, for the financing of Permitted Acquisitions and to pay fees and expenses in connection therewith).</w:t>
      </w:r>
    </w:p>
    <w:p>
      <w:pPr>
        <w:spacing w:after="0" w:line="136" w:lineRule="exact"/>
        <w:rPr>
          <w:rFonts w:ascii="Arial" w:cs="Arial" w:eastAsia="Arial" w:hAnsi="Arial"/>
          <w:sz w:val="17"/>
          <w:szCs w:val="17"/>
          <w:color w:val="auto"/>
        </w:rPr>
      </w:pPr>
    </w:p>
    <w:p>
      <w:pPr>
        <w:ind w:right="20" w:firstLine="563"/>
        <w:spacing w:after="0" w:line="237" w:lineRule="auto"/>
        <w:tabs>
          <w:tab w:leader="none" w:pos="1126" w:val="left"/>
        </w:tabs>
        <w:numPr>
          <w:ilvl w:val="0"/>
          <w:numId w:val="185"/>
        </w:numPr>
        <w:rPr>
          <w:rFonts w:ascii="Arial" w:cs="Arial" w:eastAsia="Arial" w:hAnsi="Arial"/>
          <w:sz w:val="17"/>
          <w:szCs w:val="17"/>
          <w:color w:val="auto"/>
        </w:rPr>
      </w:pPr>
      <w:r>
        <w:rPr>
          <w:rFonts w:ascii="Arial" w:cs="Arial" w:eastAsia="Arial" w:hAnsi="Arial"/>
          <w:sz w:val="17"/>
          <w:szCs w:val="17"/>
          <w:color w:val="auto"/>
        </w:rPr>
        <w:t>The Borrower will use the proceeds of the Initial Term Loans received on the Closing Date to consummate the Transactions and for general corporate purposes (including, without limitation, to fund share repurchases).</w:t>
      </w:r>
    </w:p>
    <w:p>
      <w:pPr>
        <w:spacing w:after="0" w:line="135" w:lineRule="exact"/>
        <w:rPr>
          <w:sz w:val="20"/>
          <w:szCs w:val="20"/>
          <w:color w:val="auto"/>
        </w:rPr>
      </w:pPr>
    </w:p>
    <w:p>
      <w:pPr>
        <w:ind w:left="560"/>
        <w:spacing w:after="0"/>
        <w:tabs>
          <w:tab w:leader="none" w:pos="1680" w:val="left"/>
        </w:tabs>
        <w:rPr>
          <w:sz w:val="20"/>
          <w:szCs w:val="20"/>
          <w:color w:val="auto"/>
        </w:rPr>
      </w:pPr>
      <w:r>
        <w:rPr>
          <w:rFonts w:ascii="Arial" w:cs="Arial" w:eastAsia="Arial" w:hAnsi="Arial"/>
          <w:sz w:val="17"/>
          <w:szCs w:val="17"/>
          <w:color w:val="auto"/>
        </w:rPr>
        <w:t>Section 1.18.</w:t>
      </w:r>
      <w:r>
        <w:rPr>
          <w:sz w:val="20"/>
          <w:szCs w:val="20"/>
          <w:color w:val="auto"/>
        </w:rPr>
        <w:tab/>
      </w:r>
      <w:r>
        <w:rPr>
          <w:rFonts w:ascii="Arial" w:cs="Arial" w:eastAsia="Arial" w:hAnsi="Arial"/>
          <w:sz w:val="15"/>
          <w:szCs w:val="15"/>
          <w:i w:val="1"/>
          <w:iCs w:val="1"/>
          <w:color w:val="auto"/>
        </w:rPr>
        <w:t>Regulatory Status and Memberships Held</w:t>
      </w:r>
      <w:r>
        <w:rPr>
          <w:rFonts w:ascii="Arial" w:cs="Arial" w:eastAsia="Arial" w:hAnsi="Arial"/>
          <w:sz w:val="15"/>
          <w:szCs w:val="15"/>
          <w:color w:val="auto"/>
        </w:rPr>
        <w:t>.</w:t>
      </w:r>
    </w:p>
    <w:p>
      <w:pPr>
        <w:spacing w:after="0" w:line="160" w:lineRule="exact"/>
        <w:rPr>
          <w:sz w:val="20"/>
          <w:szCs w:val="20"/>
          <w:color w:val="auto"/>
        </w:rPr>
      </w:pPr>
    </w:p>
    <w:p>
      <w:pPr>
        <w:jc w:val="both"/>
        <w:ind w:firstLine="563"/>
        <w:spacing w:after="0" w:line="216" w:lineRule="auto"/>
        <w:tabs>
          <w:tab w:leader="none" w:pos="1128" w:val="left"/>
        </w:tabs>
        <w:numPr>
          <w:ilvl w:val="0"/>
          <w:numId w:val="186"/>
        </w:numPr>
        <w:rPr>
          <w:rFonts w:ascii="Arial" w:cs="Arial" w:eastAsia="Arial" w:hAnsi="Arial"/>
          <w:sz w:val="17"/>
          <w:szCs w:val="17"/>
          <w:color w:val="auto"/>
        </w:rPr>
      </w:pPr>
      <w:r>
        <w:rPr>
          <w:rFonts w:ascii="Arial" w:cs="Arial" w:eastAsia="Arial" w:hAnsi="Arial"/>
          <w:sz w:val="17"/>
          <w:szCs w:val="17"/>
          <w:color w:val="auto"/>
        </w:rPr>
        <w:t>Except as set forth on Schedule 3.18, each Broker-Dealer Subsidiary is duly (i) registered, licensed or qualified as a broker-dealer and is in compliance in all material respects with all Requirements of Law of all material jurisdictions in which it is required to be so registered, licensed or qualified and each such registration, license or qualification is in full force and effect and (ii) registered as a broker-dealer with the SEC under the Exchange Act and is in compliance in all material respects with the applicable provisions of the Exchange Act and all rules and regulations thereunder and applicable state securities laws, including the net capital requirements and customer protection requirements thereof.</w:t>
      </w:r>
    </w:p>
    <w:p>
      <w:pPr>
        <w:spacing w:after="0" w:line="138" w:lineRule="exact"/>
        <w:rPr>
          <w:rFonts w:ascii="Arial" w:cs="Arial" w:eastAsia="Arial" w:hAnsi="Arial"/>
          <w:sz w:val="17"/>
          <w:szCs w:val="17"/>
          <w:color w:val="auto"/>
        </w:rPr>
      </w:pPr>
    </w:p>
    <w:p>
      <w:pPr>
        <w:jc w:val="both"/>
        <w:ind w:right="20" w:firstLine="563"/>
        <w:spacing w:after="0" w:line="225" w:lineRule="auto"/>
        <w:tabs>
          <w:tab w:leader="none" w:pos="1126" w:val="left"/>
        </w:tabs>
        <w:numPr>
          <w:ilvl w:val="0"/>
          <w:numId w:val="186"/>
        </w:numPr>
        <w:rPr>
          <w:rFonts w:ascii="Arial" w:cs="Arial" w:eastAsia="Arial" w:hAnsi="Arial"/>
          <w:sz w:val="17"/>
          <w:szCs w:val="17"/>
          <w:color w:val="auto"/>
        </w:rPr>
      </w:pPr>
      <w:r>
        <w:rPr>
          <w:rFonts w:ascii="Arial" w:cs="Arial" w:eastAsia="Arial" w:hAnsi="Arial"/>
          <w:sz w:val="17"/>
          <w:szCs w:val="17"/>
          <w:color w:val="auto"/>
        </w:rPr>
        <w:t>Each Subsidiary of the Borrower listed on Schedule 3.18 is duly registered with, or a member of, the Regulatory Supervising Organization(s) indicated for such Subsidiary and is in compliance in all material respects with all applicable rules and regulations of such Regulatory Supervising Organization(s).</w:t>
      </w:r>
    </w:p>
    <w:p>
      <w:pPr>
        <w:spacing w:after="0" w:line="137" w:lineRule="exact"/>
        <w:rPr>
          <w:sz w:val="20"/>
          <w:szCs w:val="20"/>
          <w:color w:val="auto"/>
        </w:rPr>
      </w:pPr>
    </w:p>
    <w:p>
      <w:pPr>
        <w:ind w:left="560"/>
        <w:spacing w:after="0"/>
        <w:tabs>
          <w:tab w:leader="none" w:pos="1680" w:val="left"/>
        </w:tabs>
        <w:rPr>
          <w:sz w:val="20"/>
          <w:szCs w:val="20"/>
          <w:color w:val="auto"/>
        </w:rPr>
      </w:pPr>
      <w:r>
        <w:rPr>
          <w:rFonts w:ascii="Arial" w:cs="Arial" w:eastAsia="Arial" w:hAnsi="Arial"/>
          <w:sz w:val="17"/>
          <w:szCs w:val="17"/>
          <w:color w:val="auto"/>
        </w:rPr>
        <w:t>Section 1.19.</w:t>
      </w:r>
      <w:r>
        <w:rPr>
          <w:sz w:val="20"/>
          <w:szCs w:val="20"/>
          <w:color w:val="auto"/>
        </w:rPr>
        <w:tab/>
      </w:r>
      <w:r>
        <w:rPr>
          <w:rFonts w:ascii="Arial" w:cs="Arial" w:eastAsia="Arial" w:hAnsi="Arial"/>
          <w:sz w:val="15"/>
          <w:szCs w:val="15"/>
          <w:i w:val="1"/>
          <w:iCs w:val="1"/>
          <w:color w:val="auto"/>
        </w:rPr>
        <w:t>PATRIOT Act, OFAC and FCPA</w:t>
      </w:r>
      <w:r>
        <w:rPr>
          <w:rFonts w:ascii="Arial" w:cs="Arial" w:eastAsia="Arial" w:hAnsi="Arial"/>
          <w:sz w:val="15"/>
          <w:szCs w:val="15"/>
          <w:color w:val="auto"/>
        </w:rPr>
        <w:t>.</w:t>
      </w:r>
    </w:p>
    <w:p>
      <w:pPr>
        <w:spacing w:after="0" w:line="160" w:lineRule="exact"/>
        <w:rPr>
          <w:sz w:val="20"/>
          <w:szCs w:val="20"/>
          <w:color w:val="auto"/>
        </w:rPr>
      </w:pPr>
    </w:p>
    <w:p>
      <w:pPr>
        <w:jc w:val="both"/>
        <w:ind w:right="20" w:firstLine="563"/>
        <w:spacing w:after="0" w:line="225" w:lineRule="auto"/>
        <w:tabs>
          <w:tab w:leader="none" w:pos="1128" w:val="left"/>
        </w:tabs>
        <w:numPr>
          <w:ilvl w:val="0"/>
          <w:numId w:val="187"/>
        </w:numPr>
        <w:rPr>
          <w:rFonts w:ascii="Arial" w:cs="Arial" w:eastAsia="Arial" w:hAnsi="Arial"/>
          <w:sz w:val="17"/>
          <w:szCs w:val="17"/>
          <w:color w:val="auto"/>
        </w:rPr>
      </w:pPr>
      <w:r>
        <w:rPr>
          <w:rFonts w:ascii="Arial" w:cs="Arial" w:eastAsia="Arial" w:hAnsi="Arial"/>
          <w:sz w:val="17"/>
          <w:szCs w:val="17"/>
          <w:color w:val="auto"/>
        </w:rPr>
        <w:t>Holdings, the Borrower and the Subsidiaries will not, directly or indirectly, use the proceeds of the Loans, or lend, contribute or otherwise make available such proceeds to any Subsidiary, joint venture partner or other Person, for the purpose of funding (i) any activities of or business with any Person, or in any country or territory,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117</w:t>
      </w:r>
    </w:p>
    <w:p>
      <w:pPr>
        <w:sectPr>
          <w:pgSz w:w="11900" w:h="16838" w:orient="portrait"/>
          <w:cols w:equalWidth="0" w:num="1">
            <w:col w:w="11260"/>
          </w:cols>
          <w:pgMar w:left="320" w:top="1440" w:right="319" w:bottom="1440" w:gutter="0" w:footer="0" w:header="0"/>
        </w:sectPr>
      </w:pPr>
    </w:p>
    <w:bookmarkStart w:id="291" w:name="page292"/>
    <w:bookmarkEnd w:id="291"/>
    <w:p>
      <w:pPr>
        <w:spacing w:after="0" w:line="390"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that, at the time of such funding, is the subject of Sanctions, or (ii) any other transaction that will result in a violation by any Person (including any Person participating in the transaction, whether as underwriter, advisor, investor, lender or otherwise) of Sanctions.</w:t>
      </w:r>
    </w:p>
    <w:p>
      <w:pPr>
        <w:spacing w:after="0" w:line="135" w:lineRule="exact"/>
        <w:rPr>
          <w:sz w:val="20"/>
          <w:szCs w:val="20"/>
          <w:color w:val="auto"/>
        </w:rPr>
      </w:pPr>
    </w:p>
    <w:p>
      <w:pPr>
        <w:jc w:val="both"/>
        <w:ind w:right="20" w:firstLine="563"/>
        <w:spacing w:after="0" w:line="220" w:lineRule="auto"/>
        <w:tabs>
          <w:tab w:leader="none" w:pos="1126" w:val="left"/>
        </w:tabs>
        <w:numPr>
          <w:ilvl w:val="0"/>
          <w:numId w:val="188"/>
        </w:numPr>
        <w:rPr>
          <w:rFonts w:ascii="Arial" w:cs="Arial" w:eastAsia="Arial" w:hAnsi="Arial"/>
          <w:sz w:val="17"/>
          <w:szCs w:val="17"/>
          <w:color w:val="auto"/>
        </w:rPr>
      </w:pPr>
      <w:r>
        <w:rPr>
          <w:rFonts w:ascii="Arial" w:cs="Arial" w:eastAsia="Arial" w:hAnsi="Arial"/>
          <w:sz w:val="17"/>
          <w:szCs w:val="17"/>
          <w:color w:val="auto"/>
        </w:rPr>
        <w:t>Holdings, the Borrower and the Restricted Subsidiaries will not use the proceeds of the Loans directly, or, to the knowledge of Holdings,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 (the “</w:t>
      </w:r>
      <w:r>
        <w:rPr>
          <w:rFonts w:ascii="Arial" w:cs="Arial" w:eastAsia="Arial" w:hAnsi="Arial"/>
          <w:sz w:val="17"/>
          <w:szCs w:val="17"/>
          <w:b w:val="1"/>
          <w:bCs w:val="1"/>
          <w:color w:val="auto"/>
        </w:rPr>
        <w:t>FCPA</w:t>
      </w:r>
      <w:r>
        <w:rPr>
          <w:rFonts w:ascii="Arial" w:cs="Arial" w:eastAsia="Arial" w:hAnsi="Arial"/>
          <w:sz w:val="17"/>
          <w:szCs w:val="17"/>
          <w:color w:val="auto"/>
        </w:rPr>
        <w:t>”).</w:t>
      </w:r>
    </w:p>
    <w:p>
      <w:pPr>
        <w:spacing w:after="0" w:line="135" w:lineRule="exact"/>
        <w:rPr>
          <w:rFonts w:ascii="Arial" w:cs="Arial" w:eastAsia="Arial" w:hAnsi="Arial"/>
          <w:sz w:val="17"/>
          <w:szCs w:val="17"/>
          <w:color w:val="auto"/>
        </w:rPr>
      </w:pPr>
    </w:p>
    <w:p>
      <w:pPr>
        <w:jc w:val="both"/>
        <w:ind w:firstLine="563"/>
        <w:spacing w:after="0" w:line="225" w:lineRule="auto"/>
        <w:tabs>
          <w:tab w:leader="none" w:pos="1128" w:val="left"/>
        </w:tabs>
        <w:numPr>
          <w:ilvl w:val="0"/>
          <w:numId w:val="188"/>
        </w:numPr>
        <w:rPr>
          <w:rFonts w:ascii="Arial" w:cs="Arial" w:eastAsia="Arial" w:hAnsi="Arial"/>
          <w:sz w:val="17"/>
          <w:szCs w:val="17"/>
          <w:color w:val="auto"/>
        </w:rPr>
      </w:pPr>
      <w:r>
        <w:rPr>
          <w:rFonts w:ascii="Arial" w:cs="Arial" w:eastAsia="Arial" w:hAnsi="Arial"/>
          <w:sz w:val="17"/>
          <w:szCs w:val="17"/>
          <w:color w:val="auto"/>
        </w:rPr>
        <w:t>Except as could not, individually or in the aggregate, reasonably be expected to result in a Material Adverse Effect, none of Holdings, the Borrower or any Subsidiary has, in the past three years, committed a violation of applicable regulations of the United States Department of the Treasury’s Office of Foreign Assets Control (“</w:t>
      </w:r>
      <w:r>
        <w:rPr>
          <w:rFonts w:ascii="Arial" w:cs="Arial" w:eastAsia="Arial" w:hAnsi="Arial"/>
          <w:sz w:val="17"/>
          <w:szCs w:val="17"/>
          <w:b w:val="1"/>
          <w:bCs w:val="1"/>
          <w:color w:val="auto"/>
        </w:rPr>
        <w:t>OFAC</w:t>
      </w:r>
      <w:r>
        <w:rPr>
          <w:rFonts w:ascii="Arial" w:cs="Arial" w:eastAsia="Arial" w:hAnsi="Arial"/>
          <w:sz w:val="17"/>
          <w:szCs w:val="17"/>
          <w:color w:val="auto"/>
        </w:rPr>
        <w:t>”), Title III of the USA Patriot Act or the FCPA.</w:t>
      </w:r>
    </w:p>
    <w:p>
      <w:pPr>
        <w:spacing w:after="0" w:line="130" w:lineRule="exact"/>
        <w:rPr>
          <w:rFonts w:ascii="Arial" w:cs="Arial" w:eastAsia="Arial" w:hAnsi="Arial"/>
          <w:sz w:val="17"/>
          <w:szCs w:val="17"/>
          <w:color w:val="auto"/>
        </w:rPr>
      </w:pPr>
    </w:p>
    <w:p>
      <w:pPr>
        <w:jc w:val="both"/>
        <w:ind w:firstLine="563"/>
        <w:spacing w:after="0" w:line="215" w:lineRule="auto"/>
        <w:tabs>
          <w:tab w:leader="none" w:pos="1126" w:val="left"/>
        </w:tabs>
        <w:numPr>
          <w:ilvl w:val="0"/>
          <w:numId w:val="188"/>
        </w:numPr>
        <w:rPr>
          <w:rFonts w:ascii="Arial" w:cs="Arial" w:eastAsia="Arial" w:hAnsi="Arial"/>
          <w:sz w:val="17"/>
          <w:szCs w:val="17"/>
          <w:color w:val="auto"/>
        </w:rPr>
      </w:pPr>
      <w:r>
        <w:rPr>
          <w:rFonts w:ascii="Arial" w:cs="Arial" w:eastAsia="Arial" w:hAnsi="Arial"/>
          <w:sz w:val="17"/>
          <w:szCs w:val="17"/>
          <w:color w:val="auto"/>
        </w:rPr>
        <w:t>(i) None of the Loan Parties is an individual or entity currently on OFAC’s list of Specially Designated Nationals and Blocked Persons (the “</w:t>
      </w:r>
      <w:r>
        <w:rPr>
          <w:rFonts w:ascii="Arial" w:cs="Arial" w:eastAsia="Arial" w:hAnsi="Arial"/>
          <w:sz w:val="17"/>
          <w:szCs w:val="17"/>
          <w:b w:val="1"/>
          <w:bCs w:val="1"/>
          <w:color w:val="auto"/>
        </w:rPr>
        <w:t>SDN</w:t>
      </w:r>
      <w:r>
        <w:rPr>
          <w:rFonts w:ascii="Arial" w:cs="Arial" w:eastAsia="Arial" w:hAnsi="Arial"/>
          <w:sz w:val="17"/>
          <w:szCs w:val="17"/>
          <w:color w:val="auto"/>
        </w:rPr>
        <w:t xml:space="preserve"> </w:t>
      </w:r>
      <w:r>
        <w:rPr>
          <w:rFonts w:ascii="Arial" w:cs="Arial" w:eastAsia="Arial" w:hAnsi="Arial"/>
          <w:sz w:val="17"/>
          <w:szCs w:val="17"/>
          <w:b w:val="1"/>
          <w:bCs w:val="1"/>
          <w:color w:val="auto"/>
        </w:rPr>
        <w:t>List</w:t>
      </w:r>
      <w:r>
        <w:rPr>
          <w:rFonts w:ascii="Arial" w:cs="Arial" w:eastAsia="Arial" w:hAnsi="Arial"/>
          <w:sz w:val="17"/>
          <w:szCs w:val="17"/>
          <w:color w:val="auto"/>
        </w:rPr>
        <w:t>”) or is owned 50% or more, directly or indirectly, by one or more parties on the SDN List and (ii) except as would not, individually or in the aggregate,</w:t>
      </w:r>
      <w:r>
        <w:rPr>
          <w:rFonts w:ascii="Arial" w:cs="Arial" w:eastAsia="Arial" w:hAnsi="Arial"/>
          <w:sz w:val="17"/>
          <w:szCs w:val="17"/>
          <w:b w:val="1"/>
          <w:bCs w:val="1"/>
          <w:color w:val="auto"/>
        </w:rPr>
        <w:t xml:space="preserve"> </w:t>
      </w:r>
      <w:r>
        <w:rPr>
          <w:rFonts w:ascii="Arial" w:cs="Arial" w:eastAsia="Arial" w:hAnsi="Arial"/>
          <w:sz w:val="17"/>
          <w:szCs w:val="17"/>
          <w:color w:val="auto"/>
        </w:rPr>
        <w:t>reasonably be expected to result in a Material Adverse Effect, none of the Restricted Subsidiaries that are not Loan Parties or, to the knowledge of Holdings, any director, officer, employee or agent of any Loan Party or other Restricted Subsidiary, in each case, is an individual or entity currently on the SDN List or is owned 50% or more, directly or indirectly, by one or more parties on the SDN List, nor is Holdings, the Borrower or any Restricted Subsidiary located, organized or resident in a country or territory that is the subject of Sanctions.</w:t>
      </w:r>
    </w:p>
    <w:p>
      <w:pPr>
        <w:spacing w:after="0" w:line="139" w:lineRule="exact"/>
        <w:rPr>
          <w:sz w:val="20"/>
          <w:szCs w:val="20"/>
          <w:color w:val="auto"/>
        </w:rPr>
      </w:pPr>
    </w:p>
    <w:p>
      <w:pPr>
        <w:ind w:left="560"/>
        <w:spacing w:after="0"/>
        <w:tabs>
          <w:tab w:leader="none" w:pos="1680" w:val="left"/>
        </w:tabs>
        <w:rPr>
          <w:sz w:val="20"/>
          <w:szCs w:val="20"/>
          <w:color w:val="auto"/>
        </w:rPr>
      </w:pPr>
      <w:r>
        <w:rPr>
          <w:rFonts w:ascii="Arial" w:cs="Arial" w:eastAsia="Arial" w:hAnsi="Arial"/>
          <w:sz w:val="17"/>
          <w:szCs w:val="17"/>
          <w:color w:val="auto"/>
        </w:rPr>
        <w:t>Section 1.20.</w:t>
      </w:r>
      <w:r>
        <w:rPr>
          <w:sz w:val="20"/>
          <w:szCs w:val="20"/>
          <w:color w:val="auto"/>
        </w:rPr>
        <w:tab/>
      </w:r>
      <w:r>
        <w:rPr>
          <w:rFonts w:ascii="Arial" w:cs="Arial" w:eastAsia="Arial" w:hAnsi="Arial"/>
          <w:sz w:val="16"/>
          <w:szCs w:val="16"/>
          <w:i w:val="1"/>
          <w:iCs w:val="1"/>
          <w:color w:val="auto"/>
        </w:rPr>
        <w:t>EEA Financial Institutions</w:t>
      </w:r>
      <w:r>
        <w:rPr>
          <w:rFonts w:ascii="Arial" w:cs="Arial" w:eastAsia="Arial" w:hAnsi="Arial"/>
          <w:sz w:val="16"/>
          <w:szCs w:val="16"/>
          <w:color w:val="auto"/>
        </w:rPr>
        <w:t>. No Loan Party is an EEA Financial Institution.</w:t>
      </w:r>
    </w:p>
    <w:p>
      <w:pPr>
        <w:spacing w:after="0" w:line="197" w:lineRule="exact"/>
        <w:rPr>
          <w:sz w:val="20"/>
          <w:szCs w:val="20"/>
          <w:color w:val="auto"/>
        </w:rPr>
      </w:pPr>
    </w:p>
    <w:p>
      <w:pPr>
        <w:jc w:val="center"/>
        <w:ind w:right="360"/>
        <w:spacing w:after="0"/>
        <w:rPr>
          <w:sz w:val="20"/>
          <w:szCs w:val="20"/>
          <w:color w:val="auto"/>
        </w:rPr>
      </w:pPr>
      <w:r>
        <w:rPr>
          <w:rFonts w:ascii="Arial" w:cs="Arial" w:eastAsia="Arial" w:hAnsi="Arial"/>
          <w:sz w:val="16"/>
          <w:szCs w:val="16"/>
          <w:color w:val="auto"/>
        </w:rPr>
        <w:t>ARTICLE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Conditions</w:t>
      </w:r>
    </w:p>
    <w:p>
      <w:pPr>
        <w:spacing w:after="0" w:line="195" w:lineRule="exact"/>
        <w:rPr>
          <w:sz w:val="20"/>
          <w:szCs w:val="20"/>
          <w:color w:val="auto"/>
        </w:rPr>
      </w:pPr>
    </w:p>
    <w:p>
      <w:pPr>
        <w:ind w:firstLine="568"/>
        <w:spacing w:after="0" w:line="237" w:lineRule="auto"/>
        <w:rPr>
          <w:sz w:val="20"/>
          <w:szCs w:val="20"/>
          <w:color w:val="auto"/>
        </w:rPr>
      </w:pPr>
      <w:r>
        <w:rPr>
          <w:rFonts w:ascii="Arial" w:cs="Arial" w:eastAsia="Arial" w:hAnsi="Arial"/>
          <w:sz w:val="17"/>
          <w:szCs w:val="17"/>
          <w:color w:val="auto"/>
        </w:rPr>
        <w:t xml:space="preserve">Section 1.01. </w:t>
      </w:r>
      <w:r>
        <w:rPr>
          <w:rFonts w:ascii="Arial" w:cs="Arial" w:eastAsia="Arial" w:hAnsi="Arial"/>
          <w:sz w:val="17"/>
          <w:szCs w:val="17"/>
          <w:i w:val="1"/>
          <w:iCs w:val="1"/>
          <w:color w:val="auto"/>
        </w:rPr>
        <w:t>Closing Date.</w:t>
      </w:r>
      <w:r>
        <w:rPr>
          <w:rFonts w:ascii="Arial" w:cs="Arial" w:eastAsia="Arial" w:hAnsi="Arial"/>
          <w:sz w:val="17"/>
          <w:szCs w:val="17"/>
          <w:color w:val="auto"/>
        </w:rPr>
        <w:t xml:space="preserve"> The obligations of the Lenders to make Loans hereunder on the Closing Date shall not become effective until the date on which each of the following conditions shall be satisfied (or waived in accordance with Section 9.02):</w:t>
      </w:r>
    </w:p>
    <w:p>
      <w:pPr>
        <w:spacing w:after="0" w:line="135" w:lineRule="exact"/>
        <w:rPr>
          <w:sz w:val="20"/>
          <w:szCs w:val="20"/>
          <w:color w:val="auto"/>
        </w:rPr>
      </w:pPr>
    </w:p>
    <w:p>
      <w:pPr>
        <w:jc w:val="both"/>
        <w:ind w:right="20" w:firstLine="563"/>
        <w:spacing w:after="0" w:line="225" w:lineRule="auto"/>
        <w:tabs>
          <w:tab w:leader="none" w:pos="1128" w:val="left"/>
        </w:tabs>
        <w:numPr>
          <w:ilvl w:val="0"/>
          <w:numId w:val="189"/>
        </w:numPr>
        <w:rPr>
          <w:rFonts w:ascii="Arial" w:cs="Arial" w:eastAsia="Arial" w:hAnsi="Arial"/>
          <w:sz w:val="17"/>
          <w:szCs w:val="17"/>
          <w:color w:val="auto"/>
        </w:rPr>
      </w:pPr>
      <w:r>
        <w:rPr>
          <w:rFonts w:ascii="Arial" w:cs="Arial" w:eastAsia="Arial" w:hAnsi="Arial"/>
          <w:sz w:val="17"/>
          <w:szCs w:val="17"/>
          <w:color w:val="auto"/>
        </w:rPr>
        <w:t>The Administrative Agent (or its counsel) shall have received from each party hereto a counterpart of this Agreement signed on behalf of such party (which, subject to Section 9.06(b), may include any Electronic Signatures transmitted by telecopy, emailed pdf. or any other electronic means that reproduces an image of an actual executed signature page).</w:t>
      </w:r>
    </w:p>
    <w:p>
      <w:pPr>
        <w:spacing w:after="0" w:line="136" w:lineRule="exact"/>
        <w:rPr>
          <w:rFonts w:ascii="Arial" w:cs="Arial" w:eastAsia="Arial" w:hAnsi="Arial"/>
          <w:sz w:val="17"/>
          <w:szCs w:val="17"/>
          <w:color w:val="auto"/>
        </w:rPr>
      </w:pPr>
    </w:p>
    <w:p>
      <w:pPr>
        <w:jc w:val="both"/>
        <w:ind w:firstLine="563"/>
        <w:spacing w:after="0" w:line="234" w:lineRule="auto"/>
        <w:tabs>
          <w:tab w:leader="none" w:pos="1126" w:val="left"/>
        </w:tabs>
        <w:numPr>
          <w:ilvl w:val="0"/>
          <w:numId w:val="189"/>
        </w:numPr>
        <w:rPr>
          <w:rFonts w:ascii="Arial" w:cs="Arial" w:eastAsia="Arial" w:hAnsi="Arial"/>
          <w:sz w:val="16"/>
          <w:szCs w:val="16"/>
          <w:color w:val="auto"/>
        </w:rPr>
      </w:pPr>
      <w:r>
        <w:rPr>
          <w:rFonts w:ascii="Arial" w:cs="Arial" w:eastAsia="Arial" w:hAnsi="Arial"/>
          <w:sz w:val="16"/>
          <w:szCs w:val="16"/>
          <w:color w:val="auto"/>
        </w:rPr>
        <w:t>The Administrative Agent shall have received written opinions (addressed to the Administrative Agent and the Lenders and dated the Closing Date) of Paul, Weiss, Rifkind, Wharton &amp; Garrison LLP, New York counsel for the Loan Parties, and Cleary, Gottlieb, Steen &amp; Hamilton LLP, special counsel for the Loan Parties, as to such matters as the Administrative Agent may reasonably request and in form and substance reasonably satisfactory to the Administrative Agent and the Lead Arrangers. Each of Holdings and the Borrower hereby requests such counsels to deliver such opinions.</w:t>
      </w:r>
    </w:p>
    <w:p>
      <w:pPr>
        <w:spacing w:after="0" w:line="130" w:lineRule="exact"/>
        <w:rPr>
          <w:rFonts w:ascii="Arial" w:cs="Arial" w:eastAsia="Arial" w:hAnsi="Arial"/>
          <w:sz w:val="16"/>
          <w:szCs w:val="16"/>
          <w:color w:val="auto"/>
        </w:rPr>
      </w:pPr>
    </w:p>
    <w:p>
      <w:pPr>
        <w:ind w:left="1120" w:hanging="557"/>
        <w:spacing w:after="0"/>
        <w:tabs>
          <w:tab w:leader="none" w:pos="112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The Administrative Agent shall have received a certificate of each Loan Party, dated the Closing Date, substantially in the form of Exhibit G with</w:t>
      </w:r>
    </w:p>
    <w:p>
      <w:pPr>
        <w:spacing w:after="0"/>
        <w:rPr>
          <w:rFonts w:ascii="Arial" w:cs="Arial" w:eastAsia="Arial" w:hAnsi="Arial"/>
          <w:sz w:val="16"/>
          <w:szCs w:val="16"/>
          <w:color w:val="auto"/>
        </w:rPr>
      </w:pPr>
      <w:r>
        <w:rPr>
          <w:rFonts w:ascii="Arial" w:cs="Arial" w:eastAsia="Arial" w:hAnsi="Arial"/>
          <w:sz w:val="17"/>
          <w:szCs w:val="17"/>
          <w:color w:val="auto"/>
        </w:rPr>
        <w:t>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118</w:t>
      </w:r>
    </w:p>
    <w:p>
      <w:pPr>
        <w:sectPr>
          <w:pgSz w:w="11900" w:h="16838" w:orient="portrait"/>
          <w:cols w:equalWidth="0" w:num="1">
            <w:col w:w="11260"/>
          </w:cols>
          <w:pgMar w:left="320" w:top="1440" w:right="319" w:bottom="1440" w:gutter="0" w:footer="0" w:header="0"/>
        </w:sectPr>
      </w:pPr>
    </w:p>
    <w:bookmarkStart w:id="292" w:name="page293"/>
    <w:bookmarkEnd w:id="292"/>
    <w:p>
      <w:pPr>
        <w:spacing w:after="0" w:line="390" w:lineRule="exact"/>
        <w:rPr>
          <w:sz w:val="20"/>
          <w:szCs w:val="20"/>
          <w:color w:val="auto"/>
        </w:rPr>
      </w:pPr>
    </w:p>
    <w:p>
      <w:pPr>
        <w:spacing w:after="0"/>
        <w:rPr>
          <w:sz w:val="20"/>
          <w:szCs w:val="20"/>
          <w:color w:val="auto"/>
        </w:rPr>
      </w:pPr>
      <w:r>
        <w:rPr>
          <w:rFonts w:ascii="Arial" w:cs="Arial" w:eastAsia="Arial" w:hAnsi="Arial"/>
          <w:sz w:val="16"/>
          <w:szCs w:val="16"/>
          <w:color w:val="auto"/>
        </w:rPr>
        <w:t>insertions, executed by any Responsible Officer of such Loan Party, and including or attaching the documents referred to in paragraph (d) of this Section.</w:t>
      </w:r>
    </w:p>
    <w:p>
      <w:pPr>
        <w:spacing w:after="0" w:line="171" w:lineRule="exact"/>
        <w:rPr>
          <w:sz w:val="20"/>
          <w:szCs w:val="20"/>
          <w:color w:val="auto"/>
        </w:rPr>
      </w:pPr>
    </w:p>
    <w:p>
      <w:pPr>
        <w:jc w:val="both"/>
        <w:ind w:firstLine="563"/>
        <w:spacing w:after="0" w:line="228" w:lineRule="auto"/>
        <w:tabs>
          <w:tab w:leader="none" w:pos="1126" w:val="left"/>
        </w:tabs>
        <w:numPr>
          <w:ilvl w:val="0"/>
          <w:numId w:val="190"/>
        </w:numPr>
        <w:rPr>
          <w:rFonts w:ascii="Arial" w:cs="Arial" w:eastAsia="Arial" w:hAnsi="Arial"/>
          <w:sz w:val="16"/>
          <w:szCs w:val="16"/>
          <w:color w:val="auto"/>
        </w:rPr>
      </w:pPr>
      <w:r>
        <w:rPr>
          <w:rFonts w:ascii="Arial" w:cs="Arial" w:eastAsia="Arial" w:hAnsi="Arial"/>
          <w:sz w:val="16"/>
          <w:szCs w:val="16"/>
          <w:color w:val="auto"/>
        </w:rPr>
        <w:t>The Administrative Agent shall have received a copy of (i) each Organizational Document of each Loan Party certified, to the extent applicable, as of a recent date by the applicable Governmental Authority, (ii) signature and incumbency certificates of the Responsible Officers of each Loan Party executing the Loan Documents to which it is a party, (iii) resolutions of the board of directors and/or similar governing bodies of each Loan Party approving and authorizing the execution, delivery and performance of the Loan Documents to which it is a party, certified as of the Closing Date by its secretary, an assistant secretary or a Responsible Officer as being in full force and effect without modification or amendment, and (iv) a good standing certificate (to the extent such concept exists) from the applicable Governmental Authority of each Loan Party’s jurisdiction of incorporation, organization or formation.</w:t>
      </w:r>
    </w:p>
    <w:p>
      <w:pPr>
        <w:spacing w:after="0" w:line="135" w:lineRule="exact"/>
        <w:rPr>
          <w:rFonts w:ascii="Arial" w:cs="Arial" w:eastAsia="Arial" w:hAnsi="Arial"/>
          <w:sz w:val="16"/>
          <w:szCs w:val="16"/>
          <w:color w:val="auto"/>
        </w:rPr>
      </w:pPr>
    </w:p>
    <w:p>
      <w:pPr>
        <w:jc w:val="both"/>
        <w:ind w:right="20" w:firstLine="563"/>
        <w:spacing w:after="0" w:line="220" w:lineRule="auto"/>
        <w:tabs>
          <w:tab w:leader="none" w:pos="1128" w:val="left"/>
        </w:tabs>
        <w:numPr>
          <w:ilvl w:val="0"/>
          <w:numId w:val="190"/>
        </w:numPr>
        <w:rPr>
          <w:rFonts w:ascii="Arial" w:cs="Arial" w:eastAsia="Arial" w:hAnsi="Arial"/>
          <w:sz w:val="17"/>
          <w:szCs w:val="17"/>
          <w:color w:val="auto"/>
        </w:rPr>
      </w:pPr>
      <w:r>
        <w:rPr>
          <w:rFonts w:ascii="Arial" w:cs="Arial" w:eastAsia="Arial" w:hAnsi="Arial"/>
          <w:sz w:val="17"/>
          <w:szCs w:val="17"/>
          <w:color w:val="auto"/>
        </w:rPr>
        <w:t>The Administrative Agent shall have received all fees and other amounts previously agreed in writing by the Lead Arrangers and the Borrower to be due and payable on or prior to the Closing Date, including, to the extent invoiced at least three Business Days prior to the Closing Date (or such later day as the Borrower may reasonably agree), reimbursement or payment of all out-of-pocket expenses (including reasonable fees, charges and disbursements of counsel) required to be reimbursed or paid by any Loan Party under any Loan Document.</w:t>
      </w:r>
    </w:p>
    <w:p>
      <w:pPr>
        <w:spacing w:after="0" w:line="135" w:lineRule="exact"/>
        <w:rPr>
          <w:rFonts w:ascii="Arial" w:cs="Arial" w:eastAsia="Arial" w:hAnsi="Arial"/>
          <w:sz w:val="17"/>
          <w:szCs w:val="17"/>
          <w:color w:val="auto"/>
        </w:rPr>
      </w:pPr>
    </w:p>
    <w:p>
      <w:pPr>
        <w:jc w:val="both"/>
        <w:ind w:right="20" w:firstLine="563"/>
        <w:spacing w:after="0" w:line="230" w:lineRule="auto"/>
        <w:tabs>
          <w:tab w:leader="none" w:pos="1132" w:val="left"/>
        </w:tabs>
        <w:numPr>
          <w:ilvl w:val="0"/>
          <w:numId w:val="190"/>
        </w:numPr>
        <w:rPr>
          <w:rFonts w:ascii="Arial" w:cs="Arial" w:eastAsia="Arial" w:hAnsi="Arial"/>
          <w:sz w:val="16"/>
          <w:szCs w:val="16"/>
          <w:color w:val="auto"/>
        </w:rPr>
      </w:pPr>
      <w:r>
        <w:rPr>
          <w:rFonts w:ascii="Arial" w:cs="Arial" w:eastAsia="Arial" w:hAnsi="Arial"/>
          <w:sz w:val="16"/>
          <w:szCs w:val="16"/>
          <w:color w:val="auto"/>
        </w:rPr>
        <w:t>The Administrative Agent and the Lead Arrangers shall have received, at least three (3) Business Days prior to the Closing Date, all documentation and other information about the Loan Parties (including a Beneficial Ownership Certification by the Borrower required under the Beneficial Ownership Regulation) as shall have been reasonably requested in writing at least 10 Business Days prior to the Closing Date by the Administrative Agent or the Lead Arrangers that they shall have reasonably determined is required by regulatory authorities under applicable “know your customer” and anti-money laundering rules and regulations, including without limitation the USA Patriot Act and the Beneficial Ownership Regulation.</w:t>
      </w:r>
    </w:p>
    <w:p>
      <w:pPr>
        <w:spacing w:after="0" w:line="136" w:lineRule="exact"/>
        <w:rPr>
          <w:rFonts w:ascii="Arial" w:cs="Arial" w:eastAsia="Arial" w:hAnsi="Arial"/>
          <w:sz w:val="16"/>
          <w:szCs w:val="16"/>
          <w:color w:val="auto"/>
        </w:rPr>
      </w:pPr>
    </w:p>
    <w:p>
      <w:pPr>
        <w:ind w:left="1120" w:hanging="557"/>
        <w:spacing w:after="0"/>
        <w:tabs>
          <w:tab w:leader="none" w:pos="112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The Administrative Agent shall have received a Borrowing Request requesting the borrowing of the Initial Term Loans.</w:t>
      </w:r>
    </w:p>
    <w:p>
      <w:pPr>
        <w:spacing w:after="0" w:line="159" w:lineRule="exact"/>
        <w:rPr>
          <w:rFonts w:ascii="Arial" w:cs="Arial" w:eastAsia="Arial" w:hAnsi="Arial"/>
          <w:sz w:val="17"/>
          <w:szCs w:val="17"/>
          <w:color w:val="auto"/>
        </w:rPr>
      </w:pPr>
    </w:p>
    <w:p>
      <w:pPr>
        <w:ind w:right="20" w:firstLine="563"/>
        <w:spacing w:after="0" w:line="237" w:lineRule="auto"/>
        <w:tabs>
          <w:tab w:leader="none" w:pos="1126" w:val="left"/>
        </w:tabs>
        <w:numPr>
          <w:ilvl w:val="0"/>
          <w:numId w:val="190"/>
        </w:numPr>
        <w:rPr>
          <w:rFonts w:ascii="Arial" w:cs="Arial" w:eastAsia="Arial" w:hAnsi="Arial"/>
          <w:sz w:val="17"/>
          <w:szCs w:val="17"/>
          <w:color w:val="auto"/>
        </w:rPr>
      </w:pPr>
      <w:r>
        <w:rPr>
          <w:rFonts w:ascii="Arial" w:cs="Arial" w:eastAsia="Arial" w:hAnsi="Arial"/>
          <w:sz w:val="17"/>
          <w:szCs w:val="17"/>
          <w:color w:val="auto"/>
        </w:rPr>
        <w:t>The Existing Credit Agreement Refinancing shall have been consummated or shall substantially concurrently be consummated with the borrowing of the Initial Term Loans.</w:t>
      </w:r>
    </w:p>
    <w:p>
      <w:pPr>
        <w:spacing w:after="0" w:line="134" w:lineRule="exact"/>
        <w:rPr>
          <w:rFonts w:ascii="Arial" w:cs="Arial" w:eastAsia="Arial" w:hAnsi="Arial"/>
          <w:sz w:val="17"/>
          <w:szCs w:val="17"/>
          <w:color w:val="auto"/>
        </w:rPr>
      </w:pPr>
    </w:p>
    <w:p>
      <w:pPr>
        <w:jc w:val="both"/>
        <w:ind w:firstLine="563"/>
        <w:spacing w:after="0" w:line="224" w:lineRule="auto"/>
        <w:tabs>
          <w:tab w:leader="none" w:pos="1134" w:val="left"/>
        </w:tabs>
        <w:numPr>
          <w:ilvl w:val="0"/>
          <w:numId w:val="190"/>
        </w:numPr>
        <w:rPr>
          <w:rFonts w:ascii="Arial" w:cs="Arial" w:eastAsia="Arial" w:hAnsi="Arial"/>
          <w:sz w:val="16"/>
          <w:szCs w:val="16"/>
          <w:color w:val="auto"/>
        </w:rPr>
      </w:pPr>
      <w:r>
        <w:rPr>
          <w:rFonts w:ascii="Arial" w:cs="Arial" w:eastAsia="Arial" w:hAnsi="Arial"/>
          <w:sz w:val="16"/>
          <w:szCs w:val="16"/>
          <w:color w:val="auto"/>
        </w:rPr>
        <w:t>The Collateral and Guarantee Requirement shall have been satisfied and the Administrative Agent shall have received (A) a completed Perfection Certificate dated the Closing Date and signed by a Responsible Officer of the Borrower, together with all attachments contemplated thereby, (B) UCC, tax and judgment lien searches in respect of the Loan Parties; (C) counterparts of each of the Guarantee Agreement and the Collateral Agreement duly executed and delivered by the Loan Parties, (D) certificates evidencing equity interests of the Borrower and its Subsidiaries (in each case, to the extent certificated) evidencing the Equity Interests required to be pledged pursuant to the Collateral and Guarantee Requirement with respect to which a Lien may be perfected by the delivery of a stock or equivalent certificate, (E) “short form” intellectual property security agreements with respect to the Intellectual Property of the Loan Parties that is to be perfected by filing such agreements with the United States Patent and Trademark Office or the United States Copyright Office, duly executed by each Loan Party party thereto and (e) Uniform Commercial Code financing statements with respect to perfection of security interests in assets of the Loan Parties that may be perfected by the filing of a financing statement under the Uniform Commercial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119</w:t>
      </w:r>
    </w:p>
    <w:p>
      <w:pPr>
        <w:sectPr>
          <w:pgSz w:w="11900" w:h="16838" w:orient="portrait"/>
          <w:cols w:equalWidth="0" w:num="1">
            <w:col w:w="11260"/>
          </w:cols>
          <w:pgMar w:left="320" w:top="1440" w:right="319" w:bottom="1440" w:gutter="0" w:footer="0" w:header="0"/>
        </w:sectPr>
      </w:pPr>
    </w:p>
    <w:bookmarkStart w:id="293" w:name="page294"/>
    <w:bookmarkEnd w:id="293"/>
    <w:p>
      <w:pPr>
        <w:spacing w:after="0" w:line="390" w:lineRule="exact"/>
        <w:rPr>
          <w:sz w:val="20"/>
          <w:szCs w:val="20"/>
          <w:color w:val="auto"/>
        </w:rPr>
      </w:pPr>
    </w:p>
    <w:p>
      <w:pPr>
        <w:ind w:firstLine="563"/>
        <w:spacing w:after="0" w:line="237" w:lineRule="auto"/>
        <w:tabs>
          <w:tab w:leader="none" w:pos="1134" w:val="left"/>
        </w:tabs>
        <w:numPr>
          <w:ilvl w:val="0"/>
          <w:numId w:val="191"/>
        </w:numPr>
        <w:rPr>
          <w:rFonts w:ascii="Arial" w:cs="Arial" w:eastAsia="Arial" w:hAnsi="Arial"/>
          <w:sz w:val="17"/>
          <w:szCs w:val="17"/>
          <w:color w:val="auto"/>
        </w:rPr>
      </w:pPr>
      <w:r>
        <w:rPr>
          <w:rFonts w:ascii="Arial" w:cs="Arial" w:eastAsia="Arial" w:hAnsi="Arial"/>
          <w:sz w:val="17"/>
          <w:szCs w:val="17"/>
          <w:color w:val="auto"/>
        </w:rPr>
        <w:t>The Administrative Agent and the Lead Arrangers shall have received the Audited Financial Statements and the Unaudited Financial Statements, in each case which shall be prepared in accordance with GAAP.</w:t>
      </w:r>
    </w:p>
    <w:p>
      <w:pPr>
        <w:spacing w:after="0" w:line="134" w:lineRule="exact"/>
        <w:rPr>
          <w:rFonts w:ascii="Arial" w:cs="Arial" w:eastAsia="Arial" w:hAnsi="Arial"/>
          <w:sz w:val="17"/>
          <w:szCs w:val="17"/>
          <w:color w:val="auto"/>
        </w:rPr>
      </w:pPr>
    </w:p>
    <w:p>
      <w:pPr>
        <w:ind w:right="20" w:firstLine="563"/>
        <w:spacing w:after="0" w:line="237" w:lineRule="auto"/>
        <w:tabs>
          <w:tab w:leader="none" w:pos="1126" w:val="left"/>
        </w:tabs>
        <w:numPr>
          <w:ilvl w:val="0"/>
          <w:numId w:val="191"/>
        </w:numPr>
        <w:rPr>
          <w:rFonts w:ascii="Arial" w:cs="Arial" w:eastAsia="Arial" w:hAnsi="Arial"/>
          <w:sz w:val="17"/>
          <w:szCs w:val="17"/>
          <w:color w:val="auto"/>
        </w:rPr>
      </w:pPr>
      <w:r>
        <w:rPr>
          <w:rFonts w:ascii="Arial" w:cs="Arial" w:eastAsia="Arial" w:hAnsi="Arial"/>
          <w:sz w:val="17"/>
          <w:szCs w:val="17"/>
          <w:color w:val="auto"/>
        </w:rPr>
        <w:t>The Administrative Agent shall have received a solvency certificate from the Borrower’s chief financial officer in substantially the form attached as Exhibit R hereto.</w:t>
      </w:r>
    </w:p>
    <w:p>
      <w:pPr>
        <w:spacing w:after="0" w:line="134" w:lineRule="exact"/>
        <w:rPr>
          <w:rFonts w:ascii="Arial" w:cs="Arial" w:eastAsia="Arial" w:hAnsi="Arial"/>
          <w:sz w:val="17"/>
          <w:szCs w:val="17"/>
          <w:color w:val="auto"/>
        </w:rPr>
      </w:pPr>
    </w:p>
    <w:p>
      <w:pPr>
        <w:ind w:right="20" w:firstLine="563"/>
        <w:spacing w:after="0" w:line="237" w:lineRule="auto"/>
        <w:tabs>
          <w:tab w:leader="none" w:pos="1134" w:val="left"/>
        </w:tabs>
        <w:numPr>
          <w:ilvl w:val="0"/>
          <w:numId w:val="191"/>
        </w:numPr>
        <w:rPr>
          <w:rFonts w:ascii="Arial" w:cs="Arial" w:eastAsia="Arial" w:hAnsi="Arial"/>
          <w:sz w:val="17"/>
          <w:szCs w:val="17"/>
          <w:color w:val="auto"/>
        </w:rPr>
      </w:pPr>
      <w:r>
        <w:rPr>
          <w:rFonts w:ascii="Arial" w:cs="Arial" w:eastAsia="Arial" w:hAnsi="Arial"/>
          <w:sz w:val="17"/>
          <w:szCs w:val="17"/>
          <w:color w:val="auto"/>
        </w:rPr>
        <w:t>The Administrative Agent shall have received a certificate from a Responsible Officer of the Borrower certifying as to the satisfaction of the conditions set forth in clauses (m) and (n) of this Section 4.01.</w:t>
      </w:r>
    </w:p>
    <w:p>
      <w:pPr>
        <w:spacing w:after="0" w:line="134" w:lineRule="exact"/>
        <w:rPr>
          <w:rFonts w:ascii="Arial" w:cs="Arial" w:eastAsia="Arial" w:hAnsi="Arial"/>
          <w:sz w:val="17"/>
          <w:szCs w:val="17"/>
          <w:color w:val="auto"/>
        </w:rPr>
      </w:pPr>
    </w:p>
    <w:p>
      <w:pPr>
        <w:jc w:val="both"/>
        <w:ind w:right="20" w:firstLine="563"/>
        <w:spacing w:after="0" w:line="234" w:lineRule="auto"/>
        <w:tabs>
          <w:tab w:leader="none" w:pos="1126" w:val="left"/>
        </w:tabs>
        <w:numPr>
          <w:ilvl w:val="0"/>
          <w:numId w:val="191"/>
        </w:numPr>
        <w:rPr>
          <w:rFonts w:ascii="Arial" w:cs="Arial" w:eastAsia="Arial" w:hAnsi="Arial"/>
          <w:sz w:val="16"/>
          <w:szCs w:val="16"/>
          <w:color w:val="auto"/>
        </w:rPr>
      </w:pPr>
      <w:r>
        <w:rPr>
          <w:rFonts w:ascii="Arial" w:cs="Arial" w:eastAsia="Arial" w:hAnsi="Arial"/>
          <w:sz w:val="16"/>
          <w:szCs w:val="16"/>
          <w:color w:val="auto"/>
        </w:rPr>
        <w:t xml:space="preserve">The representations and warranties of each Loan Party set forth in the Loan Documents shall be true in all material respects on and as of the Closing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to the extent that such representations and warranties specifically refer to an earlier date, they shall be true and correct in all material respects as of such earlier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any representation and warranty that is qualified as to “materiality,” “Material Adverse Effect” or similar language shall be true and correct in all respects on the date of such credit extension or on such earlier date, as the case may be.</w:t>
      </w:r>
    </w:p>
    <w:p>
      <w:pPr>
        <w:spacing w:after="0" w:line="130" w:lineRule="exact"/>
        <w:rPr>
          <w:rFonts w:ascii="Arial" w:cs="Arial" w:eastAsia="Arial" w:hAnsi="Arial"/>
          <w:sz w:val="16"/>
          <w:szCs w:val="16"/>
          <w:color w:val="auto"/>
        </w:rPr>
      </w:pPr>
    </w:p>
    <w:p>
      <w:pPr>
        <w:ind w:left="1120" w:hanging="557"/>
        <w:spacing w:after="0"/>
        <w:tabs>
          <w:tab w:leader="none" w:pos="112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As of, and immediately after giving effect to the Borrowings on, the Closing Date, no Default or Event of Default shall have occurred and be</w:t>
      </w:r>
    </w:p>
    <w:p>
      <w:pPr>
        <w:spacing w:after="0"/>
        <w:rPr>
          <w:rFonts w:ascii="Arial" w:cs="Arial" w:eastAsia="Arial" w:hAnsi="Arial"/>
          <w:sz w:val="16"/>
          <w:szCs w:val="16"/>
          <w:color w:val="auto"/>
        </w:rPr>
      </w:pPr>
      <w:r>
        <w:rPr>
          <w:rFonts w:ascii="Arial" w:cs="Arial" w:eastAsia="Arial" w:hAnsi="Arial"/>
          <w:sz w:val="17"/>
          <w:szCs w:val="17"/>
          <w:color w:val="auto"/>
        </w:rPr>
        <w:t>continuing.</w:t>
      </w:r>
    </w:p>
    <w:p>
      <w:pPr>
        <w:spacing w:after="0" w:line="146" w:lineRule="exact"/>
        <w:rPr>
          <w:sz w:val="20"/>
          <w:szCs w:val="20"/>
          <w:color w:val="auto"/>
        </w:rPr>
      </w:pPr>
    </w:p>
    <w:p>
      <w:pPr>
        <w:jc w:val="both"/>
        <w:ind w:right="20" w:firstLine="568"/>
        <w:spacing w:after="0" w:line="225" w:lineRule="auto"/>
        <w:rPr>
          <w:sz w:val="20"/>
          <w:szCs w:val="20"/>
          <w:color w:val="auto"/>
        </w:rPr>
      </w:pPr>
      <w:r>
        <w:rPr>
          <w:rFonts w:ascii="Arial" w:cs="Arial" w:eastAsia="Arial" w:hAnsi="Arial"/>
          <w:sz w:val="17"/>
          <w:szCs w:val="17"/>
          <w:color w:val="auto"/>
        </w:rPr>
        <w:t xml:space="preserve">Section 1.02. </w:t>
      </w:r>
      <w:r>
        <w:rPr>
          <w:rFonts w:ascii="Arial" w:cs="Arial" w:eastAsia="Arial" w:hAnsi="Arial"/>
          <w:sz w:val="17"/>
          <w:szCs w:val="17"/>
          <w:i w:val="1"/>
          <w:iCs w:val="1"/>
          <w:color w:val="auto"/>
        </w:rPr>
        <w:t>Each Credit Event.</w:t>
      </w:r>
      <w:r>
        <w:rPr>
          <w:rFonts w:ascii="Arial" w:cs="Arial" w:eastAsia="Arial" w:hAnsi="Arial"/>
          <w:sz w:val="17"/>
          <w:szCs w:val="17"/>
          <w:color w:val="auto"/>
        </w:rPr>
        <w:t xml:space="preserve"> The obligation of each Lender to make a Loan on the occasion of any Borrowing, and of each Issuing Bank to issue, amend, renew or extend any Letter of Credit, is subject to receipt of the request therefor in accordance herewith and to the satisfaction of the following conditions:</w:t>
      </w:r>
    </w:p>
    <w:p>
      <w:pPr>
        <w:spacing w:after="0" w:line="137" w:lineRule="exact"/>
        <w:rPr>
          <w:sz w:val="20"/>
          <w:szCs w:val="20"/>
          <w:color w:val="auto"/>
        </w:rPr>
      </w:pPr>
    </w:p>
    <w:p>
      <w:pPr>
        <w:jc w:val="both"/>
        <w:ind w:firstLine="563"/>
        <w:spacing w:after="0" w:line="211" w:lineRule="auto"/>
        <w:tabs>
          <w:tab w:leader="none" w:pos="1128" w:val="left"/>
        </w:tabs>
        <w:numPr>
          <w:ilvl w:val="0"/>
          <w:numId w:val="192"/>
        </w:numPr>
        <w:rPr>
          <w:rFonts w:ascii="Arial" w:cs="Arial" w:eastAsia="Arial" w:hAnsi="Arial"/>
          <w:sz w:val="17"/>
          <w:szCs w:val="17"/>
          <w:color w:val="auto"/>
        </w:rPr>
      </w:pPr>
      <w:r>
        <w:rPr>
          <w:rFonts w:ascii="Arial" w:cs="Arial" w:eastAsia="Arial" w:hAnsi="Arial"/>
          <w:sz w:val="17"/>
          <w:szCs w:val="17"/>
          <w:color w:val="auto"/>
        </w:rPr>
        <w:t xml:space="preserve">The representations and warranties of each Loan Party set forth in the Loan Documents shall be true and correct in all material respects on and as of the date of such Borrowing or the date of issuance, amendment, renewal or extension of such Letter of Credit (other than an amendment, extension or renewal of a Letter of Credit without any increase in the available balance of such Letter of Credit), as the case may be;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to the extent that such representations and warranties specifically refer to an earlier date, they shall be true and correct in all material respects as of such earlier date;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any representation and warranty that is qualified as to “materiality,” “Material Adverse Effect” or similar language shall be true and correct in all respects on the date of such credit extension or on such earlier date, as the case may be;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 however</w:t>
      </w:r>
      <w:r>
        <w:rPr>
          <w:rFonts w:ascii="Arial" w:cs="Arial" w:eastAsia="Arial" w:hAnsi="Arial"/>
          <w:sz w:val="17"/>
          <w:szCs w:val="17"/>
          <w:color w:val="auto"/>
        </w:rPr>
        <w:t>, that in the case of any Borrowing under an Incremental Facility, the proceeds of which are to be used to fund a Limited Condition Acquisition, if agreed to by the lenders providing such Incremental Facility, such representations may be limited to the Specified Representations.</w:t>
      </w:r>
    </w:p>
    <w:p>
      <w:pPr>
        <w:spacing w:after="0" w:line="140" w:lineRule="exact"/>
        <w:rPr>
          <w:rFonts w:ascii="Arial" w:cs="Arial" w:eastAsia="Arial" w:hAnsi="Arial"/>
          <w:sz w:val="17"/>
          <w:szCs w:val="17"/>
          <w:color w:val="auto"/>
        </w:rPr>
      </w:pPr>
    </w:p>
    <w:p>
      <w:pPr>
        <w:jc w:val="both"/>
        <w:ind w:firstLine="563"/>
        <w:spacing w:after="0" w:line="216" w:lineRule="auto"/>
        <w:tabs>
          <w:tab w:leader="none" w:pos="1126" w:val="left"/>
        </w:tabs>
        <w:numPr>
          <w:ilvl w:val="0"/>
          <w:numId w:val="192"/>
        </w:numPr>
        <w:rPr>
          <w:rFonts w:ascii="Arial" w:cs="Arial" w:eastAsia="Arial" w:hAnsi="Arial"/>
          <w:sz w:val="17"/>
          <w:szCs w:val="17"/>
          <w:color w:val="auto"/>
        </w:rPr>
      </w:pPr>
      <w:r>
        <w:rPr>
          <w:rFonts w:ascii="Arial" w:cs="Arial" w:eastAsia="Arial" w:hAnsi="Arial"/>
          <w:sz w:val="17"/>
          <w:szCs w:val="17"/>
          <w:color w:val="auto"/>
        </w:rPr>
        <w:t>At the time of and immediately after giving effect to such Borrowing or the issuance, amendment, renewal or extension of such Letter of Credit (other than an amendment, extension or renewal of a Letter of Credit without any increase in the available balance of such Letter of Credit), as the case may be, no Default or Event of Default shall have occurred and be continuing (or, in the case of any Borrowing under an Incremental Facility, the proceeds of which are to be used to fund a Limited Condition Acquisition, if agreed to by the lenders providing such Incremental Facility, no Specified Event of Default shall have occurred and be continuing).</w:t>
      </w:r>
    </w:p>
    <w:p>
      <w:pPr>
        <w:spacing w:after="0" w:line="138" w:lineRule="exact"/>
        <w:rPr>
          <w:rFonts w:ascii="Arial" w:cs="Arial" w:eastAsia="Arial" w:hAnsi="Arial"/>
          <w:sz w:val="17"/>
          <w:szCs w:val="17"/>
          <w:color w:val="auto"/>
        </w:rPr>
      </w:pPr>
    </w:p>
    <w:p>
      <w:pPr>
        <w:ind w:left="1120" w:hanging="557"/>
        <w:spacing w:after="0"/>
        <w:tabs>
          <w:tab w:leader="none" w:pos="1120" w:val="left"/>
        </w:tabs>
        <w:numPr>
          <w:ilvl w:val="0"/>
          <w:numId w:val="192"/>
        </w:numPr>
        <w:rPr>
          <w:rFonts w:ascii="Arial" w:cs="Arial" w:eastAsia="Arial" w:hAnsi="Arial"/>
          <w:sz w:val="17"/>
          <w:szCs w:val="17"/>
          <w:color w:val="auto"/>
        </w:rPr>
      </w:pPr>
      <w:r>
        <w:rPr>
          <w:rFonts w:ascii="Arial" w:cs="Arial" w:eastAsia="Arial" w:hAnsi="Arial"/>
          <w:sz w:val="17"/>
          <w:szCs w:val="17"/>
          <w:color w:val="auto"/>
        </w:rPr>
        <w:t>The Administrative Agent shall have received a duly completed Borrowing Request or Letter of Credit Application,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120</w:t>
      </w:r>
    </w:p>
    <w:p>
      <w:pPr>
        <w:sectPr>
          <w:pgSz w:w="11900" w:h="16838" w:orient="portrait"/>
          <w:cols w:equalWidth="0" w:num="1">
            <w:col w:w="11260"/>
          </w:cols>
          <w:pgMar w:left="320" w:top="1440" w:right="319" w:bottom="1440" w:gutter="0" w:footer="0" w:header="0"/>
        </w:sectPr>
      </w:pPr>
    </w:p>
    <w:bookmarkStart w:id="294" w:name="page295"/>
    <w:bookmarkEnd w:id="294"/>
    <w:p>
      <w:pPr>
        <w:spacing w:after="0" w:line="390" w:lineRule="exact"/>
        <w:rPr>
          <w:sz w:val="20"/>
          <w:szCs w:val="20"/>
          <w:color w:val="auto"/>
        </w:rPr>
      </w:pPr>
    </w:p>
    <w:p>
      <w:pPr>
        <w:jc w:val="both"/>
        <w:ind w:right="20" w:firstLine="568"/>
        <w:spacing w:after="0" w:line="225" w:lineRule="auto"/>
        <w:rPr>
          <w:sz w:val="20"/>
          <w:szCs w:val="20"/>
          <w:color w:val="auto"/>
        </w:rPr>
      </w:pPr>
      <w:r>
        <w:rPr>
          <w:rFonts w:ascii="Arial" w:cs="Arial" w:eastAsia="Arial" w:hAnsi="Arial"/>
          <w:sz w:val="17"/>
          <w:szCs w:val="17"/>
          <w:color w:val="auto"/>
        </w:rPr>
        <w:t>Each Borrowing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conversion or a continuation of a Borrowing shall not constitute a “Borrowing” for purposes of this Section) and each issuance, amendment, renewal or extension of a Letter of Credit shall be deemed to constitute a representation and warranty by Holdings and the Borrower on the date thereof as to the matters specified in paragraphs (a) and (b) of this Section.</w:t>
      </w:r>
    </w:p>
    <w:p>
      <w:pPr>
        <w:spacing w:after="0" w:line="175" w:lineRule="exact"/>
        <w:rPr>
          <w:sz w:val="20"/>
          <w:szCs w:val="20"/>
          <w:color w:val="auto"/>
        </w:rPr>
      </w:pPr>
    </w:p>
    <w:p>
      <w:pPr>
        <w:jc w:val="center"/>
        <w:ind w:right="360"/>
        <w:spacing w:after="0"/>
        <w:rPr>
          <w:sz w:val="20"/>
          <w:szCs w:val="20"/>
          <w:color w:val="auto"/>
        </w:rPr>
      </w:pPr>
      <w:r>
        <w:rPr>
          <w:rFonts w:ascii="Arial" w:cs="Arial" w:eastAsia="Arial" w:hAnsi="Arial"/>
          <w:sz w:val="16"/>
          <w:szCs w:val="16"/>
          <w:color w:val="auto"/>
        </w:rPr>
        <w:t>ARTICLE 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Affirmative Covenants</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Each of Holdings and the Borrower covenants and agrees with the Administrative Agent and each of the Lenders that, until the Termination Date:</w:t>
      </w:r>
    </w:p>
    <w:p>
      <w:pPr>
        <w:spacing w:after="0" w:line="171" w:lineRule="exact"/>
        <w:rPr>
          <w:sz w:val="20"/>
          <w:szCs w:val="20"/>
          <w:color w:val="auto"/>
        </w:rPr>
      </w:pPr>
    </w:p>
    <w:p>
      <w:pPr>
        <w:jc w:val="both"/>
        <w:ind w:firstLine="568"/>
        <w:spacing w:after="0" w:line="237" w:lineRule="auto"/>
        <w:rPr>
          <w:sz w:val="20"/>
          <w:szCs w:val="20"/>
          <w:color w:val="auto"/>
        </w:rPr>
      </w:pPr>
      <w:r>
        <w:rPr>
          <w:rFonts w:ascii="Arial" w:cs="Arial" w:eastAsia="Arial" w:hAnsi="Arial"/>
          <w:sz w:val="17"/>
          <w:szCs w:val="17"/>
          <w:color w:val="auto"/>
        </w:rPr>
        <w:t xml:space="preserve">Section 1.01. </w:t>
      </w:r>
      <w:r>
        <w:rPr>
          <w:rFonts w:ascii="Arial" w:cs="Arial" w:eastAsia="Arial" w:hAnsi="Arial"/>
          <w:sz w:val="17"/>
          <w:szCs w:val="17"/>
          <w:i w:val="1"/>
          <w:iCs w:val="1"/>
          <w:color w:val="auto"/>
        </w:rPr>
        <w:t>Financial Statements and Other Information.</w:t>
      </w:r>
      <w:r>
        <w:rPr>
          <w:rFonts w:ascii="Arial" w:cs="Arial" w:eastAsia="Arial" w:hAnsi="Arial"/>
          <w:sz w:val="17"/>
          <w:szCs w:val="17"/>
          <w:color w:val="auto"/>
        </w:rPr>
        <w:t xml:space="preserve"> Holdings or the Borrower will furnish to the Administrative Agent, which will furnish to each Lender:</w:t>
      </w:r>
    </w:p>
    <w:p>
      <w:pPr>
        <w:spacing w:after="0" w:line="135" w:lineRule="exact"/>
        <w:rPr>
          <w:sz w:val="20"/>
          <w:szCs w:val="20"/>
          <w:color w:val="auto"/>
        </w:rPr>
      </w:pPr>
    </w:p>
    <w:p>
      <w:pPr>
        <w:jc w:val="both"/>
        <w:ind w:firstLine="563"/>
        <w:spacing w:after="0" w:line="221" w:lineRule="auto"/>
        <w:tabs>
          <w:tab w:leader="none" w:pos="1128" w:val="left"/>
        </w:tabs>
        <w:numPr>
          <w:ilvl w:val="0"/>
          <w:numId w:val="193"/>
        </w:numPr>
        <w:rPr>
          <w:rFonts w:ascii="Arial" w:cs="Arial" w:eastAsia="Arial" w:hAnsi="Arial"/>
          <w:sz w:val="16"/>
          <w:szCs w:val="16"/>
          <w:color w:val="auto"/>
        </w:rPr>
      </w:pPr>
      <w:r>
        <w:rPr>
          <w:rFonts w:ascii="Arial" w:cs="Arial" w:eastAsia="Arial" w:hAnsi="Arial"/>
          <w:sz w:val="16"/>
          <w:szCs w:val="16"/>
          <w:color w:val="auto"/>
        </w:rPr>
        <w:t>on or before the date on which such financial statements are required or permitted to be filed with the SEC (or, if such financial statements are not required to be filed with the SEC, on or before the date that is 90 days after the end of each fiscal year of Holdings), audited consolidated balance sheet and audited consolidated statements of operations and comprehensive income, stockholders’ equity and cash flows of Holdings as of the end of and for such year (commencing with financial statements as of the end of and for the fiscal year ending December 31, 2018), and related notes thereto, setting forth in each case in comparative form the figures for the previous fiscal year, all reported on by KPMG LLP or any other independent registered public accounting firm of nationally recognized standing (without a “going concern” or like qualification or exception (other than with respect to, or resulting from, (i) any potential inability to satisfy the Financial Performance Covenant or any other financial maintenance covenant (whether or not in effect) on a future date or in a future period or (ii) an upcoming maturity date of any Indebtedness) and without any qualification or exception as to the scope of such audit) to the effect that such consolidated financial statements present fairly in all material respects the financial condition as of the end of and for such year and results of operations and cash flows of Holdings and its Subsidiaries on a consolidated basis in accordance with GAAP consistently applied, and which statements shall include an accompanying customary management discussion and analysis (which, for the avoidance of doubt, shall not be required to include strategy level detail with respect to operational performance, trading algorithms, “ticker-level” information or information that Holdings otherwise reasonably considers to be proprietary or highly sensitive);</w:t>
      </w:r>
    </w:p>
    <w:p>
      <w:pPr>
        <w:spacing w:after="0" w:line="141" w:lineRule="exact"/>
        <w:rPr>
          <w:rFonts w:ascii="Arial" w:cs="Arial" w:eastAsia="Arial" w:hAnsi="Arial"/>
          <w:sz w:val="16"/>
          <w:szCs w:val="16"/>
          <w:color w:val="auto"/>
        </w:rPr>
      </w:pPr>
    </w:p>
    <w:p>
      <w:pPr>
        <w:jc w:val="both"/>
        <w:ind w:firstLine="563"/>
        <w:spacing w:after="0" w:line="223" w:lineRule="auto"/>
        <w:tabs>
          <w:tab w:leader="none" w:pos="1126" w:val="left"/>
        </w:tabs>
        <w:numPr>
          <w:ilvl w:val="0"/>
          <w:numId w:val="193"/>
        </w:numPr>
        <w:rPr>
          <w:rFonts w:ascii="Arial" w:cs="Arial" w:eastAsia="Arial" w:hAnsi="Arial"/>
          <w:sz w:val="16"/>
          <w:szCs w:val="16"/>
          <w:color w:val="auto"/>
        </w:rPr>
      </w:pPr>
      <w:r>
        <w:rPr>
          <w:rFonts w:ascii="Arial" w:cs="Arial" w:eastAsia="Arial" w:hAnsi="Arial"/>
          <w:sz w:val="16"/>
          <w:szCs w:val="16"/>
          <w:color w:val="auto"/>
        </w:rPr>
        <w:t>commencing with the financial statements for the fiscal quarter ending March 31, 2019, on or before the date on which such financial statements are required or permitted to be filed with the SEC with respect to each of the first three fiscal quarters of each fiscal year of Holdings (or, if such financial statements are not required to be filed with the SEC, on or before the date that is 30 days after the end of each such fiscal quarter), unaudited consolidated balance sheet and unaudited consolidated statements of operations and comprehensive income, stockholders’ equity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a Financial Officer as presenting fairly in all material respects the financial condition as of the end of and for such fiscal quarter and such portion of the fiscal year and results of operations and cash flows of Holdings and its Subsidiaries on a consolidated basis in accordance with GAAP consistently applied, subject to normal year-end audit adjustments and the absence of footnotes and which statements shall include an accompanying customary management discussion and analysis (which, for the avoidance of doubt, shall not be required to include strategy level detail with respect to operational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121</w:t>
      </w:r>
    </w:p>
    <w:p>
      <w:pPr>
        <w:sectPr>
          <w:pgSz w:w="11900" w:h="16838" w:orient="portrait"/>
          <w:cols w:equalWidth="0" w:num="1">
            <w:col w:w="11260"/>
          </w:cols>
          <w:pgMar w:left="320" w:top="1440" w:right="319" w:bottom="1440" w:gutter="0" w:footer="0" w:header="0"/>
        </w:sectPr>
      </w:pPr>
    </w:p>
    <w:bookmarkStart w:id="295" w:name="page296"/>
    <w:bookmarkEnd w:id="295"/>
    <w:p>
      <w:pPr>
        <w:spacing w:after="0" w:line="390" w:lineRule="exact"/>
        <w:rPr>
          <w:sz w:val="20"/>
          <w:szCs w:val="20"/>
          <w:color w:val="auto"/>
        </w:rPr>
      </w:pPr>
    </w:p>
    <w:p>
      <w:pPr>
        <w:ind w:left="5"/>
        <w:spacing w:after="0" w:line="237" w:lineRule="auto"/>
        <w:rPr>
          <w:sz w:val="20"/>
          <w:szCs w:val="20"/>
          <w:color w:val="auto"/>
        </w:rPr>
      </w:pPr>
      <w:r>
        <w:rPr>
          <w:rFonts w:ascii="Arial" w:cs="Arial" w:eastAsia="Arial" w:hAnsi="Arial"/>
          <w:sz w:val="17"/>
          <w:szCs w:val="17"/>
          <w:color w:val="auto"/>
        </w:rPr>
        <w:t>performance, trading algorithms, “ticker-level” information or information that the Borrower otherwise reasonably considers to be proprietary or highly sensitive);</w:t>
      </w:r>
    </w:p>
    <w:p>
      <w:pPr>
        <w:spacing w:after="0" w:line="135" w:lineRule="exact"/>
        <w:rPr>
          <w:sz w:val="20"/>
          <w:szCs w:val="20"/>
          <w:color w:val="auto"/>
        </w:rPr>
      </w:pPr>
    </w:p>
    <w:p>
      <w:pPr>
        <w:ind w:left="5" w:right="20" w:firstLine="563"/>
        <w:spacing w:after="0" w:line="297" w:lineRule="auto"/>
        <w:tabs>
          <w:tab w:leader="none" w:pos="1133" w:val="left"/>
        </w:tabs>
        <w:numPr>
          <w:ilvl w:val="1"/>
          <w:numId w:val="194"/>
        </w:numPr>
        <w:rPr>
          <w:rFonts w:ascii="Arial" w:cs="Arial" w:eastAsia="Arial" w:hAnsi="Arial"/>
          <w:sz w:val="15"/>
          <w:szCs w:val="15"/>
          <w:color w:val="auto"/>
        </w:rPr>
      </w:pPr>
      <w:r>
        <w:rPr>
          <w:rFonts w:ascii="Arial" w:cs="Arial" w:eastAsia="Arial" w:hAnsi="Arial"/>
          <w:sz w:val="15"/>
          <w:szCs w:val="15"/>
          <w:color w:val="auto"/>
        </w:rPr>
        <w:t>simultaneously with the delivery of each set of consolidated financial statements referred to in clauses (a) and (b) above, the related consolidating financial statements reflecting adjustments necessary to eliminate the accounts of Unrestricted Subsidiaries (if any) from such consolidated financial statements;</w:t>
      </w:r>
    </w:p>
    <w:p>
      <w:pPr>
        <w:spacing w:after="0" w:line="94" w:lineRule="exact"/>
        <w:rPr>
          <w:rFonts w:ascii="Arial" w:cs="Arial" w:eastAsia="Arial" w:hAnsi="Arial"/>
          <w:sz w:val="15"/>
          <w:szCs w:val="15"/>
          <w:color w:val="auto"/>
        </w:rPr>
      </w:pPr>
    </w:p>
    <w:p>
      <w:pPr>
        <w:jc w:val="both"/>
        <w:ind w:left="5" w:right="20" w:firstLine="563"/>
        <w:spacing w:after="0" w:line="233" w:lineRule="auto"/>
        <w:tabs>
          <w:tab w:leader="none" w:pos="1131" w:val="left"/>
        </w:tabs>
        <w:numPr>
          <w:ilvl w:val="1"/>
          <w:numId w:val="194"/>
        </w:numPr>
        <w:rPr>
          <w:rFonts w:ascii="Arial" w:cs="Arial" w:eastAsia="Arial" w:hAnsi="Arial"/>
          <w:sz w:val="15"/>
          <w:szCs w:val="15"/>
          <w:color w:val="auto"/>
        </w:rPr>
      </w:pPr>
      <w:r>
        <w:rPr>
          <w:rFonts w:ascii="Arial" w:cs="Arial" w:eastAsia="Arial" w:hAnsi="Arial"/>
          <w:sz w:val="15"/>
          <w:szCs w:val="15"/>
          <w:color w:val="auto"/>
        </w:rPr>
        <w:t>not later than five days after any delivery of financial statements under paragraph (a) or (b) above (and, in any event, not later than five days after the date on which such financial statements were required to have been delivered), a certificate of a Financial Officer (i) certifying as to whether a Default has occurred and, if a Default has occurred, specifying the details thereof and any action taken or proposed to be taken with respect thereto, (ii) setting forth reasonably detailed calculations (A) if the Financial Performance Covenant is in effect with respect to the last day of the applicable fiscal period, demonstrating compliance with the Financial Performance Covenant and (B) in the case of the financial statements delivered under paragraph (b) above for fiscal quarter ending June 30 of each fiscal year, beginning with the fiscal quarter ending June 30, 2023, of Excess Cash Flow for the four fiscal quarter period ending on such date and</w:t>
      </w:r>
    </w:p>
    <w:p>
      <w:pPr>
        <w:spacing w:after="0" w:line="3" w:lineRule="exact"/>
        <w:rPr>
          <w:rFonts w:ascii="Arial" w:cs="Arial" w:eastAsia="Arial" w:hAnsi="Arial"/>
          <w:sz w:val="15"/>
          <w:szCs w:val="15"/>
          <w:color w:val="auto"/>
        </w:rPr>
      </w:pPr>
    </w:p>
    <w:p>
      <w:pPr>
        <w:jc w:val="both"/>
        <w:ind w:left="5" w:hanging="5"/>
        <w:spacing w:after="0" w:line="216" w:lineRule="auto"/>
        <w:tabs>
          <w:tab w:leader="none" w:pos="322" w:val="left"/>
        </w:tabs>
        <w:numPr>
          <w:ilvl w:val="0"/>
          <w:numId w:val="195"/>
        </w:numPr>
        <w:rPr>
          <w:rFonts w:ascii="Arial" w:cs="Arial" w:eastAsia="Arial" w:hAnsi="Arial"/>
          <w:sz w:val="17"/>
          <w:szCs w:val="17"/>
          <w:color w:val="auto"/>
        </w:rPr>
      </w:pPr>
      <w:r>
        <w:rPr>
          <w:rFonts w:ascii="Arial" w:cs="Arial" w:eastAsia="Arial" w:hAnsi="Arial"/>
          <w:sz w:val="17"/>
          <w:szCs w:val="17"/>
          <w:color w:val="auto"/>
        </w:rPr>
        <w:t>in the case of financial statements delivered under paragraph (a) or (b) above, setting forth a reasonably detailed calculation of the Net Proceeds received during the applicable period by or on behalf of the Borrower or any of its Restricted Subsidiary in respect of any event described in clause (a) of the definition of the term “Prepayment Event” and the portion of such Net Proceeds that has been invested or are intended to be reinvested in accordance with the proviso in Section 2.09(b);</w:t>
      </w:r>
    </w:p>
    <w:p>
      <w:pPr>
        <w:spacing w:after="0" w:line="134" w:lineRule="exact"/>
        <w:rPr>
          <w:rFonts w:ascii="Arial" w:cs="Arial" w:eastAsia="Arial" w:hAnsi="Arial"/>
          <w:sz w:val="17"/>
          <w:szCs w:val="17"/>
          <w:color w:val="auto"/>
        </w:rPr>
      </w:pPr>
    </w:p>
    <w:p>
      <w:pPr>
        <w:ind w:left="1125" w:hanging="557"/>
        <w:spacing w:after="0"/>
        <w:tabs>
          <w:tab w:leader="none" w:pos="1125" w:val="left"/>
        </w:tabs>
        <w:numPr>
          <w:ilvl w:val="1"/>
          <w:numId w:val="195"/>
        </w:numPr>
        <w:rPr>
          <w:rFonts w:ascii="Arial" w:cs="Arial" w:eastAsia="Arial" w:hAnsi="Arial"/>
          <w:sz w:val="17"/>
          <w:szCs w:val="17"/>
          <w:color w:val="auto"/>
        </w:rPr>
      </w:pPr>
      <w:r>
        <w:rPr>
          <w:rFonts w:ascii="Arial" w:cs="Arial" w:eastAsia="Arial" w:hAnsi="Arial"/>
          <w:sz w:val="17"/>
          <w:szCs w:val="17"/>
          <w:color w:val="auto"/>
        </w:rPr>
        <w:t>[reserved];</w:t>
      </w:r>
    </w:p>
    <w:p>
      <w:pPr>
        <w:spacing w:after="0" w:line="159" w:lineRule="exact"/>
        <w:rPr>
          <w:rFonts w:ascii="Arial" w:cs="Arial" w:eastAsia="Arial" w:hAnsi="Arial"/>
          <w:sz w:val="17"/>
          <w:szCs w:val="17"/>
          <w:color w:val="auto"/>
        </w:rPr>
      </w:pPr>
    </w:p>
    <w:p>
      <w:pPr>
        <w:jc w:val="both"/>
        <w:ind w:left="5" w:firstLine="563"/>
        <w:spacing w:after="0" w:line="220" w:lineRule="auto"/>
        <w:tabs>
          <w:tab w:leader="none" w:pos="1137" w:val="left"/>
        </w:tabs>
        <w:numPr>
          <w:ilvl w:val="1"/>
          <w:numId w:val="195"/>
        </w:numPr>
        <w:rPr>
          <w:rFonts w:ascii="Arial" w:cs="Arial" w:eastAsia="Arial" w:hAnsi="Arial"/>
          <w:sz w:val="17"/>
          <w:szCs w:val="17"/>
          <w:color w:val="auto"/>
        </w:rPr>
      </w:pPr>
      <w:r>
        <w:rPr>
          <w:rFonts w:ascii="Arial" w:cs="Arial" w:eastAsia="Arial" w:hAnsi="Arial"/>
          <w:sz w:val="17"/>
          <w:szCs w:val="17"/>
          <w:color w:val="auto"/>
        </w:rPr>
        <w:t>not later than 90 days after the commencement of each fiscal year of Holdings, a detailed consolidated budget for the Borrower and its Subsidiaries for such fiscal year (consisting of projected net revenue by asset class and geography, projected expenses, projected GAAP EBITDA (i.e., earnings before interest, taxes, depreciation and amortization) and projected capital expenditures for such fiscal year and setting forth the material assumptions used for purposes of preparing such budget);</w:t>
      </w:r>
    </w:p>
    <w:p>
      <w:pPr>
        <w:spacing w:after="0" w:line="135" w:lineRule="exact"/>
        <w:rPr>
          <w:rFonts w:ascii="Arial" w:cs="Arial" w:eastAsia="Arial" w:hAnsi="Arial"/>
          <w:sz w:val="17"/>
          <w:szCs w:val="17"/>
          <w:color w:val="auto"/>
        </w:rPr>
      </w:pPr>
    </w:p>
    <w:p>
      <w:pPr>
        <w:jc w:val="both"/>
        <w:ind w:left="5" w:firstLine="563"/>
        <w:spacing w:after="0" w:line="216" w:lineRule="auto"/>
        <w:tabs>
          <w:tab w:leader="none" w:pos="1131" w:val="left"/>
        </w:tabs>
        <w:numPr>
          <w:ilvl w:val="1"/>
          <w:numId w:val="195"/>
        </w:numPr>
        <w:rPr>
          <w:rFonts w:ascii="Arial" w:cs="Arial" w:eastAsia="Arial" w:hAnsi="Arial"/>
          <w:sz w:val="17"/>
          <w:szCs w:val="17"/>
          <w:color w:val="auto"/>
        </w:rPr>
      </w:pPr>
      <w:r>
        <w:rPr>
          <w:rFonts w:ascii="Arial" w:cs="Arial" w:eastAsia="Arial" w:hAnsi="Arial"/>
          <w:sz w:val="17"/>
          <w:szCs w:val="17"/>
          <w:color w:val="auto"/>
        </w:rPr>
        <w:t>promptly after the same become publicly available, copies of all proxy statements and registration statements (other than amendments to any registration statement (to the extent such registration statement, in the form it became effective, is delivered to the Administrative Agent), exhibits to any registration statement and, if applicable, any registration statement on Form S-8) filed by Holdings, any Intermediate Parent, the Borrower or any of its Restricted Subsidiaries with the SEC or with any national securities exchange, or distributed by Holdings, any Intermediate Parent, the Borrower or any of its Restricted Subsidiaries to the holders of its Equity Interests generally, as the case may be;</w:t>
      </w:r>
    </w:p>
    <w:p>
      <w:pPr>
        <w:spacing w:after="0" w:line="138" w:lineRule="exact"/>
        <w:rPr>
          <w:rFonts w:ascii="Arial" w:cs="Arial" w:eastAsia="Arial" w:hAnsi="Arial"/>
          <w:sz w:val="17"/>
          <w:szCs w:val="17"/>
          <w:color w:val="auto"/>
        </w:rPr>
      </w:pPr>
    </w:p>
    <w:p>
      <w:pPr>
        <w:ind w:left="5" w:firstLine="563"/>
        <w:spacing w:after="0" w:line="237" w:lineRule="auto"/>
        <w:tabs>
          <w:tab w:leader="none" w:pos="1131" w:val="left"/>
        </w:tabs>
        <w:numPr>
          <w:ilvl w:val="1"/>
          <w:numId w:val="195"/>
        </w:numPr>
        <w:rPr>
          <w:rFonts w:ascii="Arial" w:cs="Arial" w:eastAsia="Arial" w:hAnsi="Arial"/>
          <w:sz w:val="17"/>
          <w:szCs w:val="17"/>
          <w:color w:val="auto"/>
        </w:rPr>
      </w:pPr>
      <w:r>
        <w:rPr>
          <w:rFonts w:ascii="Arial" w:cs="Arial" w:eastAsia="Arial" w:hAnsi="Arial"/>
          <w:sz w:val="17"/>
          <w:szCs w:val="17"/>
          <w:color w:val="auto"/>
        </w:rPr>
        <w:t>promptly upon filing with any applicable Regulatory Supervising Organization, a copy of each FOCUS report or similar report relating to the regulatory capital or similar requirements applicable to the Subsidiary filing such report;</w:t>
      </w:r>
    </w:p>
    <w:p>
      <w:pPr>
        <w:spacing w:after="0" w:line="134" w:lineRule="exact"/>
        <w:rPr>
          <w:rFonts w:ascii="Arial" w:cs="Arial" w:eastAsia="Arial" w:hAnsi="Arial"/>
          <w:sz w:val="17"/>
          <w:szCs w:val="17"/>
          <w:color w:val="auto"/>
        </w:rPr>
      </w:pPr>
    </w:p>
    <w:p>
      <w:pPr>
        <w:jc w:val="both"/>
        <w:ind w:left="5" w:firstLine="563"/>
        <w:spacing w:after="0" w:line="225" w:lineRule="auto"/>
        <w:tabs>
          <w:tab w:leader="none" w:pos="1140" w:val="left"/>
        </w:tabs>
        <w:numPr>
          <w:ilvl w:val="1"/>
          <w:numId w:val="195"/>
        </w:numPr>
        <w:rPr>
          <w:rFonts w:ascii="Arial" w:cs="Arial" w:eastAsia="Arial" w:hAnsi="Arial"/>
          <w:sz w:val="17"/>
          <w:szCs w:val="17"/>
          <w:color w:val="auto"/>
        </w:rPr>
      </w:pPr>
      <w:r>
        <w:rPr>
          <w:rFonts w:ascii="Arial" w:cs="Arial" w:eastAsia="Arial" w:hAnsi="Arial"/>
          <w:sz w:val="17"/>
          <w:szCs w:val="17"/>
          <w:color w:val="auto"/>
        </w:rPr>
        <w:t>promptly after the request by the Administrative Agent on behalf of any Lender, all documentation and other information that such Lender reasonably requests in order to comply with its ongoing obligations under applicable “know your customer” and anti-money laundering rules and regulations, including the USA Patriot Act and the Beneficial Ownership Regulation;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4"/>
        <w:spacing w:after="0"/>
        <w:rPr>
          <w:sz w:val="20"/>
          <w:szCs w:val="20"/>
          <w:color w:val="auto"/>
        </w:rPr>
      </w:pPr>
      <w:r>
        <w:rPr>
          <w:rFonts w:ascii="Arial" w:cs="Arial" w:eastAsia="Arial" w:hAnsi="Arial"/>
          <w:sz w:val="17"/>
          <w:szCs w:val="17"/>
          <w:color w:val="auto"/>
        </w:rPr>
        <w:t>122</w:t>
      </w:r>
    </w:p>
    <w:p>
      <w:pPr>
        <w:sectPr>
          <w:pgSz w:w="11900" w:h="16838" w:orient="portrait"/>
          <w:cols w:equalWidth="0" w:num="1">
            <w:col w:w="11265"/>
          </w:cols>
          <w:pgMar w:left="315" w:top="1440" w:right="319" w:bottom="1440" w:gutter="0" w:footer="0" w:header="0"/>
        </w:sectPr>
      </w:pPr>
    </w:p>
    <w:bookmarkStart w:id="296" w:name="page297"/>
    <w:bookmarkEnd w:id="296"/>
    <w:p>
      <w:pPr>
        <w:spacing w:after="0" w:line="390" w:lineRule="exact"/>
        <w:rPr>
          <w:sz w:val="20"/>
          <w:szCs w:val="20"/>
          <w:color w:val="auto"/>
        </w:rPr>
      </w:pPr>
    </w:p>
    <w:p>
      <w:pPr>
        <w:jc w:val="both"/>
        <w:ind w:firstLine="563"/>
        <w:spacing w:after="0" w:line="225" w:lineRule="auto"/>
        <w:tabs>
          <w:tab w:leader="none" w:pos="1134" w:val="left"/>
        </w:tabs>
        <w:numPr>
          <w:ilvl w:val="0"/>
          <w:numId w:val="196"/>
        </w:numPr>
        <w:rPr>
          <w:rFonts w:ascii="Arial" w:cs="Arial" w:eastAsia="Arial" w:hAnsi="Arial"/>
          <w:sz w:val="17"/>
          <w:szCs w:val="17"/>
          <w:color w:val="auto"/>
        </w:rPr>
      </w:pPr>
      <w:r>
        <w:rPr>
          <w:rFonts w:ascii="Arial" w:cs="Arial" w:eastAsia="Arial" w:hAnsi="Arial"/>
          <w:sz w:val="17"/>
          <w:szCs w:val="17"/>
          <w:color w:val="auto"/>
        </w:rPr>
        <w:t>promptly following any request therefor, such other information regarding the operations, business affairs and financial condition of Holdings, any Intermediate Parent, the Borrower or any of its Restricted Subsidiaries, or compliance with the terms of any Loan Document, as the Administrative Agent on its own behalf or on behalf of any Lender may reasonably request in writing.</w:t>
      </w:r>
    </w:p>
    <w:p>
      <w:pPr>
        <w:spacing w:after="0" w:line="137" w:lineRule="exact"/>
        <w:rPr>
          <w:sz w:val="20"/>
          <w:szCs w:val="20"/>
          <w:color w:val="auto"/>
        </w:rPr>
      </w:pPr>
    </w:p>
    <w:p>
      <w:pPr>
        <w:jc w:val="both"/>
        <w:ind w:firstLine="568"/>
        <w:spacing w:after="0" w:line="222" w:lineRule="auto"/>
        <w:rPr>
          <w:sz w:val="20"/>
          <w:szCs w:val="20"/>
          <w:color w:val="auto"/>
        </w:rPr>
      </w:pPr>
      <w:r>
        <w:rPr>
          <w:rFonts w:ascii="Arial" w:cs="Arial" w:eastAsia="Arial" w:hAnsi="Arial"/>
          <w:sz w:val="16"/>
          <w:szCs w:val="16"/>
          <w:color w:val="auto"/>
        </w:rPr>
        <w:t xml:space="preserve">Notwithstanding the foregoing, the obligations in paragraphs (a) and (b) of this Section 5.01 may be satisfied with respect to financial information of Holdings and its Subsidiaries by furnishing the Form 10-K or 10-Q (or the equivalent), as applicable, of Holdings (or a parent company thereof) filed with the SEC or any national securities exchange;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to the extent such information relates to a parent of Holdings, such information is accompanied by consolidating information, which may be unaudited, that explains in reasonable detail the differences between the information relating to such parent, on the one hand, and the information relating to Holdings and its Subsidiaries on a standalone basis, on the other hand, and (ii) to the extent such information is in lieu of information required to be provided under Section 5.01(a), such materials are accompanied by a report and opinion of KPMG LLP or any other independent registered public accounting firm of nationally recognized standing, which report and opinion shall be prepared in accordance with generally accepted auditing standards and shall not be subject to any “going concern” or like qualification or exception (other than with respect to, or resulting from, (i) any potential inability to satisfy the Financial Performance Covenant (whether or not in effect) in a future date or period or (ii) an upcoming maturity date of any Indebtedness under this Agreement occurring within 12 months from the time such report is required to be delivered to the Administrative Agent) or any qualification or exception as to the scope of such audit.</w:t>
      </w:r>
    </w:p>
    <w:p>
      <w:pPr>
        <w:spacing w:after="0" w:line="141" w:lineRule="exact"/>
        <w:rPr>
          <w:sz w:val="20"/>
          <w:szCs w:val="20"/>
          <w:color w:val="auto"/>
        </w:rPr>
      </w:pPr>
    </w:p>
    <w:p>
      <w:pPr>
        <w:jc w:val="both"/>
        <w:ind w:firstLine="568"/>
        <w:spacing w:after="0" w:line="223" w:lineRule="auto"/>
        <w:rPr>
          <w:sz w:val="20"/>
          <w:szCs w:val="20"/>
          <w:color w:val="auto"/>
        </w:rPr>
      </w:pPr>
      <w:r>
        <w:rPr>
          <w:rFonts w:ascii="Arial" w:cs="Arial" w:eastAsia="Arial" w:hAnsi="Arial"/>
          <w:sz w:val="16"/>
          <w:szCs w:val="16"/>
          <w:color w:val="auto"/>
        </w:rPr>
        <w:t xml:space="preserve">Documents required to be delivered pursuant to Section 5.01(a), (b) or (f) (to the extent any such documents are included in materials otherwise filed with the SEC) may be delivered electronically and, if so delivered, shall be deemed to have been delivered on the date (i) on which Holdings posts such documents, or provides a link thereto, on the Internet at the website address listed on Schedule 9.01 (or otherwise notified pursuant to Section 9.01(e)); or (ii) on which such documents are posted on Holdings’ behalf on an Internet or intranet website, if any, to which each Lender and the Administrative Agent have access (whether a commercial, third-party website or whether sponsored by the Administrative Agent);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the Borrower shall deliver paper copies of such documents to the Administrative Agent upon its reasonable request until a written notice to cease delivering paper copies is given by the Administrative Agent and (ii) the Borrower shall notify the Administrative Agent (by telecopier or electronic mail) of the posting of any such documents and, upon its reasonable request, provide to the Administrative Agent by electronic mail electronic versions (i.e., soft copies) of such documents. The Administrative Agent shall have no obligation to request the delivery of or maintain paper copies of the documents referred to above, and each Lender shall be solely responsible for timely accessing posted documents and maintaining its copies of such documents.</w:t>
      </w:r>
    </w:p>
    <w:p>
      <w:pPr>
        <w:spacing w:after="0" w:line="137" w:lineRule="exact"/>
        <w:rPr>
          <w:sz w:val="20"/>
          <w:szCs w:val="20"/>
          <w:color w:val="auto"/>
        </w:rPr>
      </w:pPr>
    </w:p>
    <w:p>
      <w:pPr>
        <w:jc w:val="both"/>
        <w:ind w:firstLine="568"/>
        <w:spacing w:after="0" w:line="213" w:lineRule="auto"/>
        <w:rPr>
          <w:sz w:val="20"/>
          <w:szCs w:val="20"/>
          <w:color w:val="auto"/>
        </w:rPr>
      </w:pPr>
      <w:r>
        <w:rPr>
          <w:rFonts w:ascii="Arial" w:cs="Arial" w:eastAsia="Arial" w:hAnsi="Arial"/>
          <w:sz w:val="17"/>
          <w:szCs w:val="17"/>
          <w:color w:val="auto"/>
        </w:rPr>
        <w:t>The Borrower hereby acknowledges that (a) the Administrative Agent and/or the Lead Arrangers will make available to the Lenders materials and/or information provided by or on behalf of the Borrower hereunder (collectively, “</w:t>
      </w:r>
      <w:r>
        <w:rPr>
          <w:rFonts w:ascii="Arial" w:cs="Arial" w:eastAsia="Arial" w:hAnsi="Arial"/>
          <w:sz w:val="17"/>
          <w:szCs w:val="17"/>
          <w:b w:val="1"/>
          <w:bCs w:val="1"/>
          <w:color w:val="auto"/>
        </w:rPr>
        <w:t>Borrower Materials</w:t>
      </w:r>
      <w:r>
        <w:rPr>
          <w:rFonts w:ascii="Arial" w:cs="Arial" w:eastAsia="Arial" w:hAnsi="Arial"/>
          <w:sz w:val="17"/>
          <w:szCs w:val="17"/>
          <w:color w:val="auto"/>
        </w:rPr>
        <w:t>”) by posting the Borrower Materials on IntraLinks or another similar electronic system (the “</w:t>
      </w:r>
      <w:r>
        <w:rPr>
          <w:rFonts w:ascii="Arial" w:cs="Arial" w:eastAsia="Arial" w:hAnsi="Arial"/>
          <w:sz w:val="17"/>
          <w:szCs w:val="17"/>
          <w:b w:val="1"/>
          <w:bCs w:val="1"/>
          <w:color w:val="auto"/>
        </w:rPr>
        <w:t>Platform</w:t>
      </w:r>
      <w:r>
        <w:rPr>
          <w:rFonts w:ascii="Arial" w:cs="Arial" w:eastAsia="Arial" w:hAnsi="Arial"/>
          <w:sz w:val="17"/>
          <w:szCs w:val="17"/>
          <w:color w:val="auto"/>
        </w:rPr>
        <w:t>”) and (b) certain of the Lenders (each, a “</w:t>
      </w:r>
      <w:r>
        <w:rPr>
          <w:rFonts w:ascii="Arial" w:cs="Arial" w:eastAsia="Arial" w:hAnsi="Arial"/>
          <w:sz w:val="17"/>
          <w:szCs w:val="17"/>
          <w:b w:val="1"/>
          <w:bCs w:val="1"/>
          <w:color w:val="auto"/>
        </w:rPr>
        <w:t>Public Lender</w:t>
      </w:r>
      <w:r>
        <w:rPr>
          <w:rFonts w:ascii="Arial" w:cs="Arial" w:eastAsia="Arial" w:hAnsi="Arial"/>
          <w:sz w:val="17"/>
          <w:szCs w:val="17"/>
          <w:color w:val="auto"/>
        </w:rPr>
        <w:t>”) may have personnel who do not wish to receive material non-public information with respect to the Borrower or its Affiliates, or the respective securities of any of the foregoing, and who may be engaged in investment and other market-related activities with respect to such Persons’ securities. The Borrower hereby agrees that it will use commercially reasonable efforts to identify that portion of the Borrower Materials that may be distributed to the Public Lenders and that (w) all such Borrower Materials shall be clearly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123</w:t>
      </w:r>
    </w:p>
    <w:p>
      <w:pPr>
        <w:sectPr>
          <w:pgSz w:w="11900" w:h="16838" w:orient="portrait"/>
          <w:cols w:equalWidth="0" w:num="1">
            <w:col w:w="11260"/>
          </w:cols>
          <w:pgMar w:left="320" w:top="1440" w:right="319" w:bottom="1440" w:gutter="0" w:footer="0" w:header="0"/>
        </w:sectPr>
      </w:pPr>
    </w:p>
    <w:bookmarkStart w:id="297" w:name="page298"/>
    <w:bookmarkEnd w:id="297"/>
    <w:p>
      <w:pPr>
        <w:spacing w:after="0" w:line="390" w:lineRule="exact"/>
        <w:rPr>
          <w:sz w:val="20"/>
          <w:szCs w:val="20"/>
          <w:color w:val="auto"/>
        </w:rPr>
      </w:pPr>
    </w:p>
    <w:p>
      <w:pPr>
        <w:jc w:val="both"/>
        <w:spacing w:after="0" w:line="222" w:lineRule="auto"/>
        <w:rPr>
          <w:sz w:val="20"/>
          <w:szCs w:val="20"/>
          <w:color w:val="auto"/>
        </w:rPr>
      </w:pPr>
      <w:r>
        <w:rPr>
          <w:rFonts w:ascii="Arial" w:cs="Arial" w:eastAsia="Arial" w:hAnsi="Arial"/>
          <w:sz w:val="16"/>
          <w:szCs w:val="16"/>
          <w:color w:val="auto"/>
        </w:rPr>
        <w:t>conspicuously marked “PUBLIC” which, at a minimum, shall mean that the word “PUBLIC” shall appear prominently on the first page thereof; (x) by marking Borrower Materials “PUBLIC,” the Borrower shall be deemed to have authorized the Administrative Agent, the Lead Arrangers and the Lenders to treat such Borrower Materials as not containing any material non-public information (although it may be sensitive and proprietary) with respect to the Borrower or its securities for purposes of United States Federal and state securities laws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to the extent such Borrower Materials constitute Information, they shall be treated as set forth in Section 9.12); (y) all Borrower Materials marked “PUBLIC” are permitted to be made available through a portion of the Platform designated “Public Side Information”; and (z) the Administrative Agent and the Lead Arrangers shall be entitled to treat any Borrower Materials that are not marked “PUBLIC” as being suitable only for posting on a portion of the Platform not designated “Public Side Information.” Notwithstanding the foregoing, the Borrower shall be under no obligation to mark any Borrower Materials “PUBLIC”;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following Borrower Materials may be marked “PUBLIC” unless the Borrower, after receiving notice from the Administrative Agent within a reasonable period of time prior to the intended distribution of such Borrower Materials, notifies the Administrative Agent that such Borrower Materials contain material non-public information: (1) the Loan Documents and (2) any notification of changes in the terms of the facilities provided hereunder.</w:t>
      </w:r>
    </w:p>
    <w:p>
      <w:pPr>
        <w:spacing w:after="0" w:line="141" w:lineRule="exact"/>
        <w:rPr>
          <w:sz w:val="20"/>
          <w:szCs w:val="20"/>
          <w:color w:val="auto"/>
        </w:rPr>
      </w:pPr>
    </w:p>
    <w:p>
      <w:pPr>
        <w:jc w:val="both"/>
        <w:ind w:firstLine="568"/>
        <w:spacing w:after="0" w:line="225" w:lineRule="auto"/>
        <w:rPr>
          <w:sz w:val="20"/>
          <w:szCs w:val="20"/>
          <w:color w:val="auto"/>
        </w:rPr>
      </w:pPr>
      <w:r>
        <w:rPr>
          <w:rFonts w:ascii="Arial" w:cs="Arial" w:eastAsia="Arial" w:hAnsi="Arial"/>
          <w:sz w:val="16"/>
          <w:szCs w:val="16"/>
          <w:color w:val="auto"/>
        </w:rPr>
        <w:t>The Borrower hereby represents and warrants that each of the Borrower, its controlling Person and each of its subsidiaries, either (i) has no registered or publicly traded securities outstanding, or (ii) files its financial statements with the SEC and/or makes its financial statements available to potential holders of its 144A securities, and, accordingly, the Borrower hereby (i) authorizes the Administrative Agent to make the financial statements to be provided under Sections 5.01(a) and (b) above, along with the Loan Documents, available to Public Lenders and (ii) agrees that at the time such financial statements are provided hereunder, they shall already have been made available to holders of its securities. The Borrower will not request that any other material be posted to Public Lenders without expressly representing and warranting to the Administrative Agent in writing that such materials do not constitute material non-public information within the meaning of the federal securities laws or that the Borrower has no outstanding publicly traded securities, including 144A securities. In no event shall the Administrative Agent post compliance certificates or budgets to Public Lenders.</w:t>
      </w:r>
    </w:p>
    <w:p>
      <w:pPr>
        <w:spacing w:after="0" w:line="135" w:lineRule="exact"/>
        <w:rPr>
          <w:sz w:val="20"/>
          <w:szCs w:val="20"/>
          <w:color w:val="auto"/>
        </w:rPr>
      </w:pPr>
    </w:p>
    <w:p>
      <w:pPr>
        <w:jc w:val="both"/>
        <w:ind w:firstLine="568"/>
        <w:spacing w:after="0" w:line="225" w:lineRule="auto"/>
        <w:rPr>
          <w:sz w:val="20"/>
          <w:szCs w:val="20"/>
          <w:color w:val="auto"/>
        </w:rPr>
      </w:pPr>
      <w:r>
        <w:rPr>
          <w:rFonts w:ascii="Arial" w:cs="Arial" w:eastAsia="Arial" w:hAnsi="Arial"/>
          <w:sz w:val="17"/>
          <w:szCs w:val="17"/>
          <w:color w:val="auto"/>
        </w:rPr>
        <w:t xml:space="preserve">Section 1.02. </w:t>
      </w:r>
      <w:r>
        <w:rPr>
          <w:rFonts w:ascii="Arial" w:cs="Arial" w:eastAsia="Arial" w:hAnsi="Arial"/>
          <w:sz w:val="17"/>
          <w:szCs w:val="17"/>
          <w:i w:val="1"/>
          <w:iCs w:val="1"/>
          <w:color w:val="auto"/>
        </w:rPr>
        <w:t>Notices of Material Events.</w:t>
      </w:r>
      <w:r>
        <w:rPr>
          <w:rFonts w:ascii="Arial" w:cs="Arial" w:eastAsia="Arial" w:hAnsi="Arial"/>
          <w:sz w:val="17"/>
          <w:szCs w:val="17"/>
          <w:color w:val="auto"/>
        </w:rPr>
        <w:t xml:space="preserve"> Promptly after any Responsible Officer of Holdings or the Borrower obtains actual knowledge thereof, Holdings or the Borrower will furnish to the Administrative Agent (for distribution to each Lender through the Administrative Agent) written notice of the following:</w:t>
      </w:r>
    </w:p>
    <w:p>
      <w:pPr>
        <w:spacing w:after="0" w:line="137" w:lineRule="exact"/>
        <w:rPr>
          <w:sz w:val="20"/>
          <w:szCs w:val="20"/>
          <w:color w:val="auto"/>
        </w:rPr>
      </w:pPr>
    </w:p>
    <w:p>
      <w:pPr>
        <w:ind w:left="1120" w:hanging="557"/>
        <w:spacing w:after="0"/>
        <w:tabs>
          <w:tab w:leader="none" w:pos="112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the occurrence of any Default;</w:t>
      </w:r>
    </w:p>
    <w:p>
      <w:pPr>
        <w:spacing w:after="0" w:line="159" w:lineRule="exact"/>
        <w:rPr>
          <w:rFonts w:ascii="Arial" w:cs="Arial" w:eastAsia="Arial" w:hAnsi="Arial"/>
          <w:sz w:val="17"/>
          <w:szCs w:val="17"/>
          <w:color w:val="auto"/>
        </w:rPr>
      </w:pPr>
    </w:p>
    <w:p>
      <w:pPr>
        <w:jc w:val="both"/>
        <w:ind w:firstLine="563"/>
        <w:spacing w:after="0" w:line="220" w:lineRule="auto"/>
        <w:tabs>
          <w:tab w:leader="none" w:pos="1126" w:val="left"/>
        </w:tabs>
        <w:numPr>
          <w:ilvl w:val="0"/>
          <w:numId w:val="197"/>
        </w:numPr>
        <w:rPr>
          <w:rFonts w:ascii="Arial" w:cs="Arial" w:eastAsia="Arial" w:hAnsi="Arial"/>
          <w:sz w:val="17"/>
          <w:szCs w:val="17"/>
          <w:color w:val="auto"/>
        </w:rPr>
      </w:pPr>
      <w:r>
        <w:rPr>
          <w:rFonts w:ascii="Arial" w:cs="Arial" w:eastAsia="Arial" w:hAnsi="Arial"/>
          <w:sz w:val="17"/>
          <w:szCs w:val="17"/>
          <w:color w:val="auto"/>
        </w:rPr>
        <w:t>the filing or commencement of any Proceeding by or before any arbitrator, Governmental Authority or Regulatory Supervising Organization against or, to the knowledge of a Financial Officer, a Responsible Officer or another executive officer of Holdings, any Intermediate Parent, the Borrower or any Subsidiary, affecting Holdings, any Intermediate Parent, the Borrower or any Subsidiary or the receipt of a notice of an Environmental Liability, in each case, that could reasonably be expected to result in a Material Adverse Effect;</w:t>
      </w:r>
    </w:p>
    <w:p>
      <w:pPr>
        <w:spacing w:after="0" w:line="135" w:lineRule="exact"/>
        <w:rPr>
          <w:rFonts w:ascii="Arial" w:cs="Arial" w:eastAsia="Arial" w:hAnsi="Arial"/>
          <w:sz w:val="17"/>
          <w:szCs w:val="17"/>
          <w:color w:val="auto"/>
        </w:rPr>
      </w:pPr>
    </w:p>
    <w:p>
      <w:pPr>
        <w:ind w:right="20" w:firstLine="563"/>
        <w:spacing w:after="0" w:line="237" w:lineRule="auto"/>
        <w:tabs>
          <w:tab w:leader="none" w:pos="1128" w:val="left"/>
        </w:tabs>
        <w:numPr>
          <w:ilvl w:val="0"/>
          <w:numId w:val="197"/>
        </w:numPr>
        <w:rPr>
          <w:rFonts w:ascii="Arial" w:cs="Arial" w:eastAsia="Arial" w:hAnsi="Arial"/>
          <w:sz w:val="17"/>
          <w:szCs w:val="17"/>
          <w:color w:val="auto"/>
        </w:rPr>
      </w:pPr>
      <w:r>
        <w:rPr>
          <w:rFonts w:ascii="Arial" w:cs="Arial" w:eastAsia="Arial" w:hAnsi="Arial"/>
          <w:sz w:val="17"/>
          <w:szCs w:val="17"/>
          <w:color w:val="auto"/>
        </w:rPr>
        <w:t>the commencement of any investigation by any Governmental Authority of or affecting Holdings, the Borrower or any Subsidiary that could reasonably be expected to result in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124</w:t>
      </w:r>
    </w:p>
    <w:p>
      <w:pPr>
        <w:sectPr>
          <w:pgSz w:w="11900" w:h="16838" w:orient="portrait"/>
          <w:cols w:equalWidth="0" w:num="1">
            <w:col w:w="11260"/>
          </w:cols>
          <w:pgMar w:left="320" w:top="1440" w:right="319" w:bottom="1440" w:gutter="0" w:footer="0" w:header="0"/>
        </w:sectPr>
      </w:pPr>
    </w:p>
    <w:bookmarkStart w:id="298" w:name="page299"/>
    <w:bookmarkEnd w:id="298"/>
    <w:p>
      <w:pPr>
        <w:spacing w:after="0" w:line="390" w:lineRule="exact"/>
        <w:rPr>
          <w:sz w:val="20"/>
          <w:szCs w:val="20"/>
          <w:color w:val="auto"/>
        </w:rPr>
      </w:pPr>
    </w:p>
    <w:p>
      <w:pPr>
        <w:ind w:left="1120" w:hanging="557"/>
        <w:spacing w:after="0"/>
        <w:tabs>
          <w:tab w:leader="none" w:pos="112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the occurrence of any ERISA Event that could reasonably be expected, individually or in the aggregate, to result in a Material Adverse Effect;</w:t>
      </w:r>
    </w:p>
    <w:p>
      <w:pPr>
        <w:spacing w:after="0" w:line="171" w:lineRule="exact"/>
        <w:rPr>
          <w:rFonts w:ascii="Arial" w:cs="Arial" w:eastAsia="Arial" w:hAnsi="Arial"/>
          <w:sz w:val="16"/>
          <w:szCs w:val="16"/>
          <w:color w:val="auto"/>
        </w:rPr>
      </w:pPr>
    </w:p>
    <w:p>
      <w:pPr>
        <w:jc w:val="both"/>
        <w:ind w:right="20" w:firstLine="563"/>
        <w:spacing w:after="0" w:line="225" w:lineRule="auto"/>
        <w:tabs>
          <w:tab w:leader="none" w:pos="1128" w:val="left"/>
        </w:tabs>
        <w:numPr>
          <w:ilvl w:val="0"/>
          <w:numId w:val="198"/>
        </w:numPr>
        <w:rPr>
          <w:rFonts w:ascii="Arial" w:cs="Arial" w:eastAsia="Arial" w:hAnsi="Arial"/>
          <w:sz w:val="17"/>
          <w:szCs w:val="17"/>
          <w:color w:val="auto"/>
        </w:rPr>
      </w:pPr>
      <w:r>
        <w:rPr>
          <w:rFonts w:ascii="Arial" w:cs="Arial" w:eastAsia="Arial" w:hAnsi="Arial"/>
          <w:sz w:val="17"/>
          <w:szCs w:val="17"/>
          <w:color w:val="auto"/>
        </w:rPr>
        <w:t>the appearance of Holdings, the Borrower or any Subsidiary or Vincent Viola on the Specially Designated Nationals and Blocked Person List or other similar lists maintained by OFAC and/or the United States Department of Treasury, or identified in any related executive orders issued by the President of the United States; and</w:t>
      </w:r>
    </w:p>
    <w:p>
      <w:pPr>
        <w:spacing w:after="0" w:line="136" w:lineRule="exact"/>
        <w:rPr>
          <w:rFonts w:ascii="Arial" w:cs="Arial" w:eastAsia="Arial" w:hAnsi="Arial"/>
          <w:sz w:val="17"/>
          <w:szCs w:val="17"/>
          <w:color w:val="auto"/>
        </w:rPr>
      </w:pPr>
    </w:p>
    <w:p>
      <w:pPr>
        <w:ind w:right="20" w:firstLine="563"/>
        <w:spacing w:after="0" w:line="264" w:lineRule="auto"/>
        <w:tabs>
          <w:tab w:leader="none" w:pos="1132" w:val="left"/>
        </w:tabs>
        <w:numPr>
          <w:ilvl w:val="0"/>
          <w:numId w:val="198"/>
        </w:numPr>
        <w:rPr>
          <w:rFonts w:ascii="Arial" w:cs="Arial" w:eastAsia="Arial" w:hAnsi="Arial"/>
          <w:sz w:val="16"/>
          <w:szCs w:val="16"/>
          <w:color w:val="auto"/>
        </w:rPr>
      </w:pPr>
      <w:r>
        <w:rPr>
          <w:rFonts w:ascii="Arial" w:cs="Arial" w:eastAsia="Arial" w:hAnsi="Arial"/>
          <w:sz w:val="16"/>
          <w:szCs w:val="16"/>
          <w:color w:val="auto"/>
        </w:rPr>
        <w:t>if the Borrower has previously provided a Beneficial Ownership Certification to any Lender in connection with this Agreement, any change in the information provided in such Beneficial Ownership Certification that would result in a change to the list of beneficial owners identified in such certification.</w:t>
      </w:r>
    </w:p>
    <w:p>
      <w:pPr>
        <w:spacing w:after="0" w:line="116"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Each notice delivered under this Section shall be accompanied by a written statement of a Responsible Officer of Holdings or the Borrower setting forth the details of the event or development requiring such notice and any action taken or proposed to be taken with respect thereto.</w:t>
      </w:r>
    </w:p>
    <w:p>
      <w:pPr>
        <w:spacing w:after="0" w:line="135" w:lineRule="exact"/>
        <w:rPr>
          <w:sz w:val="20"/>
          <w:szCs w:val="20"/>
          <w:color w:val="auto"/>
        </w:rPr>
      </w:pPr>
    </w:p>
    <w:p>
      <w:pPr>
        <w:ind w:left="560"/>
        <w:spacing w:after="0"/>
        <w:tabs>
          <w:tab w:leader="none" w:pos="1680" w:val="left"/>
        </w:tabs>
        <w:rPr>
          <w:sz w:val="20"/>
          <w:szCs w:val="20"/>
          <w:color w:val="auto"/>
        </w:rPr>
      </w:pPr>
      <w:r>
        <w:rPr>
          <w:rFonts w:ascii="Arial" w:cs="Arial" w:eastAsia="Arial" w:hAnsi="Arial"/>
          <w:sz w:val="17"/>
          <w:szCs w:val="17"/>
          <w:color w:val="auto"/>
        </w:rPr>
        <w:t>Section 1.03.</w:t>
      </w:r>
      <w:r>
        <w:rPr>
          <w:sz w:val="20"/>
          <w:szCs w:val="20"/>
          <w:color w:val="auto"/>
        </w:rPr>
        <w:tab/>
      </w:r>
      <w:r>
        <w:rPr>
          <w:rFonts w:ascii="Arial" w:cs="Arial" w:eastAsia="Arial" w:hAnsi="Arial"/>
          <w:sz w:val="16"/>
          <w:szCs w:val="16"/>
          <w:i w:val="1"/>
          <w:iCs w:val="1"/>
          <w:color w:val="auto"/>
        </w:rPr>
        <w:t>Information Regarding Collateral</w:t>
      </w:r>
      <w:r>
        <w:rPr>
          <w:rFonts w:ascii="Arial" w:cs="Arial" w:eastAsia="Arial" w:hAnsi="Arial"/>
          <w:sz w:val="16"/>
          <w:szCs w:val="16"/>
          <w:color w:val="auto"/>
        </w:rPr>
        <w:t>.</w:t>
      </w:r>
    </w:p>
    <w:p>
      <w:pPr>
        <w:spacing w:after="0" w:line="160" w:lineRule="exact"/>
        <w:rPr>
          <w:sz w:val="20"/>
          <w:szCs w:val="20"/>
          <w:color w:val="auto"/>
        </w:rPr>
      </w:pPr>
    </w:p>
    <w:p>
      <w:pPr>
        <w:jc w:val="both"/>
        <w:ind w:right="20" w:firstLine="563"/>
        <w:spacing w:after="0" w:line="220" w:lineRule="auto"/>
        <w:tabs>
          <w:tab w:leader="none" w:pos="1128" w:val="left"/>
        </w:tabs>
        <w:numPr>
          <w:ilvl w:val="0"/>
          <w:numId w:val="199"/>
        </w:numPr>
        <w:rPr>
          <w:rFonts w:ascii="Arial" w:cs="Arial" w:eastAsia="Arial" w:hAnsi="Arial"/>
          <w:sz w:val="17"/>
          <w:szCs w:val="17"/>
          <w:color w:val="auto"/>
        </w:rPr>
      </w:pPr>
      <w:r>
        <w:rPr>
          <w:rFonts w:ascii="Arial" w:cs="Arial" w:eastAsia="Arial" w:hAnsi="Arial"/>
          <w:sz w:val="17"/>
          <w:szCs w:val="17"/>
          <w:color w:val="auto"/>
        </w:rPr>
        <w:t>Holdings or the Borrower will furnish to the Administrative Agent prompt (and in any event within 30 days or such longer period as reasonably agreed to by the Administrative Agent) written notice of any change (i) in any Loan Party’s legal name (as set forth in its certificate of organization or like document), (ii) in the jurisdiction of incorporation or organization of any Loan Party or in the form of its organization or (iii) in any Loan Party’s organizational identification number.</w:t>
      </w:r>
    </w:p>
    <w:p>
      <w:pPr>
        <w:spacing w:after="0" w:line="135" w:lineRule="exact"/>
        <w:rPr>
          <w:rFonts w:ascii="Arial" w:cs="Arial" w:eastAsia="Arial" w:hAnsi="Arial"/>
          <w:sz w:val="17"/>
          <w:szCs w:val="17"/>
          <w:color w:val="auto"/>
        </w:rPr>
      </w:pPr>
    </w:p>
    <w:p>
      <w:pPr>
        <w:jc w:val="both"/>
        <w:ind w:firstLine="563"/>
        <w:spacing w:after="0" w:line="213" w:lineRule="auto"/>
        <w:tabs>
          <w:tab w:leader="none" w:pos="1126" w:val="left"/>
        </w:tabs>
        <w:numPr>
          <w:ilvl w:val="0"/>
          <w:numId w:val="199"/>
        </w:numPr>
        <w:rPr>
          <w:rFonts w:ascii="Arial" w:cs="Arial" w:eastAsia="Arial" w:hAnsi="Arial"/>
          <w:sz w:val="17"/>
          <w:szCs w:val="17"/>
          <w:color w:val="auto"/>
        </w:rPr>
      </w:pPr>
      <w:r>
        <w:rPr>
          <w:rFonts w:ascii="Arial" w:cs="Arial" w:eastAsia="Arial" w:hAnsi="Arial"/>
          <w:sz w:val="17"/>
          <w:szCs w:val="17"/>
          <w:color w:val="auto"/>
        </w:rPr>
        <w:t>Not later than five days after delivery of financial statements pursuant to Section 5.01(a) or (b) (and, in any event, not later than five days after the date on which such financial statements were required to have been delivered), Holdings or the Borrower shall deliver to the Administrative Agent a certificate executed by a Responsible Officer of Holdings or the Borrower (i) setting forth the information required pursuant to Sections 1(a)(i), 1(b), 2, 5, 6 and 8 of the Perfection Certificate or confirming that there has been no change in such information since the date of the Perfection Certificate delivered as of the Closing Date or the date of the most recent certificate delivered pursuant to this Section, (ii) identifying any Wholly Owned Subsidiary that has become, or ceased to be, a Material Subsidiary during the most recently ended fiscal quarter and (iii) certifying that all notices required to be given prior to the date of such certificate by this Section 5.03 have been given.</w:t>
      </w:r>
    </w:p>
    <w:p>
      <w:pPr>
        <w:spacing w:after="0" w:line="135" w:lineRule="exact"/>
        <w:rPr>
          <w:sz w:val="20"/>
          <w:szCs w:val="20"/>
          <w:color w:val="auto"/>
        </w:rPr>
      </w:pPr>
    </w:p>
    <w:p>
      <w:pPr>
        <w:jc w:val="both"/>
        <w:ind w:right="20" w:firstLine="568"/>
        <w:spacing w:after="0" w:line="228" w:lineRule="auto"/>
        <w:rPr>
          <w:sz w:val="20"/>
          <w:szCs w:val="20"/>
          <w:color w:val="auto"/>
        </w:rPr>
      </w:pPr>
      <w:r>
        <w:rPr>
          <w:rFonts w:ascii="Arial" w:cs="Arial" w:eastAsia="Arial" w:hAnsi="Arial"/>
          <w:sz w:val="16"/>
          <w:szCs w:val="16"/>
          <w:color w:val="auto"/>
        </w:rPr>
        <w:t xml:space="preserve">Section 1.04. </w:t>
      </w:r>
      <w:r>
        <w:rPr>
          <w:rFonts w:ascii="Arial" w:cs="Arial" w:eastAsia="Arial" w:hAnsi="Arial"/>
          <w:sz w:val="16"/>
          <w:szCs w:val="16"/>
          <w:i w:val="1"/>
          <w:iCs w:val="1"/>
          <w:color w:val="auto"/>
        </w:rPr>
        <w:t>Existence; Conduct of Business.</w:t>
      </w:r>
      <w:r>
        <w:rPr>
          <w:rFonts w:ascii="Arial" w:cs="Arial" w:eastAsia="Arial" w:hAnsi="Arial"/>
          <w:sz w:val="16"/>
          <w:szCs w:val="16"/>
          <w:color w:val="auto"/>
        </w:rPr>
        <w:t xml:space="preserve"> Each of Holdings and the Borrower will, and will cause each Intermediate Parent and Restricted Subsidiary to, do or cause to be done all things necessary to obtain, preserve, renew and keep in full force and effect its legal existence and the rights, licenses, permits, privileges, franchises (including exchange memberships), Intellectual Property and Governmental Approvals material to the conduct of its business, except to the extent (other than with respect to the preservation of the existence of Holdings and the Borrower) that the failure to do so, individually or in the aggregate, could not reasonably be expected to have a Material Adverse Effect;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foregoing shall not prohibit any merger, consolidation, liquidation or dissolution permitted under Section 6.03 or any Disposition permitted by Section 6.05.</w:t>
      </w:r>
    </w:p>
    <w:p>
      <w:pPr>
        <w:spacing w:after="0" w:line="135" w:lineRule="exact"/>
        <w:rPr>
          <w:sz w:val="20"/>
          <w:szCs w:val="20"/>
          <w:color w:val="auto"/>
        </w:rPr>
      </w:pPr>
    </w:p>
    <w:p>
      <w:pPr>
        <w:jc w:val="both"/>
        <w:ind w:firstLine="568"/>
        <w:spacing w:after="0" w:line="225" w:lineRule="auto"/>
        <w:rPr>
          <w:sz w:val="20"/>
          <w:szCs w:val="20"/>
          <w:color w:val="auto"/>
        </w:rPr>
      </w:pPr>
      <w:r>
        <w:rPr>
          <w:rFonts w:ascii="Arial" w:cs="Arial" w:eastAsia="Arial" w:hAnsi="Arial"/>
          <w:sz w:val="17"/>
          <w:szCs w:val="17"/>
          <w:color w:val="auto"/>
        </w:rPr>
        <w:t xml:space="preserve">Section 1.05. </w:t>
      </w:r>
      <w:r>
        <w:rPr>
          <w:rFonts w:ascii="Arial" w:cs="Arial" w:eastAsia="Arial" w:hAnsi="Arial"/>
          <w:sz w:val="17"/>
          <w:szCs w:val="17"/>
          <w:i w:val="1"/>
          <w:iCs w:val="1"/>
          <w:color w:val="auto"/>
        </w:rPr>
        <w:t>Payment of Taxes, Etc</w:t>
      </w:r>
      <w:r>
        <w:rPr>
          <w:rFonts w:ascii="Arial" w:cs="Arial" w:eastAsia="Arial" w:hAnsi="Arial"/>
          <w:sz w:val="17"/>
          <w:szCs w:val="17"/>
          <w:color w:val="auto"/>
        </w:rPr>
        <w:t>. Each of Holdings and the Borrower will, and will cause each Intermediate Parent and Restricted Subsidiary to, pay its obligations in respect of Tax liabilities, assessments and governmental charges, before the same shall become delinquent or in default, except where the failure to make such payment could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125</w:t>
      </w:r>
    </w:p>
    <w:p>
      <w:pPr>
        <w:sectPr>
          <w:pgSz w:w="11900" w:h="16838" w:orient="portrait"/>
          <w:cols w:equalWidth="0" w:num="1">
            <w:col w:w="11260"/>
          </w:cols>
          <w:pgMar w:left="320" w:top="1440" w:right="319" w:bottom="1440" w:gutter="0" w:footer="0" w:header="0"/>
        </w:sectPr>
      </w:pPr>
    </w:p>
    <w:bookmarkStart w:id="299" w:name="page300"/>
    <w:bookmarkEnd w:id="299"/>
    <w:p>
      <w:pPr>
        <w:spacing w:after="0" w:line="390" w:lineRule="exact"/>
        <w:rPr>
          <w:sz w:val="20"/>
          <w:szCs w:val="20"/>
          <w:color w:val="auto"/>
        </w:rPr>
      </w:pPr>
    </w:p>
    <w:p>
      <w:pPr>
        <w:ind w:left="5"/>
        <w:spacing w:after="0"/>
        <w:rPr>
          <w:sz w:val="20"/>
          <w:szCs w:val="20"/>
          <w:color w:val="auto"/>
        </w:rPr>
      </w:pPr>
      <w:r>
        <w:rPr>
          <w:rFonts w:ascii="Arial" w:cs="Arial" w:eastAsia="Arial" w:hAnsi="Arial"/>
          <w:sz w:val="17"/>
          <w:szCs w:val="17"/>
          <w:color w:val="auto"/>
        </w:rPr>
        <w:t>not reasonably be expected, individually or in the aggregate, to result in a Material Adverse Effect.</w:t>
      </w:r>
    </w:p>
    <w:p>
      <w:pPr>
        <w:spacing w:after="0" w:line="160" w:lineRule="exact"/>
        <w:rPr>
          <w:sz w:val="20"/>
          <w:szCs w:val="20"/>
          <w:color w:val="auto"/>
        </w:rPr>
      </w:pPr>
    </w:p>
    <w:p>
      <w:pPr>
        <w:jc w:val="both"/>
        <w:ind w:left="5" w:right="20" w:firstLine="568"/>
        <w:spacing w:after="0" w:line="225" w:lineRule="auto"/>
        <w:rPr>
          <w:sz w:val="20"/>
          <w:szCs w:val="20"/>
          <w:color w:val="auto"/>
        </w:rPr>
      </w:pPr>
      <w:r>
        <w:rPr>
          <w:rFonts w:ascii="Arial" w:cs="Arial" w:eastAsia="Arial" w:hAnsi="Arial"/>
          <w:sz w:val="17"/>
          <w:szCs w:val="17"/>
          <w:color w:val="auto"/>
        </w:rPr>
        <w:t xml:space="preserve">Section 1.06. </w:t>
      </w:r>
      <w:r>
        <w:rPr>
          <w:rFonts w:ascii="Arial" w:cs="Arial" w:eastAsia="Arial" w:hAnsi="Arial"/>
          <w:sz w:val="17"/>
          <w:szCs w:val="17"/>
          <w:i w:val="1"/>
          <w:iCs w:val="1"/>
          <w:color w:val="auto"/>
        </w:rPr>
        <w:t>Maintenance of Properties.</w:t>
      </w:r>
      <w:r>
        <w:rPr>
          <w:rFonts w:ascii="Arial" w:cs="Arial" w:eastAsia="Arial" w:hAnsi="Arial"/>
          <w:sz w:val="17"/>
          <w:szCs w:val="17"/>
          <w:color w:val="auto"/>
        </w:rPr>
        <w:t xml:space="preserve"> Each of Holdings and the Borrower will, and will cause each Restricted Subsidiary to, keep and maintain all property material to the conduct of its business in good working order and condition, ordinary wear and tear excepted, except where the failure to do so could not reasonably be expected to have, individually or in the aggregate, a Material Adverse Effect.</w:t>
      </w:r>
    </w:p>
    <w:p>
      <w:pPr>
        <w:spacing w:after="0" w:line="137" w:lineRule="exact"/>
        <w:rPr>
          <w:sz w:val="20"/>
          <w:szCs w:val="20"/>
          <w:color w:val="auto"/>
        </w:rPr>
      </w:pPr>
    </w:p>
    <w:p>
      <w:pPr>
        <w:jc w:val="both"/>
        <w:ind w:left="5" w:firstLine="568"/>
        <w:spacing w:after="0" w:line="224" w:lineRule="auto"/>
        <w:rPr>
          <w:sz w:val="20"/>
          <w:szCs w:val="20"/>
          <w:color w:val="auto"/>
        </w:rPr>
      </w:pPr>
      <w:r>
        <w:rPr>
          <w:rFonts w:ascii="Arial" w:cs="Arial" w:eastAsia="Arial" w:hAnsi="Arial"/>
          <w:sz w:val="16"/>
          <w:szCs w:val="16"/>
          <w:color w:val="auto"/>
        </w:rPr>
        <w:t xml:space="preserve">Section 1.07. </w:t>
      </w:r>
      <w:r>
        <w:rPr>
          <w:rFonts w:ascii="Arial" w:cs="Arial" w:eastAsia="Arial" w:hAnsi="Arial"/>
          <w:sz w:val="16"/>
          <w:szCs w:val="16"/>
          <w:i w:val="1"/>
          <w:iCs w:val="1"/>
          <w:color w:val="auto"/>
        </w:rPr>
        <w:t>Insurance.</w:t>
      </w:r>
      <w:r>
        <w:rPr>
          <w:rFonts w:ascii="Arial" w:cs="Arial" w:eastAsia="Arial" w:hAnsi="Arial"/>
          <w:sz w:val="16"/>
          <w:szCs w:val="16"/>
          <w:color w:val="auto"/>
        </w:rPr>
        <w:t xml:space="preserve"> Each of Holdings and the Borrower will, and will cause each Restricted Subsidiary to, maintain, with insurance companies that Holdings believes (in the good faith judgment of the management of Holdings) are financially sound and responsible at the time the relevant coverage is placed or renewed, insurance in at least such amounts (after giving effect to any self-insurance which Holdings believes (in the good faith judgment of management of Holdings) is reasonable and prudent in light of the size and nature of its business) and against at least such risks (and with such risk retentions) as Holdings believes (in the good faith judgment of the management of Holdings) are reasonable and prudent in light of the size and nature of its business, and will furnish to the Lenders, upon written request from the Administrative Agent, information presented in reasonable detail as to the insurance so carried. Each such policy of insurance shall, unless otherwise agreed to by the Administrative Agent, (a) name the Administrative Agent, on behalf of the Lenders, as an additional insured thereunder as its interests may appear and (b) in the case of each casualty insurance policy, contain a loss payable clause or endorsement that names the Administrative Agent, on behalf of the Lenders, as the loss payee thereunder.</w:t>
      </w:r>
    </w:p>
    <w:p>
      <w:pPr>
        <w:spacing w:after="0" w:line="136" w:lineRule="exact"/>
        <w:rPr>
          <w:sz w:val="20"/>
          <w:szCs w:val="20"/>
          <w:color w:val="auto"/>
        </w:rPr>
      </w:pPr>
    </w:p>
    <w:p>
      <w:pPr>
        <w:ind w:left="565"/>
        <w:spacing w:after="0"/>
        <w:tabs>
          <w:tab w:leader="none" w:pos="1685" w:val="left"/>
        </w:tabs>
        <w:rPr>
          <w:sz w:val="20"/>
          <w:szCs w:val="20"/>
          <w:color w:val="auto"/>
        </w:rPr>
      </w:pPr>
      <w:r>
        <w:rPr>
          <w:rFonts w:ascii="Arial" w:cs="Arial" w:eastAsia="Arial" w:hAnsi="Arial"/>
          <w:sz w:val="17"/>
          <w:szCs w:val="17"/>
          <w:color w:val="auto"/>
        </w:rPr>
        <w:t>Section 1.08.</w:t>
      </w:r>
      <w:r>
        <w:rPr>
          <w:sz w:val="20"/>
          <w:szCs w:val="20"/>
          <w:color w:val="auto"/>
        </w:rPr>
        <w:tab/>
      </w:r>
      <w:r>
        <w:rPr>
          <w:rFonts w:ascii="Arial" w:cs="Arial" w:eastAsia="Arial" w:hAnsi="Arial"/>
          <w:sz w:val="15"/>
          <w:szCs w:val="15"/>
          <w:i w:val="1"/>
          <w:iCs w:val="1"/>
          <w:color w:val="auto"/>
        </w:rPr>
        <w:t>Books and Records; Inspection and Audit Rights; Quarterly Teleconferences</w:t>
      </w:r>
      <w:r>
        <w:rPr>
          <w:rFonts w:ascii="Arial" w:cs="Arial" w:eastAsia="Arial" w:hAnsi="Arial"/>
          <w:sz w:val="15"/>
          <w:szCs w:val="15"/>
          <w:color w:val="auto"/>
        </w:rPr>
        <w:t>.</w:t>
      </w:r>
    </w:p>
    <w:p>
      <w:pPr>
        <w:spacing w:after="0" w:line="160" w:lineRule="exact"/>
        <w:rPr>
          <w:sz w:val="20"/>
          <w:szCs w:val="20"/>
          <w:color w:val="auto"/>
        </w:rPr>
      </w:pPr>
    </w:p>
    <w:p>
      <w:pPr>
        <w:jc w:val="both"/>
        <w:ind w:left="5" w:firstLine="563"/>
        <w:spacing w:after="0" w:line="221" w:lineRule="auto"/>
        <w:tabs>
          <w:tab w:leader="none" w:pos="1133" w:val="left"/>
        </w:tabs>
        <w:numPr>
          <w:ilvl w:val="1"/>
          <w:numId w:val="200"/>
        </w:numPr>
        <w:rPr>
          <w:rFonts w:ascii="Arial" w:cs="Arial" w:eastAsia="Arial" w:hAnsi="Arial"/>
          <w:sz w:val="16"/>
          <w:szCs w:val="16"/>
          <w:color w:val="auto"/>
        </w:rPr>
      </w:pPr>
      <w:r>
        <w:rPr>
          <w:rFonts w:ascii="Arial" w:cs="Arial" w:eastAsia="Arial" w:hAnsi="Arial"/>
          <w:sz w:val="16"/>
          <w:szCs w:val="16"/>
          <w:color w:val="auto"/>
        </w:rPr>
        <w:t xml:space="preserve">Each of Holdings and the Borrower will, and will cause each Intermediate Parent and Restricted Subsidiary to, maintain proper books of record and account in which entries that are full, true and correct in all material respects and are in conformity with GAAP consistently applied shall be made of all material financial transactions and matters involving the assets and business of Holdings, the Borrower, such Intermediate Parent or such Restricted Subsidiary, as the case may be. Each of Holdings and the Borrower will, and will cause each Intermediate Parent and Restricted Subsidiary to, permit any representatives designated by the Administrative Agent or any Lender, upon reasonable prior notice, to visit and inspect its properties, to examine and make extracts from its books and records, and to discuss its affairs, finances and condition with its officers and independent accountants, all at such reasonable times and as often as reasonably requested;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excluding any such visits and inspections during the continuation of an Event of Default, only the Administrative Agent on behalf of the Lenders may exercise visitation and inspection rights of the Administrative Agent and the Lenders under this Section 5.08 and the Administrative Agent shall not exercise such rights more often than two times during any calendar year absent the existence of an Event of Default and, absent the existence of an Event of Default, only one such time shall be at the Borrower’s expense;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(i) when an Event of Default exists, the Administrative Agent or any Lender (or any of their respective representatives or independent contractors) may do any of the foregoing at the expense of the Borrower at any time during normal business hours and upon reasonable advance notice and (ii) the Administrative Agent and the Lenders shall give Holdings and the Borrower the opportunity to participate in any discussions with Holdings’ or the Borrower’s independent public accountants.</w:t>
      </w:r>
    </w:p>
    <w:p>
      <w:pPr>
        <w:spacing w:after="0" w:line="141" w:lineRule="exact"/>
        <w:rPr>
          <w:rFonts w:ascii="Arial" w:cs="Arial" w:eastAsia="Arial" w:hAnsi="Arial"/>
          <w:sz w:val="16"/>
          <w:szCs w:val="16"/>
          <w:color w:val="auto"/>
        </w:rPr>
      </w:pPr>
    </w:p>
    <w:p>
      <w:pPr>
        <w:ind w:left="1125" w:hanging="557"/>
        <w:spacing w:after="0"/>
        <w:tabs>
          <w:tab w:leader="none" w:pos="1125" w:val="left"/>
        </w:tabs>
        <w:numPr>
          <w:ilvl w:val="1"/>
          <w:numId w:val="200"/>
        </w:numPr>
        <w:rPr>
          <w:rFonts w:ascii="Arial" w:cs="Arial" w:eastAsia="Arial" w:hAnsi="Arial"/>
          <w:sz w:val="15"/>
          <w:szCs w:val="15"/>
          <w:color w:val="auto"/>
        </w:rPr>
      </w:pPr>
      <w:r>
        <w:rPr>
          <w:rFonts w:ascii="Arial" w:cs="Arial" w:eastAsia="Arial" w:hAnsi="Arial"/>
          <w:sz w:val="15"/>
          <w:szCs w:val="15"/>
          <w:color w:val="auto"/>
        </w:rPr>
        <w:t>Within 10 Business Days after the earlier of (x) the delivery of any financial statements required to be delivered under Section 5.01(a) or (b) and</w:t>
      </w:r>
    </w:p>
    <w:p>
      <w:pPr>
        <w:spacing w:after="0" w:line="7" w:lineRule="exact"/>
        <w:rPr>
          <w:rFonts w:ascii="Arial" w:cs="Arial" w:eastAsia="Arial" w:hAnsi="Arial"/>
          <w:sz w:val="15"/>
          <w:szCs w:val="15"/>
          <w:color w:val="auto"/>
        </w:rPr>
      </w:pPr>
    </w:p>
    <w:p>
      <w:pPr>
        <w:ind w:left="245" w:hanging="245"/>
        <w:spacing w:after="0"/>
        <w:tabs>
          <w:tab w:leader="none" w:pos="245" w:val="left"/>
        </w:tabs>
        <w:numPr>
          <w:ilvl w:val="0"/>
          <w:numId w:val="201"/>
        </w:numPr>
        <w:rPr>
          <w:rFonts w:ascii="Arial" w:cs="Arial" w:eastAsia="Arial" w:hAnsi="Arial"/>
          <w:sz w:val="17"/>
          <w:szCs w:val="17"/>
          <w:color w:val="auto"/>
        </w:rPr>
      </w:pPr>
      <w:r>
        <w:rPr>
          <w:rFonts w:ascii="Arial" w:cs="Arial" w:eastAsia="Arial" w:hAnsi="Arial"/>
          <w:sz w:val="17"/>
          <w:szCs w:val="17"/>
          <w:color w:val="auto"/>
        </w:rPr>
        <w:t>the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4"/>
        <w:spacing w:after="0"/>
        <w:rPr>
          <w:sz w:val="20"/>
          <w:szCs w:val="20"/>
          <w:color w:val="auto"/>
        </w:rPr>
      </w:pPr>
      <w:r>
        <w:rPr>
          <w:rFonts w:ascii="Arial" w:cs="Arial" w:eastAsia="Arial" w:hAnsi="Arial"/>
          <w:sz w:val="17"/>
          <w:szCs w:val="17"/>
          <w:color w:val="auto"/>
        </w:rPr>
        <w:t>126</w:t>
      </w:r>
    </w:p>
    <w:p>
      <w:pPr>
        <w:sectPr>
          <w:pgSz w:w="11900" w:h="16838" w:orient="portrait"/>
          <w:cols w:equalWidth="0" w:num="1">
            <w:col w:w="11265"/>
          </w:cols>
          <w:pgMar w:left="315" w:top="1440" w:right="319" w:bottom="1440" w:gutter="0" w:footer="0" w:header="0"/>
        </w:sectPr>
      </w:pPr>
    </w:p>
    <w:bookmarkStart w:id="300" w:name="page301"/>
    <w:bookmarkEnd w:id="300"/>
    <w:p>
      <w:pPr>
        <w:spacing w:after="0" w:line="390" w:lineRule="exact"/>
        <w:rPr>
          <w:sz w:val="20"/>
          <w:szCs w:val="20"/>
          <w:color w:val="auto"/>
        </w:rPr>
      </w:pPr>
    </w:p>
    <w:p>
      <w:pPr>
        <w:jc w:val="both"/>
        <w:ind w:right="20"/>
        <w:spacing w:after="0" w:line="225" w:lineRule="auto"/>
        <w:rPr>
          <w:sz w:val="20"/>
          <w:szCs w:val="20"/>
          <w:color w:val="auto"/>
        </w:rPr>
      </w:pPr>
      <w:r>
        <w:rPr>
          <w:rFonts w:ascii="Arial" w:cs="Arial" w:eastAsia="Arial" w:hAnsi="Arial"/>
          <w:sz w:val="17"/>
          <w:szCs w:val="17"/>
          <w:color w:val="auto"/>
        </w:rPr>
        <w:t xml:space="preserve">on which such financial statements were required to have been delivered, the Borrower shall host a teleconference meeting with the Lenders to discuss the results presented therein or for the applicable period, as applicable, and such other matters reasonably related thereto;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combined teleconference meeting with equityholders of VFI hosted by VFI shall satisfy the requirement of this Section 5.08(b)).</w:t>
      </w:r>
    </w:p>
    <w:p>
      <w:pPr>
        <w:spacing w:after="0" w:line="137" w:lineRule="exact"/>
        <w:rPr>
          <w:sz w:val="20"/>
          <w:szCs w:val="20"/>
          <w:color w:val="auto"/>
        </w:rPr>
      </w:pPr>
    </w:p>
    <w:p>
      <w:pPr>
        <w:jc w:val="both"/>
        <w:ind w:right="20" w:firstLine="568"/>
        <w:spacing w:after="0" w:line="220" w:lineRule="auto"/>
        <w:rPr>
          <w:sz w:val="20"/>
          <w:szCs w:val="20"/>
          <w:color w:val="auto"/>
        </w:rPr>
      </w:pPr>
      <w:r>
        <w:rPr>
          <w:rFonts w:ascii="Arial" w:cs="Arial" w:eastAsia="Arial" w:hAnsi="Arial"/>
          <w:sz w:val="17"/>
          <w:szCs w:val="17"/>
          <w:color w:val="auto"/>
        </w:rPr>
        <w:t xml:space="preserve">Section 1.09. </w:t>
      </w:r>
      <w:r>
        <w:rPr>
          <w:rFonts w:ascii="Arial" w:cs="Arial" w:eastAsia="Arial" w:hAnsi="Arial"/>
          <w:sz w:val="17"/>
          <w:szCs w:val="17"/>
          <w:i w:val="1"/>
          <w:iCs w:val="1"/>
          <w:color w:val="auto"/>
        </w:rPr>
        <w:t>Compliance with Laws.</w:t>
      </w:r>
      <w:r>
        <w:rPr>
          <w:rFonts w:ascii="Arial" w:cs="Arial" w:eastAsia="Arial" w:hAnsi="Arial"/>
          <w:sz w:val="17"/>
          <w:szCs w:val="17"/>
          <w:color w:val="auto"/>
        </w:rPr>
        <w:t xml:space="preserve"> Each of Holdings and the Borrower will, and will cause each Intermediate Parent and Restricted Subsidiary to, comply with its Organizational Documents and all Requirements of Law (including Environmental Laws, ERISA and the USA Patriot Act) with respect to it, its property and operations, except where the failure to do so, individually or in the aggregate, could not reasonably be expected to result in a Material Adverse Effect.</w:t>
      </w:r>
    </w:p>
    <w:p>
      <w:pPr>
        <w:spacing w:after="0" w:line="136" w:lineRule="exact"/>
        <w:rPr>
          <w:sz w:val="20"/>
          <w:szCs w:val="20"/>
          <w:color w:val="auto"/>
        </w:rPr>
      </w:pPr>
    </w:p>
    <w:p>
      <w:pPr>
        <w:ind w:left="560"/>
        <w:spacing w:after="0"/>
        <w:tabs>
          <w:tab w:leader="none" w:pos="1680" w:val="left"/>
        </w:tabs>
        <w:rPr>
          <w:sz w:val="20"/>
          <w:szCs w:val="20"/>
          <w:color w:val="auto"/>
        </w:rPr>
      </w:pPr>
      <w:r>
        <w:rPr>
          <w:rFonts w:ascii="Arial" w:cs="Arial" w:eastAsia="Arial" w:hAnsi="Arial"/>
          <w:sz w:val="17"/>
          <w:szCs w:val="17"/>
          <w:color w:val="auto"/>
        </w:rPr>
        <w:t>Section 1.10.</w:t>
      </w:r>
      <w:r>
        <w:rPr>
          <w:sz w:val="20"/>
          <w:szCs w:val="20"/>
          <w:color w:val="auto"/>
        </w:rPr>
        <w:tab/>
      </w:r>
      <w:r>
        <w:rPr>
          <w:rFonts w:ascii="Arial" w:cs="Arial" w:eastAsia="Arial" w:hAnsi="Arial"/>
          <w:sz w:val="15"/>
          <w:szCs w:val="15"/>
          <w:i w:val="1"/>
          <w:iCs w:val="1"/>
          <w:color w:val="auto"/>
        </w:rPr>
        <w:t>Use of Proceeds</w:t>
      </w:r>
      <w:r>
        <w:rPr>
          <w:rFonts w:ascii="Arial" w:cs="Arial" w:eastAsia="Arial" w:hAnsi="Arial"/>
          <w:sz w:val="15"/>
          <w:szCs w:val="15"/>
          <w:color w:val="auto"/>
        </w:rPr>
        <w:t>.</w:t>
      </w:r>
    </w:p>
    <w:p>
      <w:pPr>
        <w:spacing w:after="0" w:line="160" w:lineRule="exact"/>
        <w:rPr>
          <w:sz w:val="20"/>
          <w:szCs w:val="20"/>
          <w:color w:val="auto"/>
        </w:rPr>
      </w:pPr>
    </w:p>
    <w:p>
      <w:pPr>
        <w:jc w:val="both"/>
        <w:ind w:firstLine="563"/>
        <w:spacing w:after="0" w:line="225" w:lineRule="auto"/>
        <w:tabs>
          <w:tab w:leader="none" w:pos="1128" w:val="left"/>
        </w:tabs>
        <w:numPr>
          <w:ilvl w:val="0"/>
          <w:numId w:val="202"/>
        </w:numPr>
        <w:rPr>
          <w:rFonts w:ascii="Arial" w:cs="Arial" w:eastAsia="Arial" w:hAnsi="Arial"/>
          <w:sz w:val="17"/>
          <w:szCs w:val="17"/>
          <w:color w:val="auto"/>
        </w:rPr>
      </w:pPr>
      <w:r>
        <w:rPr>
          <w:rFonts w:ascii="Arial" w:cs="Arial" w:eastAsia="Arial" w:hAnsi="Arial"/>
          <w:sz w:val="17"/>
          <w:szCs w:val="17"/>
          <w:color w:val="auto"/>
        </w:rPr>
        <w:t>The Borrower and its Restricted Subsidiaries will use the proceeds of Borrowings of Revolving Loans and Letters of Credit issued hereunder and the proceeds of any Incremental Revolving Facility or any Incremental Term Facility for working capital and other general corporate purposes (including the financing of Permitted Acquisitions).</w:t>
      </w:r>
    </w:p>
    <w:p>
      <w:pPr>
        <w:spacing w:after="0" w:line="136" w:lineRule="exact"/>
        <w:rPr>
          <w:rFonts w:ascii="Arial" w:cs="Arial" w:eastAsia="Arial" w:hAnsi="Arial"/>
          <w:sz w:val="17"/>
          <w:szCs w:val="17"/>
          <w:color w:val="auto"/>
        </w:rPr>
      </w:pPr>
    </w:p>
    <w:p>
      <w:pPr>
        <w:ind w:right="20" w:firstLine="563"/>
        <w:spacing w:after="0" w:line="237" w:lineRule="auto"/>
        <w:tabs>
          <w:tab w:leader="none" w:pos="1126" w:val="left"/>
        </w:tabs>
        <w:numPr>
          <w:ilvl w:val="0"/>
          <w:numId w:val="202"/>
        </w:numPr>
        <w:rPr>
          <w:rFonts w:ascii="Arial" w:cs="Arial" w:eastAsia="Arial" w:hAnsi="Arial"/>
          <w:sz w:val="17"/>
          <w:szCs w:val="17"/>
          <w:color w:val="auto"/>
        </w:rPr>
      </w:pPr>
      <w:r>
        <w:rPr>
          <w:rFonts w:ascii="Arial" w:cs="Arial" w:eastAsia="Arial" w:hAnsi="Arial"/>
          <w:sz w:val="17"/>
          <w:szCs w:val="17"/>
          <w:color w:val="auto"/>
        </w:rPr>
        <w:t>The Borrower will use the proceeds of the Initial Term Loans received on the Closing Date to consummate the Transactions and for general corporate purposes (including, without limitation, to fund share repurchases).</w:t>
      </w:r>
    </w:p>
    <w:p>
      <w:pPr>
        <w:spacing w:after="0" w:line="135" w:lineRule="exact"/>
        <w:rPr>
          <w:sz w:val="20"/>
          <w:szCs w:val="20"/>
          <w:color w:val="auto"/>
        </w:rPr>
      </w:pPr>
    </w:p>
    <w:p>
      <w:pPr>
        <w:ind w:left="560"/>
        <w:spacing w:after="0"/>
        <w:tabs>
          <w:tab w:leader="none" w:pos="1680" w:val="left"/>
        </w:tabs>
        <w:rPr>
          <w:sz w:val="20"/>
          <w:szCs w:val="20"/>
          <w:color w:val="auto"/>
        </w:rPr>
      </w:pPr>
      <w:r>
        <w:rPr>
          <w:rFonts w:ascii="Arial" w:cs="Arial" w:eastAsia="Arial" w:hAnsi="Arial"/>
          <w:sz w:val="17"/>
          <w:szCs w:val="17"/>
          <w:color w:val="auto"/>
        </w:rPr>
        <w:t>Section 1.11.</w:t>
      </w:r>
      <w:r>
        <w:rPr>
          <w:sz w:val="20"/>
          <w:szCs w:val="20"/>
          <w:color w:val="auto"/>
        </w:rPr>
        <w:tab/>
      </w:r>
      <w:r>
        <w:rPr>
          <w:rFonts w:ascii="Arial" w:cs="Arial" w:eastAsia="Arial" w:hAnsi="Arial"/>
          <w:sz w:val="15"/>
          <w:szCs w:val="15"/>
          <w:i w:val="1"/>
          <w:iCs w:val="1"/>
          <w:color w:val="auto"/>
        </w:rPr>
        <w:t>Additional Subsidiaries</w:t>
      </w:r>
      <w:r>
        <w:rPr>
          <w:rFonts w:ascii="Arial" w:cs="Arial" w:eastAsia="Arial" w:hAnsi="Arial"/>
          <w:sz w:val="15"/>
          <w:szCs w:val="15"/>
          <w:color w:val="auto"/>
        </w:rPr>
        <w:t>.</w:t>
      </w:r>
    </w:p>
    <w:p>
      <w:pPr>
        <w:spacing w:after="0" w:line="160" w:lineRule="exact"/>
        <w:rPr>
          <w:sz w:val="20"/>
          <w:szCs w:val="20"/>
          <w:color w:val="auto"/>
        </w:rPr>
      </w:pPr>
    </w:p>
    <w:p>
      <w:pPr>
        <w:jc w:val="both"/>
        <w:ind w:firstLine="563"/>
        <w:spacing w:after="0"/>
        <w:tabs>
          <w:tab w:leader="none" w:pos="1128" w:val="left"/>
        </w:tabs>
        <w:numPr>
          <w:ilvl w:val="0"/>
          <w:numId w:val="203"/>
        </w:numPr>
        <w:rPr>
          <w:rFonts w:ascii="Arial" w:cs="Arial" w:eastAsia="Arial" w:hAnsi="Arial"/>
          <w:sz w:val="15"/>
          <w:szCs w:val="15"/>
          <w:color w:val="auto"/>
        </w:rPr>
      </w:pPr>
      <w:r>
        <w:rPr>
          <w:rFonts w:ascii="Arial" w:cs="Arial" w:eastAsia="Arial" w:hAnsi="Arial"/>
          <w:sz w:val="15"/>
          <w:szCs w:val="15"/>
          <w:color w:val="auto"/>
        </w:rPr>
        <w:t>If (i) any additional Restricted Subsidiary is formed or acquired after the Closing Date or (ii) if any Restricted Subsidiary ceases to be an Excluded Subsidiary, an Immaterial Subsidiary, a Foreign Subsidiary, a Regulated Subsidiary or an Excluded Domestic Subsidiary, Holdings or the Borrower will, within 30 days after such formation, acquisition or cessation, notify the Administrative Agent thereof, and will cause (x) such Restricted Subsidiary (unless such Restricted Subsidiary is an Excluded Subsidiary, a Foreign Subsidiary, a Regulated Subsidiary or an Excluded Domestic Subsidiary) to satisfy the Collateral and Guarantee Requirement with respect to such Restricted Subsidiary and (y) any Loan Party that owns any Equity Interests in or Indebtedness of any such Restricted Subsidiary to satisfy the Collateral and Guarantee Requirement with respect to such Equity Interests and Indebtedness, in each case within 30 days after such notice (or such longer period as the Administrative Agent shall reasonably agree and the Administrative Agent shall have received a completed Perfection Certificate with respect to such Restricted Subsidiary signed by a Responsible Officer, together with all attachments contemplated thereby).</w:t>
      </w:r>
    </w:p>
    <w:p>
      <w:pPr>
        <w:spacing w:after="0" w:line="135" w:lineRule="exact"/>
        <w:rPr>
          <w:rFonts w:ascii="Arial" w:cs="Arial" w:eastAsia="Arial" w:hAnsi="Arial"/>
          <w:sz w:val="15"/>
          <w:szCs w:val="15"/>
          <w:color w:val="auto"/>
        </w:rPr>
      </w:pPr>
    </w:p>
    <w:p>
      <w:pPr>
        <w:jc w:val="both"/>
        <w:ind w:right="20" w:firstLine="563"/>
        <w:spacing w:after="0" w:line="225" w:lineRule="auto"/>
        <w:tabs>
          <w:tab w:leader="none" w:pos="1126" w:val="left"/>
        </w:tabs>
        <w:numPr>
          <w:ilvl w:val="0"/>
          <w:numId w:val="203"/>
        </w:numPr>
        <w:rPr>
          <w:rFonts w:ascii="Arial" w:cs="Arial" w:eastAsia="Arial" w:hAnsi="Arial"/>
          <w:sz w:val="17"/>
          <w:szCs w:val="17"/>
          <w:color w:val="auto"/>
        </w:rPr>
      </w:pPr>
      <w:r>
        <w:rPr>
          <w:rFonts w:ascii="Arial" w:cs="Arial" w:eastAsia="Arial" w:hAnsi="Arial"/>
          <w:sz w:val="17"/>
          <w:szCs w:val="17"/>
          <w:color w:val="auto"/>
        </w:rPr>
        <w:t>Within 30 days (or such longer period as the Administrative Agent may reasonably agree) after Holdings or the Borrower identifies any new Material Subsidiary pursuant to Section 5.03(b), all actions (if any) required to be taken with respect to such Subsidiary in order to satisfy the Collateral and Guarantee Requirement shall have been taken with respect to such Subsidiary.</w:t>
      </w:r>
    </w:p>
    <w:p>
      <w:pPr>
        <w:spacing w:after="0" w:line="137" w:lineRule="exact"/>
        <w:rPr>
          <w:sz w:val="20"/>
          <w:szCs w:val="20"/>
          <w:color w:val="auto"/>
        </w:rPr>
      </w:pPr>
    </w:p>
    <w:p>
      <w:pPr>
        <w:ind w:left="560"/>
        <w:spacing w:after="0"/>
        <w:tabs>
          <w:tab w:leader="none" w:pos="1680" w:val="left"/>
        </w:tabs>
        <w:rPr>
          <w:sz w:val="20"/>
          <w:szCs w:val="20"/>
          <w:color w:val="auto"/>
        </w:rPr>
      </w:pPr>
      <w:r>
        <w:rPr>
          <w:rFonts w:ascii="Arial" w:cs="Arial" w:eastAsia="Arial" w:hAnsi="Arial"/>
          <w:sz w:val="17"/>
          <w:szCs w:val="17"/>
          <w:color w:val="auto"/>
        </w:rPr>
        <w:t>Section 1.12.</w:t>
      </w:r>
      <w:r>
        <w:rPr>
          <w:sz w:val="20"/>
          <w:szCs w:val="20"/>
          <w:color w:val="auto"/>
        </w:rPr>
        <w:tab/>
      </w:r>
      <w:r>
        <w:rPr>
          <w:rFonts w:ascii="Arial" w:cs="Arial" w:eastAsia="Arial" w:hAnsi="Arial"/>
          <w:sz w:val="15"/>
          <w:szCs w:val="15"/>
          <w:i w:val="1"/>
          <w:iCs w:val="1"/>
          <w:color w:val="auto"/>
        </w:rPr>
        <w:t>Further Assurances</w:t>
      </w:r>
      <w:r>
        <w:rPr>
          <w:rFonts w:ascii="Arial" w:cs="Arial" w:eastAsia="Arial" w:hAnsi="Arial"/>
          <w:sz w:val="15"/>
          <w:szCs w:val="15"/>
          <w:color w:val="auto"/>
        </w:rPr>
        <w:t>.</w:t>
      </w:r>
    </w:p>
    <w:p>
      <w:pPr>
        <w:spacing w:after="0" w:line="160" w:lineRule="exact"/>
        <w:rPr>
          <w:sz w:val="20"/>
          <w:szCs w:val="20"/>
          <w:color w:val="auto"/>
        </w:rPr>
      </w:pPr>
    </w:p>
    <w:p>
      <w:pPr>
        <w:jc w:val="both"/>
        <w:ind w:firstLine="563"/>
        <w:spacing w:after="0" w:line="225" w:lineRule="auto"/>
        <w:tabs>
          <w:tab w:leader="none" w:pos="1128" w:val="left"/>
        </w:tabs>
        <w:numPr>
          <w:ilvl w:val="0"/>
          <w:numId w:val="204"/>
        </w:numPr>
        <w:rPr>
          <w:rFonts w:ascii="Arial" w:cs="Arial" w:eastAsia="Arial" w:hAnsi="Arial"/>
          <w:sz w:val="17"/>
          <w:szCs w:val="17"/>
          <w:color w:val="auto"/>
        </w:rPr>
      </w:pPr>
      <w:r>
        <w:rPr>
          <w:rFonts w:ascii="Arial" w:cs="Arial" w:eastAsia="Arial" w:hAnsi="Arial"/>
          <w:sz w:val="17"/>
          <w:szCs w:val="17"/>
          <w:color w:val="auto"/>
        </w:rPr>
        <w:t>Each of Holdings and the Borrower will, and will cause each Loan Party to, execute any and all further documents, financing statements, agreements and instruments, and take all such further actions (including the filing and recording of financing statements, fixture filings, Mortgages and other documents), that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127</w:t>
      </w:r>
    </w:p>
    <w:p>
      <w:pPr>
        <w:sectPr>
          <w:pgSz w:w="11900" w:h="16838" w:orient="portrait"/>
          <w:cols w:equalWidth="0" w:num="1">
            <w:col w:w="11260"/>
          </w:cols>
          <w:pgMar w:left="320" w:top="1440" w:right="319" w:bottom="1440" w:gutter="0" w:footer="0" w:header="0"/>
        </w:sectPr>
      </w:pPr>
    </w:p>
    <w:bookmarkStart w:id="301" w:name="page302"/>
    <w:bookmarkEnd w:id="301"/>
    <w:p>
      <w:pPr>
        <w:spacing w:after="0" w:line="390"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required under any applicable law or that the Administrative Agent or the Required Lenders may reasonably request, to cause the Collateral and Guarantee Requirement to be and remain satisfied, all at the expense of the Loan Parties.</w:t>
      </w:r>
    </w:p>
    <w:p>
      <w:pPr>
        <w:spacing w:after="0" w:line="135" w:lineRule="exact"/>
        <w:rPr>
          <w:sz w:val="20"/>
          <w:szCs w:val="20"/>
          <w:color w:val="auto"/>
        </w:rPr>
      </w:pPr>
    </w:p>
    <w:p>
      <w:pPr>
        <w:jc w:val="both"/>
        <w:ind w:firstLine="563"/>
        <w:spacing w:after="0" w:line="225" w:lineRule="auto"/>
        <w:tabs>
          <w:tab w:leader="none" w:pos="1126" w:val="left"/>
        </w:tabs>
        <w:numPr>
          <w:ilvl w:val="0"/>
          <w:numId w:val="205"/>
        </w:numPr>
        <w:rPr>
          <w:rFonts w:ascii="Arial" w:cs="Arial" w:eastAsia="Arial" w:hAnsi="Arial"/>
          <w:sz w:val="16"/>
          <w:szCs w:val="16"/>
          <w:color w:val="auto"/>
        </w:rPr>
      </w:pPr>
      <w:r>
        <w:rPr>
          <w:rFonts w:ascii="Arial" w:cs="Arial" w:eastAsia="Arial" w:hAnsi="Arial"/>
          <w:sz w:val="16"/>
          <w:szCs w:val="16"/>
          <w:color w:val="auto"/>
        </w:rPr>
        <w:t>If, after the Closing Date, any material assets (including any owned (but not leased) real property or improvements thereto or any interest therein with a fair market value in excess of $10,000,000 as reasonably determined in good faith by the applicable Loan Party) are acquired by the Borrower or any other Loan Party or are held by any Subsidiary on or after the time it becomes a Loan Party pursuant to Section 5.11 (other than assets constituting Collateral under a Security Document that become subject to the Lien created by such Security Document upon acquisition thereof or constituting Excluded Assets), the Borrower will notify the Administrative Agent thereof, and, if requested by the Administrative Agent, the Borrower will cause such assets to be subjected to a Lien securing the Secured Obligations and will take, and cause the other Loan Parties to take, such actions as shall be necessary and reasonably requested by the Administrative Agent to grant and perfect such Liens, including actions described in paragraph (a) of this Section, all at the expense of the Loan Parties and subject to the last paragraph of the definition of the term “Collateral and Guarantee Requirement.”</w:t>
      </w:r>
    </w:p>
    <w:p>
      <w:pPr>
        <w:spacing w:after="0" w:line="135" w:lineRule="exact"/>
        <w:rPr>
          <w:sz w:val="20"/>
          <w:szCs w:val="20"/>
          <w:color w:val="auto"/>
        </w:rPr>
      </w:pPr>
    </w:p>
    <w:p>
      <w:pPr>
        <w:jc w:val="both"/>
        <w:ind w:firstLine="568"/>
        <w:spacing w:after="0" w:line="210" w:lineRule="auto"/>
        <w:rPr>
          <w:sz w:val="20"/>
          <w:szCs w:val="20"/>
          <w:color w:val="auto"/>
        </w:rPr>
      </w:pPr>
      <w:r>
        <w:rPr>
          <w:rFonts w:ascii="Arial" w:cs="Arial" w:eastAsia="Arial" w:hAnsi="Arial"/>
          <w:sz w:val="17"/>
          <w:szCs w:val="17"/>
          <w:color w:val="auto"/>
        </w:rPr>
        <w:t xml:space="preserve">Section 1.13. </w:t>
      </w:r>
      <w:r>
        <w:rPr>
          <w:rFonts w:ascii="Arial" w:cs="Arial" w:eastAsia="Arial" w:hAnsi="Arial"/>
          <w:sz w:val="17"/>
          <w:szCs w:val="17"/>
          <w:i w:val="1"/>
          <w:iCs w:val="1"/>
          <w:color w:val="auto"/>
        </w:rPr>
        <w:t>Designation of Subsidiaries.</w:t>
      </w:r>
      <w:r>
        <w:rPr>
          <w:rFonts w:ascii="Arial" w:cs="Arial" w:eastAsia="Arial" w:hAnsi="Arial"/>
          <w:sz w:val="17"/>
          <w:szCs w:val="17"/>
          <w:color w:val="auto"/>
        </w:rPr>
        <w:t xml:space="preserve"> The Borrower may at any time after the Closing Date designate any Restricted Subsidiary (other than the Borrower or any Intermediate Parent) as an Unrestricted Subsidiary or any Unrestricted Subsidiary as a Restricted Subsidiary;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immediately before and after such designation on a Pro Forma Basis, no Event of Default shall have occurred and be continuing and (b) no Subsidiary may be designated as an Unrestricted Subsidiary or continue as an Unrestricted Subsidiary if it is a “Restricted Subsidiary” for the purpose of any other Indebtedness of Holdings or the Borrower. The designation of any Subsidiary as an Unrestricted Subsidiary after the Closing Date shall constitute an Investment by the Borrower therein at the date of designation (the “</w:t>
      </w:r>
      <w:r>
        <w:rPr>
          <w:rFonts w:ascii="Arial" w:cs="Arial" w:eastAsia="Arial" w:hAnsi="Arial"/>
          <w:sz w:val="17"/>
          <w:szCs w:val="17"/>
          <w:b w:val="1"/>
          <w:bCs w:val="1"/>
          <w:color w:val="auto"/>
        </w:rPr>
        <w:t>Designation Date</w:t>
      </w:r>
      <w:r>
        <w:rPr>
          <w:rFonts w:ascii="Arial" w:cs="Arial" w:eastAsia="Arial" w:hAnsi="Arial"/>
          <w:sz w:val="17"/>
          <w:szCs w:val="17"/>
          <w:color w:val="auto"/>
        </w:rPr>
        <w:t>”) in an amount equal to the fair market value of the Borrower’s or its Subsidiary’s (as applicable) investment therein. The designation of any Unrestricted Subsidiary as a Restricted Subsidiary shall constitute (i) the incurrence at the time of designation of any Investment, Indebtedness or Liens of such Subsidiary existing at such time and (ii) a return on any Investment by the Borrower in Unrestricted Subsidiaries pursuant to the preceding sentence in an amount equal to the fair market value at the Designation Date of the Borrower’s or its Subsidiary’s (as applicable) Investment in such Subsidiary.</w:t>
      </w:r>
    </w:p>
    <w:p>
      <w:pPr>
        <w:spacing w:after="0" w:line="136" w:lineRule="exact"/>
        <w:rPr>
          <w:sz w:val="20"/>
          <w:szCs w:val="20"/>
          <w:color w:val="auto"/>
        </w:rPr>
      </w:pPr>
    </w:p>
    <w:p>
      <w:pPr>
        <w:jc w:val="both"/>
        <w:ind w:firstLine="568"/>
        <w:spacing w:after="0" w:line="237" w:lineRule="auto"/>
        <w:rPr>
          <w:sz w:val="20"/>
          <w:szCs w:val="20"/>
          <w:color w:val="auto"/>
        </w:rPr>
      </w:pPr>
      <w:r>
        <w:rPr>
          <w:rFonts w:ascii="Arial" w:cs="Arial" w:eastAsia="Arial" w:hAnsi="Arial"/>
          <w:sz w:val="17"/>
          <w:szCs w:val="17"/>
          <w:color w:val="auto"/>
        </w:rPr>
        <w:t>Notwithstanding the foregoing, any Unrestricted Subsidiary that has been re-designated a Restricted Subsidiary may not be subsequently re-designated as an Unrestricted Subsidiary.</w:t>
      </w:r>
    </w:p>
    <w:p>
      <w:pPr>
        <w:spacing w:after="0" w:line="135" w:lineRule="exact"/>
        <w:rPr>
          <w:sz w:val="20"/>
          <w:szCs w:val="20"/>
          <w:color w:val="auto"/>
        </w:rPr>
      </w:pPr>
    </w:p>
    <w:p>
      <w:pPr>
        <w:jc w:val="both"/>
        <w:ind w:right="20" w:firstLine="568"/>
        <w:spacing w:after="0" w:line="225" w:lineRule="auto"/>
        <w:rPr>
          <w:sz w:val="20"/>
          <w:szCs w:val="20"/>
          <w:color w:val="auto"/>
        </w:rPr>
      </w:pPr>
      <w:r>
        <w:rPr>
          <w:rFonts w:ascii="Arial" w:cs="Arial" w:eastAsia="Arial" w:hAnsi="Arial"/>
          <w:sz w:val="17"/>
          <w:szCs w:val="17"/>
          <w:color w:val="auto"/>
        </w:rPr>
        <w:t xml:space="preserve">Section 1.14. </w:t>
      </w:r>
      <w:r>
        <w:rPr>
          <w:rFonts w:ascii="Arial" w:cs="Arial" w:eastAsia="Arial" w:hAnsi="Arial"/>
          <w:sz w:val="17"/>
          <w:szCs w:val="17"/>
          <w:i w:val="1"/>
          <w:iCs w:val="1"/>
          <w:color w:val="auto"/>
        </w:rPr>
        <w:t>Maintenance of Ratings</w:t>
      </w:r>
      <w:r>
        <w:rPr>
          <w:rFonts w:ascii="Arial" w:cs="Arial" w:eastAsia="Arial" w:hAnsi="Arial"/>
          <w:sz w:val="17"/>
          <w:szCs w:val="17"/>
          <w:color w:val="auto"/>
        </w:rPr>
        <w:t>. The Borrower will use commercially reasonable efforts to maintain a corporate credit rating from S&amp;P and a corporate family rating from Moody’s, in each case with respect to the Borrower, and a rating of the Term Loans and (prior to the Revolving Maturity Date, the Revolving Facility) by each of S&amp;P and Moody’s.</w:t>
      </w:r>
    </w:p>
    <w:p>
      <w:pPr>
        <w:spacing w:after="0" w:line="137" w:lineRule="exact"/>
        <w:rPr>
          <w:sz w:val="20"/>
          <w:szCs w:val="20"/>
          <w:color w:val="auto"/>
        </w:rPr>
      </w:pPr>
    </w:p>
    <w:p>
      <w:pPr>
        <w:jc w:val="both"/>
        <w:ind w:right="20" w:firstLine="568"/>
        <w:spacing w:after="0" w:line="216" w:lineRule="auto"/>
        <w:rPr>
          <w:sz w:val="20"/>
          <w:szCs w:val="20"/>
          <w:color w:val="auto"/>
        </w:rPr>
      </w:pPr>
      <w:r>
        <w:rPr>
          <w:rFonts w:ascii="Arial" w:cs="Arial" w:eastAsia="Arial" w:hAnsi="Arial"/>
          <w:sz w:val="17"/>
          <w:szCs w:val="17"/>
          <w:color w:val="auto"/>
        </w:rPr>
        <w:t xml:space="preserve">Section 1.15. </w:t>
      </w:r>
      <w:r>
        <w:rPr>
          <w:rFonts w:ascii="Arial" w:cs="Arial" w:eastAsia="Arial" w:hAnsi="Arial"/>
          <w:sz w:val="17"/>
          <w:szCs w:val="17"/>
          <w:i w:val="1"/>
          <w:iCs w:val="1"/>
          <w:color w:val="auto"/>
        </w:rPr>
        <w:t>Regulatory Matters</w:t>
      </w:r>
      <w:r>
        <w:rPr>
          <w:rFonts w:ascii="Arial" w:cs="Arial" w:eastAsia="Arial" w:hAnsi="Arial"/>
          <w:sz w:val="17"/>
          <w:szCs w:val="17"/>
          <w:color w:val="auto"/>
        </w:rPr>
        <w:t>. The Borrower will, and will cause each of its Regulated Subsidiaries to, comply in all material respects with all material rules and regulations, as applicable, of the SEC, FINRA or any other applicable domestic or foreign Governmental Authority or Regulatory Supervising Organization (including such rules and regulations dealing with net capital or other applicable requirements), except, with respect to all such matters, other than noncompliance by such Regulated Subsidiaries with minimum capital requirements, to the extent that failure to comply therewith would not, in the aggregate, reasonably be expected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128</w:t>
      </w:r>
    </w:p>
    <w:p>
      <w:pPr>
        <w:sectPr>
          <w:pgSz w:w="11900" w:h="16838" w:orient="portrait"/>
          <w:cols w:equalWidth="0" w:num="1">
            <w:col w:w="11260"/>
          </w:cols>
          <w:pgMar w:left="320" w:top="1440" w:right="319" w:bottom="1440" w:gutter="0" w:footer="0" w:header="0"/>
        </w:sectPr>
      </w:pPr>
    </w:p>
    <w:bookmarkStart w:id="302" w:name="page303"/>
    <w:bookmarkEnd w:id="302"/>
    <w:p>
      <w:pPr>
        <w:spacing w:after="0" w:line="390" w:lineRule="exact"/>
        <w:rPr>
          <w:sz w:val="20"/>
          <w:szCs w:val="20"/>
          <w:color w:val="auto"/>
        </w:rPr>
      </w:pPr>
    </w:p>
    <w:p>
      <w:pPr>
        <w:jc w:val="both"/>
        <w:ind w:right="20" w:firstLine="568"/>
        <w:spacing w:after="0" w:line="214" w:lineRule="auto"/>
        <w:rPr>
          <w:sz w:val="20"/>
          <w:szCs w:val="20"/>
          <w:color w:val="auto"/>
        </w:rPr>
      </w:pPr>
      <w:r>
        <w:rPr>
          <w:rFonts w:ascii="Arial" w:cs="Arial" w:eastAsia="Arial" w:hAnsi="Arial"/>
          <w:sz w:val="17"/>
          <w:szCs w:val="17"/>
          <w:color w:val="auto"/>
        </w:rPr>
        <w:t xml:space="preserve">Section 1.16. </w:t>
      </w:r>
      <w:r>
        <w:rPr>
          <w:rFonts w:ascii="Arial" w:cs="Arial" w:eastAsia="Arial" w:hAnsi="Arial"/>
          <w:sz w:val="17"/>
          <w:szCs w:val="17"/>
          <w:i w:val="1"/>
          <w:iCs w:val="1"/>
          <w:color w:val="auto"/>
        </w:rPr>
        <w:t>Certain Post-Closing Obligations</w:t>
      </w:r>
      <w:r>
        <w:rPr>
          <w:rFonts w:ascii="Arial" w:cs="Arial" w:eastAsia="Arial" w:hAnsi="Arial"/>
          <w:sz w:val="17"/>
          <w:szCs w:val="17"/>
          <w:color w:val="auto"/>
        </w:rPr>
        <w:t>. Notwithstanding any provision herein or in any other Loan Document to the contrary, to the extent not actually delivered on or prior to the Closing Date, the Borrower shall, and shall cause each applicable Loan Party, to take such actions set forth on Schedule 5.16 by the times specified on such Schedule 5.16 with respect to such actions, or such later time as the Administrative Agent may agree in its reasonable discretion. All conditions precedent, covenants and representations and warranties contained in this Agreement and the other Loan Documents shall be deemed modified to the extent necessary to effect the foregoing (and to permit the taking of the actions described on Schedule 5.16 within the time periods required by this Section 5.16, rather than as elsewhere provided in the Loan Documents).</w:t>
      </w:r>
    </w:p>
    <w:p>
      <w:pPr>
        <w:spacing w:after="0" w:line="176" w:lineRule="exact"/>
        <w:rPr>
          <w:sz w:val="20"/>
          <w:szCs w:val="20"/>
          <w:color w:val="auto"/>
        </w:rPr>
      </w:pPr>
    </w:p>
    <w:p>
      <w:pPr>
        <w:jc w:val="center"/>
        <w:ind w:right="360"/>
        <w:spacing w:after="0"/>
        <w:rPr>
          <w:sz w:val="20"/>
          <w:szCs w:val="20"/>
          <w:color w:val="auto"/>
        </w:rPr>
      </w:pPr>
      <w:r>
        <w:rPr>
          <w:rFonts w:ascii="Arial" w:cs="Arial" w:eastAsia="Arial" w:hAnsi="Arial"/>
          <w:sz w:val="16"/>
          <w:szCs w:val="16"/>
          <w:color w:val="auto"/>
        </w:rPr>
        <w:t>ARTICLE 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Negative Covenants</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Each of Holdings and the Borrower covenants and agrees with the Administrative Agent and each of the Lenders that, until the Termination Date:</w:t>
      </w:r>
    </w:p>
    <w:p>
      <w:pPr>
        <w:spacing w:after="0" w:line="171" w:lineRule="exact"/>
        <w:rPr>
          <w:sz w:val="20"/>
          <w:szCs w:val="20"/>
          <w:color w:val="auto"/>
        </w:rPr>
      </w:pPr>
    </w:p>
    <w:p>
      <w:pPr>
        <w:ind w:left="560"/>
        <w:spacing w:after="0"/>
        <w:tabs>
          <w:tab w:leader="none" w:pos="1680" w:val="left"/>
        </w:tabs>
        <w:rPr>
          <w:sz w:val="20"/>
          <w:szCs w:val="20"/>
          <w:color w:val="auto"/>
        </w:rPr>
      </w:pPr>
      <w:r>
        <w:rPr>
          <w:rFonts w:ascii="Arial" w:cs="Arial" w:eastAsia="Arial" w:hAnsi="Arial"/>
          <w:sz w:val="17"/>
          <w:szCs w:val="17"/>
          <w:color w:val="auto"/>
        </w:rPr>
        <w:t>Section 1.01.</w:t>
      </w:r>
      <w:r>
        <w:rPr>
          <w:sz w:val="20"/>
          <w:szCs w:val="20"/>
          <w:color w:val="auto"/>
        </w:rPr>
        <w:tab/>
      </w:r>
      <w:r>
        <w:rPr>
          <w:rFonts w:ascii="Arial" w:cs="Arial" w:eastAsia="Arial" w:hAnsi="Arial"/>
          <w:sz w:val="15"/>
          <w:szCs w:val="15"/>
          <w:i w:val="1"/>
          <w:iCs w:val="1"/>
          <w:color w:val="auto"/>
        </w:rPr>
        <w:t>Indebtedness; Certain Equity Securities</w:t>
      </w:r>
      <w:r>
        <w:rPr>
          <w:rFonts w:ascii="Arial" w:cs="Arial" w:eastAsia="Arial" w:hAnsi="Arial"/>
          <w:sz w:val="15"/>
          <w:szCs w:val="15"/>
          <w:color w:val="auto"/>
        </w:rPr>
        <w:t>.</w:t>
      </w:r>
    </w:p>
    <w:p>
      <w:pPr>
        <w:spacing w:after="0" w:line="155" w:lineRule="exact"/>
        <w:rPr>
          <w:sz w:val="20"/>
          <w:szCs w:val="20"/>
          <w:color w:val="auto"/>
        </w:rPr>
      </w:pPr>
    </w:p>
    <w:p>
      <w:pPr>
        <w:ind w:left="1120" w:hanging="557"/>
        <w:spacing w:after="0"/>
        <w:tabs>
          <w:tab w:leader="none" w:pos="1120" w:val="left"/>
        </w:tabs>
        <w:numPr>
          <w:ilvl w:val="0"/>
          <w:numId w:val="206"/>
        </w:numPr>
        <w:rPr>
          <w:rFonts w:ascii="Arial" w:cs="Arial" w:eastAsia="Arial" w:hAnsi="Arial"/>
          <w:sz w:val="16"/>
          <w:szCs w:val="16"/>
          <w:color w:val="auto"/>
        </w:rPr>
      </w:pPr>
      <w:r>
        <w:rPr>
          <w:rFonts w:ascii="Arial" w:cs="Arial" w:eastAsia="Arial" w:hAnsi="Arial"/>
          <w:sz w:val="16"/>
          <w:szCs w:val="16"/>
          <w:color w:val="auto"/>
        </w:rPr>
        <w:t>Holdings and the Borrower will not, and will not permit any Restricted Subsidiary to, create, incur, assume or permit to exist any Indebtedness,</w:t>
      </w:r>
    </w:p>
    <w:p>
      <w:pPr>
        <w:spacing w:after="0"/>
        <w:rPr>
          <w:sz w:val="20"/>
          <w:szCs w:val="20"/>
          <w:color w:val="auto"/>
        </w:rPr>
      </w:pPr>
      <w:r>
        <w:rPr>
          <w:rFonts w:ascii="Arial" w:cs="Arial" w:eastAsia="Arial" w:hAnsi="Arial"/>
          <w:sz w:val="17"/>
          <w:szCs w:val="17"/>
          <w:color w:val="auto"/>
        </w:rPr>
        <w:t>except:</w:t>
      </w:r>
    </w:p>
    <w:p>
      <w:pPr>
        <w:spacing w:after="0" w:line="146" w:lineRule="exact"/>
        <w:rPr>
          <w:sz w:val="20"/>
          <w:szCs w:val="20"/>
          <w:color w:val="auto"/>
        </w:rPr>
      </w:pPr>
    </w:p>
    <w:p>
      <w:pPr>
        <w:ind w:left="340" w:firstLine="791"/>
        <w:spacing w:after="0" w:line="237" w:lineRule="auto"/>
        <w:tabs>
          <w:tab w:leader="none" w:pos="1702" w:val="left"/>
        </w:tabs>
        <w:numPr>
          <w:ilvl w:val="0"/>
          <w:numId w:val="207"/>
        </w:numPr>
        <w:rPr>
          <w:rFonts w:ascii="Arial" w:cs="Arial" w:eastAsia="Arial" w:hAnsi="Arial"/>
          <w:sz w:val="17"/>
          <w:szCs w:val="17"/>
          <w:color w:val="auto"/>
        </w:rPr>
      </w:pPr>
      <w:r>
        <w:rPr>
          <w:rFonts w:ascii="Arial" w:cs="Arial" w:eastAsia="Arial" w:hAnsi="Arial"/>
          <w:sz w:val="17"/>
          <w:szCs w:val="17"/>
          <w:color w:val="auto"/>
        </w:rPr>
        <w:t>Indebtedness of Holdings, the Borrower and any of the Restricted Subsidiaries under the Loan Documents (including any Indebtedness incurred pursuant to Section 2.18 or 2.19);</w:t>
      </w:r>
    </w:p>
    <w:p>
      <w:pPr>
        <w:spacing w:after="0" w:line="134" w:lineRule="exact"/>
        <w:rPr>
          <w:rFonts w:ascii="Arial" w:cs="Arial" w:eastAsia="Arial" w:hAnsi="Arial"/>
          <w:sz w:val="17"/>
          <w:szCs w:val="17"/>
          <w:color w:val="auto"/>
        </w:rPr>
      </w:pPr>
    </w:p>
    <w:p>
      <w:pPr>
        <w:jc w:val="both"/>
        <w:ind w:left="340" w:firstLine="791"/>
        <w:spacing w:after="0" w:line="225" w:lineRule="auto"/>
        <w:tabs>
          <w:tab w:leader="none" w:pos="1702" w:val="left"/>
        </w:tabs>
        <w:numPr>
          <w:ilvl w:val="0"/>
          <w:numId w:val="207"/>
        </w:numPr>
        <w:rPr>
          <w:rFonts w:ascii="Arial" w:cs="Arial" w:eastAsia="Arial" w:hAnsi="Arial"/>
          <w:sz w:val="17"/>
          <w:szCs w:val="17"/>
          <w:color w:val="auto"/>
        </w:rPr>
      </w:pPr>
      <w:r>
        <w:rPr>
          <w:rFonts w:ascii="Arial" w:cs="Arial" w:eastAsia="Arial" w:hAnsi="Arial"/>
          <w:sz w:val="17"/>
          <w:szCs w:val="17"/>
          <w:color w:val="auto"/>
        </w:rPr>
        <w:t>(A) Indebtedness outstanding on the Closing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Indebtedness that is (x) not intercompany Indebtedness and (y) in excess of $2,000,000 shall be listed on Schedule 6.01), (B) Indebtedness in respect of the Existing Yen Bonds, and (C) any Permitted Refinancing of any of the foregoing;</w:t>
      </w:r>
    </w:p>
    <w:p>
      <w:pPr>
        <w:spacing w:after="0" w:line="136" w:lineRule="exact"/>
        <w:rPr>
          <w:rFonts w:ascii="Arial" w:cs="Arial" w:eastAsia="Arial" w:hAnsi="Arial"/>
          <w:sz w:val="17"/>
          <w:szCs w:val="17"/>
          <w:color w:val="auto"/>
        </w:rPr>
      </w:pPr>
    </w:p>
    <w:p>
      <w:pPr>
        <w:jc w:val="both"/>
        <w:ind w:left="340" w:firstLine="791"/>
        <w:spacing w:after="0" w:line="224" w:lineRule="auto"/>
        <w:tabs>
          <w:tab w:leader="none" w:pos="1703" w:val="left"/>
        </w:tabs>
        <w:numPr>
          <w:ilvl w:val="0"/>
          <w:numId w:val="207"/>
        </w:numPr>
        <w:rPr>
          <w:rFonts w:ascii="Arial" w:cs="Arial" w:eastAsia="Arial" w:hAnsi="Arial"/>
          <w:sz w:val="16"/>
          <w:szCs w:val="16"/>
          <w:color w:val="auto"/>
        </w:rPr>
      </w:pPr>
      <w:r>
        <w:rPr>
          <w:rFonts w:ascii="Arial" w:cs="Arial" w:eastAsia="Arial" w:hAnsi="Arial"/>
          <w:sz w:val="16"/>
          <w:szCs w:val="16"/>
          <w:color w:val="auto"/>
        </w:rPr>
        <w:t xml:space="preserve">Guarantees by Holdings, the Borrower and the Restricted Subsidiaries in respect of Indebtedness of the Borrower or any Restricted Subsidiary otherwise permitted 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Guarantee is otherwise permitted by Section 6.04;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(A) no Guarantee by any Restricted Subsidiary of any Junior Financing shall be permitted unless such Restricted Subsidiary shall have also provided a Guarantee of the Loan Document Obligations pursuant to the Guarantee Agreement, (B) if the Indebtedness being Guaranteed is subordinated to the Loan Document Obligations, such Guarantee shall be subordinated to the Guarantee of the Loan Document Obligations on terms at least as favorable to the Lenders as those contained in the subordination of such Indebtedness, (C) no Guarantee by a Regulated Subsidiary of any Trading Debt of a non-Regulated Subsidiary shall be permitted unless such non-Regulated Subsidiary is consolidated with such Regulated Subsidiary for regulatory capital purposes, (D) no Guarantee by a Domestic Subsidiary that is not a Regulated Subsidiary of any Trading Debt shall be permitted unless such Domestic Subsidiary is a Subsidiary Loan Party and (E) any such Guarantee of Trading Debt shall be unsecured;</w:t>
      </w:r>
    </w:p>
    <w:p>
      <w:pPr>
        <w:spacing w:after="0" w:line="135" w:lineRule="exact"/>
        <w:rPr>
          <w:rFonts w:ascii="Arial" w:cs="Arial" w:eastAsia="Arial" w:hAnsi="Arial"/>
          <w:sz w:val="16"/>
          <w:szCs w:val="16"/>
          <w:color w:val="auto"/>
        </w:rPr>
      </w:pPr>
    </w:p>
    <w:p>
      <w:pPr>
        <w:jc w:val="both"/>
        <w:ind w:left="340" w:firstLine="791"/>
        <w:spacing w:after="0" w:line="220" w:lineRule="auto"/>
        <w:tabs>
          <w:tab w:leader="none" w:pos="1694" w:val="left"/>
        </w:tabs>
        <w:numPr>
          <w:ilvl w:val="0"/>
          <w:numId w:val="207"/>
        </w:numPr>
        <w:rPr>
          <w:rFonts w:ascii="Arial" w:cs="Arial" w:eastAsia="Arial" w:hAnsi="Arial"/>
          <w:sz w:val="17"/>
          <w:szCs w:val="17"/>
          <w:color w:val="auto"/>
        </w:rPr>
      </w:pPr>
      <w:r>
        <w:rPr>
          <w:rFonts w:ascii="Arial" w:cs="Arial" w:eastAsia="Arial" w:hAnsi="Arial"/>
          <w:sz w:val="17"/>
          <w:szCs w:val="17"/>
          <w:color w:val="auto"/>
        </w:rPr>
        <w:t xml:space="preserve">Indebtedness of the Borrower owing to any Restricted Subsidiary or of any Restricted Subsidiary owing to any other Restricted Subsidiary or the Borrower or Holdings to the extent permitted by Section 6.04;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all such Indebtedness of any Loan Party owing to any Restricted Subsidiary that is not a Loan Party shall be subordinated to the Loan Document Obligations (but only to the extent permitted by applicable law and not giving rise to adverse tax consequences)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129</w:t>
      </w:r>
    </w:p>
    <w:p>
      <w:pPr>
        <w:sectPr>
          <w:pgSz w:w="11900" w:h="16838" w:orient="portrait"/>
          <w:cols w:equalWidth="0" w:num="1">
            <w:col w:w="11260"/>
          </w:cols>
          <w:pgMar w:left="320" w:top="1440" w:right="319" w:bottom="1440" w:gutter="0" w:footer="0" w:header="0"/>
        </w:sectPr>
      </w:pPr>
    </w:p>
    <w:bookmarkStart w:id="303" w:name="page304"/>
    <w:bookmarkEnd w:id="303"/>
    <w:p>
      <w:pPr>
        <w:spacing w:after="0" w:line="390"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on terms (i) at least as favorable to the Lenders as those set forth in the form of intercompany note attached as Exhibit H or (ii) otherwise reasonably satisfactory to the Administrative Agent;</w:t>
      </w:r>
    </w:p>
    <w:p>
      <w:pPr>
        <w:spacing w:after="0" w:line="135" w:lineRule="exact"/>
        <w:rPr>
          <w:sz w:val="20"/>
          <w:szCs w:val="20"/>
          <w:color w:val="auto"/>
        </w:rPr>
      </w:pPr>
    </w:p>
    <w:p>
      <w:pPr>
        <w:jc w:val="both"/>
        <w:ind w:firstLine="791"/>
        <w:spacing w:after="0"/>
        <w:tabs>
          <w:tab w:leader="none" w:pos="1353" w:val="left"/>
        </w:tabs>
        <w:numPr>
          <w:ilvl w:val="0"/>
          <w:numId w:val="208"/>
        </w:numPr>
        <w:rPr>
          <w:rFonts w:ascii="Arial" w:cs="Arial" w:eastAsia="Arial" w:hAnsi="Arial"/>
          <w:sz w:val="16"/>
          <w:szCs w:val="16"/>
          <w:color w:val="auto"/>
        </w:rPr>
      </w:pPr>
      <w:r>
        <w:rPr>
          <w:rFonts w:ascii="Arial" w:cs="Arial" w:eastAsia="Arial" w:hAnsi="Arial"/>
          <w:sz w:val="16"/>
          <w:szCs w:val="16"/>
          <w:color w:val="auto"/>
        </w:rPr>
        <w:t xml:space="preserve">(A) Indebtedness (including Capital Lease Obligations) of the Borrower or any Restricted Subsidiaries financing the acquisition, construction, repair, replacement or improvement of fixed or capital assets, other than software;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Indebtedness is incurred concurrently with or within 365 days after the applicable acquisition, construction, repair, replacement or improvement, and (B) any Permitted Refinancing thereof;</w:t>
      </w:r>
    </w:p>
    <w:p>
      <w:pPr>
        <w:spacing w:after="0" w:line="134" w:lineRule="exact"/>
        <w:rPr>
          <w:rFonts w:ascii="Arial" w:cs="Arial" w:eastAsia="Arial" w:hAnsi="Arial"/>
          <w:sz w:val="16"/>
          <w:szCs w:val="16"/>
          <w:color w:val="auto"/>
        </w:rPr>
      </w:pPr>
    </w:p>
    <w:p>
      <w:pPr>
        <w:ind w:left="1340" w:hanging="549"/>
        <w:spacing w:after="0"/>
        <w:tabs>
          <w:tab w:leader="none" w:pos="1340" w:val="left"/>
        </w:tabs>
        <w:numPr>
          <w:ilvl w:val="0"/>
          <w:numId w:val="208"/>
        </w:numPr>
        <w:rPr>
          <w:rFonts w:ascii="Arial" w:cs="Arial" w:eastAsia="Arial" w:hAnsi="Arial"/>
          <w:sz w:val="17"/>
          <w:szCs w:val="17"/>
          <w:color w:val="auto"/>
        </w:rPr>
      </w:pPr>
      <w:r>
        <w:rPr>
          <w:rFonts w:ascii="Arial" w:cs="Arial" w:eastAsia="Arial" w:hAnsi="Arial"/>
          <w:sz w:val="17"/>
          <w:szCs w:val="17"/>
          <w:color w:val="auto"/>
        </w:rPr>
        <w:t>Indebtedness in respect of Swap Agreements permitted by Section 6.07;</w:t>
      </w:r>
    </w:p>
    <w:p>
      <w:pPr>
        <w:spacing w:after="0" w:line="159" w:lineRule="exact"/>
        <w:rPr>
          <w:rFonts w:ascii="Arial" w:cs="Arial" w:eastAsia="Arial" w:hAnsi="Arial"/>
          <w:sz w:val="17"/>
          <w:szCs w:val="17"/>
          <w:color w:val="auto"/>
        </w:rPr>
      </w:pPr>
    </w:p>
    <w:p>
      <w:pPr>
        <w:jc w:val="both"/>
        <w:ind w:right="20" w:firstLine="791"/>
        <w:spacing w:after="0" w:line="244" w:lineRule="auto"/>
        <w:tabs>
          <w:tab w:leader="none" w:pos="1354" w:val="left"/>
        </w:tabs>
        <w:numPr>
          <w:ilvl w:val="0"/>
          <w:numId w:val="208"/>
        </w:numPr>
        <w:rPr>
          <w:rFonts w:ascii="Arial" w:cs="Arial" w:eastAsia="Arial" w:hAnsi="Arial"/>
          <w:sz w:val="15"/>
          <w:szCs w:val="15"/>
          <w:color w:val="auto"/>
        </w:rPr>
      </w:pPr>
      <w:r>
        <w:rPr>
          <w:rFonts w:ascii="Arial" w:cs="Arial" w:eastAsia="Arial" w:hAnsi="Arial"/>
          <w:sz w:val="15"/>
          <w:szCs w:val="15"/>
          <w:color w:val="auto"/>
        </w:rPr>
        <w:t xml:space="preserve">(A) (1) Indebtedness of any Restricted Subsidiary that is not a Loan Party that is acquired by the Borrower or any Restricted Subsidiary after the Closing Date or of a Person that is merged, consolidated or amalgamated after the Closing Date with a Restricted Subsidiary of the Borrower that is not a Loan Party, in each case, in connection with a Permitted Acquisition or another Investment permitted hereunder and (2) Indebtedness of a Joint Venture existing at the time the initial Investment by the Borrower or a Restricted Subsidiary is made in such Joint Venture;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in the case of each of clauses (1) and (2), (x) such Indebtedness is not incurred in contemplation of or in connection with such Permitted Acquisition, other Investment or initial Investment, and (y) such Indebtedness shall not be secured by any assets constituting Collateral; and (B) any Permitted Refinancing of any of the foregoing;</w:t>
      </w:r>
    </w:p>
    <w:p>
      <w:pPr>
        <w:spacing w:after="0" w:line="131" w:lineRule="exact"/>
        <w:rPr>
          <w:rFonts w:ascii="Arial" w:cs="Arial" w:eastAsia="Arial" w:hAnsi="Arial"/>
          <w:sz w:val="15"/>
          <w:szCs w:val="15"/>
          <w:color w:val="auto"/>
        </w:rPr>
      </w:pPr>
    </w:p>
    <w:p>
      <w:pPr>
        <w:jc w:val="both"/>
        <w:ind w:firstLine="791"/>
        <w:spacing w:after="0" w:line="220" w:lineRule="auto"/>
        <w:tabs>
          <w:tab w:leader="none" w:pos="1355" w:val="left"/>
        </w:tabs>
        <w:numPr>
          <w:ilvl w:val="0"/>
          <w:numId w:val="208"/>
        </w:numPr>
        <w:rPr>
          <w:rFonts w:ascii="Arial" w:cs="Arial" w:eastAsia="Arial" w:hAnsi="Arial"/>
          <w:sz w:val="16"/>
          <w:szCs w:val="16"/>
          <w:color w:val="auto"/>
        </w:rPr>
      </w:pPr>
      <w:r>
        <w:rPr>
          <w:rFonts w:ascii="Arial" w:cs="Arial" w:eastAsia="Arial" w:hAnsi="Arial"/>
          <w:sz w:val="16"/>
          <w:szCs w:val="16"/>
          <w:color w:val="auto"/>
        </w:rPr>
        <w:t xml:space="preserve">(A) Indebtedness of the Borrower or any of its Restricted Subsidiaries;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(1) after giving effect to the incurrence of such Indebtedness and the use of proceeds thereof, (x) in the case of Indebtedness secured by Liens on the Collateral ranking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Liens on the Collateral securing the Initial Term Loans or the Initial Revolving Loans, the Net First Lien Leverage Ratio calculated on a Pro Forma Basis as of the end of the most recent Test Period for which financial statements are available is not greater than the First Lien Incurrence Ratio, (y) in the case of Indebtedness secured by Liens on the Collateral ranking junior to the Liens on the Collateral securing the Initial Term Loans or the Initial Revolving Loans, the Net Secured Leverage Ratio calculated on a Pro Forma Basis as of the end of the most recent Test Period for which financial statements are available is not greater than the Secured Leverage Incurrence Ratio and (z) in the case of other Indebtedness, either (i) the Net Total Leverage Ratio calculated on a Pro Forma Basis as of the end of the most recent Test Period for which financial statements are available is not greater than the Total Leverage Incurrence Ratio or (ii) the Fixed Charge Coverage Ratio calculated on a Pro Forma Basis as of the end of the most recent Test Period for which financial statements are available is not less than the Fixed Charge Coverage Incurrence Ratio, (2) [reserved], (3) (x) such Indebtedness shall, if incurred by a Loan Party, not be incurred by or subject to any Guarantee by any Person other than a Loan Party or secured by any assets other than Collateral, (y) the security agreements relating to such Indebtedness (to the extent secured) shall be substantially the same as the Security Documents (with any material differences being reasonably satisfactory to the Administrative Agent) and (z) if secured, such Indebtedness and any agent or trustee under the agreements or indenture governing such Indebtedness shall be subject to the First Lien Intercreditor Agreement or the Junior Lien Intercreditor Agreement, as applicable;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Indebtedness is issued pursuant to an agreement or indenture that has not previously been made subject thereto, then the Loan Parties, the Administrative Agent and the Senior Representative for such Indebtedness shall have executed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340"/>
        <w:spacing w:after="0"/>
        <w:rPr>
          <w:sz w:val="20"/>
          <w:szCs w:val="20"/>
          <w:color w:val="auto"/>
        </w:rPr>
      </w:pPr>
      <w:r>
        <w:rPr>
          <w:rFonts w:ascii="Arial" w:cs="Arial" w:eastAsia="Arial" w:hAnsi="Arial"/>
          <w:sz w:val="17"/>
          <w:szCs w:val="17"/>
          <w:color w:val="auto"/>
        </w:rPr>
        <w:t>130</w:t>
      </w:r>
    </w:p>
    <w:p>
      <w:pPr>
        <w:sectPr>
          <w:pgSz w:w="11900" w:h="16838" w:orient="portrait"/>
          <w:cols w:equalWidth="0" w:num="1">
            <w:col w:w="10920"/>
          </w:cols>
          <w:pgMar w:left="660" w:top="1440" w:right="319" w:bottom="1440" w:gutter="0" w:footer="0" w:header="0"/>
        </w:sectPr>
      </w:pPr>
    </w:p>
    <w:bookmarkStart w:id="304" w:name="page305"/>
    <w:bookmarkEnd w:id="304"/>
    <w:p>
      <w:pPr>
        <w:spacing w:after="0" w:line="389" w:lineRule="exact"/>
        <w:rPr>
          <w:sz w:val="20"/>
          <w:szCs w:val="20"/>
          <w:color w:val="auto"/>
        </w:rPr>
      </w:pPr>
    </w:p>
    <w:p>
      <w:pPr>
        <w:jc w:val="both"/>
        <w:ind w:left="4"/>
        <w:spacing w:after="0" w:line="217" w:lineRule="auto"/>
        <w:rPr>
          <w:sz w:val="20"/>
          <w:szCs w:val="20"/>
          <w:color w:val="auto"/>
        </w:rPr>
      </w:pPr>
      <w:r>
        <w:rPr>
          <w:rFonts w:ascii="Arial" w:cs="Arial" w:eastAsia="Arial" w:hAnsi="Arial"/>
          <w:sz w:val="16"/>
          <w:szCs w:val="16"/>
          <w:color w:val="auto"/>
        </w:rPr>
        <w:t xml:space="preserve">delivered an appropriate supplement or joinder to the First Lien Intercreditor Agreement or the Junior Lien Intercreditor Agreement, as applicable, (4) such Indebtedness shall not have any mandatory prepayment provisions (other than provisions related to customary asset sale and change of control offers and amortization up to 1.00% annually) that would result in prepayments of such Indebtedness prior to the Initial Term Loans;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if such Indebtedness is secured by Liens on the Collateral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basis with the Initial Term Loans, such Indebtedness may have mandatory prepayment provisions that provide for pro rata or less than pro rata (but not greater than pro rata) prepayments with the Initial Term Loans and (5) such Indebtedness shall not mature prior to the Latest Maturity Date and shall not have a Weighted Average Life to Maturity shorter than the Weighted Average Life to Maturity of the Initial Term Loans; </w:t>
      </w:r>
      <w:r>
        <w:rPr>
          <w:rFonts w:ascii="Arial" w:cs="Arial" w:eastAsia="Arial" w:hAnsi="Arial"/>
          <w:sz w:val="16"/>
          <w:szCs w:val="16"/>
          <w:i w:val="1"/>
          <w:iCs w:val="1"/>
          <w:color w:val="auto"/>
        </w:rPr>
        <w:t>provided</w:t>
      </w:r>
      <w:r>
        <w:rPr>
          <w:rFonts w:ascii="Arial" w:cs="Arial" w:eastAsia="Arial" w:hAnsi="Arial"/>
          <w:sz w:val="16"/>
          <w:szCs w:val="16"/>
          <w:color w:val="auto"/>
        </w:rPr>
        <w:t>, that that this clause (5) shall not apply to Indebtedness incurred in the form of Customary Bridge Loans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loans, notes securities or other debt which are exchanged for or otherwise replace such Customary Bridge Loans shall be subject to the requirements of this clause (5)) and/or Indebtedness in an aggregate principal amount outstanding that is not in excess of the then remaining capacity under the Inside Maturity Basket;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at the time of incurrence thereof, the aggregate outstanding principal amount of Indebtedness (other than Indebtedness constituting any revolving facility) incurred by Restricted Subsidiaries that are not Loan Parties or Regulated Subsidiaries under clauses (x),</w:t>
      </w:r>
    </w:p>
    <w:p>
      <w:pPr>
        <w:spacing w:after="0" w:line="7" w:lineRule="exact"/>
        <w:rPr>
          <w:sz w:val="20"/>
          <w:szCs w:val="20"/>
          <w:color w:val="auto"/>
        </w:rPr>
      </w:pPr>
    </w:p>
    <w:p>
      <w:pPr>
        <w:jc w:val="both"/>
        <w:ind w:left="4" w:hanging="4"/>
        <w:spacing w:after="0" w:line="216" w:lineRule="auto"/>
        <w:tabs>
          <w:tab w:leader="none" w:pos="255" w:val="left"/>
        </w:tabs>
        <w:numPr>
          <w:ilvl w:val="0"/>
          <w:numId w:val="209"/>
        </w:numPr>
        <w:rPr>
          <w:rFonts w:ascii="Arial" w:cs="Arial" w:eastAsia="Arial" w:hAnsi="Arial"/>
          <w:sz w:val="17"/>
          <w:szCs w:val="17"/>
          <w:color w:val="auto"/>
        </w:rPr>
      </w:pPr>
      <w:r>
        <w:rPr>
          <w:rFonts w:ascii="Arial" w:cs="Arial" w:eastAsia="Arial" w:hAnsi="Arial"/>
          <w:sz w:val="17"/>
          <w:szCs w:val="17"/>
          <w:color w:val="auto"/>
        </w:rPr>
        <w:t>and (z) collectively, together with the Indebtedness incurred by Restricted Subsidiaries that are not Loan Parties or Regulated Subsidiaries under clauses (x), (y) and (z) of Section 6.01(a)(ix) and Section 6.01(a)(xxi), collectively, shall not exceed the greater of $150,000,000 and 10% of Consolidated EBITDA calculated on a Pro Forma Basis for the most recently ended Test Period for which financial statements are available and (B) any Permitted Refinancing thereof;</w:t>
      </w:r>
    </w:p>
    <w:p>
      <w:pPr>
        <w:spacing w:after="0" w:line="134" w:lineRule="exact"/>
        <w:rPr>
          <w:rFonts w:ascii="Arial" w:cs="Arial" w:eastAsia="Arial" w:hAnsi="Arial"/>
          <w:sz w:val="17"/>
          <w:szCs w:val="17"/>
          <w:color w:val="auto"/>
        </w:rPr>
      </w:pPr>
    </w:p>
    <w:p>
      <w:pPr>
        <w:jc w:val="both"/>
        <w:ind w:left="4" w:firstLine="791"/>
        <w:spacing w:after="0" w:line="220" w:lineRule="auto"/>
        <w:tabs>
          <w:tab w:leader="none" w:pos="1358" w:val="left"/>
        </w:tabs>
        <w:numPr>
          <w:ilvl w:val="1"/>
          <w:numId w:val="209"/>
        </w:numPr>
        <w:rPr>
          <w:rFonts w:ascii="Arial" w:cs="Arial" w:eastAsia="Arial" w:hAnsi="Arial"/>
          <w:sz w:val="16"/>
          <w:szCs w:val="16"/>
          <w:color w:val="auto"/>
        </w:rPr>
      </w:pPr>
      <w:r>
        <w:rPr>
          <w:rFonts w:ascii="Arial" w:cs="Arial" w:eastAsia="Arial" w:hAnsi="Arial"/>
          <w:sz w:val="16"/>
          <w:szCs w:val="16"/>
          <w:color w:val="auto"/>
        </w:rPr>
        <w:t xml:space="preserve">(A) Indebtedness of the Borrower or any of its Restricted Subsidiaries incurred to finance, or assumed in connection with, a Permitted Acquisition or other Investment permitted under Section 6.04 or New Project not prohibited hereunder and existing Indebtedness of any Person that becomes a Restricted Subsidiary in connection with such Permitted Acquisition, Investment or New Project;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(1) after giving effect to the assumption or incurrence of such Indebtedness and the use of proceeds thereof, (x) in the case of Indebtedness secured by Liens on the Collateral ranking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Liens on the Collateral securing the Initial Term Loans, the Net First Lien Leverage Ratio calculated on a Pro Forma Basis as of the end of the most recent Test Period for which financial statements are available either (I) does not exceed the First Lien Incurrence Ratio or (II) is not greater than the Net First Lien Leverage Ratio immediately prior to such Permitted Acquisition, other Investment or New Project, (y) in the case of Indebtedness secured by Liens on the Collateral ranking junior to the Liens on the Collateral securing the Initial Term Loans, the Net Secured Leverage Ratio calculated on a Pro Forma Basis as of the end of the most recent Test Period for which financial statements are available either (I) does not exceed the Secured Leverage Incurrence Ratio or (II) is not greater than the Net Secured Leverage Ratio immediately prior to such Permitted Acquisition, other Investment or New Project and (z) in the case of other Indebtedness, if the Unsecured Leverage Test is satisfied;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at the time of incurrence thereof, the aggregate outstanding principal amount of Indebtedness (other than Indebtedness constituting any revolving facility) incurred by Restricted Subsidiaries that are not Loan Parties or Regulated Subsidiaries under clauses (x), (y) and (z) collectively, together with the Indebtedness incurred by Restricted Subsidiaries that are not Loan Parties or Regulated Subsidiaries under clauses (x), (y) and (z) of Section 6.01(a)(viii) and Section 6.01(a)(xii), collectively, shall not exceed the greater of $150,000,000 and 10% of Consolidated EBITDA calculated on a Pro Forma Basis for the most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36"/>
        <w:spacing w:after="0"/>
        <w:rPr>
          <w:sz w:val="20"/>
          <w:szCs w:val="20"/>
          <w:color w:val="auto"/>
        </w:rPr>
      </w:pPr>
      <w:r>
        <w:rPr>
          <w:rFonts w:ascii="Arial" w:cs="Arial" w:eastAsia="Arial" w:hAnsi="Arial"/>
          <w:sz w:val="17"/>
          <w:szCs w:val="17"/>
          <w:color w:val="auto"/>
        </w:rPr>
        <w:t>131</w:t>
      </w:r>
    </w:p>
    <w:p>
      <w:pPr>
        <w:sectPr>
          <w:pgSz w:w="11900" w:h="16838" w:orient="portrait"/>
          <w:cols w:equalWidth="0" w:num="1">
            <w:col w:w="10924"/>
          </w:cols>
          <w:pgMar w:left="656" w:top="1440" w:right="319" w:bottom="1440" w:gutter="0" w:footer="0" w:header="0"/>
        </w:sectPr>
      </w:pPr>
    </w:p>
    <w:bookmarkStart w:id="305" w:name="page306"/>
    <w:bookmarkEnd w:id="305"/>
    <w:p>
      <w:pPr>
        <w:spacing w:after="0" w:line="389" w:lineRule="exact"/>
        <w:rPr>
          <w:sz w:val="20"/>
          <w:szCs w:val="20"/>
          <w:color w:val="auto"/>
        </w:rPr>
      </w:pPr>
    </w:p>
    <w:p>
      <w:pPr>
        <w:jc w:val="both"/>
        <w:spacing w:after="0" w:line="219" w:lineRule="auto"/>
        <w:rPr>
          <w:sz w:val="20"/>
          <w:szCs w:val="20"/>
          <w:color w:val="auto"/>
        </w:rPr>
      </w:pPr>
      <w:r>
        <w:rPr>
          <w:rFonts w:ascii="Arial" w:cs="Arial" w:eastAsia="Arial" w:hAnsi="Arial"/>
          <w:sz w:val="16"/>
          <w:szCs w:val="16"/>
          <w:color w:val="auto"/>
        </w:rPr>
        <w:t xml:space="preserve">recently ended Test Period for which financial statements are available, (2) [reserved], (3)(w) such Indebtedness shall, if incurred by a Loan Party, not be incurred by or subject to any Guarantee by any Person other than a Loan Party or secured by any assets other than Collateral, (x) the security agreements relating to such Indebtedness (to the extent secured by Collateral) shall be substantially the same as the Security Documents (with any material differences being reasonably satisfactory to the Administrative Agent), (y) any Indebtedness incurred by a Restricted Subsidiary that is not a Loan Party shall only be secured by assets of Restricted Subsidiaries that are not Loan Parties and (z) if such Indebtedness is secured by Collateral, any agent or trustee under the agreements or indenture governing such Indebtedness shall be subject to the First Lien Intercreditor Agreement or the Junior Lien Intercreditor Agreement, as applicable;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Indebtedness is issued pursuant to an agreement or indenture that has not previously been made subject thereto, then the Loan Parties, the Administrative Agent and the Senior Representative for such Indebtedness shall have executed and delivered an appropriate supplement or joinder to the First Lien Intercreditor Agreement or the Junior Lien Intercreditor Agreement, as applicable, (4) such Indebtedness (other than existing Indebtedness that is assumed (and not incurred) not in contemplation of such Permitted Acquisition or Investment) shall not have any mandatory prepayment provisions (other than provisions related to customary asset sale and change of control offers and amortization up to 1.00% annually) that would result in prepayments of such Indebtedness prior to the Initial Term Loans;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if such Indebtedness is secured by Liens on the Collateral on a </w:t>
      </w:r>
      <w:r>
        <w:rPr>
          <w:rFonts w:ascii="Arial" w:cs="Arial" w:eastAsia="Arial" w:hAnsi="Arial"/>
          <w:sz w:val="16"/>
          <w:szCs w:val="16"/>
          <w:i w:val="1"/>
          <w:iCs w:val="1"/>
          <w:color w:val="auto"/>
        </w:rPr>
        <w:t xml:space="preserve">pari passu </w:t>
      </w:r>
      <w:r>
        <w:rPr>
          <w:rFonts w:ascii="Arial" w:cs="Arial" w:eastAsia="Arial" w:hAnsi="Arial"/>
          <w:sz w:val="16"/>
          <w:szCs w:val="16"/>
          <w:color w:val="auto"/>
        </w:rPr>
        <w:t>basis with the Initial Term Loans, such Indebtedness may have mandatory prepayment provisions that provide for pro rata or less than pro rata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(but not greater than pro rata) prepayments with the Initial Term Loans and (5) such Indebtedness (other than existing Indebtedness that is assumed (and not incurred) not in contemplation of such Permitted Acquisition or Investment) shall not have a maturity date earlier than or a Weighted Average Life to Maturity shorter than those applicable to the Initial Term Loans;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this clause (5) shall not apply to Indebtedness incurred in the form of Customary Bridge Loans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loans, notes securities or other debt which are exchanged for or otherwise replace such Customary Bridge Loans shall be subject to the requirements of this clause (5)) and/or Indebtedness in an aggregate principal amount outstanding that is not in excess of the then remaining capacity under the Inside Maturity Basket, and (B) and any Permitted Refinancing thereof;</w:t>
      </w:r>
    </w:p>
    <w:p>
      <w:pPr>
        <w:spacing w:after="0" w:line="149" w:lineRule="exact"/>
        <w:rPr>
          <w:sz w:val="20"/>
          <w:szCs w:val="20"/>
          <w:color w:val="auto"/>
        </w:rPr>
      </w:pPr>
    </w:p>
    <w:p>
      <w:pPr>
        <w:ind w:left="1340" w:hanging="549"/>
        <w:spacing w:after="0"/>
        <w:tabs>
          <w:tab w:leader="none" w:pos="1340" w:val="left"/>
        </w:tabs>
        <w:numPr>
          <w:ilvl w:val="0"/>
          <w:numId w:val="210"/>
        </w:numPr>
        <w:rPr>
          <w:rFonts w:ascii="Arial" w:cs="Arial" w:eastAsia="Arial" w:hAnsi="Arial"/>
          <w:sz w:val="17"/>
          <w:szCs w:val="17"/>
          <w:color w:val="auto"/>
        </w:rPr>
      </w:pPr>
      <w:r>
        <w:rPr>
          <w:rFonts w:ascii="Arial" w:cs="Arial" w:eastAsia="Arial" w:hAnsi="Arial"/>
          <w:sz w:val="17"/>
          <w:szCs w:val="17"/>
          <w:color w:val="auto"/>
        </w:rPr>
        <w:t>[reserved];</w:t>
      </w:r>
    </w:p>
    <w:p>
      <w:pPr>
        <w:spacing w:after="0" w:line="155" w:lineRule="exact"/>
        <w:rPr>
          <w:rFonts w:ascii="Arial" w:cs="Arial" w:eastAsia="Arial" w:hAnsi="Arial"/>
          <w:sz w:val="17"/>
          <w:szCs w:val="17"/>
          <w:color w:val="auto"/>
        </w:rPr>
      </w:pPr>
    </w:p>
    <w:p>
      <w:pPr>
        <w:ind w:left="1340" w:hanging="549"/>
        <w:spacing w:after="0"/>
        <w:tabs>
          <w:tab w:leader="none" w:pos="1340" w:val="left"/>
        </w:tabs>
        <w:numPr>
          <w:ilvl w:val="0"/>
          <w:numId w:val="210"/>
        </w:numPr>
        <w:rPr>
          <w:rFonts w:ascii="Arial" w:cs="Arial" w:eastAsia="Arial" w:hAnsi="Arial"/>
          <w:sz w:val="16"/>
          <w:szCs w:val="16"/>
          <w:color w:val="auto"/>
        </w:rPr>
      </w:pPr>
      <w:r>
        <w:rPr>
          <w:rFonts w:ascii="Arial" w:cs="Arial" w:eastAsia="Arial" w:hAnsi="Arial"/>
          <w:sz w:val="16"/>
          <w:szCs w:val="16"/>
          <w:color w:val="auto"/>
        </w:rPr>
        <w:t>Indebtedness representing deferred compensation to employees of Holdings and its Restricted Subsidiaries incurred in the ordinary</w:t>
      </w:r>
    </w:p>
    <w:p>
      <w:pPr>
        <w:spacing w:after="0"/>
        <w:rPr>
          <w:rFonts w:ascii="Arial" w:cs="Arial" w:eastAsia="Arial" w:hAnsi="Arial"/>
          <w:sz w:val="16"/>
          <w:szCs w:val="16"/>
          <w:color w:val="auto"/>
        </w:rPr>
      </w:pPr>
      <w:r>
        <w:rPr>
          <w:rFonts w:ascii="Arial" w:cs="Arial" w:eastAsia="Arial" w:hAnsi="Arial"/>
          <w:sz w:val="17"/>
          <w:szCs w:val="17"/>
          <w:color w:val="auto"/>
        </w:rPr>
        <w:t>course of business;</w:t>
      </w:r>
    </w:p>
    <w:p>
      <w:pPr>
        <w:spacing w:after="0" w:line="145" w:lineRule="exact"/>
        <w:rPr>
          <w:rFonts w:ascii="Arial" w:cs="Arial" w:eastAsia="Arial" w:hAnsi="Arial"/>
          <w:sz w:val="16"/>
          <w:szCs w:val="16"/>
          <w:color w:val="auto"/>
        </w:rPr>
      </w:pPr>
    </w:p>
    <w:p>
      <w:pPr>
        <w:jc w:val="both"/>
        <w:ind w:right="20" w:firstLine="791"/>
        <w:spacing w:after="0" w:line="264" w:lineRule="auto"/>
        <w:tabs>
          <w:tab w:leader="none" w:pos="1354" w:val="left"/>
        </w:tabs>
        <w:numPr>
          <w:ilvl w:val="0"/>
          <w:numId w:val="210"/>
        </w:numPr>
        <w:rPr>
          <w:rFonts w:ascii="Arial" w:cs="Arial" w:eastAsia="Arial" w:hAnsi="Arial"/>
          <w:sz w:val="15"/>
          <w:szCs w:val="15"/>
          <w:color w:val="auto"/>
        </w:rPr>
      </w:pPr>
      <w:r>
        <w:rPr>
          <w:rFonts w:ascii="Arial" w:cs="Arial" w:eastAsia="Arial" w:hAnsi="Arial"/>
          <w:sz w:val="15"/>
          <w:szCs w:val="15"/>
          <w:color w:val="auto"/>
        </w:rPr>
        <w:t>Indebtedness consisting of unsecured promissory notes issued by any Loan Party to current or former officers, directors and employees, their permitted transferees, or their respective estates, executors, trustees, administrators, heirs, legatees or distributees to finance the purchase or redemption of Equity Interests of Holdings (or any direct or indirect parent thereof or any Employee Holding Vehicle) permitted by Section 6.08(a);</w:t>
      </w:r>
    </w:p>
    <w:p>
      <w:pPr>
        <w:spacing w:after="0" w:line="117" w:lineRule="exact"/>
        <w:rPr>
          <w:rFonts w:ascii="Arial" w:cs="Arial" w:eastAsia="Arial" w:hAnsi="Arial"/>
          <w:sz w:val="15"/>
          <w:szCs w:val="15"/>
          <w:color w:val="auto"/>
        </w:rPr>
      </w:pPr>
    </w:p>
    <w:p>
      <w:pPr>
        <w:ind w:right="20" w:firstLine="791"/>
        <w:spacing w:after="0" w:line="237" w:lineRule="auto"/>
        <w:tabs>
          <w:tab w:leader="none" w:pos="1355" w:val="left"/>
        </w:tabs>
        <w:numPr>
          <w:ilvl w:val="0"/>
          <w:numId w:val="210"/>
        </w:numPr>
        <w:rPr>
          <w:rFonts w:ascii="Arial" w:cs="Arial" w:eastAsia="Arial" w:hAnsi="Arial"/>
          <w:sz w:val="17"/>
          <w:szCs w:val="17"/>
          <w:color w:val="auto"/>
        </w:rPr>
      </w:pPr>
      <w:r>
        <w:rPr>
          <w:rFonts w:ascii="Arial" w:cs="Arial" w:eastAsia="Arial" w:hAnsi="Arial"/>
          <w:sz w:val="17"/>
          <w:szCs w:val="17"/>
          <w:color w:val="auto"/>
        </w:rPr>
        <w:t>Indebtedness constituting indemnification obligations or obligations in respect of purchase price or other similar adjustments incurred in a Permitted Acquisition, any other Investment or any Disposition, in each case permitted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40"/>
        <w:spacing w:after="0"/>
        <w:rPr>
          <w:sz w:val="20"/>
          <w:szCs w:val="20"/>
          <w:color w:val="auto"/>
        </w:rPr>
      </w:pPr>
      <w:r>
        <w:rPr>
          <w:rFonts w:ascii="Arial" w:cs="Arial" w:eastAsia="Arial" w:hAnsi="Arial"/>
          <w:sz w:val="17"/>
          <w:szCs w:val="17"/>
          <w:color w:val="auto"/>
        </w:rPr>
        <w:t>132</w:t>
      </w:r>
    </w:p>
    <w:p>
      <w:pPr>
        <w:sectPr>
          <w:pgSz w:w="11900" w:h="16838" w:orient="portrait"/>
          <w:cols w:equalWidth="0" w:num="1">
            <w:col w:w="10920"/>
          </w:cols>
          <w:pgMar w:left="660" w:top="1440" w:right="319" w:bottom="1440" w:gutter="0" w:footer="0" w:header="0"/>
        </w:sectPr>
      </w:pPr>
    </w:p>
    <w:bookmarkStart w:id="306" w:name="page307"/>
    <w:bookmarkEnd w:id="306"/>
    <w:p>
      <w:pPr>
        <w:spacing w:after="0" w:line="390" w:lineRule="exact"/>
        <w:rPr>
          <w:sz w:val="20"/>
          <w:szCs w:val="20"/>
          <w:color w:val="auto"/>
        </w:rPr>
      </w:pPr>
    </w:p>
    <w:p>
      <w:pPr>
        <w:ind w:right="20" w:firstLine="791"/>
        <w:spacing w:after="0" w:line="237" w:lineRule="auto"/>
        <w:tabs>
          <w:tab w:leader="none" w:pos="1358" w:val="left"/>
        </w:tabs>
        <w:numPr>
          <w:ilvl w:val="0"/>
          <w:numId w:val="211"/>
        </w:numPr>
        <w:rPr>
          <w:rFonts w:ascii="Arial" w:cs="Arial" w:eastAsia="Arial" w:hAnsi="Arial"/>
          <w:sz w:val="17"/>
          <w:szCs w:val="17"/>
          <w:color w:val="auto"/>
        </w:rPr>
      </w:pPr>
      <w:r>
        <w:rPr>
          <w:rFonts w:ascii="Arial" w:cs="Arial" w:eastAsia="Arial" w:hAnsi="Arial"/>
          <w:sz w:val="17"/>
          <w:szCs w:val="17"/>
          <w:color w:val="auto"/>
        </w:rPr>
        <w:t>Indebtedness consisting of obligations under deferred compensation or other similar arrangements incurred in connection with any Permitted Acquisition or other Investment permitted hereunder;</w:t>
      </w:r>
    </w:p>
    <w:p>
      <w:pPr>
        <w:spacing w:after="0" w:line="134" w:lineRule="exact"/>
        <w:rPr>
          <w:rFonts w:ascii="Arial" w:cs="Arial" w:eastAsia="Arial" w:hAnsi="Arial"/>
          <w:sz w:val="17"/>
          <w:szCs w:val="17"/>
          <w:color w:val="auto"/>
        </w:rPr>
      </w:pPr>
    </w:p>
    <w:p>
      <w:pPr>
        <w:ind w:right="20" w:firstLine="791"/>
        <w:spacing w:after="0" w:line="237" w:lineRule="auto"/>
        <w:tabs>
          <w:tab w:leader="none" w:pos="1357" w:val="left"/>
        </w:tabs>
        <w:numPr>
          <w:ilvl w:val="0"/>
          <w:numId w:val="211"/>
        </w:numPr>
        <w:rPr>
          <w:rFonts w:ascii="Arial" w:cs="Arial" w:eastAsia="Arial" w:hAnsi="Arial"/>
          <w:sz w:val="17"/>
          <w:szCs w:val="17"/>
          <w:color w:val="auto"/>
        </w:rPr>
      </w:pPr>
      <w:r>
        <w:rPr>
          <w:rFonts w:ascii="Arial" w:cs="Arial" w:eastAsia="Arial" w:hAnsi="Arial"/>
          <w:sz w:val="17"/>
          <w:szCs w:val="17"/>
          <w:color w:val="auto"/>
        </w:rPr>
        <w:t>Cash Management Obligations and other Indebtedness in respect of netting services, overdraft protections and similar arrangements, in each case, incurred in the ordinary course of business in connection with deposit accounts;</w:t>
      </w:r>
    </w:p>
    <w:p>
      <w:pPr>
        <w:spacing w:after="0" w:line="134" w:lineRule="exact"/>
        <w:rPr>
          <w:rFonts w:ascii="Arial" w:cs="Arial" w:eastAsia="Arial" w:hAnsi="Arial"/>
          <w:sz w:val="17"/>
          <w:szCs w:val="17"/>
          <w:color w:val="auto"/>
        </w:rPr>
      </w:pPr>
    </w:p>
    <w:p>
      <w:pPr>
        <w:jc w:val="both"/>
        <w:ind w:firstLine="791"/>
        <w:spacing w:after="0" w:line="220" w:lineRule="auto"/>
        <w:tabs>
          <w:tab w:leader="none" w:pos="1358" w:val="left"/>
        </w:tabs>
        <w:numPr>
          <w:ilvl w:val="0"/>
          <w:numId w:val="211"/>
        </w:numPr>
        <w:rPr>
          <w:rFonts w:ascii="Arial" w:cs="Arial" w:eastAsia="Arial" w:hAnsi="Arial"/>
          <w:sz w:val="17"/>
          <w:szCs w:val="17"/>
          <w:color w:val="auto"/>
        </w:rPr>
      </w:pPr>
      <w:r>
        <w:rPr>
          <w:rFonts w:ascii="Arial" w:cs="Arial" w:eastAsia="Arial" w:hAnsi="Arial"/>
          <w:sz w:val="17"/>
          <w:szCs w:val="17"/>
          <w:color w:val="auto"/>
        </w:rPr>
        <w:t xml:space="preserve">Indebtedness of Holdings, the Borrower and any of the Restricted Subsidiaries;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at the time of the incurrence thereof and after giving Pro Forma Effect thereto and the use of the proceeds thereof, the aggregate principal amount of Indebtedness outstanding in reliance on this clause (xvi) shall not exceed the greater of $400,000,000 and 40% of Consolidated EBITDA calculated on a Pro Forma Basis for the most recently ended Test Period for which financial statements are available;</w:t>
      </w:r>
    </w:p>
    <w:p>
      <w:pPr>
        <w:spacing w:after="0" w:line="135" w:lineRule="exact"/>
        <w:rPr>
          <w:rFonts w:ascii="Arial" w:cs="Arial" w:eastAsia="Arial" w:hAnsi="Arial"/>
          <w:sz w:val="17"/>
          <w:szCs w:val="17"/>
          <w:color w:val="auto"/>
        </w:rPr>
      </w:pPr>
    </w:p>
    <w:p>
      <w:pPr>
        <w:ind w:right="20" w:firstLine="791"/>
        <w:spacing w:after="0" w:line="237" w:lineRule="auto"/>
        <w:tabs>
          <w:tab w:leader="none" w:pos="1358" w:val="left"/>
        </w:tabs>
        <w:numPr>
          <w:ilvl w:val="0"/>
          <w:numId w:val="211"/>
        </w:numPr>
        <w:rPr>
          <w:rFonts w:ascii="Arial" w:cs="Arial" w:eastAsia="Arial" w:hAnsi="Arial"/>
          <w:sz w:val="17"/>
          <w:szCs w:val="17"/>
          <w:color w:val="auto"/>
        </w:rPr>
      </w:pPr>
      <w:r>
        <w:rPr>
          <w:rFonts w:ascii="Arial" w:cs="Arial" w:eastAsia="Arial" w:hAnsi="Arial"/>
          <w:sz w:val="17"/>
          <w:szCs w:val="17"/>
          <w:color w:val="auto"/>
        </w:rPr>
        <w:t>Indebtedness consisting of (A) the financing of insurance premiums or (B) take-or-pay obligations contained in supply arrangements, in each case in the ordinary course of business;</w:t>
      </w:r>
    </w:p>
    <w:p>
      <w:pPr>
        <w:spacing w:after="0" w:line="134" w:lineRule="exact"/>
        <w:rPr>
          <w:rFonts w:ascii="Arial" w:cs="Arial" w:eastAsia="Arial" w:hAnsi="Arial"/>
          <w:sz w:val="17"/>
          <w:szCs w:val="17"/>
          <w:color w:val="auto"/>
        </w:rPr>
      </w:pPr>
    </w:p>
    <w:p>
      <w:pPr>
        <w:jc w:val="both"/>
        <w:ind w:firstLine="791"/>
        <w:spacing w:after="0" w:line="220" w:lineRule="auto"/>
        <w:tabs>
          <w:tab w:leader="none" w:pos="1359" w:val="left"/>
        </w:tabs>
        <w:numPr>
          <w:ilvl w:val="0"/>
          <w:numId w:val="211"/>
        </w:numPr>
        <w:rPr>
          <w:rFonts w:ascii="Arial" w:cs="Arial" w:eastAsia="Arial" w:hAnsi="Arial"/>
          <w:sz w:val="17"/>
          <w:szCs w:val="17"/>
          <w:color w:val="auto"/>
        </w:rPr>
      </w:pPr>
      <w:r>
        <w:rPr>
          <w:rFonts w:ascii="Arial" w:cs="Arial" w:eastAsia="Arial" w:hAnsi="Arial"/>
          <w:sz w:val="17"/>
          <w:szCs w:val="17"/>
          <w:color w:val="auto"/>
        </w:rPr>
        <w:t>Indebtedness incurred by the Borrower or any of the Restricted Subsidiaries in respect of letters of credit, bank guarantees, bankers’ acceptances or similar instruments issued or created in the ordinary course of business, including in respect of workers compensation claims, health, disability or other employee benefits or property, casualty or liability insurance or self-insurance or other reimbursement-type obligations regarding workers compensation claims;</w:t>
      </w:r>
    </w:p>
    <w:p>
      <w:pPr>
        <w:spacing w:after="0" w:line="135" w:lineRule="exact"/>
        <w:rPr>
          <w:rFonts w:ascii="Arial" w:cs="Arial" w:eastAsia="Arial" w:hAnsi="Arial"/>
          <w:sz w:val="17"/>
          <w:szCs w:val="17"/>
          <w:color w:val="auto"/>
        </w:rPr>
      </w:pPr>
    </w:p>
    <w:p>
      <w:pPr>
        <w:jc w:val="both"/>
        <w:ind w:right="20" w:firstLine="791"/>
        <w:spacing w:after="0" w:line="225" w:lineRule="auto"/>
        <w:tabs>
          <w:tab w:leader="none" w:pos="1358" w:val="left"/>
        </w:tabs>
        <w:numPr>
          <w:ilvl w:val="0"/>
          <w:numId w:val="211"/>
        </w:numPr>
        <w:rPr>
          <w:rFonts w:ascii="Arial" w:cs="Arial" w:eastAsia="Arial" w:hAnsi="Arial"/>
          <w:sz w:val="17"/>
          <w:szCs w:val="17"/>
          <w:color w:val="auto"/>
        </w:rPr>
      </w:pPr>
      <w:r>
        <w:rPr>
          <w:rFonts w:ascii="Arial" w:cs="Arial" w:eastAsia="Arial" w:hAnsi="Arial"/>
          <w:sz w:val="17"/>
          <w:szCs w:val="17"/>
          <w:color w:val="auto"/>
        </w:rPr>
        <w:t>obligations in respect of performance, bid, appeal and surety bonds and performance and completion guarantees and similar obligations provided by Holdings or any of its Restricted Subsidiaries or obligations in respect of letters of credit, bank guarantees or similar instruments related thereto, in each case in the ordinary course of business or consistent with past practice;</w:t>
      </w:r>
    </w:p>
    <w:p>
      <w:pPr>
        <w:spacing w:after="0" w:line="136" w:lineRule="exact"/>
        <w:rPr>
          <w:rFonts w:ascii="Arial" w:cs="Arial" w:eastAsia="Arial" w:hAnsi="Arial"/>
          <w:sz w:val="17"/>
          <w:szCs w:val="17"/>
          <w:color w:val="auto"/>
        </w:rPr>
      </w:pPr>
    </w:p>
    <w:p>
      <w:pPr>
        <w:ind w:left="1360" w:hanging="569"/>
        <w:spacing w:after="0"/>
        <w:tabs>
          <w:tab w:leader="none" w:pos="1360" w:val="left"/>
        </w:tabs>
        <w:numPr>
          <w:ilvl w:val="0"/>
          <w:numId w:val="211"/>
        </w:numPr>
        <w:rPr>
          <w:rFonts w:ascii="Arial" w:cs="Arial" w:eastAsia="Arial" w:hAnsi="Arial"/>
          <w:sz w:val="17"/>
          <w:szCs w:val="17"/>
          <w:color w:val="auto"/>
        </w:rPr>
      </w:pPr>
      <w:r>
        <w:rPr>
          <w:rFonts w:ascii="Arial" w:cs="Arial" w:eastAsia="Arial" w:hAnsi="Arial"/>
          <w:sz w:val="17"/>
          <w:szCs w:val="17"/>
          <w:color w:val="auto"/>
        </w:rPr>
        <w:t>Permitted Unsecured Refinancing Debt, and any Permitted Refinancing thereof;</w:t>
      </w:r>
    </w:p>
    <w:p>
      <w:pPr>
        <w:spacing w:after="0" w:line="159" w:lineRule="exact"/>
        <w:rPr>
          <w:rFonts w:ascii="Arial" w:cs="Arial" w:eastAsia="Arial" w:hAnsi="Arial"/>
          <w:sz w:val="17"/>
          <w:szCs w:val="17"/>
          <w:color w:val="auto"/>
        </w:rPr>
      </w:pPr>
    </w:p>
    <w:p>
      <w:pPr>
        <w:ind w:left="1360" w:hanging="569"/>
        <w:spacing w:after="0"/>
        <w:tabs>
          <w:tab w:leader="none" w:pos="1360" w:val="left"/>
        </w:tabs>
        <w:numPr>
          <w:ilvl w:val="0"/>
          <w:numId w:val="211"/>
        </w:numPr>
        <w:rPr>
          <w:rFonts w:ascii="Arial" w:cs="Arial" w:eastAsia="Arial" w:hAnsi="Arial"/>
          <w:sz w:val="17"/>
          <w:szCs w:val="17"/>
          <w:color w:val="auto"/>
        </w:rPr>
      </w:pPr>
      <w:r>
        <w:rPr>
          <w:rFonts w:ascii="Arial" w:cs="Arial" w:eastAsia="Arial" w:hAnsi="Arial"/>
          <w:sz w:val="17"/>
          <w:szCs w:val="17"/>
          <w:color w:val="auto"/>
        </w:rPr>
        <w:t>Permitted First Priority Refinancing Debt and Permitted Junior Lien Refinancing Debt, and any Permitted Refinancing thereof;</w:t>
      </w:r>
    </w:p>
    <w:p>
      <w:pPr>
        <w:spacing w:after="0" w:line="159" w:lineRule="exact"/>
        <w:rPr>
          <w:rFonts w:ascii="Arial" w:cs="Arial" w:eastAsia="Arial" w:hAnsi="Arial"/>
          <w:sz w:val="17"/>
          <w:szCs w:val="17"/>
          <w:color w:val="auto"/>
        </w:rPr>
      </w:pPr>
    </w:p>
    <w:p>
      <w:pPr>
        <w:jc w:val="both"/>
        <w:ind w:firstLine="791"/>
        <w:spacing w:after="0" w:line="239" w:lineRule="auto"/>
        <w:tabs>
          <w:tab w:leader="none" w:pos="1358" w:val="left"/>
        </w:tabs>
        <w:numPr>
          <w:ilvl w:val="0"/>
          <w:numId w:val="211"/>
        </w:numPr>
        <w:rPr>
          <w:rFonts w:ascii="Arial" w:cs="Arial" w:eastAsia="Arial" w:hAnsi="Arial"/>
          <w:sz w:val="15"/>
          <w:szCs w:val="15"/>
          <w:color w:val="auto"/>
        </w:rPr>
      </w:pPr>
      <w:r>
        <w:rPr>
          <w:rFonts w:ascii="Arial" w:cs="Arial" w:eastAsia="Arial" w:hAnsi="Arial"/>
          <w:sz w:val="15"/>
          <w:szCs w:val="15"/>
          <w:color w:val="auto"/>
        </w:rPr>
        <w:t xml:space="preserve">(A) Indebtedness of the Borrower in respect of one or more series of loans, bonds, notes or debentures that will be unsecured or secured by Liens on the Collateral on a </w:t>
      </w:r>
      <w:r>
        <w:rPr>
          <w:rFonts w:ascii="Arial" w:cs="Arial" w:eastAsia="Arial" w:hAnsi="Arial"/>
          <w:sz w:val="15"/>
          <w:szCs w:val="15"/>
          <w:i w:val="1"/>
          <w:iCs w:val="1"/>
          <w:color w:val="auto"/>
        </w:rPr>
        <w:t>pari passu</w:t>
      </w:r>
      <w:r>
        <w:rPr>
          <w:rFonts w:ascii="Arial" w:cs="Arial" w:eastAsia="Arial" w:hAnsi="Arial"/>
          <w:sz w:val="15"/>
          <w:szCs w:val="15"/>
          <w:color w:val="auto"/>
        </w:rPr>
        <w:t xml:space="preserve"> or junior basis with the Liens on the Collateral securing the Initial Term Loans and that are issued or made in lieu of Incremental Facilities;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at the time of the incurrence thereof and after giving Pro Forma Effect thereto and to the use of the proceeds thereof, the aggregate principal amount incurred shall not exceed the Incremental Cap (the “</w:t>
      </w:r>
      <w:r>
        <w:rPr>
          <w:rFonts w:ascii="Arial" w:cs="Arial" w:eastAsia="Arial" w:hAnsi="Arial"/>
          <w:sz w:val="15"/>
          <w:szCs w:val="15"/>
          <w:b w:val="1"/>
          <w:bCs w:val="1"/>
          <w:color w:val="auto"/>
        </w:rPr>
        <w:t>Incremental Equivalent Debt</w:t>
      </w:r>
      <w:r>
        <w:rPr>
          <w:rFonts w:ascii="Arial" w:cs="Arial" w:eastAsia="Arial" w:hAnsi="Arial"/>
          <w:sz w:val="15"/>
          <w:szCs w:val="15"/>
          <w:color w:val="auto"/>
        </w:rPr>
        <w:t xml:space="preserve">”); </w:t>
      </w:r>
      <w:r>
        <w:rPr>
          <w:rFonts w:ascii="Arial" w:cs="Arial" w:eastAsia="Arial" w:hAnsi="Arial"/>
          <w:sz w:val="15"/>
          <w:szCs w:val="15"/>
          <w:i w:val="1"/>
          <w:iCs w:val="1"/>
          <w:color w:val="auto"/>
        </w:rPr>
        <w:t>provided, further,</w:t>
      </w:r>
      <w:r>
        <w:rPr>
          <w:rFonts w:ascii="Arial" w:cs="Arial" w:eastAsia="Arial" w:hAnsi="Arial"/>
          <w:sz w:val="15"/>
          <w:szCs w:val="15"/>
          <w:color w:val="auto"/>
        </w:rPr>
        <w:t xml:space="preserve"> that (i) such Incremental Equivalent Debt is not scheduled to mature prior to the Latest Maturity Date then in effect and such Incremental Equivalent Debt shall not have a Weighted Average Life to Maturity shorter than the Weighted Average Life to Maturity of the Term Loans then in effect; </w:t>
      </w:r>
      <w:r>
        <w:rPr>
          <w:rFonts w:ascii="Arial" w:cs="Arial" w:eastAsia="Arial" w:hAnsi="Arial"/>
          <w:sz w:val="15"/>
          <w:szCs w:val="15"/>
          <w:i w:val="1"/>
          <w:iCs w:val="1"/>
          <w:color w:val="auto"/>
        </w:rPr>
        <w:t>provided</w:t>
      </w:r>
      <w:r>
        <w:rPr>
          <w:rFonts w:ascii="Arial" w:cs="Arial" w:eastAsia="Arial" w:hAnsi="Arial"/>
          <w:sz w:val="15"/>
          <w:szCs w:val="15"/>
          <w:color w:val="auto"/>
        </w:rPr>
        <w:t>, that that this clause (i) shall not apply to Indebtedness incurred in the form of Customary Bridge Loans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any loans, notes securities or other debt which are exchanged for or otherwise replace such Customary Bridge Loans shall be subject to the requirements of this clause (i)) and/or Indebtedness in an aggregate principal amount outstanding that is not in excess of the then remaining capacity under the Inside Maturity Basket, (ii) such Incremental Equivalent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40"/>
        <w:spacing w:after="0"/>
        <w:rPr>
          <w:sz w:val="20"/>
          <w:szCs w:val="20"/>
          <w:color w:val="auto"/>
        </w:rPr>
      </w:pPr>
      <w:r>
        <w:rPr>
          <w:rFonts w:ascii="Arial" w:cs="Arial" w:eastAsia="Arial" w:hAnsi="Arial"/>
          <w:sz w:val="17"/>
          <w:szCs w:val="17"/>
          <w:color w:val="auto"/>
        </w:rPr>
        <w:t>133</w:t>
      </w:r>
    </w:p>
    <w:p>
      <w:pPr>
        <w:sectPr>
          <w:pgSz w:w="11900" w:h="16838" w:orient="portrait"/>
          <w:cols w:equalWidth="0" w:num="1">
            <w:col w:w="10920"/>
          </w:cols>
          <w:pgMar w:left="660" w:top="1440" w:right="319" w:bottom="1440" w:gutter="0" w:footer="0" w:header="0"/>
        </w:sectPr>
      </w:pPr>
    </w:p>
    <w:bookmarkStart w:id="307" w:name="page308"/>
    <w:bookmarkEnd w:id="307"/>
    <w:p>
      <w:pPr>
        <w:spacing w:after="0" w:line="389" w:lineRule="exact"/>
        <w:rPr>
          <w:sz w:val="20"/>
          <w:szCs w:val="20"/>
          <w:color w:val="auto"/>
        </w:rPr>
      </w:pPr>
    </w:p>
    <w:p>
      <w:pPr>
        <w:jc w:val="both"/>
        <w:spacing w:after="0" w:line="219" w:lineRule="auto"/>
        <w:rPr>
          <w:sz w:val="20"/>
          <w:szCs w:val="20"/>
          <w:color w:val="auto"/>
        </w:rPr>
      </w:pPr>
      <w:r>
        <w:rPr>
          <w:rFonts w:ascii="Arial" w:cs="Arial" w:eastAsia="Arial" w:hAnsi="Arial"/>
          <w:sz w:val="16"/>
          <w:szCs w:val="16"/>
          <w:color w:val="auto"/>
        </w:rPr>
        <w:t xml:space="preserve">shall not have any mandatory prepayment provisions (other than provisions related to customary asset sale and change of control offers) that would result in prepayments of such Incremental Equivalent Debt prior to the Term Loans then outstanding;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if such Indebtedness is secured by Liens on the Collateral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basis with any Class of Term Loans, such Indebtedness may have mandatory prepayment provisions that provide for pro rata or less than pro rata (but not greater than pro rata) prepayments with such Class of Term Loans, (iii) [reserved], (iv) at the time when such Incremental Equivalent Debt is issued, the aggregate principal amount issued may not exceed the Incremental Cap, (v) (1) such Incremental Equivalent Debt shall not be Guaranteed by any Person other than a Loan Party, (2) the obligations in respect thereof shall not be secured by any Lien on any asset other than any asset constituting Collateral, (3) the security agreements relating to such Incremental Equivalent Debt shall be substantially the same as the Security Documents (with any material differences being reasonably satisfactory to the Administrative Agent), and (4) if such Incremental Equivalent Debt is secured, such Incremental Equivalent Debt and the trustee, administrative agent or other representative under the agreement governing such Incremental Equivalent Debt shall be subject to the First Lien Intercreditor Agreement or the Junior Lien Intercreditor Agreement, as applicable;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Incremental Equivalent Debt is issued pursuant to an agreement that has not previously been made subject thereto, then Holdings, the Borrower, the Subsidiary Loan Parties, the Administrative Agent and the Senior Representative for such Incremental Equivalent Debt shall have executed and delivered an appropriate supplement or joinder to the First Lien Intercreditor Agreement or the Junior Lien Intercreditor Agreement, as applicable, and (vi) such Indebtedness shall not have any mandatory prepayment provisions (other than provisions related to customary asset sale and change of control offers) that would result in prepayments of such Indebtedness prior to the Initial Term Loans;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if such Indebtedness is secured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basis with the Initial Term Loans, such Indebtedness may have mandatory prepayment provisions that provide for pro rata or less than pro rata (but not greater than pro rata) prepayments with the Initial Term Loans;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at the time of incurrence thereof, the aggregate outstanding principal amount of Indebtedness (other than Indebtedness constituting any revolving facility) incurred by Restricted Subsidiaries that are not Loan Parties or Regulated Subsidiaries under this Section 6.01(a)(xxii), together with the Indebtedness incurred by Restricted Subsidiaries that are not Loan Parties or Regulated Subsidiaries under clauses (x), (y) and (z) of Section 6.01(a)(viii) and clauses (x), (y) and (z) of Section 6.01(a)(viii), collectively, shall not exceed the greater of $150,000,000 and 10% of Consolidated EBITDA calculated on a Pro Forma Basis for the most recently ended Test Period for which financial statements are available, and (B) any Permitted Refinancing thereof;</w:t>
      </w:r>
    </w:p>
    <w:p>
      <w:pPr>
        <w:spacing w:after="0" w:line="142" w:lineRule="exact"/>
        <w:rPr>
          <w:sz w:val="20"/>
          <w:szCs w:val="20"/>
          <w:color w:val="auto"/>
        </w:rPr>
      </w:pPr>
    </w:p>
    <w:p>
      <w:pPr>
        <w:ind w:left="1360" w:hanging="569"/>
        <w:spacing w:after="0"/>
        <w:tabs>
          <w:tab w:leader="none" w:pos="1360" w:val="left"/>
        </w:tabs>
        <w:numPr>
          <w:ilvl w:val="0"/>
          <w:numId w:val="212"/>
        </w:numPr>
        <w:rPr>
          <w:rFonts w:ascii="Arial" w:cs="Arial" w:eastAsia="Arial" w:hAnsi="Arial"/>
          <w:sz w:val="17"/>
          <w:szCs w:val="17"/>
          <w:color w:val="auto"/>
        </w:rPr>
      </w:pPr>
      <w:r>
        <w:rPr>
          <w:rFonts w:ascii="Arial" w:cs="Arial" w:eastAsia="Arial" w:hAnsi="Arial"/>
          <w:sz w:val="17"/>
          <w:szCs w:val="17"/>
          <w:color w:val="auto"/>
        </w:rPr>
        <w:t>Trading Debt incurred in the ordinary course of business or in a manner consistent with past practices;</w:t>
      </w:r>
    </w:p>
    <w:p>
      <w:pPr>
        <w:spacing w:after="0" w:line="159" w:lineRule="exact"/>
        <w:rPr>
          <w:rFonts w:ascii="Arial" w:cs="Arial" w:eastAsia="Arial" w:hAnsi="Arial"/>
          <w:sz w:val="17"/>
          <w:szCs w:val="17"/>
          <w:color w:val="auto"/>
        </w:rPr>
      </w:pPr>
    </w:p>
    <w:p>
      <w:pPr>
        <w:jc w:val="both"/>
        <w:ind w:firstLine="791"/>
        <w:spacing w:after="0" w:line="230" w:lineRule="auto"/>
        <w:tabs>
          <w:tab w:leader="none" w:pos="1361" w:val="left"/>
        </w:tabs>
        <w:numPr>
          <w:ilvl w:val="0"/>
          <w:numId w:val="212"/>
        </w:numPr>
        <w:rPr>
          <w:rFonts w:ascii="Arial" w:cs="Arial" w:eastAsia="Arial" w:hAnsi="Arial"/>
          <w:sz w:val="16"/>
          <w:szCs w:val="16"/>
          <w:color w:val="auto"/>
        </w:rPr>
      </w:pPr>
      <w:r>
        <w:rPr>
          <w:rFonts w:ascii="Arial" w:cs="Arial" w:eastAsia="Arial" w:hAnsi="Arial"/>
          <w:sz w:val="16"/>
          <w:szCs w:val="16"/>
          <w:color w:val="auto"/>
        </w:rPr>
        <w:t xml:space="preserve">(A) Indebtedness of Joint Ventures and/or Indebtedness incurred on behalf thereof or representing Guarantees of Indebtedness of Joint Ventures;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at the time of the incurrence thereof and after giving Pro Forma Effect thereto and the use of proceeds thereof, the aggregate principal amount of Indebtedness outstanding in reliance on this clause (xxiv), together with the aggregate principal amount of Indebtedness outstanding in reliance on clause (xxv) below, shall not exceed the greater of $250,000,000 and 25% of Consolidated EBITDA calculated on a Pro Forma Basis for the most recently ended Test Period for which financial statements are available and (B) any Permitted Refinancing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40"/>
        <w:spacing w:after="0"/>
        <w:rPr>
          <w:sz w:val="20"/>
          <w:szCs w:val="20"/>
          <w:color w:val="auto"/>
        </w:rPr>
      </w:pPr>
      <w:r>
        <w:rPr>
          <w:rFonts w:ascii="Arial" w:cs="Arial" w:eastAsia="Arial" w:hAnsi="Arial"/>
          <w:sz w:val="17"/>
          <w:szCs w:val="17"/>
          <w:color w:val="auto"/>
        </w:rPr>
        <w:t>134</w:t>
      </w:r>
    </w:p>
    <w:p>
      <w:pPr>
        <w:sectPr>
          <w:pgSz w:w="11900" w:h="16838" w:orient="portrait"/>
          <w:cols w:equalWidth="0" w:num="1">
            <w:col w:w="10920"/>
          </w:cols>
          <w:pgMar w:left="660" w:top="1440" w:right="319" w:bottom="1440" w:gutter="0" w:footer="0" w:header="0"/>
        </w:sectPr>
      </w:pPr>
    </w:p>
    <w:bookmarkStart w:id="308" w:name="page309"/>
    <w:bookmarkEnd w:id="308"/>
    <w:p>
      <w:pPr>
        <w:spacing w:after="0" w:line="390" w:lineRule="exact"/>
        <w:rPr>
          <w:sz w:val="20"/>
          <w:szCs w:val="20"/>
          <w:color w:val="auto"/>
        </w:rPr>
      </w:pPr>
    </w:p>
    <w:p>
      <w:pPr>
        <w:jc w:val="both"/>
        <w:ind w:left="340" w:firstLine="791"/>
        <w:spacing w:after="0" w:line="235" w:lineRule="auto"/>
        <w:tabs>
          <w:tab w:leader="none" w:pos="1701" w:val="left"/>
        </w:tabs>
        <w:numPr>
          <w:ilvl w:val="1"/>
          <w:numId w:val="213"/>
        </w:numPr>
        <w:rPr>
          <w:rFonts w:ascii="Arial" w:cs="Arial" w:eastAsia="Arial" w:hAnsi="Arial"/>
          <w:sz w:val="15"/>
          <w:szCs w:val="15"/>
          <w:color w:val="auto"/>
        </w:rPr>
      </w:pPr>
      <w:r>
        <w:rPr>
          <w:rFonts w:ascii="Arial" w:cs="Arial" w:eastAsia="Arial" w:hAnsi="Arial"/>
          <w:sz w:val="15"/>
          <w:szCs w:val="15"/>
          <w:color w:val="auto"/>
        </w:rPr>
        <w:t xml:space="preserve">(A) Indebtedness of a Restricted Subsidiary that is not a Loan Party;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at the time of the incurrence thereof and after giving Pro Forma Effect thereto and the use of proceeds thereof, the aggregate principal amount of Indebtedness outstanding in reliance on this clause (xxv), together with the aggregate principal amount of Indebtedness outstanding in reliance on clause (xxiv) above, shall not exceed the greater of $300,000,000 and 30% of Consolidated EBITDA calculated on a Pro Forma Basis for the most recently ended Test Period for which financial statements are available and</w:t>
      </w:r>
    </w:p>
    <w:p>
      <w:pPr>
        <w:spacing w:after="0" w:line="1" w:lineRule="exact"/>
        <w:rPr>
          <w:rFonts w:ascii="Arial" w:cs="Arial" w:eastAsia="Arial" w:hAnsi="Arial"/>
          <w:sz w:val="15"/>
          <w:szCs w:val="15"/>
          <w:color w:val="auto"/>
        </w:rPr>
      </w:pPr>
    </w:p>
    <w:p>
      <w:pPr>
        <w:ind w:left="620" w:hanging="284"/>
        <w:spacing w:after="0"/>
        <w:tabs>
          <w:tab w:leader="none" w:pos="620" w:val="left"/>
        </w:tabs>
        <w:numPr>
          <w:ilvl w:val="0"/>
          <w:numId w:val="214"/>
        </w:numPr>
        <w:rPr>
          <w:rFonts w:ascii="Arial" w:cs="Arial" w:eastAsia="Arial" w:hAnsi="Arial"/>
          <w:sz w:val="17"/>
          <w:szCs w:val="17"/>
          <w:color w:val="auto"/>
        </w:rPr>
      </w:pPr>
      <w:r>
        <w:rPr>
          <w:rFonts w:ascii="Arial" w:cs="Arial" w:eastAsia="Arial" w:hAnsi="Arial"/>
          <w:sz w:val="17"/>
          <w:szCs w:val="17"/>
          <w:color w:val="auto"/>
        </w:rPr>
        <w:t>any Permitted Refinancing thereof;</w:t>
      </w:r>
    </w:p>
    <w:p>
      <w:pPr>
        <w:spacing w:after="0" w:line="145" w:lineRule="exact"/>
        <w:rPr>
          <w:rFonts w:ascii="Arial" w:cs="Arial" w:eastAsia="Arial" w:hAnsi="Arial"/>
          <w:sz w:val="17"/>
          <w:szCs w:val="17"/>
          <w:color w:val="auto"/>
        </w:rPr>
      </w:pPr>
    </w:p>
    <w:p>
      <w:pPr>
        <w:jc w:val="both"/>
        <w:ind w:left="340" w:right="20" w:firstLine="791"/>
        <w:spacing w:after="0" w:line="225" w:lineRule="auto"/>
        <w:tabs>
          <w:tab w:leader="none" w:pos="1701" w:val="left"/>
        </w:tabs>
        <w:numPr>
          <w:ilvl w:val="1"/>
          <w:numId w:val="214"/>
        </w:numPr>
        <w:rPr>
          <w:rFonts w:ascii="Arial" w:cs="Arial" w:eastAsia="Arial" w:hAnsi="Arial"/>
          <w:sz w:val="17"/>
          <w:szCs w:val="17"/>
          <w:color w:val="auto"/>
        </w:rPr>
      </w:pPr>
      <w:r>
        <w:rPr>
          <w:rFonts w:ascii="Arial" w:cs="Arial" w:eastAsia="Arial" w:hAnsi="Arial"/>
          <w:sz w:val="17"/>
          <w:szCs w:val="17"/>
          <w:color w:val="auto"/>
        </w:rPr>
        <w:t xml:space="preserve">additional Indebtedness of Holdings, the Borrower or any Restricted Subsidiary;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at the time of the incurrence thereof and after giving Pro Forma Effect thereto and the use of the proceeds thereof, the aggregate principal amount of such Indebtedness incurred shall not exceed the Available RP Capacity Amount at such time;</w:t>
      </w:r>
    </w:p>
    <w:p>
      <w:pPr>
        <w:spacing w:after="0" w:line="136" w:lineRule="exact"/>
        <w:rPr>
          <w:rFonts w:ascii="Arial" w:cs="Arial" w:eastAsia="Arial" w:hAnsi="Arial"/>
          <w:sz w:val="17"/>
          <w:szCs w:val="17"/>
          <w:color w:val="auto"/>
        </w:rPr>
      </w:pPr>
    </w:p>
    <w:p>
      <w:pPr>
        <w:ind w:left="1700" w:hanging="569"/>
        <w:spacing w:after="0"/>
        <w:tabs>
          <w:tab w:leader="none" w:pos="1700" w:val="left"/>
        </w:tabs>
        <w:numPr>
          <w:ilvl w:val="1"/>
          <w:numId w:val="214"/>
        </w:numPr>
        <w:rPr>
          <w:rFonts w:ascii="Arial" w:cs="Arial" w:eastAsia="Arial" w:hAnsi="Arial"/>
          <w:sz w:val="17"/>
          <w:szCs w:val="17"/>
          <w:color w:val="auto"/>
        </w:rPr>
      </w:pPr>
      <w:r>
        <w:rPr>
          <w:rFonts w:ascii="Arial" w:cs="Arial" w:eastAsia="Arial" w:hAnsi="Arial"/>
          <w:sz w:val="17"/>
          <w:szCs w:val="17"/>
          <w:color w:val="auto"/>
        </w:rPr>
        <w:t>Indebtedness in connection with Permitted Securitization Financings; and</w:t>
      </w:r>
    </w:p>
    <w:p>
      <w:pPr>
        <w:spacing w:after="0" w:line="159" w:lineRule="exact"/>
        <w:rPr>
          <w:rFonts w:ascii="Arial" w:cs="Arial" w:eastAsia="Arial" w:hAnsi="Arial"/>
          <w:sz w:val="17"/>
          <w:szCs w:val="17"/>
          <w:color w:val="auto"/>
        </w:rPr>
      </w:pPr>
    </w:p>
    <w:p>
      <w:pPr>
        <w:ind w:left="340" w:firstLine="791"/>
        <w:spacing w:after="0" w:line="237" w:lineRule="auto"/>
        <w:tabs>
          <w:tab w:leader="none" w:pos="1703" w:val="left"/>
        </w:tabs>
        <w:numPr>
          <w:ilvl w:val="1"/>
          <w:numId w:val="214"/>
        </w:numPr>
        <w:rPr>
          <w:rFonts w:ascii="Arial" w:cs="Arial" w:eastAsia="Arial" w:hAnsi="Arial"/>
          <w:sz w:val="17"/>
          <w:szCs w:val="17"/>
          <w:color w:val="auto"/>
        </w:rPr>
      </w:pPr>
      <w:r>
        <w:rPr>
          <w:rFonts w:ascii="Arial" w:cs="Arial" w:eastAsia="Arial" w:hAnsi="Arial"/>
          <w:sz w:val="17"/>
          <w:szCs w:val="17"/>
          <w:color w:val="auto"/>
        </w:rPr>
        <w:t>all premiums (if any), interest (including post-petition interest and capitalized or paid in kind interest), fees, expenses, charges and additional or contingent interest on obligations described in clauses (i) through (xxvii) above.</w:t>
      </w:r>
    </w:p>
    <w:p>
      <w:pPr>
        <w:spacing w:after="0" w:line="135" w:lineRule="exact"/>
        <w:rPr>
          <w:sz w:val="20"/>
          <w:szCs w:val="20"/>
          <w:color w:val="auto"/>
        </w:rPr>
      </w:pPr>
    </w:p>
    <w:p>
      <w:pPr>
        <w:jc w:val="both"/>
        <w:ind w:right="20" w:firstLine="563"/>
        <w:spacing w:after="0" w:line="225" w:lineRule="auto"/>
        <w:tabs>
          <w:tab w:leader="none" w:pos="1126" w:val="left"/>
        </w:tabs>
        <w:numPr>
          <w:ilvl w:val="0"/>
          <w:numId w:val="215"/>
        </w:numPr>
        <w:rPr>
          <w:rFonts w:ascii="Arial" w:cs="Arial" w:eastAsia="Arial" w:hAnsi="Arial"/>
          <w:sz w:val="17"/>
          <w:szCs w:val="17"/>
          <w:color w:val="auto"/>
        </w:rPr>
      </w:pPr>
      <w:r>
        <w:rPr>
          <w:rFonts w:ascii="Arial" w:cs="Arial" w:eastAsia="Arial" w:hAnsi="Arial"/>
          <w:sz w:val="17"/>
          <w:szCs w:val="17"/>
          <w:color w:val="auto"/>
        </w:rPr>
        <w:t>Neither Holdings nor the Borrower will, nor will they permit any Restricted Subsidiary to, issue any preferred Equity Interests or any Disqualified Equity Interests, except (A) in the case of Holdings, preferred Equity Interests that are Qualified Equity Interests and (B) in the case of the Borrower or any Restricted Subsidiary, preferred Equity Interests issued to and held by Holdings, the Borrower or any Restricted Subsidiary.</w:t>
      </w:r>
    </w:p>
    <w:p>
      <w:pPr>
        <w:spacing w:after="0" w:line="137" w:lineRule="exact"/>
        <w:rPr>
          <w:sz w:val="20"/>
          <w:szCs w:val="20"/>
          <w:color w:val="auto"/>
        </w:rPr>
      </w:pPr>
    </w:p>
    <w:p>
      <w:pPr>
        <w:jc w:val="both"/>
        <w:ind w:firstLine="177"/>
        <w:spacing w:after="0" w:line="221" w:lineRule="auto"/>
        <w:rPr>
          <w:sz w:val="20"/>
          <w:szCs w:val="20"/>
          <w:color w:val="auto"/>
        </w:rPr>
      </w:pPr>
      <w:r>
        <w:rPr>
          <w:rFonts w:ascii="Arial" w:cs="Arial" w:eastAsia="Arial" w:hAnsi="Arial"/>
          <w:sz w:val="16"/>
          <w:szCs w:val="16"/>
          <w:color w:val="auto"/>
        </w:rPr>
        <w:t>For purposes of determining compliance with this Section 6.01, (A) Indebtedness (or portion thereof) need not be permitted solely by reference to one category of permitted Indebtedness (or any portion thereof) described in Sections 6.01(a)(i) through (a)(xxviii) (including, for the avoidance of doubt, with respect to the clauses set forth in the definition of “Incremental Cap”) but may be permitted in part under any combination thereof, (B) in the event that an item of Indebtedness (or any portion thereof) meets the criteria of one or more of the categories of permitted Indebtedness (or any portion thereof) described in Sections 6.01(a)(i) through (a)(xxvii) (including, for the avoidance of doubt, with respect to the clauses set forth in the definition of “Incremental Cap”), (I) the Borrower may, in its sole discretion, divide, classify or reclassify, or later divide, classify or reclassify (as if incurred at such later time), such item of Indebtedness (or any portion thereof) in any manner that complies with this Section 6.01 and at the time of incurrence, division, classification or reclassification will be entitled to only include the amount and type of such item of Indebtedness (or any portion thereof) in one of the above clauses (or any portion thereof) and such item of Indebtedness (or any portion thereof) shall be treated as having been incurred or existing pursuant to only such clause or clauses (or any portion thereof) without giving pro forma effect to such item (or any portion thereof) when calculating the amount of Indebtedness (or any portion thereof) that may be incurred, divided, classified or reclassified pursuant to any other clause (or any portion thereof) at such time (including, for the avoidance of doubt, with respect to the clauses set forth in the definition of “Incremental Cap”) and (II) if such item of Indebtedness could be incurred as of any time in reliance of any financial test (including the Net Total Leverage Ratio, the Net Secured Leverage Ratio, the Net First Lien Leverage Ratio, the Fixed Charge Coverage Ratio, the Financial Performance Covenant and/or Consolidated EBITDA) based on the most recently delivered financial statements pursuant to Section 5.01(a)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135</w:t>
      </w:r>
    </w:p>
    <w:p>
      <w:pPr>
        <w:sectPr>
          <w:pgSz w:w="11900" w:h="16838" w:orient="portrait"/>
          <w:cols w:equalWidth="0" w:num="1">
            <w:col w:w="11260"/>
          </w:cols>
          <w:pgMar w:left="320" w:top="1440" w:right="319" w:bottom="1440" w:gutter="0" w:footer="0" w:header="0"/>
        </w:sectPr>
      </w:pPr>
    </w:p>
    <w:bookmarkStart w:id="309" w:name="page310"/>
    <w:bookmarkEnd w:id="309"/>
    <w:p>
      <w:pPr>
        <w:spacing w:after="0" w:line="390" w:lineRule="exact"/>
        <w:rPr>
          <w:sz w:val="20"/>
          <w:szCs w:val="20"/>
          <w:color w:val="auto"/>
        </w:rPr>
      </w:pPr>
    </w:p>
    <w:p>
      <w:pPr>
        <w:jc w:val="both"/>
        <w:spacing w:after="0" w:line="235" w:lineRule="auto"/>
        <w:rPr>
          <w:sz w:val="20"/>
          <w:szCs w:val="20"/>
          <w:color w:val="auto"/>
        </w:rPr>
      </w:pPr>
      <w:r>
        <w:rPr>
          <w:rFonts w:ascii="Arial" w:cs="Arial" w:eastAsia="Arial" w:hAnsi="Arial"/>
          <w:sz w:val="15"/>
          <w:szCs w:val="15"/>
          <w:color w:val="auto"/>
        </w:rPr>
        <w:t xml:space="preserve">or (b), such Indebtedness shall be automatically reclassified (with retroactive effect) as having been incurred under the applicable provisions; </w:t>
      </w:r>
      <w:r>
        <w:rPr>
          <w:rFonts w:ascii="Arial" w:cs="Arial" w:eastAsia="Arial" w:hAnsi="Arial"/>
          <w:sz w:val="15"/>
          <w:szCs w:val="15"/>
          <w:i w:val="1"/>
          <w:iCs w:val="1"/>
          <w:color w:val="auto"/>
        </w:rPr>
        <w:t>provided</w:t>
      </w:r>
      <w:r>
        <w:rPr>
          <w:rFonts w:ascii="Arial" w:cs="Arial" w:eastAsia="Arial" w:hAnsi="Arial"/>
          <w:sz w:val="15"/>
          <w:szCs w:val="15"/>
          <w:color w:val="auto"/>
        </w:rPr>
        <w:t>, that all Indebtedness outstanding on the Closing Date under this Agreement shall at all times be deemed to have been incurred pursuant to clause (a)(i) of this Section 6.01, (C) in connection with (1) the incurrence of revolving Indebtedness under this Section 6.01 or (2) any commitment or other transaction relating to the incurrence of Indebtedness under this Section 6.01 and the granting of any Lien to secure such Indebtedness, the Borrower may designate the incurrence of such Indebtedness and the granting of such Lien therefor as having occurred on the date of first incurrence of such revolving Indebtedness or commitment or intention to consummate such transaction (such date, the “</w:t>
      </w:r>
      <w:r>
        <w:rPr>
          <w:rFonts w:ascii="Arial" w:cs="Arial" w:eastAsia="Arial" w:hAnsi="Arial"/>
          <w:sz w:val="15"/>
          <w:szCs w:val="15"/>
          <w:b w:val="1"/>
          <w:bCs w:val="1"/>
          <w:color w:val="auto"/>
        </w:rPr>
        <w:t>Deemed Date</w:t>
      </w:r>
      <w:r>
        <w:rPr>
          <w:rFonts w:ascii="Arial" w:cs="Arial" w:eastAsia="Arial" w:hAnsi="Arial"/>
          <w:sz w:val="15"/>
          <w:szCs w:val="15"/>
          <w:color w:val="auto"/>
        </w:rPr>
        <w:t>”), and any related subsequent actual incurrence and the granting of such Lien therefor will be deemed for purposes of this Section 6.01 and Section 6.02 of this Agreement to have been incurred or granted on such Deemed Date, including, without limitation, for purposes of calculating usage of any baskets hereunder (if applicable), the Net Total Leverage Ratio, the Net Secured Leverage Ratio, the Net First Lien Leverage Ratio, the Fixed Charge Coverage Ratio and Consolidated EBITDA (and all such calculations, without duplication, on the Deemed Date and on any subsequent date until such commitment is funded or terminated or such transaction is consummated or abandoned or such election is rescinded shall be made on a Pro Forma Basis after giving effect to the deemed incurrence, the granting of any Lien therefor and related transactions in connection therewith) and (D) for purposes of calculating the Fixed Charge Coverage Ratio, the Net Total Leverage Ratio, the Net Secured Leverage Ratio and the Net First Lien Leverage Ratio under Section 6.01(a)(viii) and (a)(xxii) on any date of incurrence of Indebtedness pursuant to such Section 6.01(a)(viii) and (a)(xxii), the net cash proceeds funded by financing sources upon the incurrence of such Indebtedness incurred at such time of calculation shall not be netted against the applicable amount of Consolidated Total Debt for purposes of such calculation of the Fixed Charge Coverage Ratio, the Net Total Leverage Ratio, the Net Secured Leverage Ratio or the Net First Lien Leverage Ratio, as applicable, at such time. In addition, with respect to any Indebtedness that was permitted to be incurred hereunder on the date of such incurrence, any Increased Amount of such Indebtedness shall also be permitted hereunder after the date of such incurrence.</w:t>
      </w:r>
    </w:p>
    <w:p>
      <w:pPr>
        <w:spacing w:after="0" w:line="136" w:lineRule="exact"/>
        <w:rPr>
          <w:sz w:val="20"/>
          <w:szCs w:val="20"/>
          <w:color w:val="auto"/>
        </w:rPr>
      </w:pPr>
    </w:p>
    <w:p>
      <w:pPr>
        <w:jc w:val="both"/>
        <w:ind w:right="20" w:firstLine="254"/>
        <w:spacing w:after="0" w:line="264" w:lineRule="auto"/>
        <w:rPr>
          <w:sz w:val="20"/>
          <w:szCs w:val="20"/>
          <w:color w:val="auto"/>
        </w:rPr>
      </w:pPr>
      <w:r>
        <w:rPr>
          <w:rFonts w:ascii="Arial" w:cs="Arial" w:eastAsia="Arial" w:hAnsi="Arial"/>
          <w:sz w:val="16"/>
          <w:szCs w:val="16"/>
          <w:color w:val="auto"/>
        </w:rPr>
        <w:t>This Agreement will not treat (1) unsecured Indebtedness as subordinated or junior to secured Indebtedness merely because it is unsecured or (2) senior Indebtedness as subordinated or junior to any other senior Indebtedness merely because it has a junior priority with respect to the same collateral.</w:t>
      </w:r>
    </w:p>
    <w:p>
      <w:pPr>
        <w:spacing w:after="0" w:line="116" w:lineRule="exact"/>
        <w:rPr>
          <w:sz w:val="20"/>
          <w:szCs w:val="20"/>
          <w:color w:val="auto"/>
        </w:rPr>
      </w:pPr>
    </w:p>
    <w:p>
      <w:pPr>
        <w:jc w:val="both"/>
        <w:ind w:firstLine="568"/>
        <w:spacing w:after="0" w:line="237" w:lineRule="auto"/>
        <w:rPr>
          <w:sz w:val="20"/>
          <w:szCs w:val="20"/>
          <w:color w:val="auto"/>
        </w:rPr>
      </w:pPr>
      <w:r>
        <w:rPr>
          <w:rFonts w:ascii="Arial" w:cs="Arial" w:eastAsia="Arial" w:hAnsi="Arial"/>
          <w:sz w:val="17"/>
          <w:szCs w:val="17"/>
          <w:color w:val="auto"/>
        </w:rPr>
        <w:t xml:space="preserve">Section 1.02. </w:t>
      </w:r>
      <w:r>
        <w:rPr>
          <w:rFonts w:ascii="Arial" w:cs="Arial" w:eastAsia="Arial" w:hAnsi="Arial"/>
          <w:sz w:val="17"/>
          <w:szCs w:val="17"/>
          <w:i w:val="1"/>
          <w:iCs w:val="1"/>
          <w:color w:val="auto"/>
        </w:rPr>
        <w:t>Liens.</w:t>
      </w:r>
      <w:r>
        <w:rPr>
          <w:rFonts w:ascii="Arial" w:cs="Arial" w:eastAsia="Arial" w:hAnsi="Arial"/>
          <w:sz w:val="17"/>
          <w:szCs w:val="17"/>
          <w:color w:val="auto"/>
        </w:rPr>
        <w:t xml:space="preserve"> Neither Holdings nor the Borrower will, nor will they permit any Restricted Subsidiary to, create, incur, assume or permit to exist any Lien on any property or asset now owned or hereafter acquired by it, except:</w:t>
      </w:r>
    </w:p>
    <w:p>
      <w:pPr>
        <w:spacing w:after="0" w:line="135" w:lineRule="exact"/>
        <w:rPr>
          <w:sz w:val="20"/>
          <w:szCs w:val="20"/>
          <w:color w:val="auto"/>
        </w:rPr>
      </w:pPr>
    </w:p>
    <w:p>
      <w:pPr>
        <w:ind w:left="1700" w:hanging="569"/>
        <w:spacing w:after="0"/>
        <w:tabs>
          <w:tab w:leader="none" w:pos="1700" w:val="left"/>
        </w:tabs>
        <w:numPr>
          <w:ilvl w:val="0"/>
          <w:numId w:val="216"/>
        </w:numPr>
        <w:rPr>
          <w:rFonts w:ascii="Arial" w:cs="Arial" w:eastAsia="Arial" w:hAnsi="Arial"/>
          <w:sz w:val="17"/>
          <w:szCs w:val="17"/>
          <w:color w:val="auto"/>
        </w:rPr>
      </w:pPr>
      <w:r>
        <w:rPr>
          <w:rFonts w:ascii="Arial" w:cs="Arial" w:eastAsia="Arial" w:hAnsi="Arial"/>
          <w:sz w:val="17"/>
          <w:szCs w:val="17"/>
          <w:color w:val="auto"/>
        </w:rPr>
        <w:t>Liens created under the Loan Documents;</w:t>
      </w:r>
    </w:p>
    <w:p>
      <w:pPr>
        <w:spacing w:after="0" w:line="159" w:lineRule="exact"/>
        <w:rPr>
          <w:rFonts w:ascii="Arial" w:cs="Arial" w:eastAsia="Arial" w:hAnsi="Arial"/>
          <w:sz w:val="17"/>
          <w:szCs w:val="17"/>
          <w:color w:val="auto"/>
        </w:rPr>
      </w:pPr>
    </w:p>
    <w:p>
      <w:pPr>
        <w:ind w:left="1700" w:hanging="569"/>
        <w:spacing w:after="0"/>
        <w:tabs>
          <w:tab w:leader="none" w:pos="1700" w:val="left"/>
        </w:tabs>
        <w:numPr>
          <w:ilvl w:val="0"/>
          <w:numId w:val="216"/>
        </w:numPr>
        <w:rPr>
          <w:rFonts w:ascii="Arial" w:cs="Arial" w:eastAsia="Arial" w:hAnsi="Arial"/>
          <w:sz w:val="17"/>
          <w:szCs w:val="17"/>
          <w:color w:val="auto"/>
        </w:rPr>
      </w:pPr>
      <w:r>
        <w:rPr>
          <w:rFonts w:ascii="Arial" w:cs="Arial" w:eastAsia="Arial" w:hAnsi="Arial"/>
          <w:sz w:val="17"/>
          <w:szCs w:val="17"/>
          <w:color w:val="auto"/>
        </w:rPr>
        <w:t>Permitted Encumbrances;</w:t>
      </w:r>
    </w:p>
    <w:p>
      <w:pPr>
        <w:spacing w:after="0" w:line="159" w:lineRule="exact"/>
        <w:rPr>
          <w:rFonts w:ascii="Arial" w:cs="Arial" w:eastAsia="Arial" w:hAnsi="Arial"/>
          <w:sz w:val="17"/>
          <w:szCs w:val="17"/>
          <w:color w:val="auto"/>
        </w:rPr>
      </w:pPr>
    </w:p>
    <w:p>
      <w:pPr>
        <w:jc w:val="both"/>
        <w:ind w:left="340" w:firstLine="791"/>
        <w:spacing w:after="0" w:line="252" w:lineRule="auto"/>
        <w:tabs>
          <w:tab w:leader="none" w:pos="1703" w:val="left"/>
        </w:tabs>
        <w:numPr>
          <w:ilvl w:val="0"/>
          <w:numId w:val="216"/>
        </w:numPr>
        <w:rPr>
          <w:rFonts w:ascii="Arial" w:cs="Arial" w:eastAsia="Arial" w:hAnsi="Arial"/>
          <w:sz w:val="15"/>
          <w:szCs w:val="15"/>
          <w:color w:val="auto"/>
        </w:rPr>
      </w:pPr>
      <w:r>
        <w:rPr>
          <w:rFonts w:ascii="Arial" w:cs="Arial" w:eastAsia="Arial" w:hAnsi="Arial"/>
          <w:sz w:val="15"/>
          <w:szCs w:val="15"/>
          <w:color w:val="auto"/>
        </w:rPr>
        <w:t xml:space="preserve">Liens existing on the Closing Date and set forth on Schedule 6.02 and any modifications, replacements, renewals or extensions thereof; </w:t>
      </w:r>
      <w:r>
        <w:rPr>
          <w:rFonts w:ascii="Arial" w:cs="Arial" w:eastAsia="Arial" w:hAnsi="Arial"/>
          <w:sz w:val="15"/>
          <w:szCs w:val="15"/>
          <w:i w:val="1"/>
          <w:iCs w:val="1"/>
          <w:color w:val="auto"/>
        </w:rPr>
        <w:t xml:space="preserve">provided </w:t>
      </w:r>
      <w:r>
        <w:rPr>
          <w:rFonts w:ascii="Arial" w:cs="Arial" w:eastAsia="Arial" w:hAnsi="Arial"/>
          <w:sz w:val="15"/>
          <w:szCs w:val="15"/>
          <w:color w:val="auto"/>
        </w:rPr>
        <w:t>that (A) such modified, replacement, renewal or extension Lien does not extend to any additional property other than (x) after-acquired property</w:t>
      </w:r>
      <w:r>
        <w:rPr>
          <w:rFonts w:ascii="Arial" w:cs="Arial" w:eastAsia="Arial" w:hAnsi="Arial"/>
          <w:sz w:val="15"/>
          <w:szCs w:val="15"/>
          <w:i w:val="1"/>
          <w:iCs w:val="1"/>
          <w:color w:val="auto"/>
        </w:rPr>
        <w:t xml:space="preserve"> </w:t>
      </w:r>
      <w:r>
        <w:rPr>
          <w:rFonts w:ascii="Arial" w:cs="Arial" w:eastAsia="Arial" w:hAnsi="Arial"/>
          <w:sz w:val="15"/>
          <w:szCs w:val="15"/>
          <w:color w:val="auto"/>
        </w:rPr>
        <w:t>that is affixed or incorporated into the property covered by such Lien and (y) proceeds and products thereof, and (B) the obligations secured or benefited by such modified, replacement, renewal or extension Lien are, if Indebtedness, permitted by Section 6.01 or, if not Indebtedness, not prohibited hereunder;</w:t>
      </w:r>
    </w:p>
    <w:p>
      <w:pPr>
        <w:spacing w:after="0" w:line="123" w:lineRule="exact"/>
        <w:rPr>
          <w:rFonts w:ascii="Arial" w:cs="Arial" w:eastAsia="Arial" w:hAnsi="Arial"/>
          <w:sz w:val="15"/>
          <w:szCs w:val="15"/>
          <w:color w:val="auto"/>
        </w:rPr>
      </w:pPr>
    </w:p>
    <w:p>
      <w:pPr>
        <w:ind w:left="1680" w:hanging="549"/>
        <w:spacing w:after="0"/>
        <w:tabs>
          <w:tab w:leader="none" w:pos="168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 xml:space="preserve">Liens securing Indebtedness permitted under Section 6.01(a)(v);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such Liens attach concurrently with or within 365</w:t>
      </w:r>
    </w:p>
    <w:p>
      <w:pPr>
        <w:ind w:left="340"/>
        <w:spacing w:after="0"/>
        <w:rPr>
          <w:rFonts w:ascii="Arial" w:cs="Arial" w:eastAsia="Arial" w:hAnsi="Arial"/>
          <w:sz w:val="16"/>
          <w:szCs w:val="16"/>
          <w:color w:val="auto"/>
        </w:rPr>
      </w:pPr>
      <w:r>
        <w:rPr>
          <w:rFonts w:ascii="Arial" w:cs="Arial" w:eastAsia="Arial" w:hAnsi="Arial"/>
          <w:sz w:val="17"/>
          <w:szCs w:val="17"/>
          <w:color w:val="auto"/>
        </w:rPr>
        <w:t>days after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136</w:t>
      </w:r>
    </w:p>
    <w:p>
      <w:pPr>
        <w:sectPr>
          <w:pgSz w:w="11900" w:h="16838" w:orient="portrait"/>
          <w:cols w:equalWidth="0" w:num="1">
            <w:col w:w="11260"/>
          </w:cols>
          <w:pgMar w:left="320" w:top="1440" w:right="319" w:bottom="1440" w:gutter="0" w:footer="0" w:header="0"/>
        </w:sectPr>
      </w:pPr>
    </w:p>
    <w:bookmarkStart w:id="310" w:name="page311"/>
    <w:bookmarkEnd w:id="310"/>
    <w:p>
      <w:pPr>
        <w:spacing w:after="0" w:line="390" w:lineRule="exact"/>
        <w:rPr>
          <w:sz w:val="20"/>
          <w:szCs w:val="20"/>
          <w:color w:val="auto"/>
        </w:rPr>
      </w:pPr>
    </w:p>
    <w:p>
      <w:pPr>
        <w:jc w:val="both"/>
        <w:spacing w:after="0" w:line="216" w:lineRule="auto"/>
        <w:rPr>
          <w:sz w:val="20"/>
          <w:szCs w:val="20"/>
          <w:color w:val="auto"/>
        </w:rPr>
      </w:pPr>
      <w:r>
        <w:rPr>
          <w:rFonts w:ascii="Arial" w:cs="Arial" w:eastAsia="Arial" w:hAnsi="Arial"/>
          <w:sz w:val="17"/>
          <w:szCs w:val="17"/>
          <w:color w:val="auto"/>
        </w:rPr>
        <w:t xml:space="preserve">acquisition, repair, replacement, construction or improvement (as applicable) of the property subject to such Liens, (B) such Liens do not at any time encumber any property other than the property financed by such Indebtedness except for accessions to such property and the proceeds and the products thereof and (C) with respect to Capital Lease Obligations, such Liens do not at any time extend to or cover any assets (except for accessions to or proceeds of such assets) other than the assets subject to such Capital Lease Obligations; </w:t>
      </w:r>
      <w:r>
        <w:rPr>
          <w:rFonts w:ascii="Arial" w:cs="Arial" w:eastAsia="Arial" w:hAnsi="Arial"/>
          <w:sz w:val="17"/>
          <w:szCs w:val="17"/>
          <w:i w:val="1"/>
          <w:iCs w:val="1"/>
          <w:color w:val="auto"/>
        </w:rPr>
        <w:t>provided, further</w:t>
      </w:r>
      <w:r>
        <w:rPr>
          <w:rFonts w:ascii="Arial" w:cs="Arial" w:eastAsia="Arial" w:hAnsi="Arial"/>
          <w:sz w:val="17"/>
          <w:szCs w:val="17"/>
          <w:color w:val="auto"/>
        </w:rPr>
        <w:t>, that individual financings of equipment provided by one lender may be cross collateralized to other financings of equipment provided by such lender;</w:t>
      </w:r>
    </w:p>
    <w:p>
      <w:pPr>
        <w:spacing w:after="0" w:line="138" w:lineRule="exact"/>
        <w:rPr>
          <w:sz w:val="20"/>
          <w:szCs w:val="20"/>
          <w:color w:val="auto"/>
        </w:rPr>
      </w:pPr>
    </w:p>
    <w:p>
      <w:pPr>
        <w:ind w:right="20" w:firstLine="791"/>
        <w:spacing w:after="0" w:line="237" w:lineRule="auto"/>
        <w:tabs>
          <w:tab w:leader="none" w:pos="1353" w:val="left"/>
        </w:tabs>
        <w:numPr>
          <w:ilvl w:val="0"/>
          <w:numId w:val="217"/>
        </w:numPr>
        <w:rPr>
          <w:rFonts w:ascii="Arial" w:cs="Arial" w:eastAsia="Arial" w:hAnsi="Arial"/>
          <w:sz w:val="17"/>
          <w:szCs w:val="17"/>
          <w:color w:val="auto"/>
        </w:rPr>
      </w:pPr>
      <w:r>
        <w:rPr>
          <w:rFonts w:ascii="Arial" w:cs="Arial" w:eastAsia="Arial" w:hAnsi="Arial"/>
          <w:sz w:val="17"/>
          <w:szCs w:val="17"/>
          <w:color w:val="auto"/>
        </w:rPr>
        <w:t>leases, licenses, subleases or sublicenses granted to others that do not (A) interfere in any material respect with the business of Holdings and its Restricted Subsidiaries, taken as a whole, or (B) secure any Indebtedness;</w:t>
      </w:r>
    </w:p>
    <w:p>
      <w:pPr>
        <w:spacing w:after="0" w:line="134" w:lineRule="exact"/>
        <w:rPr>
          <w:rFonts w:ascii="Arial" w:cs="Arial" w:eastAsia="Arial" w:hAnsi="Arial"/>
          <w:sz w:val="17"/>
          <w:szCs w:val="17"/>
          <w:color w:val="auto"/>
        </w:rPr>
      </w:pPr>
    </w:p>
    <w:p>
      <w:pPr>
        <w:ind w:right="20" w:firstLine="791"/>
        <w:spacing w:after="0" w:line="237" w:lineRule="auto"/>
        <w:tabs>
          <w:tab w:leader="none" w:pos="1354" w:val="left"/>
        </w:tabs>
        <w:numPr>
          <w:ilvl w:val="0"/>
          <w:numId w:val="217"/>
        </w:numPr>
        <w:rPr>
          <w:rFonts w:ascii="Arial" w:cs="Arial" w:eastAsia="Arial" w:hAnsi="Arial"/>
          <w:sz w:val="17"/>
          <w:szCs w:val="17"/>
          <w:color w:val="auto"/>
        </w:rPr>
      </w:pPr>
      <w:r>
        <w:rPr>
          <w:rFonts w:ascii="Arial" w:cs="Arial" w:eastAsia="Arial" w:hAnsi="Arial"/>
          <w:sz w:val="17"/>
          <w:szCs w:val="17"/>
          <w:color w:val="auto"/>
        </w:rPr>
        <w:t>Liens in favor of customs and revenue authorities arising as a matter of law to secure payment of customs duties in connection with the importation of goods;</w:t>
      </w:r>
    </w:p>
    <w:p>
      <w:pPr>
        <w:spacing w:after="0" w:line="134" w:lineRule="exact"/>
        <w:rPr>
          <w:rFonts w:ascii="Arial" w:cs="Arial" w:eastAsia="Arial" w:hAnsi="Arial"/>
          <w:sz w:val="17"/>
          <w:szCs w:val="17"/>
          <w:color w:val="auto"/>
        </w:rPr>
      </w:pPr>
    </w:p>
    <w:p>
      <w:pPr>
        <w:jc w:val="both"/>
        <w:ind w:firstLine="791"/>
        <w:spacing w:after="0" w:line="225" w:lineRule="auto"/>
        <w:tabs>
          <w:tab w:leader="none" w:pos="1354" w:val="left"/>
        </w:tabs>
        <w:numPr>
          <w:ilvl w:val="0"/>
          <w:numId w:val="217"/>
        </w:numPr>
        <w:rPr>
          <w:rFonts w:ascii="Arial" w:cs="Arial" w:eastAsia="Arial" w:hAnsi="Arial"/>
          <w:sz w:val="17"/>
          <w:szCs w:val="17"/>
          <w:color w:val="auto"/>
        </w:rPr>
      </w:pPr>
      <w:r>
        <w:rPr>
          <w:rFonts w:ascii="Arial" w:cs="Arial" w:eastAsia="Arial" w:hAnsi="Arial"/>
          <w:sz w:val="17"/>
          <w:szCs w:val="17"/>
          <w:color w:val="auto"/>
        </w:rPr>
        <w:t>Liens (A) of a collection bank arising under Section 4-210 of the Uniform Commercial Code on items in the course of collection and (B) in favor of a banking institution arising as a matter of law encumbering deposits (including the right of setoff) and that are within the general parameters customary in the banking industry;</w:t>
      </w:r>
    </w:p>
    <w:p>
      <w:pPr>
        <w:spacing w:after="0" w:line="136" w:lineRule="exact"/>
        <w:rPr>
          <w:rFonts w:ascii="Arial" w:cs="Arial" w:eastAsia="Arial" w:hAnsi="Arial"/>
          <w:sz w:val="17"/>
          <w:szCs w:val="17"/>
          <w:color w:val="auto"/>
        </w:rPr>
      </w:pPr>
    </w:p>
    <w:p>
      <w:pPr>
        <w:jc w:val="both"/>
        <w:ind w:firstLine="791"/>
        <w:spacing w:after="0" w:line="230" w:lineRule="auto"/>
        <w:tabs>
          <w:tab w:leader="none" w:pos="1355" w:val="left"/>
        </w:tabs>
        <w:numPr>
          <w:ilvl w:val="0"/>
          <w:numId w:val="217"/>
        </w:numPr>
        <w:rPr>
          <w:rFonts w:ascii="Arial" w:cs="Arial" w:eastAsia="Arial" w:hAnsi="Arial"/>
          <w:sz w:val="16"/>
          <w:szCs w:val="16"/>
          <w:color w:val="auto"/>
        </w:rPr>
      </w:pPr>
      <w:r>
        <w:rPr>
          <w:rFonts w:ascii="Arial" w:cs="Arial" w:eastAsia="Arial" w:hAnsi="Arial"/>
          <w:sz w:val="16"/>
          <w:szCs w:val="16"/>
          <w:color w:val="auto"/>
        </w:rPr>
        <w:t>Liens (A) on cash advances or escrow deposits in favor of the seller of any property to be acquired in an Investment permitted pursuant to Section 6.04 to be applied against the purchase price for such Investment or otherwise in connection with any escrow arrangements with respect to any such Investment or any Disposition permitted under Section 6.05 (including any letter of intent or purchase agreement with respect to such Investment or Disposition), or (B) consisting of an agreement to dispose of any property in a Disposition permitted under Section 6.05, in each case, solely to the extent such Investment or Disposition, as the case may be, would have been permitted on the date of the creation of such Lien;</w:t>
      </w:r>
    </w:p>
    <w:p>
      <w:pPr>
        <w:spacing w:after="0" w:line="136" w:lineRule="exact"/>
        <w:rPr>
          <w:rFonts w:ascii="Arial" w:cs="Arial" w:eastAsia="Arial" w:hAnsi="Arial"/>
          <w:sz w:val="16"/>
          <w:szCs w:val="16"/>
          <w:color w:val="auto"/>
        </w:rPr>
      </w:pPr>
    </w:p>
    <w:p>
      <w:pPr>
        <w:ind w:firstLine="791"/>
        <w:spacing w:after="0" w:line="297" w:lineRule="auto"/>
        <w:tabs>
          <w:tab w:leader="none" w:pos="1354" w:val="left"/>
        </w:tabs>
        <w:numPr>
          <w:ilvl w:val="0"/>
          <w:numId w:val="217"/>
        </w:numPr>
        <w:rPr>
          <w:rFonts w:ascii="Arial" w:cs="Arial" w:eastAsia="Arial" w:hAnsi="Arial"/>
          <w:sz w:val="15"/>
          <w:szCs w:val="15"/>
          <w:color w:val="auto"/>
        </w:rPr>
      </w:pPr>
      <w:r>
        <w:rPr>
          <w:rFonts w:ascii="Arial" w:cs="Arial" w:eastAsia="Arial" w:hAnsi="Arial"/>
          <w:sz w:val="15"/>
          <w:szCs w:val="15"/>
          <w:color w:val="auto"/>
        </w:rPr>
        <w:t>Liens on property of any Restricted Subsidiary that is neither a Loan Party nor a Regulated Subsidiary, which Liens secure Indebtedness of such Restricted Subsidiary permitted under Section 6.01 or other obligations of such Restricted Subsidiary that are not prohibited hereunder;</w:t>
      </w:r>
    </w:p>
    <w:p>
      <w:pPr>
        <w:spacing w:after="0" w:line="94" w:lineRule="exact"/>
        <w:rPr>
          <w:rFonts w:ascii="Arial" w:cs="Arial" w:eastAsia="Arial" w:hAnsi="Arial"/>
          <w:sz w:val="15"/>
          <w:szCs w:val="15"/>
          <w:color w:val="auto"/>
        </w:rPr>
      </w:pPr>
    </w:p>
    <w:p>
      <w:pPr>
        <w:ind w:right="20" w:firstLine="791"/>
        <w:spacing w:after="0" w:line="237" w:lineRule="auto"/>
        <w:tabs>
          <w:tab w:leader="none" w:pos="1353" w:val="left"/>
        </w:tabs>
        <w:numPr>
          <w:ilvl w:val="0"/>
          <w:numId w:val="217"/>
        </w:numPr>
        <w:rPr>
          <w:rFonts w:ascii="Arial" w:cs="Arial" w:eastAsia="Arial" w:hAnsi="Arial"/>
          <w:sz w:val="17"/>
          <w:szCs w:val="17"/>
          <w:color w:val="auto"/>
        </w:rPr>
      </w:pPr>
      <w:r>
        <w:rPr>
          <w:rFonts w:ascii="Arial" w:cs="Arial" w:eastAsia="Arial" w:hAnsi="Arial"/>
          <w:sz w:val="17"/>
          <w:szCs w:val="17"/>
          <w:color w:val="auto"/>
        </w:rPr>
        <w:t>Liens granted by a Restricted Subsidiary that is not a Loan Party in favor of any Loan Party and Liens granted by a Loan Party in favor of any other Loan Party;</w:t>
      </w:r>
    </w:p>
    <w:p>
      <w:pPr>
        <w:spacing w:after="0" w:line="134" w:lineRule="exact"/>
        <w:rPr>
          <w:rFonts w:ascii="Arial" w:cs="Arial" w:eastAsia="Arial" w:hAnsi="Arial"/>
          <w:sz w:val="17"/>
          <w:szCs w:val="17"/>
          <w:color w:val="auto"/>
        </w:rPr>
      </w:pPr>
    </w:p>
    <w:p>
      <w:pPr>
        <w:jc w:val="both"/>
        <w:ind w:right="20" w:firstLine="791"/>
        <w:spacing w:after="0" w:line="226" w:lineRule="auto"/>
        <w:tabs>
          <w:tab w:leader="none" w:pos="1354" w:val="left"/>
        </w:tabs>
        <w:numPr>
          <w:ilvl w:val="0"/>
          <w:numId w:val="217"/>
        </w:numPr>
        <w:rPr>
          <w:rFonts w:ascii="Arial" w:cs="Arial" w:eastAsia="Arial" w:hAnsi="Arial"/>
          <w:sz w:val="16"/>
          <w:szCs w:val="16"/>
          <w:color w:val="auto"/>
        </w:rPr>
      </w:pPr>
      <w:r>
        <w:rPr>
          <w:rFonts w:ascii="Arial" w:cs="Arial" w:eastAsia="Arial" w:hAnsi="Arial"/>
          <w:sz w:val="16"/>
          <w:szCs w:val="16"/>
          <w:color w:val="auto"/>
        </w:rPr>
        <w:t xml:space="preserve">Liens existing on property at the time of its acquisition or existing on the property of any Person at the time such Person becomes a Restricted Subsidiary, in each case after the Closing Date (other than Liens on the Equity Interests of any Person that becomes a Restricted Subsidiary);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(A) such Lien was not created in contemplation of or in connection with such acquisition or such Person becoming a Restricted Subsidiary, (B)</w:t>
      </w:r>
      <w:r>
        <w:rPr>
          <w:rFonts w:ascii="Arial" w:cs="Arial" w:eastAsia="Arial" w:hAnsi="Arial"/>
          <w:sz w:val="16"/>
          <w:szCs w:val="16"/>
          <w:i w:val="1"/>
          <w:iCs w:val="1"/>
          <w:color w:val="auto"/>
        </w:rPr>
        <w:t xml:space="preserve"> </w:t>
      </w:r>
      <w:r>
        <w:rPr>
          <w:rFonts w:ascii="Arial" w:cs="Arial" w:eastAsia="Arial" w:hAnsi="Arial"/>
          <w:sz w:val="16"/>
          <w:szCs w:val="16"/>
          <w:color w:val="auto"/>
        </w:rPr>
        <w:t>such Lien does not extend to or cover any other assets or property (other than the proceeds or products thereof and other than after-acquired property subject to a Lien securing Indebtedness and other obligations incurred prior to such time and which Indebtedness and other obligations are permitted hereunder and that require or include, pursuant to their terms at such time, a pledge of after-acquired property, it being understood that such requirement shall not be permitted to apply to any property to which such requirement would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40"/>
        <w:spacing w:after="0"/>
        <w:rPr>
          <w:sz w:val="20"/>
          <w:szCs w:val="20"/>
          <w:color w:val="auto"/>
        </w:rPr>
      </w:pPr>
      <w:r>
        <w:rPr>
          <w:rFonts w:ascii="Arial" w:cs="Arial" w:eastAsia="Arial" w:hAnsi="Arial"/>
          <w:sz w:val="17"/>
          <w:szCs w:val="17"/>
          <w:color w:val="auto"/>
        </w:rPr>
        <w:t>137</w:t>
      </w:r>
    </w:p>
    <w:p>
      <w:pPr>
        <w:sectPr>
          <w:pgSz w:w="11900" w:h="16838" w:orient="portrait"/>
          <w:cols w:equalWidth="0" w:num="1">
            <w:col w:w="10920"/>
          </w:cols>
          <w:pgMar w:left="660" w:top="1440" w:right="319" w:bottom="1440" w:gutter="0" w:footer="0" w:header="0"/>
        </w:sectPr>
      </w:pPr>
    </w:p>
    <w:bookmarkStart w:id="311" w:name="page312"/>
    <w:bookmarkEnd w:id="311"/>
    <w:p>
      <w:pPr>
        <w:spacing w:after="0" w:line="389" w:lineRule="exact"/>
        <w:rPr>
          <w:sz w:val="20"/>
          <w:szCs w:val="20"/>
          <w:color w:val="auto"/>
        </w:rPr>
      </w:pPr>
    </w:p>
    <w:p>
      <w:pPr>
        <w:spacing w:after="0"/>
        <w:rPr>
          <w:sz w:val="20"/>
          <w:szCs w:val="20"/>
          <w:color w:val="auto"/>
        </w:rPr>
      </w:pPr>
      <w:r>
        <w:rPr>
          <w:rFonts w:ascii="Arial" w:cs="Arial" w:eastAsia="Arial" w:hAnsi="Arial"/>
          <w:sz w:val="15"/>
          <w:szCs w:val="15"/>
          <w:color w:val="auto"/>
        </w:rPr>
        <w:t>have applied but for such acquisition), and (C) if the obligations secured thereby constitute Indebtedness, such Indebtedness is permitted under Section 6.01;</w:t>
      </w:r>
    </w:p>
    <w:p>
      <w:pPr>
        <w:spacing w:after="0" w:line="183" w:lineRule="exact"/>
        <w:rPr>
          <w:sz w:val="20"/>
          <w:szCs w:val="20"/>
          <w:color w:val="auto"/>
        </w:rPr>
      </w:pPr>
    </w:p>
    <w:p>
      <w:pPr>
        <w:jc w:val="both"/>
        <w:ind w:right="20" w:firstLine="791"/>
        <w:spacing w:after="0" w:line="225" w:lineRule="auto"/>
        <w:tabs>
          <w:tab w:leader="none" w:pos="1354" w:val="left"/>
        </w:tabs>
        <w:numPr>
          <w:ilvl w:val="0"/>
          <w:numId w:val="218"/>
        </w:numPr>
        <w:rPr>
          <w:rFonts w:ascii="Arial" w:cs="Arial" w:eastAsia="Arial" w:hAnsi="Arial"/>
          <w:sz w:val="17"/>
          <w:szCs w:val="17"/>
          <w:color w:val="auto"/>
        </w:rPr>
      </w:pPr>
      <w:r>
        <w:rPr>
          <w:rFonts w:ascii="Arial" w:cs="Arial" w:eastAsia="Arial" w:hAnsi="Arial"/>
          <w:sz w:val="17"/>
          <w:szCs w:val="17"/>
          <w:color w:val="auto"/>
        </w:rPr>
        <w:t>any interest or title of a lessor under leases (other than leases constituting Capital Lease Obligations) entered into by Holdings or any Restricted Subsidiaries in the ordinary course of business and Liens on the fee interest or any superior leasehold interest in property leased by Holdings or any Restricted Subsidiaries;</w:t>
      </w:r>
    </w:p>
    <w:p>
      <w:pPr>
        <w:spacing w:after="0" w:line="136" w:lineRule="exact"/>
        <w:rPr>
          <w:rFonts w:ascii="Arial" w:cs="Arial" w:eastAsia="Arial" w:hAnsi="Arial"/>
          <w:sz w:val="17"/>
          <w:szCs w:val="17"/>
          <w:color w:val="auto"/>
        </w:rPr>
      </w:pPr>
    </w:p>
    <w:p>
      <w:pPr>
        <w:ind w:firstLine="791"/>
        <w:spacing w:after="0" w:line="237" w:lineRule="auto"/>
        <w:tabs>
          <w:tab w:leader="none" w:pos="1355" w:val="left"/>
        </w:tabs>
        <w:numPr>
          <w:ilvl w:val="0"/>
          <w:numId w:val="218"/>
        </w:numPr>
        <w:rPr>
          <w:rFonts w:ascii="Arial" w:cs="Arial" w:eastAsia="Arial" w:hAnsi="Arial"/>
          <w:sz w:val="17"/>
          <w:szCs w:val="17"/>
          <w:color w:val="auto"/>
        </w:rPr>
      </w:pPr>
      <w:r>
        <w:rPr>
          <w:rFonts w:ascii="Arial" w:cs="Arial" w:eastAsia="Arial" w:hAnsi="Arial"/>
          <w:sz w:val="17"/>
          <w:szCs w:val="17"/>
          <w:color w:val="auto"/>
        </w:rPr>
        <w:t>Liens arising out of conditional sale, title retention, consignment or similar arrangements for sale of goods by Holdings or any Restricted Subsidiaries in the ordinary course of business;</w:t>
      </w:r>
    </w:p>
    <w:p>
      <w:pPr>
        <w:spacing w:after="0" w:line="134" w:lineRule="exact"/>
        <w:rPr>
          <w:rFonts w:ascii="Arial" w:cs="Arial" w:eastAsia="Arial" w:hAnsi="Arial"/>
          <w:sz w:val="17"/>
          <w:szCs w:val="17"/>
          <w:color w:val="auto"/>
        </w:rPr>
      </w:pPr>
    </w:p>
    <w:p>
      <w:pPr>
        <w:ind w:left="1360" w:hanging="569"/>
        <w:spacing w:after="0"/>
        <w:tabs>
          <w:tab w:leader="none" w:pos="1360" w:val="left"/>
        </w:tabs>
        <w:numPr>
          <w:ilvl w:val="0"/>
          <w:numId w:val="218"/>
        </w:numPr>
        <w:rPr>
          <w:rFonts w:ascii="Arial" w:cs="Arial" w:eastAsia="Arial" w:hAnsi="Arial"/>
          <w:sz w:val="15"/>
          <w:szCs w:val="15"/>
          <w:color w:val="auto"/>
        </w:rPr>
      </w:pPr>
      <w:r>
        <w:rPr>
          <w:rFonts w:ascii="Arial" w:cs="Arial" w:eastAsia="Arial" w:hAnsi="Arial"/>
          <w:sz w:val="15"/>
          <w:szCs w:val="15"/>
          <w:color w:val="auto"/>
        </w:rPr>
        <w:t>Liens deemed to exist in connection with Investments in repurchase agreements under clause (e) of the definition of the term “Permitted</w:t>
      </w:r>
    </w:p>
    <w:p>
      <w:pPr>
        <w:spacing w:after="0" w:line="7"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Investments”;</w:t>
      </w:r>
    </w:p>
    <w:p>
      <w:pPr>
        <w:spacing w:after="0" w:line="145" w:lineRule="exact"/>
        <w:rPr>
          <w:rFonts w:ascii="Arial" w:cs="Arial" w:eastAsia="Arial" w:hAnsi="Arial"/>
          <w:sz w:val="15"/>
          <w:szCs w:val="15"/>
          <w:color w:val="auto"/>
        </w:rPr>
      </w:pPr>
    </w:p>
    <w:p>
      <w:pPr>
        <w:jc w:val="both"/>
        <w:ind w:right="20" w:firstLine="791"/>
        <w:spacing w:after="0" w:line="214" w:lineRule="auto"/>
        <w:tabs>
          <w:tab w:leader="none" w:pos="1357" w:val="left"/>
        </w:tabs>
        <w:numPr>
          <w:ilvl w:val="0"/>
          <w:numId w:val="218"/>
        </w:numPr>
        <w:rPr>
          <w:rFonts w:ascii="Arial" w:cs="Arial" w:eastAsia="Arial" w:hAnsi="Arial"/>
          <w:sz w:val="17"/>
          <w:szCs w:val="17"/>
          <w:color w:val="auto"/>
        </w:rPr>
      </w:pPr>
      <w:r>
        <w:rPr>
          <w:rFonts w:ascii="Arial" w:cs="Arial" w:eastAsia="Arial" w:hAnsi="Arial"/>
          <w:sz w:val="17"/>
          <w:szCs w:val="17"/>
          <w:color w:val="auto"/>
        </w:rPr>
        <w:t xml:space="preserve">(x) Liens incurred in the ordinary course of business (A) encumbering reasonable customary initial deposits and margin deposits and similar Liens attaching to commodity trading accounts or other brokerage accounts, in each case not for speculative purposes or (B) in favor of clearing agencies, clearing firms, settlement banks and similar entities (acting in their capacities as such) involved in the clearance and settlement of transactions in, and custody of, financial assets and (y) Liens on cash collateral accounts securing obligations under Swap Agreements permitted by Section 6.07 and any cash and cash equivalents deposited therein at any such time;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aggregate amount of cash and cash equivalents subject to a Lien pursuant to this clause (xv)(y) shall at no time exceed $100,000,000;</w:t>
      </w:r>
    </w:p>
    <w:p>
      <w:pPr>
        <w:spacing w:after="0" w:line="138" w:lineRule="exact"/>
        <w:rPr>
          <w:rFonts w:ascii="Arial" w:cs="Arial" w:eastAsia="Arial" w:hAnsi="Arial"/>
          <w:sz w:val="17"/>
          <w:szCs w:val="17"/>
          <w:color w:val="auto"/>
        </w:rPr>
      </w:pPr>
    </w:p>
    <w:p>
      <w:pPr>
        <w:jc w:val="both"/>
        <w:ind w:right="20" w:firstLine="791"/>
        <w:spacing w:after="0" w:line="220" w:lineRule="auto"/>
        <w:tabs>
          <w:tab w:leader="none" w:pos="1358" w:val="left"/>
        </w:tabs>
        <w:numPr>
          <w:ilvl w:val="0"/>
          <w:numId w:val="218"/>
        </w:numPr>
        <w:rPr>
          <w:rFonts w:ascii="Arial" w:cs="Arial" w:eastAsia="Arial" w:hAnsi="Arial"/>
          <w:sz w:val="17"/>
          <w:szCs w:val="17"/>
          <w:color w:val="auto"/>
        </w:rPr>
      </w:pPr>
      <w:r>
        <w:rPr>
          <w:rFonts w:ascii="Arial" w:cs="Arial" w:eastAsia="Arial" w:hAnsi="Arial"/>
          <w:sz w:val="17"/>
          <w:szCs w:val="17"/>
          <w:color w:val="auto"/>
        </w:rPr>
        <w:t>Liens that are contractual rights of setoff (A) relating to the establishment of depository relations with banks not given in connection with the incurrence of Indebtedness, (B) relating to pooled deposit or sweep accounts to permit satisfaction of overdraft or similar obligations incurred in the ordinary course of business of Holdings and its Restricted Subsidiaries or (C) relating to purchase orders and other agreements entered into with customers of the Holdings or any Restricted Subsidiary in the ordinary course of business;</w:t>
      </w:r>
    </w:p>
    <w:p>
      <w:pPr>
        <w:spacing w:after="0" w:line="131" w:lineRule="exact"/>
        <w:rPr>
          <w:rFonts w:ascii="Arial" w:cs="Arial" w:eastAsia="Arial" w:hAnsi="Arial"/>
          <w:sz w:val="17"/>
          <w:szCs w:val="17"/>
          <w:color w:val="auto"/>
        </w:rPr>
      </w:pPr>
    </w:p>
    <w:p>
      <w:pPr>
        <w:ind w:left="1360" w:hanging="569"/>
        <w:spacing w:after="0"/>
        <w:tabs>
          <w:tab w:leader="none" w:pos="1360" w:val="left"/>
        </w:tabs>
        <w:numPr>
          <w:ilvl w:val="0"/>
          <w:numId w:val="218"/>
        </w:numPr>
        <w:rPr>
          <w:rFonts w:ascii="Arial" w:cs="Arial" w:eastAsia="Arial" w:hAnsi="Arial"/>
          <w:sz w:val="16"/>
          <w:szCs w:val="16"/>
          <w:color w:val="auto"/>
        </w:rPr>
      </w:pPr>
      <w:r>
        <w:rPr>
          <w:rFonts w:ascii="Arial" w:cs="Arial" w:eastAsia="Arial" w:hAnsi="Arial"/>
          <w:sz w:val="16"/>
          <w:szCs w:val="16"/>
          <w:color w:val="auto"/>
        </w:rPr>
        <w:t>ground leases in respect of real property on which facilities owned or leased by Holdings or any of the Restricted Subsidiaries are</w:t>
      </w:r>
    </w:p>
    <w:p>
      <w:pPr>
        <w:spacing w:after="0"/>
        <w:rPr>
          <w:rFonts w:ascii="Arial" w:cs="Arial" w:eastAsia="Arial" w:hAnsi="Arial"/>
          <w:sz w:val="16"/>
          <w:szCs w:val="16"/>
          <w:color w:val="auto"/>
        </w:rPr>
      </w:pPr>
      <w:r>
        <w:rPr>
          <w:rFonts w:ascii="Arial" w:cs="Arial" w:eastAsia="Arial" w:hAnsi="Arial"/>
          <w:sz w:val="17"/>
          <w:szCs w:val="17"/>
          <w:color w:val="auto"/>
        </w:rPr>
        <w:t>located;</w:t>
      </w:r>
    </w:p>
    <w:p>
      <w:pPr>
        <w:spacing w:after="0" w:line="145" w:lineRule="exact"/>
        <w:rPr>
          <w:rFonts w:ascii="Arial" w:cs="Arial" w:eastAsia="Arial" w:hAnsi="Arial"/>
          <w:sz w:val="16"/>
          <w:szCs w:val="16"/>
          <w:color w:val="auto"/>
        </w:rPr>
      </w:pPr>
    </w:p>
    <w:p>
      <w:pPr>
        <w:ind w:left="1360" w:hanging="569"/>
        <w:spacing w:after="0"/>
        <w:tabs>
          <w:tab w:leader="none" w:pos="1360" w:val="left"/>
        </w:tabs>
        <w:numPr>
          <w:ilvl w:val="0"/>
          <w:numId w:val="218"/>
        </w:numPr>
        <w:rPr>
          <w:rFonts w:ascii="Arial" w:cs="Arial" w:eastAsia="Arial" w:hAnsi="Arial"/>
          <w:sz w:val="17"/>
          <w:szCs w:val="17"/>
          <w:color w:val="auto"/>
        </w:rPr>
      </w:pPr>
      <w:r>
        <w:rPr>
          <w:rFonts w:ascii="Arial" w:cs="Arial" w:eastAsia="Arial" w:hAnsi="Arial"/>
          <w:sz w:val="17"/>
          <w:szCs w:val="17"/>
          <w:color w:val="auto"/>
        </w:rPr>
        <w:t>Liens on insurance policies and the proceeds thereof securing the financing of the premiums with respect thereto;</w:t>
      </w:r>
    </w:p>
    <w:p>
      <w:pPr>
        <w:spacing w:after="0" w:line="159" w:lineRule="exact"/>
        <w:rPr>
          <w:rFonts w:ascii="Arial" w:cs="Arial" w:eastAsia="Arial" w:hAnsi="Arial"/>
          <w:sz w:val="17"/>
          <w:szCs w:val="17"/>
          <w:color w:val="auto"/>
        </w:rPr>
      </w:pPr>
    </w:p>
    <w:p>
      <w:pPr>
        <w:jc w:val="both"/>
        <w:ind w:firstLine="791"/>
        <w:spacing w:after="0" w:line="297" w:lineRule="auto"/>
        <w:tabs>
          <w:tab w:leader="none" w:pos="1358" w:val="left"/>
        </w:tabs>
        <w:numPr>
          <w:ilvl w:val="0"/>
          <w:numId w:val="218"/>
        </w:numPr>
        <w:rPr>
          <w:rFonts w:ascii="Arial" w:cs="Arial" w:eastAsia="Arial" w:hAnsi="Arial"/>
          <w:sz w:val="15"/>
          <w:szCs w:val="15"/>
          <w:color w:val="auto"/>
        </w:rPr>
      </w:pPr>
      <w:r>
        <w:rPr>
          <w:rFonts w:ascii="Arial" w:cs="Arial" w:eastAsia="Arial" w:hAnsi="Arial"/>
          <w:sz w:val="15"/>
          <w:szCs w:val="15"/>
          <w:color w:val="auto"/>
        </w:rPr>
        <w:t>Liens on the Collateral securing Permitted First Priority Refinancing Debt, Permitted Junior Lien Refinancing Debt and, to the extent permitted to be secured pursuant to and subject to the requirements thereof, Indebtedness incurred under Sections 6.01(a)(viii), 6.01(a)(ix) and 6.01(a)(xxii);</w:t>
      </w:r>
    </w:p>
    <w:p>
      <w:pPr>
        <w:spacing w:after="0" w:line="94" w:lineRule="exact"/>
        <w:rPr>
          <w:rFonts w:ascii="Arial" w:cs="Arial" w:eastAsia="Arial" w:hAnsi="Arial"/>
          <w:sz w:val="15"/>
          <w:szCs w:val="15"/>
          <w:color w:val="auto"/>
        </w:rPr>
      </w:pPr>
    </w:p>
    <w:p>
      <w:pPr>
        <w:jc w:val="both"/>
        <w:ind w:right="20" w:firstLine="791"/>
        <w:spacing w:after="0" w:line="216" w:lineRule="auto"/>
        <w:tabs>
          <w:tab w:leader="none" w:pos="1357" w:val="left"/>
        </w:tabs>
        <w:numPr>
          <w:ilvl w:val="0"/>
          <w:numId w:val="218"/>
        </w:numPr>
        <w:rPr>
          <w:rFonts w:ascii="Arial" w:cs="Arial" w:eastAsia="Arial" w:hAnsi="Arial"/>
          <w:sz w:val="17"/>
          <w:szCs w:val="17"/>
          <w:color w:val="auto"/>
        </w:rPr>
      </w:pPr>
      <w:r>
        <w:rPr>
          <w:rFonts w:ascii="Arial" w:cs="Arial" w:eastAsia="Arial" w:hAnsi="Arial"/>
          <w:sz w:val="17"/>
          <w:szCs w:val="17"/>
          <w:color w:val="auto"/>
        </w:rPr>
        <w:t xml:space="preserve">Liens securing Trading Debt;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Liens securing Trading Debt shall be limited to the commodity, futures and other accounts (including deposit accounts and securities accounts) maintained by the relevant debtor with the financial institution providing such Trading Debt (or with any of its Affiliates or third parties acting as a securities, commodities, futures or other financial intermediary or performing a similar role on behalf of such financial institutions in connection with such Trading Debt) and all cash, securities, investment property (excluding any Equity Interests of the Borrower or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40"/>
        <w:spacing w:after="0"/>
        <w:rPr>
          <w:sz w:val="20"/>
          <w:szCs w:val="20"/>
          <w:color w:val="auto"/>
        </w:rPr>
      </w:pPr>
      <w:r>
        <w:rPr>
          <w:rFonts w:ascii="Arial" w:cs="Arial" w:eastAsia="Arial" w:hAnsi="Arial"/>
          <w:sz w:val="17"/>
          <w:szCs w:val="17"/>
          <w:color w:val="auto"/>
        </w:rPr>
        <w:t>138</w:t>
      </w:r>
    </w:p>
    <w:p>
      <w:pPr>
        <w:sectPr>
          <w:pgSz w:w="11900" w:h="16838" w:orient="portrait"/>
          <w:cols w:equalWidth="0" w:num="1">
            <w:col w:w="10920"/>
          </w:cols>
          <w:pgMar w:left="660" w:top="1440" w:right="319" w:bottom="1440" w:gutter="0" w:footer="0" w:header="0"/>
        </w:sectPr>
      </w:pPr>
    </w:p>
    <w:bookmarkStart w:id="312" w:name="page313"/>
    <w:bookmarkEnd w:id="312"/>
    <w:p>
      <w:pPr>
        <w:spacing w:after="0" w:line="389" w:lineRule="exact"/>
        <w:rPr>
          <w:sz w:val="20"/>
          <w:szCs w:val="20"/>
          <w:color w:val="auto"/>
        </w:rPr>
      </w:pPr>
    </w:p>
    <w:p>
      <w:pPr>
        <w:jc w:val="both"/>
        <w:ind w:left="340"/>
        <w:spacing w:after="0" w:line="216" w:lineRule="auto"/>
        <w:rPr>
          <w:sz w:val="20"/>
          <w:szCs w:val="20"/>
          <w:color w:val="auto"/>
        </w:rPr>
      </w:pPr>
      <w:r>
        <w:rPr>
          <w:rFonts w:ascii="Arial" w:cs="Arial" w:eastAsia="Arial" w:hAnsi="Arial"/>
          <w:sz w:val="17"/>
          <w:szCs w:val="17"/>
          <w:color w:val="auto"/>
        </w:rPr>
        <w:t>Subsidiaries), instruments, payment intangibles and other assets, including assets which would be customarily subject of a Repo Agreement or customarily acceptable as “borrowing base collateral” in secured warehouse financings, in or credited to such accounts or otherwise relating to, arising out of or evidencing such accounts or assets or held in the possession of, to the order or under the direction or control of, such financial institution (or any of its Affiliates acting on its behalf) or any exchange or clearing organization through which transactions on behalf of the relevant debtor are executed or cleared and all proceeds of any of the foregoing);</w:t>
      </w:r>
    </w:p>
    <w:p>
      <w:pPr>
        <w:spacing w:after="0" w:line="138" w:lineRule="exact"/>
        <w:rPr>
          <w:sz w:val="20"/>
          <w:szCs w:val="20"/>
          <w:color w:val="auto"/>
        </w:rPr>
      </w:pPr>
    </w:p>
    <w:p>
      <w:pPr>
        <w:jc w:val="both"/>
        <w:ind w:left="340" w:right="20" w:firstLine="791"/>
        <w:spacing w:after="0" w:line="220" w:lineRule="auto"/>
        <w:tabs>
          <w:tab w:leader="none" w:pos="1698" w:val="left"/>
        </w:tabs>
        <w:numPr>
          <w:ilvl w:val="0"/>
          <w:numId w:val="219"/>
        </w:numPr>
        <w:rPr>
          <w:rFonts w:ascii="Arial" w:cs="Arial" w:eastAsia="Arial" w:hAnsi="Arial"/>
          <w:sz w:val="17"/>
          <w:szCs w:val="17"/>
          <w:color w:val="auto"/>
        </w:rPr>
      </w:pPr>
      <w:r>
        <w:rPr>
          <w:rFonts w:ascii="Arial" w:cs="Arial" w:eastAsia="Arial" w:hAnsi="Arial"/>
          <w:sz w:val="17"/>
          <w:szCs w:val="17"/>
          <w:color w:val="auto"/>
        </w:rPr>
        <w:t xml:space="preserve">other Liens;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at the time of the granting of and after giving Pro Forma Effect to any such Lien and the obligations secured thereby (including the use of proceeds thereof) the aggregate face amount of obligations secured by Liens existing in reliance on this clause (xxi) shall not exceed the greater of $400,000,000 and 40% of Consolidated EBITDA calculated on a Pro Forma Basis for the most recently ended Test Period for which financial statements are available; and</w:t>
      </w:r>
    </w:p>
    <w:p>
      <w:pPr>
        <w:spacing w:after="0" w:line="135" w:lineRule="exact"/>
        <w:rPr>
          <w:rFonts w:ascii="Arial" w:cs="Arial" w:eastAsia="Arial" w:hAnsi="Arial"/>
          <w:sz w:val="17"/>
          <w:szCs w:val="17"/>
          <w:color w:val="auto"/>
        </w:rPr>
      </w:pPr>
    </w:p>
    <w:p>
      <w:pPr>
        <w:ind w:left="340" w:right="20" w:firstLine="791"/>
        <w:spacing w:after="0" w:line="237" w:lineRule="auto"/>
        <w:tabs>
          <w:tab w:leader="none" w:pos="1698" w:val="left"/>
        </w:tabs>
        <w:numPr>
          <w:ilvl w:val="0"/>
          <w:numId w:val="219"/>
        </w:numPr>
        <w:rPr>
          <w:rFonts w:ascii="Arial" w:cs="Arial" w:eastAsia="Arial" w:hAnsi="Arial"/>
          <w:sz w:val="17"/>
          <w:szCs w:val="17"/>
          <w:color w:val="auto"/>
        </w:rPr>
      </w:pPr>
      <w:r>
        <w:rPr>
          <w:rFonts w:ascii="Arial" w:cs="Arial" w:eastAsia="Arial" w:hAnsi="Arial"/>
          <w:sz w:val="17"/>
          <w:szCs w:val="17"/>
          <w:color w:val="auto"/>
        </w:rPr>
        <w:t xml:space="preserve">Liens securing Indebtedness permitted under Section 6.01(xxiv) and (xxv);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assets or property securing such Liens do not include any assets or property of any Loan Party or Regulated Subsidiary.</w:t>
      </w:r>
    </w:p>
    <w:p>
      <w:pPr>
        <w:spacing w:after="0" w:line="135" w:lineRule="exact"/>
        <w:rPr>
          <w:sz w:val="20"/>
          <w:szCs w:val="20"/>
          <w:color w:val="auto"/>
        </w:rPr>
      </w:pPr>
    </w:p>
    <w:p>
      <w:pPr>
        <w:jc w:val="both"/>
        <w:spacing w:after="0" w:line="219" w:lineRule="auto"/>
        <w:rPr>
          <w:sz w:val="20"/>
          <w:szCs w:val="20"/>
          <w:color w:val="auto"/>
        </w:rPr>
      </w:pPr>
      <w:r>
        <w:rPr>
          <w:rFonts w:ascii="Arial" w:cs="Arial" w:eastAsia="Arial" w:hAnsi="Arial"/>
          <w:sz w:val="16"/>
          <w:szCs w:val="16"/>
          <w:color w:val="auto"/>
        </w:rPr>
        <w:t>For purposes of determining compliance with this Section 6.02, (A) a Lien securing an item of Indebtedness (or portion thereof) need not be permitted solely by reference to one category of permitted Liens (or any portion thereof) described in Sections 6.02(i) through (xxii) but may be permitted in part under any combination thereof and (B) in the event that a Lien securing an item of Indebtedness (or any portion thereof) meets the criteria of one or more of the categories of permitted Liens (or any portion thereof) described in Sections 6.02(i) through (xxii), (I) the Borrower may, in its sole discretion, divide, classify or reclassify, or later divide, classify or reclassify (as if incurred at such later time), such Lien securing such item of Indebtedness (or any portion thereof) in any manner that complies with this Section 6.02 and at the time of incurrence, division, classification or reclassification will be entitled to only include the amount and type of such Lien or such item of Indebtedness secured by such Lien (or any portion thereof) in one of the above clauses (or any portion thereof) and such Lien securing such item of Indebtedness (or any portion thereof) will be treated as being incurred or existing pursuant to only such clause or clauses (or any portion thereof) without giving pro forma effect to such item (or any portion thereof) when calculating the amount of Liens or Indebtedness (or any portion thereof) that may be incurred, divided, classified or reclassified pursuant to any other clause (or any portion thereof) at such time and (II) if such Lien could be incurred as of any time in reliance of any financial test (including the Net Total Leverage Ratio, the Net Secured Leverage Ratio, the Net First Lien Leverage Ratio, the Fixed Charge Coverage Ratio, the Financial Performance Covenant and/or Consolidated EBITDA) based on the most recently delivered financial statements pursuant to Section 5.01(a) and/or (b), such Lien shall be automatically reclassified (with retroactive effect) as having been incurred under the applicable provisions. In addition, with respect to any Indebtedness that is designated to be incurred on any Deemed Date pursuant to clause (C) of the penultimate paragraph of Section 6.01, any Lien that does or that shall secure such Indebtedness may also be designated by the Borrower or any Subsidiary to be incurred on such Deemed Date and, in such event, any related subsequent actual incurrence of such Lien shall be deemed for purposes of Section 6.01 and 6.02 of this Agreement, without duplication, to be incurred on such prior date (and on any subsequent date until such commitment is funded or terminated or such election is rescinded or until such time as the related Indebtedness is no longer deemed outstanding pursuant to clause (C) of the penultimate paragraph of Section 6.01), including for purposes of calculating usage of any permitted Lien under Section 6.02. In addition, with respect to any Lien securing Indebtedness that was permitted to secure such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139</w:t>
      </w:r>
    </w:p>
    <w:p>
      <w:pPr>
        <w:sectPr>
          <w:pgSz w:w="11900" w:h="16838" w:orient="portrait"/>
          <w:cols w:equalWidth="0" w:num="1">
            <w:col w:w="11260"/>
          </w:cols>
          <w:pgMar w:left="320" w:top="1440" w:right="319" w:bottom="1440" w:gutter="0" w:footer="0" w:header="0"/>
        </w:sectPr>
      </w:pPr>
    </w:p>
    <w:bookmarkStart w:id="313" w:name="page314"/>
    <w:bookmarkEnd w:id="313"/>
    <w:p>
      <w:pPr>
        <w:spacing w:after="0" w:line="390" w:lineRule="exact"/>
        <w:rPr>
          <w:sz w:val="20"/>
          <w:szCs w:val="20"/>
          <w:color w:val="auto"/>
        </w:rPr>
      </w:pPr>
    </w:p>
    <w:p>
      <w:pPr>
        <w:spacing w:after="0"/>
        <w:rPr>
          <w:sz w:val="20"/>
          <w:szCs w:val="20"/>
          <w:color w:val="auto"/>
        </w:rPr>
      </w:pPr>
      <w:r>
        <w:rPr>
          <w:rFonts w:ascii="Arial" w:cs="Arial" w:eastAsia="Arial" w:hAnsi="Arial"/>
          <w:sz w:val="17"/>
          <w:szCs w:val="17"/>
          <w:color w:val="auto"/>
        </w:rPr>
        <w:t>at the time of the incurrence of such Indebtedness, such Lien shall also be permitted to secure any Increased Amount of such Indebtedness.</w:t>
      </w:r>
    </w:p>
    <w:p>
      <w:pPr>
        <w:spacing w:after="0" w:line="160" w:lineRule="exact"/>
        <w:rPr>
          <w:sz w:val="20"/>
          <w:szCs w:val="20"/>
          <w:color w:val="auto"/>
        </w:rPr>
      </w:pPr>
    </w:p>
    <w:p>
      <w:pPr>
        <w:ind w:left="560"/>
        <w:spacing w:after="0"/>
        <w:tabs>
          <w:tab w:leader="none" w:pos="1680" w:val="left"/>
        </w:tabs>
        <w:rPr>
          <w:sz w:val="20"/>
          <w:szCs w:val="20"/>
          <w:color w:val="auto"/>
        </w:rPr>
      </w:pPr>
      <w:r>
        <w:rPr>
          <w:rFonts w:ascii="Arial" w:cs="Arial" w:eastAsia="Arial" w:hAnsi="Arial"/>
          <w:sz w:val="17"/>
          <w:szCs w:val="17"/>
          <w:color w:val="auto"/>
        </w:rPr>
        <w:t>Section 1.03.</w:t>
      </w:r>
      <w:r>
        <w:rPr>
          <w:sz w:val="20"/>
          <w:szCs w:val="20"/>
          <w:color w:val="auto"/>
        </w:rPr>
        <w:tab/>
      </w:r>
      <w:r>
        <w:rPr>
          <w:rFonts w:ascii="Arial" w:cs="Arial" w:eastAsia="Arial" w:hAnsi="Arial"/>
          <w:sz w:val="15"/>
          <w:szCs w:val="15"/>
          <w:i w:val="1"/>
          <w:iCs w:val="1"/>
          <w:color w:val="auto"/>
        </w:rPr>
        <w:t>Fundamental Changes</w:t>
      </w:r>
      <w:r>
        <w:rPr>
          <w:rFonts w:ascii="Arial" w:cs="Arial" w:eastAsia="Arial" w:hAnsi="Arial"/>
          <w:sz w:val="15"/>
          <w:szCs w:val="15"/>
          <w:color w:val="auto"/>
        </w:rPr>
        <w:t>.</w:t>
      </w:r>
    </w:p>
    <w:p>
      <w:pPr>
        <w:spacing w:after="0" w:line="160" w:lineRule="exact"/>
        <w:rPr>
          <w:sz w:val="20"/>
          <w:szCs w:val="20"/>
          <w:color w:val="auto"/>
        </w:rPr>
      </w:pPr>
    </w:p>
    <w:p>
      <w:pPr>
        <w:ind w:firstLine="563"/>
        <w:spacing w:after="0" w:line="237" w:lineRule="auto"/>
        <w:tabs>
          <w:tab w:leader="none" w:pos="1128" w:val="left"/>
        </w:tabs>
        <w:numPr>
          <w:ilvl w:val="0"/>
          <w:numId w:val="220"/>
        </w:numPr>
        <w:rPr>
          <w:rFonts w:ascii="Arial" w:cs="Arial" w:eastAsia="Arial" w:hAnsi="Arial"/>
          <w:sz w:val="17"/>
          <w:szCs w:val="17"/>
          <w:color w:val="auto"/>
        </w:rPr>
      </w:pPr>
      <w:r>
        <w:rPr>
          <w:rFonts w:ascii="Arial" w:cs="Arial" w:eastAsia="Arial" w:hAnsi="Arial"/>
          <w:sz w:val="17"/>
          <w:szCs w:val="17"/>
          <w:color w:val="auto"/>
        </w:rPr>
        <w:t>Neither Holdings nor the Borrower will, nor will they permit any other Restricted Subsidiary to, merge into or consolidate with any other Person, or permit any other Person to merge into or consolidate with it, or liquidate or dissolve, except that:</w:t>
      </w:r>
    </w:p>
    <w:p>
      <w:pPr>
        <w:spacing w:after="0" w:line="134" w:lineRule="exact"/>
        <w:rPr>
          <w:rFonts w:ascii="Arial" w:cs="Arial" w:eastAsia="Arial" w:hAnsi="Arial"/>
          <w:sz w:val="17"/>
          <w:szCs w:val="17"/>
          <w:color w:val="auto"/>
        </w:rPr>
      </w:pPr>
    </w:p>
    <w:p>
      <w:pPr>
        <w:jc w:val="both"/>
        <w:ind w:left="340" w:firstLine="791"/>
        <w:spacing w:after="0" w:line="230" w:lineRule="auto"/>
        <w:tabs>
          <w:tab w:leader="none" w:pos="1702" w:val="left"/>
        </w:tabs>
        <w:numPr>
          <w:ilvl w:val="1"/>
          <w:numId w:val="220"/>
        </w:numPr>
        <w:rPr>
          <w:rFonts w:ascii="Arial" w:cs="Arial" w:eastAsia="Arial" w:hAnsi="Arial"/>
          <w:sz w:val="16"/>
          <w:szCs w:val="16"/>
          <w:color w:val="auto"/>
        </w:rPr>
      </w:pPr>
      <w:r>
        <w:rPr>
          <w:rFonts w:ascii="Arial" w:cs="Arial" w:eastAsia="Arial" w:hAnsi="Arial"/>
          <w:sz w:val="16"/>
          <w:szCs w:val="16"/>
          <w:color w:val="auto"/>
        </w:rPr>
        <w:t xml:space="preserve">any Restricted Subsidiary (other than the Borrower) may merge with (A) the Borrower;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Borrower shall be the continuing or surviving Person, or (B) in the case of any Restricted Subsidiary, any one or more other Restricted Subsidiaries;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when any Subsidiary Loan Party is merging with another Restricted Subsidiary (x) the continuing or surviving Person shall be a Subsidiary Loan Party or shall concurrently become a Subsidiary Loan Party or (y) if the continuing or surviving Person is not a Subsidiary Loan Party or will not concurrently become a Subsidiary Loan Party, the acquisition of such Subsidiary Loan Party by such surviving Restricted Subsidiary is otherwise permitted under Section 6.04;</w:t>
      </w:r>
    </w:p>
    <w:p>
      <w:pPr>
        <w:spacing w:after="0" w:line="136" w:lineRule="exact"/>
        <w:rPr>
          <w:rFonts w:ascii="Arial" w:cs="Arial" w:eastAsia="Arial" w:hAnsi="Arial"/>
          <w:sz w:val="16"/>
          <w:szCs w:val="16"/>
          <w:color w:val="auto"/>
        </w:rPr>
      </w:pPr>
    </w:p>
    <w:p>
      <w:pPr>
        <w:jc w:val="both"/>
        <w:ind w:left="340" w:firstLine="791"/>
        <w:spacing w:after="0"/>
        <w:tabs>
          <w:tab w:leader="none" w:pos="1702" w:val="left"/>
        </w:tabs>
        <w:numPr>
          <w:ilvl w:val="1"/>
          <w:numId w:val="220"/>
        </w:numPr>
        <w:rPr>
          <w:rFonts w:ascii="Arial" w:cs="Arial" w:eastAsia="Arial" w:hAnsi="Arial"/>
          <w:sz w:val="16"/>
          <w:szCs w:val="16"/>
          <w:color w:val="auto"/>
        </w:rPr>
      </w:pPr>
      <w:r>
        <w:rPr>
          <w:rFonts w:ascii="Arial" w:cs="Arial" w:eastAsia="Arial" w:hAnsi="Arial"/>
          <w:sz w:val="16"/>
          <w:szCs w:val="16"/>
          <w:color w:val="auto"/>
        </w:rPr>
        <w:t>(A) any Restricted Subsidiary that is not a Loan Party may merge or consolidate with or into any other Restricted Subsidiary that is not a Loan Party and (B) any Restricted Subsidiary may liquidate or dissolve or change its legal form if Holdings determines in good faith that such action is in the best interests of Holdings, the Borrower and its Restricted Subsidiaries and is not materially disadvantageous to the Lenders;</w:t>
      </w:r>
    </w:p>
    <w:p>
      <w:pPr>
        <w:spacing w:after="0" w:line="134" w:lineRule="exact"/>
        <w:rPr>
          <w:rFonts w:ascii="Arial" w:cs="Arial" w:eastAsia="Arial" w:hAnsi="Arial"/>
          <w:sz w:val="16"/>
          <w:szCs w:val="16"/>
          <w:color w:val="auto"/>
        </w:rPr>
      </w:pPr>
    </w:p>
    <w:p>
      <w:pPr>
        <w:jc w:val="both"/>
        <w:ind w:left="340" w:firstLine="791"/>
        <w:spacing w:after="0" w:line="226" w:lineRule="auto"/>
        <w:tabs>
          <w:tab w:leader="none" w:pos="1703" w:val="left"/>
        </w:tabs>
        <w:numPr>
          <w:ilvl w:val="1"/>
          <w:numId w:val="220"/>
        </w:numPr>
        <w:rPr>
          <w:rFonts w:ascii="Arial" w:cs="Arial" w:eastAsia="Arial" w:hAnsi="Arial"/>
          <w:sz w:val="16"/>
          <w:szCs w:val="16"/>
          <w:color w:val="auto"/>
        </w:rPr>
      </w:pPr>
      <w:r>
        <w:rPr>
          <w:rFonts w:ascii="Arial" w:cs="Arial" w:eastAsia="Arial" w:hAnsi="Arial"/>
          <w:sz w:val="16"/>
          <w:szCs w:val="16"/>
          <w:color w:val="auto"/>
        </w:rPr>
        <w:t xml:space="preserve">any Restricted Subsidiary (other than an Intermediate Parent or the Borrower) may make a Disposition of all or substantially all of its assets (upon voluntary liquidation or otherwise) to one or more other Restricted Subsidiaries;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transferor in such a transaction is a Loan Party, then (A) the transferees must be Loan Parties or (B) if a transferee is not a Loan Party, then (1) to the extent such transfer constitutes an Investment, such Investment must be a permitted Investment in a Restricted Subsidiary that is not a Loan Party in accordance with Section 6.04 or (2) to the extent such transfer constitutes a Disposition from a Loan Party to a Restricted Subsidiary that is not a Loan Party, such Disposition is for not less than fair value and any promissory note or other non-cash consideration received in respect thereof is a permitted Investment in a Restricted Subsidiary that is not a Loan Party in accordance with Section 6.04, or to the extent for less than fair value, the shortfall is permitted as an Investment under Section 6.04;</w:t>
      </w:r>
    </w:p>
    <w:p>
      <w:pPr>
        <w:spacing w:after="0" w:line="136" w:lineRule="exact"/>
        <w:rPr>
          <w:rFonts w:ascii="Arial" w:cs="Arial" w:eastAsia="Arial" w:hAnsi="Arial"/>
          <w:sz w:val="16"/>
          <w:szCs w:val="16"/>
          <w:color w:val="auto"/>
        </w:rPr>
      </w:pPr>
    </w:p>
    <w:p>
      <w:pPr>
        <w:jc w:val="both"/>
        <w:ind w:left="340" w:firstLine="791"/>
        <w:spacing w:after="0" w:line="211" w:lineRule="auto"/>
        <w:tabs>
          <w:tab w:leader="none" w:pos="1694" w:val="left"/>
        </w:tabs>
        <w:numPr>
          <w:ilvl w:val="1"/>
          <w:numId w:val="220"/>
        </w:numPr>
        <w:rPr>
          <w:rFonts w:ascii="Arial" w:cs="Arial" w:eastAsia="Arial" w:hAnsi="Arial"/>
          <w:sz w:val="17"/>
          <w:szCs w:val="17"/>
          <w:color w:val="auto"/>
        </w:rPr>
      </w:pPr>
      <w:r>
        <w:rPr>
          <w:rFonts w:ascii="Arial" w:cs="Arial" w:eastAsia="Arial" w:hAnsi="Arial"/>
          <w:sz w:val="17"/>
          <w:szCs w:val="17"/>
          <w:color w:val="auto"/>
        </w:rPr>
        <w:t xml:space="preserve">the Borrower may merge or consolidate with any other Person;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the Borrower shall be the continuing or surviving Person or (B) if the Person formed by or surviving any such merger or consolidation is not the Borrower (any such Person, the “</w:t>
      </w:r>
      <w:r>
        <w:rPr>
          <w:rFonts w:ascii="Arial" w:cs="Arial" w:eastAsia="Arial" w:hAnsi="Arial"/>
          <w:sz w:val="17"/>
          <w:szCs w:val="17"/>
          <w:b w:val="1"/>
          <w:bCs w:val="1"/>
          <w:color w:val="auto"/>
        </w:rPr>
        <w:t>Successor Borrower</w:t>
      </w:r>
      <w:r>
        <w:rPr>
          <w:rFonts w:ascii="Arial" w:cs="Arial" w:eastAsia="Arial" w:hAnsi="Arial"/>
          <w:sz w:val="17"/>
          <w:szCs w:val="17"/>
          <w:color w:val="auto"/>
        </w:rPr>
        <w:t>”), (w) the Successor Borrower shall be an entity organized or existing under the laws of the United States, any State thereof or the District of Columbia, (x) the Successor Borrower shall expressly assume all the obligations of the Borrower under this Agreement and the other Loan Documents to which the Borrower is a party pursuant to a supplement hereto or thereto in form and substance reasonably satisfactory to the Administrative Agent, (y) each Loan Party other than the Borrower, unless it is the other party to such merger or consolidation, shall have reaffirmed, pursuant to an agreement in form and substance reasonably satisfactory to the Administrative Agent, that its Guarantee of, and grant of any Liens as security for, the Secured Obligations shall apply to the Successor Borrower’s obligations under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140</w:t>
      </w:r>
    </w:p>
    <w:p>
      <w:pPr>
        <w:sectPr>
          <w:pgSz w:w="11900" w:h="16838" w:orient="portrait"/>
          <w:cols w:equalWidth="0" w:num="1">
            <w:col w:w="11260"/>
          </w:cols>
          <w:pgMar w:left="320" w:top="1440" w:right="319" w:bottom="1440" w:gutter="0" w:footer="0" w:header="0"/>
        </w:sectPr>
      </w:pPr>
    </w:p>
    <w:bookmarkStart w:id="314" w:name="page315"/>
    <w:bookmarkEnd w:id="314"/>
    <w:p>
      <w:pPr>
        <w:spacing w:after="0" w:line="390" w:lineRule="exact"/>
        <w:rPr>
          <w:sz w:val="20"/>
          <w:szCs w:val="20"/>
          <w:color w:val="auto"/>
        </w:rPr>
      </w:pPr>
    </w:p>
    <w:p>
      <w:pPr>
        <w:jc w:val="both"/>
        <w:spacing w:after="0" w:line="226" w:lineRule="auto"/>
        <w:rPr>
          <w:sz w:val="20"/>
          <w:szCs w:val="20"/>
          <w:color w:val="auto"/>
        </w:rPr>
      </w:pPr>
      <w:r>
        <w:rPr>
          <w:rFonts w:ascii="Arial" w:cs="Arial" w:eastAsia="Arial" w:hAnsi="Arial"/>
          <w:sz w:val="16"/>
          <w:szCs w:val="16"/>
          <w:color w:val="auto"/>
        </w:rPr>
        <w:t xml:space="preserve">Agreement and (z) the Borrower shall have delivered to the Administrative Agent a certificate of a Responsible Officer and an opinion of counsel, each stating that such merger or consolidation complies with this Agreement;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(1) if such Person is not a Loan Party, no Default exists after giving effect to such merger or consolidation and (2) if the foregoing requirements are satisfied, the Successor Borrower will succeed to, and be substituted for, the Borrower under this Agreement and the other Loan Documents;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the Borrower agrees to use commercially reasonable efforts to provide any documentation and other information about the Successor Borrower as shall have been reasonably requested in writing by any Lender through the Administrative Agent that such Lender shall have reasonably determined is required by regulatory authorities under applicable “know your customer” and anti-money laundering rules and regulations, including without limitation the USA Patriot Act;</w:t>
      </w:r>
    </w:p>
    <w:p>
      <w:pPr>
        <w:spacing w:after="0" w:line="137" w:lineRule="exact"/>
        <w:rPr>
          <w:sz w:val="20"/>
          <w:szCs w:val="20"/>
          <w:color w:val="auto"/>
        </w:rPr>
      </w:pPr>
    </w:p>
    <w:p>
      <w:pPr>
        <w:jc w:val="both"/>
        <w:ind w:firstLine="791"/>
        <w:spacing w:after="0" w:line="220" w:lineRule="auto"/>
        <w:tabs>
          <w:tab w:leader="none" w:pos="1353" w:val="left"/>
        </w:tabs>
        <w:numPr>
          <w:ilvl w:val="0"/>
          <w:numId w:val="221"/>
        </w:numPr>
        <w:rPr>
          <w:rFonts w:ascii="Arial" w:cs="Arial" w:eastAsia="Arial" w:hAnsi="Arial"/>
          <w:sz w:val="16"/>
          <w:szCs w:val="16"/>
          <w:color w:val="auto"/>
        </w:rPr>
      </w:pPr>
      <w:r>
        <w:rPr>
          <w:rFonts w:ascii="Arial" w:cs="Arial" w:eastAsia="Arial" w:hAnsi="Arial"/>
          <w:sz w:val="16"/>
          <w:szCs w:val="16"/>
          <w:color w:val="auto"/>
        </w:rPr>
        <w:t xml:space="preserve">Holdings may merge or consolidate with any other Person, so long as no Event of Default exists after giving effect to such merger or consolidation;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Holdings shall be the continuing or surviving Person or (B) if the Person formed by or surviving any such merger or consolidation is not Holdings or is a Person into which Holdings has been liquidated (any such Person, the “</w:t>
      </w:r>
      <w:r>
        <w:rPr>
          <w:rFonts w:ascii="Arial" w:cs="Arial" w:eastAsia="Arial" w:hAnsi="Arial"/>
          <w:sz w:val="16"/>
          <w:szCs w:val="16"/>
          <w:b w:val="1"/>
          <w:bCs w:val="1"/>
          <w:color w:val="auto"/>
        </w:rPr>
        <w:t>Successor Holdings</w:t>
      </w:r>
      <w:r>
        <w:rPr>
          <w:rFonts w:ascii="Arial" w:cs="Arial" w:eastAsia="Arial" w:hAnsi="Arial"/>
          <w:sz w:val="16"/>
          <w:szCs w:val="16"/>
          <w:color w:val="auto"/>
        </w:rPr>
        <w:t xml:space="preserve">”), (w) the Successor Holdings shall expressly assume all the obligations of Holdings under this Agreement and the other Loan Documents to which Holdings is a party pursuant to a supplement hereto or thereto in form and substance reasonably satisfactory to the Administrative Agent, (x) each Loan Party other than Holdings, unless it is the other party to such merger or consolidation, shall have reaffirmed, pursuant to an agreement in form and substance reasonably satisfactory to the Administrative Agent, that its Guarantee of and grant of any Liens as security for the Secured Obligations shall apply to the Successor Holdings’ obligations under this Agreement, (y) the Successor Holdings shall, immediately following such merger or consolidation, directly or indirectly own all Subsidiaries owned by Holdings immediately prior to such merger and (z) Holdings shall have delivered to the Administrative Agent a certificate of a Responsible Officer and an opinion of counsel, each stating that such merger or consolidation complies with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if the foregoing requirements are satisfied, the Successor Holdings will succeed to, and be substituted for, Holdings under this Agreement and the other Loan Documents; </w:t>
      </w:r>
      <w:r>
        <w:rPr>
          <w:rFonts w:ascii="Arial" w:cs="Arial" w:eastAsia="Arial" w:hAnsi="Arial"/>
          <w:sz w:val="16"/>
          <w:szCs w:val="16"/>
          <w:i w:val="1"/>
          <w:iCs w:val="1"/>
          <w:color w:val="auto"/>
        </w:rPr>
        <w:t xml:space="preserve">provided, further, </w:t>
      </w:r>
      <w:r>
        <w:rPr>
          <w:rFonts w:ascii="Arial" w:cs="Arial" w:eastAsia="Arial" w:hAnsi="Arial"/>
          <w:sz w:val="16"/>
          <w:szCs w:val="16"/>
          <w:color w:val="auto"/>
        </w:rPr>
        <w:t>that the Borrower agrees to use commercially reasonable efforts to provide any documentation and other information about the Successor</w:t>
      </w:r>
      <w:r>
        <w:rPr>
          <w:rFonts w:ascii="Arial" w:cs="Arial" w:eastAsia="Arial" w:hAnsi="Arial"/>
          <w:sz w:val="16"/>
          <w:szCs w:val="16"/>
          <w:i w:val="1"/>
          <w:iCs w:val="1"/>
          <w:color w:val="auto"/>
        </w:rPr>
        <w:t xml:space="preserve"> </w:t>
      </w:r>
      <w:r>
        <w:rPr>
          <w:rFonts w:ascii="Arial" w:cs="Arial" w:eastAsia="Arial" w:hAnsi="Arial"/>
          <w:sz w:val="16"/>
          <w:szCs w:val="16"/>
          <w:color w:val="auto"/>
        </w:rPr>
        <w:t>Holdings as shall have been reasonably requested in writing by any Lender through the Administrative Agent that such Lender shall have reasonably determined is required by regulatory authorities under applicable “know your customer” and anti-money laundering rules and regulations, including without limitation the USA Patriot Act;</w:t>
      </w:r>
    </w:p>
    <w:p>
      <w:pPr>
        <w:spacing w:after="0" w:line="145" w:lineRule="exact"/>
        <w:rPr>
          <w:rFonts w:ascii="Arial" w:cs="Arial" w:eastAsia="Arial" w:hAnsi="Arial"/>
          <w:sz w:val="16"/>
          <w:szCs w:val="16"/>
          <w:color w:val="auto"/>
        </w:rPr>
      </w:pPr>
    </w:p>
    <w:p>
      <w:pPr>
        <w:jc w:val="both"/>
        <w:ind w:firstLine="791"/>
        <w:spacing w:after="0" w:line="220" w:lineRule="auto"/>
        <w:tabs>
          <w:tab w:leader="none" w:pos="1354" w:val="left"/>
        </w:tabs>
        <w:numPr>
          <w:ilvl w:val="0"/>
          <w:numId w:val="221"/>
        </w:numPr>
        <w:rPr>
          <w:rFonts w:ascii="Arial" w:cs="Arial" w:eastAsia="Arial" w:hAnsi="Arial"/>
          <w:sz w:val="17"/>
          <w:szCs w:val="17"/>
          <w:color w:val="auto"/>
        </w:rPr>
      </w:pPr>
      <w:r>
        <w:rPr>
          <w:rFonts w:ascii="Arial" w:cs="Arial" w:eastAsia="Arial" w:hAnsi="Arial"/>
          <w:sz w:val="17"/>
          <w:szCs w:val="17"/>
          <w:color w:val="auto"/>
        </w:rPr>
        <w:t xml:space="preserve">any Restricted Subsidiary (other than the Borrower) may merge, consolidate or amalgamate with any other Person in order to effect an Investment permitted pursuant to Section 6.04;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continuing or surviving Person shall be a Restricted Subsidiary, which together with each of its Restricted Subsidiaries, shall have complied with the requirements of Sections 5.11 and 5.12 and if the other party to such transaction is not a Loan Party, no Default exists after giving effect to such transaction; and</w:t>
      </w:r>
    </w:p>
    <w:p>
      <w:pPr>
        <w:spacing w:after="0" w:line="135" w:lineRule="exact"/>
        <w:rPr>
          <w:rFonts w:ascii="Arial" w:cs="Arial" w:eastAsia="Arial" w:hAnsi="Arial"/>
          <w:sz w:val="17"/>
          <w:szCs w:val="17"/>
          <w:color w:val="auto"/>
        </w:rPr>
      </w:pPr>
    </w:p>
    <w:p>
      <w:pPr>
        <w:jc w:val="both"/>
        <w:ind w:right="20" w:firstLine="791"/>
        <w:spacing w:after="0" w:line="225" w:lineRule="auto"/>
        <w:tabs>
          <w:tab w:leader="none" w:pos="1354" w:val="left"/>
        </w:tabs>
        <w:numPr>
          <w:ilvl w:val="0"/>
          <w:numId w:val="221"/>
        </w:numPr>
        <w:rPr>
          <w:rFonts w:ascii="Arial" w:cs="Arial" w:eastAsia="Arial" w:hAnsi="Arial"/>
          <w:sz w:val="17"/>
          <w:szCs w:val="17"/>
          <w:color w:val="auto"/>
        </w:rPr>
      </w:pPr>
      <w:r>
        <w:rPr>
          <w:rFonts w:ascii="Arial" w:cs="Arial" w:eastAsia="Arial" w:hAnsi="Arial"/>
          <w:sz w:val="17"/>
          <w:szCs w:val="17"/>
          <w:color w:val="auto"/>
        </w:rPr>
        <w:t xml:space="preserve">any Restricted Subsidiary (other than the Borrower) may effect a merger, dissolution, liquidation, consolidation or amalgamation to effect a Disposition permitted pursuant to Section 6.05;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other party to such transaction is not a Loan Party, no Default exists after giving effect to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40"/>
        <w:spacing w:after="0"/>
        <w:rPr>
          <w:sz w:val="20"/>
          <w:szCs w:val="20"/>
          <w:color w:val="auto"/>
        </w:rPr>
      </w:pPr>
      <w:r>
        <w:rPr>
          <w:rFonts w:ascii="Arial" w:cs="Arial" w:eastAsia="Arial" w:hAnsi="Arial"/>
          <w:sz w:val="17"/>
          <w:szCs w:val="17"/>
          <w:color w:val="auto"/>
        </w:rPr>
        <w:t>141</w:t>
      </w:r>
    </w:p>
    <w:p>
      <w:pPr>
        <w:sectPr>
          <w:pgSz w:w="11900" w:h="16838" w:orient="portrait"/>
          <w:cols w:equalWidth="0" w:num="1">
            <w:col w:w="10920"/>
          </w:cols>
          <w:pgMar w:left="660" w:top="1440" w:right="319" w:bottom="1440" w:gutter="0" w:footer="0" w:header="0"/>
        </w:sectPr>
      </w:pPr>
    </w:p>
    <w:bookmarkStart w:id="315" w:name="page316"/>
    <w:bookmarkEnd w:id="315"/>
    <w:p>
      <w:pPr>
        <w:spacing w:after="0" w:line="390" w:lineRule="exact"/>
        <w:rPr>
          <w:sz w:val="20"/>
          <w:szCs w:val="20"/>
          <w:color w:val="auto"/>
        </w:rPr>
      </w:pPr>
    </w:p>
    <w:p>
      <w:pPr>
        <w:jc w:val="both"/>
        <w:ind w:right="20" w:firstLine="563"/>
        <w:spacing w:after="0" w:line="225" w:lineRule="auto"/>
        <w:tabs>
          <w:tab w:leader="none" w:pos="1126" w:val="left"/>
        </w:tabs>
        <w:numPr>
          <w:ilvl w:val="0"/>
          <w:numId w:val="222"/>
        </w:numPr>
        <w:rPr>
          <w:rFonts w:ascii="Arial" w:cs="Arial" w:eastAsia="Arial" w:hAnsi="Arial"/>
          <w:sz w:val="17"/>
          <w:szCs w:val="17"/>
          <w:color w:val="auto"/>
        </w:rPr>
      </w:pPr>
      <w:r>
        <w:rPr>
          <w:rFonts w:ascii="Arial" w:cs="Arial" w:eastAsia="Arial" w:hAnsi="Arial"/>
          <w:sz w:val="17"/>
          <w:szCs w:val="17"/>
          <w:color w:val="auto"/>
        </w:rPr>
        <w:t>The Borrower will not, and Holdings and the Borrower will not permit any Restricted Subsidiary to, engage to any material extent in any business other than businesses of the type conducted by the Borrower and the Restricted Subsidiaries on the Closing Date or any Similar Business, and in the case of a Special Purpose Securitization Subsidiary, Permitted Securitization Financings.</w:t>
      </w:r>
    </w:p>
    <w:p>
      <w:pPr>
        <w:spacing w:after="0" w:line="136" w:lineRule="exact"/>
        <w:rPr>
          <w:rFonts w:ascii="Arial" w:cs="Arial" w:eastAsia="Arial" w:hAnsi="Arial"/>
          <w:sz w:val="17"/>
          <w:szCs w:val="17"/>
          <w:color w:val="auto"/>
        </w:rPr>
      </w:pPr>
    </w:p>
    <w:p>
      <w:pPr>
        <w:jc w:val="both"/>
        <w:ind w:firstLine="563"/>
        <w:spacing w:after="0" w:line="221" w:lineRule="auto"/>
        <w:tabs>
          <w:tab w:leader="none" w:pos="1128" w:val="left"/>
        </w:tabs>
        <w:numPr>
          <w:ilvl w:val="0"/>
          <w:numId w:val="222"/>
        </w:numPr>
        <w:rPr>
          <w:rFonts w:ascii="Arial" w:cs="Arial" w:eastAsia="Arial" w:hAnsi="Arial"/>
          <w:sz w:val="16"/>
          <w:szCs w:val="16"/>
          <w:color w:val="auto"/>
        </w:rPr>
      </w:pPr>
      <w:r>
        <w:rPr>
          <w:rFonts w:ascii="Arial" w:cs="Arial" w:eastAsia="Arial" w:hAnsi="Arial"/>
          <w:sz w:val="16"/>
          <w:szCs w:val="16"/>
          <w:color w:val="auto"/>
        </w:rPr>
        <w:t>Holdings and any Intermediate Parent will not conduct, transact or otherwise engage in any business or operations other than (i) the ownership and/or acquisition of the Equity Interests of the Borrower and any Intermediate Parent, (ii) the maintenance of its legal existence, including the ability to incur fees, costs and expenses relating to such maintenance, (iii) participating in tax, accounting and other administrative matters, (iv) the performance of its obligations under and in connection with the Loan Documents, any documentation governing any Indebtedness or Guarantee permitted to be incurred or made by it under this Article 6, the Holdings LLC Agreement, and the other agreements contemplated hereby, (v) any public offering of its common stock or any other issuance or registration of its Equity Interests for sale or resale not prohibited by this Agreement, including the costs, fees and expenses related thereto, (vi) any transaction that Holdings or any Intermediate Parent is permitted to enter into or consummate under this Article 6 (including, but not limited to, the making of any Restricted Payment permitted by Section 6.08 or holding of any cash or Permitted Investments received in connection with Restricted Payments made in accordance with Section 6.08 pending application thereof in the manner contemplated by Section 6.04, the incurrence of any Indebtedness permitted to be incurred by it under Section 6.01 and the making of any Investment permitted to be made by it under Section 6.04), (vii) incurring fees, costs and expenses relating to overhead and general operating including professional fees for legal, tax and accounting issues and paying taxes, (viii) providing indemnification to officers and directors and as otherwise permitted by Section 6.09, (ix) activities incidental to the consummation of the Transactions and (x) activities incidental to the businesses or activities described in clauses (i) to (ix) of this paragraph.</w:t>
      </w:r>
    </w:p>
    <w:p>
      <w:pPr>
        <w:spacing w:after="0" w:line="141" w:lineRule="exact"/>
        <w:rPr>
          <w:rFonts w:ascii="Arial" w:cs="Arial" w:eastAsia="Arial" w:hAnsi="Arial"/>
          <w:sz w:val="16"/>
          <w:szCs w:val="16"/>
          <w:color w:val="auto"/>
        </w:rPr>
      </w:pPr>
    </w:p>
    <w:p>
      <w:pPr>
        <w:jc w:val="both"/>
        <w:ind w:firstLine="563"/>
        <w:spacing w:after="0" w:line="216" w:lineRule="auto"/>
        <w:tabs>
          <w:tab w:leader="none" w:pos="1126" w:val="left"/>
        </w:tabs>
        <w:numPr>
          <w:ilvl w:val="0"/>
          <w:numId w:val="222"/>
        </w:numPr>
        <w:rPr>
          <w:rFonts w:ascii="Arial" w:cs="Arial" w:eastAsia="Arial" w:hAnsi="Arial"/>
          <w:sz w:val="17"/>
          <w:szCs w:val="17"/>
          <w:color w:val="auto"/>
        </w:rPr>
      </w:pPr>
      <w:r>
        <w:rPr>
          <w:rFonts w:ascii="Arial" w:cs="Arial" w:eastAsia="Arial" w:hAnsi="Arial"/>
          <w:sz w:val="17"/>
          <w:szCs w:val="17"/>
          <w:color w:val="auto"/>
        </w:rPr>
        <w:t>Holdings and any Intermediate Parent will not own or acquire any assets (other than Equity Interests as referred to in paragraph (c)(i) above, cash, Permitted Investments, loans and advances made by Holdings or any Intermediate Parent under Section 6.04(b), intercompany Investments permitted to be made by it under Section 6.04 and other assets incidental to its existence and business and activities permitted by this Agreement) or incur any liabilities (other than liabilities as referred to in paragraph (c) above, liabilities imposed by law, including tax liabilities, and other liabilities incidental to its existence and business and activities permitted by this Agreement).</w:t>
      </w:r>
    </w:p>
    <w:p>
      <w:pPr>
        <w:spacing w:after="0" w:line="138" w:lineRule="exact"/>
        <w:rPr>
          <w:rFonts w:ascii="Arial" w:cs="Arial" w:eastAsia="Arial" w:hAnsi="Arial"/>
          <w:sz w:val="17"/>
          <w:szCs w:val="17"/>
          <w:color w:val="auto"/>
        </w:rPr>
      </w:pPr>
    </w:p>
    <w:p>
      <w:pPr>
        <w:ind w:left="1120" w:hanging="557"/>
        <w:spacing w:after="0"/>
        <w:tabs>
          <w:tab w:leader="none" w:pos="1120" w:val="left"/>
        </w:tabs>
        <w:numPr>
          <w:ilvl w:val="0"/>
          <w:numId w:val="222"/>
        </w:numPr>
        <w:rPr>
          <w:rFonts w:ascii="Arial" w:cs="Arial" w:eastAsia="Arial" w:hAnsi="Arial"/>
          <w:sz w:val="17"/>
          <w:szCs w:val="17"/>
          <w:color w:val="auto"/>
        </w:rPr>
      </w:pPr>
      <w:r>
        <w:rPr>
          <w:rFonts w:ascii="Arial" w:cs="Arial" w:eastAsia="Arial" w:hAnsi="Arial"/>
          <w:sz w:val="17"/>
          <w:szCs w:val="17"/>
          <w:color w:val="auto"/>
        </w:rPr>
        <w:t>Notwithstanding anything to the contrary in this Section 6.03, the Transactions shall be permitted.</w:t>
      </w:r>
    </w:p>
    <w:p>
      <w:pPr>
        <w:spacing w:after="0" w:line="160" w:lineRule="exact"/>
        <w:rPr>
          <w:sz w:val="20"/>
          <w:szCs w:val="20"/>
          <w:color w:val="auto"/>
        </w:rPr>
      </w:pPr>
    </w:p>
    <w:p>
      <w:pPr>
        <w:ind w:right="20" w:firstLine="568"/>
        <w:spacing w:after="0" w:line="237" w:lineRule="auto"/>
        <w:rPr>
          <w:sz w:val="20"/>
          <w:szCs w:val="20"/>
          <w:color w:val="auto"/>
        </w:rPr>
      </w:pPr>
      <w:r>
        <w:rPr>
          <w:rFonts w:ascii="Arial" w:cs="Arial" w:eastAsia="Arial" w:hAnsi="Arial"/>
          <w:sz w:val="17"/>
          <w:szCs w:val="17"/>
          <w:color w:val="auto"/>
        </w:rPr>
        <w:t xml:space="preserve">Section 1.04. </w:t>
      </w:r>
      <w:r>
        <w:rPr>
          <w:rFonts w:ascii="Arial" w:cs="Arial" w:eastAsia="Arial" w:hAnsi="Arial"/>
          <w:sz w:val="17"/>
          <w:szCs w:val="17"/>
          <w:i w:val="1"/>
          <w:iCs w:val="1"/>
          <w:color w:val="auto"/>
        </w:rPr>
        <w:t>Investments, Loans, Advances, Guarantees and Acquisitions.</w:t>
      </w:r>
      <w:r>
        <w:rPr>
          <w:rFonts w:ascii="Arial" w:cs="Arial" w:eastAsia="Arial" w:hAnsi="Arial"/>
          <w:sz w:val="17"/>
          <w:szCs w:val="17"/>
          <w:color w:val="auto"/>
        </w:rPr>
        <w:t xml:space="preserve"> Neither Holdings nor the Borrower will, nor will they permit any Restricted Subsidiary or Intermediate Parent to, make or hold any Investment, except:</w:t>
      </w:r>
    </w:p>
    <w:p>
      <w:pPr>
        <w:spacing w:after="0" w:line="135" w:lineRule="exact"/>
        <w:rPr>
          <w:sz w:val="20"/>
          <w:szCs w:val="20"/>
          <w:color w:val="auto"/>
        </w:rPr>
      </w:pPr>
    </w:p>
    <w:p>
      <w:pPr>
        <w:ind w:left="1120" w:hanging="557"/>
        <w:spacing w:after="0"/>
        <w:tabs>
          <w:tab w:leader="none" w:pos="1120" w:val="left"/>
        </w:tabs>
        <w:numPr>
          <w:ilvl w:val="0"/>
          <w:numId w:val="223"/>
        </w:numPr>
        <w:rPr>
          <w:rFonts w:ascii="Arial" w:cs="Arial" w:eastAsia="Arial" w:hAnsi="Arial"/>
          <w:sz w:val="17"/>
          <w:szCs w:val="17"/>
          <w:color w:val="auto"/>
        </w:rPr>
      </w:pPr>
      <w:r>
        <w:rPr>
          <w:rFonts w:ascii="Arial" w:cs="Arial" w:eastAsia="Arial" w:hAnsi="Arial"/>
          <w:sz w:val="17"/>
          <w:szCs w:val="17"/>
          <w:color w:val="auto"/>
        </w:rPr>
        <w:t>Permitted Investments;</w:t>
      </w:r>
    </w:p>
    <w:p>
      <w:pPr>
        <w:spacing w:after="0" w:line="159" w:lineRule="exact"/>
        <w:rPr>
          <w:rFonts w:ascii="Arial" w:cs="Arial" w:eastAsia="Arial" w:hAnsi="Arial"/>
          <w:sz w:val="17"/>
          <w:szCs w:val="17"/>
          <w:color w:val="auto"/>
        </w:rPr>
      </w:pPr>
    </w:p>
    <w:p>
      <w:pPr>
        <w:jc w:val="both"/>
        <w:ind w:firstLine="563"/>
        <w:spacing w:after="0" w:line="234" w:lineRule="auto"/>
        <w:tabs>
          <w:tab w:leader="none" w:pos="1126" w:val="left"/>
        </w:tabs>
        <w:numPr>
          <w:ilvl w:val="0"/>
          <w:numId w:val="223"/>
        </w:numPr>
        <w:rPr>
          <w:rFonts w:ascii="Arial" w:cs="Arial" w:eastAsia="Arial" w:hAnsi="Arial"/>
          <w:sz w:val="16"/>
          <w:szCs w:val="16"/>
          <w:color w:val="auto"/>
        </w:rPr>
      </w:pPr>
      <w:r>
        <w:rPr>
          <w:rFonts w:ascii="Arial" w:cs="Arial" w:eastAsia="Arial" w:hAnsi="Arial"/>
          <w:sz w:val="16"/>
          <w:szCs w:val="16"/>
          <w:color w:val="auto"/>
        </w:rPr>
        <w:t>loans or advances to officers, directors and employees of Holdings, the Borrower and its Restricted Subsidiaries (i) for reasonable and customary business-related travel, entertainment, relocation and analogous ordinary business purposes, (ii) in connection with such Person’s purchase of Equity Interests of Holdings (or any direct or indirect parent thereof or any Employee Holding Vehicle)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amount of such loans and advances made in cash to such Person shall be contributed to the Borrower in cash as common equity or Qualified Equity Interests) and (iii) for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142</w:t>
      </w:r>
    </w:p>
    <w:p>
      <w:pPr>
        <w:sectPr>
          <w:pgSz w:w="11900" w:h="16838" w:orient="portrait"/>
          <w:cols w:equalWidth="0" w:num="1">
            <w:col w:w="11260"/>
          </w:cols>
          <w:pgMar w:left="320" w:top="1440" w:right="319" w:bottom="1440" w:gutter="0" w:footer="0" w:header="0"/>
        </w:sectPr>
      </w:pPr>
    </w:p>
    <w:bookmarkStart w:id="316" w:name="page317"/>
    <w:bookmarkEnd w:id="316"/>
    <w:p>
      <w:pPr>
        <w:spacing w:after="0" w:line="390" w:lineRule="exact"/>
        <w:rPr>
          <w:sz w:val="20"/>
          <w:szCs w:val="20"/>
          <w:color w:val="auto"/>
        </w:rPr>
      </w:pPr>
    </w:p>
    <w:p>
      <w:pPr>
        <w:spacing w:after="0"/>
        <w:rPr>
          <w:sz w:val="20"/>
          <w:szCs w:val="20"/>
          <w:color w:val="auto"/>
        </w:rPr>
      </w:pPr>
      <w:r>
        <w:rPr>
          <w:rFonts w:ascii="Arial" w:cs="Arial" w:eastAsia="Arial" w:hAnsi="Arial"/>
          <w:sz w:val="17"/>
          <w:szCs w:val="17"/>
          <w:color w:val="auto"/>
        </w:rPr>
        <w:t>not described in the foregoing clauses (i) and (ii), in an aggregate principal amount outstanding at any time not to exceed $5,000,000;</w:t>
      </w:r>
    </w:p>
    <w:p>
      <w:pPr>
        <w:spacing w:after="0" w:line="160" w:lineRule="exact"/>
        <w:rPr>
          <w:sz w:val="20"/>
          <w:szCs w:val="20"/>
          <w:color w:val="auto"/>
        </w:rPr>
      </w:pPr>
    </w:p>
    <w:p>
      <w:pPr>
        <w:jc w:val="both"/>
        <w:ind w:firstLine="563"/>
        <w:spacing w:after="0" w:line="220" w:lineRule="auto"/>
        <w:tabs>
          <w:tab w:leader="none" w:pos="1128" w:val="left"/>
        </w:tabs>
        <w:numPr>
          <w:ilvl w:val="0"/>
          <w:numId w:val="224"/>
        </w:numPr>
        <w:rPr>
          <w:rFonts w:ascii="Arial" w:cs="Arial" w:eastAsia="Arial" w:hAnsi="Arial"/>
          <w:sz w:val="16"/>
          <w:szCs w:val="16"/>
          <w:color w:val="auto"/>
        </w:rPr>
      </w:pPr>
      <w:r>
        <w:rPr>
          <w:rFonts w:ascii="Arial" w:cs="Arial" w:eastAsia="Arial" w:hAnsi="Arial"/>
          <w:sz w:val="16"/>
          <w:szCs w:val="16"/>
          <w:color w:val="auto"/>
        </w:rPr>
        <w:t xml:space="preserve">Investments (i) by Holdings, the Borrower or any Restricted Subsidiary in any Loan Party (excluding any new Restricted Subsidiary that becomes a Loan Party pursuant to such Investment), (ii) by any Restricted Subsidiary that is not a Loan Party in any other Restricted Subsidiary that is also not a Loan Party, (iii) by Holdings or any Restricted Subsidiary (A) in any Restricted Subsidiary,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at the time such Investment is made in a Restricted Subsidiary that is not a Loan Party, the aggregate outstanding amount of such Investments made by Loan Parties in Restricted Subsidiaries that are not Loan Parties in reliance on this clause (iii)(A), together with the aggregate outstanding amount of Investments made pursuant to Section 6.04(m) (including any such Investments deemed to have been made pursuant to Section 9.14), in each case, after the Closing Date, shall not exceed the Non-Loan Party Investment Amount at such time, (B) in any Regulated Subsidiary in the form of short-term intercompany advances and Indebtedness, in each case made in the ordinary course of business to provide for working capital and other operational requirements of such Regulated Subsidiary, (C) in any Restricted Subsidiary that is not a Loan Party, constituting an exchange of Equity Interests of such Restricted Subsidiary for Indebtedness of such Subsidiary, (D) constituting Guarantees of Indebtedness or other monetary obligations of Restricted Subsidiaries that are not Loan Parties owing to any Loan Party or (E) constituting unsecured Guarantees of Trading Debt to the extent such Guarantees are permitted under Section 6.01(a)(iii), (iv) by Holdings, any Intermediate Parent, the Borrower or any Restricted Subsidiary in Restricted Subsidiaries that are not Loan Parties so long as such Investment is part of a series of simultaneous transactions that result in the proceeds of the initial transaction being invested in one or more Loan Parties or, if the proceeds were initially held by a non-Loan Party, in a Restricted Subsidiary that is not a Loan Party and (v) by Holdings, the Borrower or any Restricted Subsidiary in any Restricted Subsidiary that is not a Loan Party, consisting of the contribution of Equity Interests of any other Restricted Subsidiary that is not a Loan Party so long as the Equity Interests of the transferee Restricted Subsidiary is pledged to secure the Secured Obligations;</w:t>
      </w:r>
    </w:p>
    <w:p>
      <w:pPr>
        <w:spacing w:after="0" w:line="142" w:lineRule="exact"/>
        <w:rPr>
          <w:rFonts w:ascii="Arial" w:cs="Arial" w:eastAsia="Arial" w:hAnsi="Arial"/>
          <w:sz w:val="16"/>
          <w:szCs w:val="16"/>
          <w:color w:val="auto"/>
        </w:rPr>
      </w:pPr>
    </w:p>
    <w:p>
      <w:pPr>
        <w:ind w:left="1120" w:hanging="557"/>
        <w:spacing w:after="0"/>
        <w:tabs>
          <w:tab w:leader="none" w:pos="1120" w:val="left"/>
        </w:tabs>
        <w:numPr>
          <w:ilvl w:val="0"/>
          <w:numId w:val="224"/>
        </w:numPr>
        <w:rPr>
          <w:rFonts w:ascii="Arial" w:cs="Arial" w:eastAsia="Arial" w:hAnsi="Arial"/>
          <w:sz w:val="17"/>
          <w:szCs w:val="17"/>
          <w:color w:val="auto"/>
        </w:rPr>
      </w:pPr>
      <w:r>
        <w:rPr>
          <w:rFonts w:ascii="Arial" w:cs="Arial" w:eastAsia="Arial" w:hAnsi="Arial"/>
          <w:sz w:val="17"/>
          <w:szCs w:val="17"/>
          <w:color w:val="auto"/>
        </w:rPr>
        <w:t>Investments consisting of extensions of trade credit in the ordinary course of business;</w:t>
      </w:r>
    </w:p>
    <w:p>
      <w:pPr>
        <w:spacing w:after="0" w:line="159" w:lineRule="exact"/>
        <w:rPr>
          <w:rFonts w:ascii="Arial" w:cs="Arial" w:eastAsia="Arial" w:hAnsi="Arial"/>
          <w:sz w:val="17"/>
          <w:szCs w:val="17"/>
          <w:color w:val="auto"/>
        </w:rPr>
      </w:pPr>
    </w:p>
    <w:p>
      <w:pPr>
        <w:jc w:val="both"/>
        <w:ind w:right="20" w:firstLine="563"/>
        <w:spacing w:after="0" w:line="234" w:lineRule="auto"/>
        <w:tabs>
          <w:tab w:leader="none" w:pos="1128" w:val="left"/>
        </w:tabs>
        <w:numPr>
          <w:ilvl w:val="0"/>
          <w:numId w:val="224"/>
        </w:numPr>
        <w:rPr>
          <w:rFonts w:ascii="Arial" w:cs="Arial" w:eastAsia="Arial" w:hAnsi="Arial"/>
          <w:sz w:val="16"/>
          <w:szCs w:val="16"/>
          <w:color w:val="auto"/>
        </w:rPr>
      </w:pPr>
      <w:r>
        <w:rPr>
          <w:rFonts w:ascii="Arial" w:cs="Arial" w:eastAsia="Arial" w:hAnsi="Arial"/>
          <w:sz w:val="16"/>
          <w:szCs w:val="16"/>
          <w:color w:val="auto"/>
        </w:rPr>
        <w:t xml:space="preserve">Investments (i) existing or contemplated on the Closing Date and set forth on Schedule 6.04(e) and any modification, replacement, renewal, reinvestment or extension thereof and (ii) existing on the Closing Date by Holdings, the Borrower or any Restricted Subsidiary in the Borrower or any Restricted Subsidiary and any modification, renewal or extension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each case the amount of the original Investment is not increased except by the terms of such Investment to the extent as set forth on Schedule 6.04(e) or as otherwise permitted by this Section 6.04;</w:t>
      </w:r>
    </w:p>
    <w:p>
      <w:pPr>
        <w:spacing w:after="0" w:line="134" w:lineRule="exact"/>
        <w:rPr>
          <w:rFonts w:ascii="Arial" w:cs="Arial" w:eastAsia="Arial" w:hAnsi="Arial"/>
          <w:sz w:val="16"/>
          <w:szCs w:val="16"/>
          <w:color w:val="auto"/>
        </w:rPr>
      </w:pPr>
    </w:p>
    <w:p>
      <w:pPr>
        <w:ind w:left="1120" w:hanging="557"/>
        <w:spacing w:after="0"/>
        <w:tabs>
          <w:tab w:leader="none" w:pos="1120" w:val="left"/>
        </w:tabs>
        <w:numPr>
          <w:ilvl w:val="0"/>
          <w:numId w:val="224"/>
        </w:numPr>
        <w:rPr>
          <w:rFonts w:ascii="Arial" w:cs="Arial" w:eastAsia="Arial" w:hAnsi="Arial"/>
          <w:sz w:val="17"/>
          <w:szCs w:val="17"/>
          <w:color w:val="auto"/>
        </w:rPr>
      </w:pPr>
      <w:r>
        <w:rPr>
          <w:rFonts w:ascii="Arial" w:cs="Arial" w:eastAsia="Arial" w:hAnsi="Arial"/>
          <w:sz w:val="17"/>
          <w:szCs w:val="17"/>
          <w:color w:val="auto"/>
        </w:rPr>
        <w:t>Investments in Swap Agreements permitted under Section 6.07;</w:t>
      </w:r>
    </w:p>
    <w:p>
      <w:pPr>
        <w:spacing w:after="0" w:line="159" w:lineRule="exact"/>
        <w:rPr>
          <w:rFonts w:ascii="Arial" w:cs="Arial" w:eastAsia="Arial" w:hAnsi="Arial"/>
          <w:sz w:val="17"/>
          <w:szCs w:val="17"/>
          <w:color w:val="auto"/>
        </w:rPr>
      </w:pPr>
    </w:p>
    <w:p>
      <w:pPr>
        <w:ind w:left="1120" w:hanging="557"/>
        <w:spacing w:after="0"/>
        <w:tabs>
          <w:tab w:leader="none" w:pos="1120" w:val="left"/>
        </w:tabs>
        <w:numPr>
          <w:ilvl w:val="0"/>
          <w:numId w:val="224"/>
        </w:numPr>
        <w:rPr>
          <w:rFonts w:ascii="Arial" w:cs="Arial" w:eastAsia="Arial" w:hAnsi="Arial"/>
          <w:sz w:val="17"/>
          <w:szCs w:val="17"/>
          <w:color w:val="auto"/>
        </w:rPr>
      </w:pPr>
      <w:r>
        <w:rPr>
          <w:rFonts w:ascii="Arial" w:cs="Arial" w:eastAsia="Arial" w:hAnsi="Arial"/>
          <w:sz w:val="17"/>
          <w:szCs w:val="17"/>
          <w:color w:val="auto"/>
        </w:rPr>
        <w:t>promissory notes and other non-cash consideration received in connection with Dispositions permitted by Section 6.05;</w:t>
      </w:r>
    </w:p>
    <w:p>
      <w:pPr>
        <w:spacing w:after="0" w:line="159" w:lineRule="exact"/>
        <w:rPr>
          <w:rFonts w:ascii="Arial" w:cs="Arial" w:eastAsia="Arial" w:hAnsi="Arial"/>
          <w:sz w:val="17"/>
          <w:szCs w:val="17"/>
          <w:color w:val="auto"/>
        </w:rPr>
      </w:pPr>
    </w:p>
    <w:p>
      <w:pPr>
        <w:ind w:left="1120" w:hanging="557"/>
        <w:spacing w:after="0"/>
        <w:tabs>
          <w:tab w:leader="none" w:pos="1120" w:val="left"/>
        </w:tabs>
        <w:numPr>
          <w:ilvl w:val="0"/>
          <w:numId w:val="224"/>
        </w:numPr>
        <w:rPr>
          <w:rFonts w:ascii="Arial" w:cs="Arial" w:eastAsia="Arial" w:hAnsi="Arial"/>
          <w:sz w:val="17"/>
          <w:szCs w:val="17"/>
          <w:color w:val="auto"/>
        </w:rPr>
      </w:pPr>
      <w:r>
        <w:rPr>
          <w:rFonts w:ascii="Arial" w:cs="Arial" w:eastAsia="Arial" w:hAnsi="Arial"/>
          <w:sz w:val="17"/>
          <w:szCs w:val="17"/>
          <w:color w:val="auto"/>
        </w:rPr>
        <w:t>Permitted Acquisitions;</w:t>
      </w:r>
    </w:p>
    <w:p>
      <w:pPr>
        <w:spacing w:after="0" w:line="159" w:lineRule="exact"/>
        <w:rPr>
          <w:rFonts w:ascii="Arial" w:cs="Arial" w:eastAsia="Arial" w:hAnsi="Arial"/>
          <w:sz w:val="17"/>
          <w:szCs w:val="17"/>
          <w:color w:val="auto"/>
        </w:rPr>
      </w:pPr>
    </w:p>
    <w:p>
      <w:pPr>
        <w:ind w:right="20" w:firstLine="563"/>
        <w:spacing w:after="0" w:line="237" w:lineRule="auto"/>
        <w:tabs>
          <w:tab w:leader="none" w:pos="1134" w:val="left"/>
        </w:tabs>
        <w:numPr>
          <w:ilvl w:val="0"/>
          <w:numId w:val="224"/>
        </w:numPr>
        <w:rPr>
          <w:rFonts w:ascii="Arial" w:cs="Arial" w:eastAsia="Arial" w:hAnsi="Arial"/>
          <w:sz w:val="17"/>
          <w:szCs w:val="17"/>
          <w:color w:val="auto"/>
        </w:rPr>
      </w:pPr>
      <w:r>
        <w:rPr>
          <w:rFonts w:ascii="Arial" w:cs="Arial" w:eastAsia="Arial" w:hAnsi="Arial"/>
          <w:sz w:val="17"/>
          <w:szCs w:val="17"/>
          <w:color w:val="auto"/>
        </w:rPr>
        <w:t>Investments in the ordinary course of business consisting of Uniform Commercial Code Article 3 endorsements for collection or deposit and Uniform Commercial Code Article 4 customary trade arrangements with customers consistent with past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143</w:t>
      </w:r>
    </w:p>
    <w:p>
      <w:pPr>
        <w:sectPr>
          <w:pgSz w:w="11900" w:h="16838" w:orient="portrait"/>
          <w:cols w:equalWidth="0" w:num="1">
            <w:col w:w="11260"/>
          </w:cols>
          <w:pgMar w:left="320" w:top="1440" w:right="319" w:bottom="1440" w:gutter="0" w:footer="0" w:header="0"/>
        </w:sectPr>
      </w:pPr>
    </w:p>
    <w:bookmarkStart w:id="317" w:name="page318"/>
    <w:bookmarkEnd w:id="317"/>
    <w:p>
      <w:pPr>
        <w:spacing w:after="0" w:line="390" w:lineRule="exact"/>
        <w:rPr>
          <w:sz w:val="20"/>
          <w:szCs w:val="20"/>
          <w:color w:val="auto"/>
        </w:rPr>
      </w:pPr>
    </w:p>
    <w:p>
      <w:pPr>
        <w:jc w:val="both"/>
        <w:ind w:right="20" w:firstLine="563"/>
        <w:spacing w:after="0" w:line="225" w:lineRule="auto"/>
        <w:tabs>
          <w:tab w:leader="none" w:pos="1134" w:val="left"/>
        </w:tabs>
        <w:numPr>
          <w:ilvl w:val="0"/>
          <w:numId w:val="225"/>
        </w:numPr>
        <w:rPr>
          <w:rFonts w:ascii="Arial" w:cs="Arial" w:eastAsia="Arial" w:hAnsi="Arial"/>
          <w:sz w:val="17"/>
          <w:szCs w:val="17"/>
          <w:color w:val="auto"/>
        </w:rPr>
      </w:pPr>
      <w:r>
        <w:rPr>
          <w:rFonts w:ascii="Arial" w:cs="Arial" w:eastAsia="Arial" w:hAnsi="Arial"/>
          <w:sz w:val="17"/>
          <w:szCs w:val="17"/>
          <w:color w:val="auto"/>
        </w:rPr>
        <w:t>Investments (including debt obligations and Equity Interests) received in connection with the bankruptcy or reorganization of suppliers and customers or in settlement of delinquent obligations of, or other disputes with, customers and suppliers or upon the foreclosure with respect to any secured Investment or other transfer of title with respect to any secured Investment;</w:t>
      </w:r>
    </w:p>
    <w:p>
      <w:pPr>
        <w:spacing w:after="0" w:line="136" w:lineRule="exact"/>
        <w:rPr>
          <w:rFonts w:ascii="Arial" w:cs="Arial" w:eastAsia="Arial" w:hAnsi="Arial"/>
          <w:sz w:val="17"/>
          <w:szCs w:val="17"/>
          <w:color w:val="auto"/>
        </w:rPr>
      </w:pPr>
    </w:p>
    <w:p>
      <w:pPr>
        <w:jc w:val="both"/>
        <w:ind w:firstLine="563"/>
        <w:spacing w:after="0" w:line="225" w:lineRule="auto"/>
        <w:tabs>
          <w:tab w:leader="none" w:pos="1126" w:val="left"/>
        </w:tabs>
        <w:numPr>
          <w:ilvl w:val="0"/>
          <w:numId w:val="225"/>
        </w:numPr>
        <w:rPr>
          <w:rFonts w:ascii="Arial" w:cs="Arial" w:eastAsia="Arial" w:hAnsi="Arial"/>
          <w:sz w:val="17"/>
          <w:szCs w:val="17"/>
          <w:color w:val="auto"/>
        </w:rPr>
      </w:pPr>
      <w:r>
        <w:rPr>
          <w:rFonts w:ascii="Arial" w:cs="Arial" w:eastAsia="Arial" w:hAnsi="Arial"/>
          <w:sz w:val="17"/>
          <w:szCs w:val="17"/>
          <w:color w:val="auto"/>
        </w:rPr>
        <w:t>loans and advances to Holdings (or any direct or indirect parent thereof) or any Intermediate Parent in lieu of, and not in excess of the amount of (after giving effect to any other loans, advances or Restricted Payments in respect thereof), Restricted Payments to the extent permitted to be made to Holdings (or such parent) in accordance with Section 6.08(a)(iv), (v), (vi), (vii) or (viii);</w:t>
      </w:r>
    </w:p>
    <w:p>
      <w:pPr>
        <w:spacing w:after="0" w:line="136" w:lineRule="exact"/>
        <w:rPr>
          <w:rFonts w:ascii="Arial" w:cs="Arial" w:eastAsia="Arial" w:hAnsi="Arial"/>
          <w:sz w:val="17"/>
          <w:szCs w:val="17"/>
          <w:color w:val="auto"/>
        </w:rPr>
      </w:pPr>
    </w:p>
    <w:p>
      <w:pPr>
        <w:jc w:val="both"/>
        <w:ind w:right="20" w:firstLine="563"/>
        <w:spacing w:after="0" w:line="225" w:lineRule="auto"/>
        <w:tabs>
          <w:tab w:leader="none" w:pos="1134" w:val="left"/>
        </w:tabs>
        <w:numPr>
          <w:ilvl w:val="0"/>
          <w:numId w:val="225"/>
        </w:numPr>
        <w:rPr>
          <w:rFonts w:ascii="Arial" w:cs="Arial" w:eastAsia="Arial" w:hAnsi="Arial"/>
          <w:sz w:val="17"/>
          <w:szCs w:val="17"/>
          <w:color w:val="auto"/>
        </w:rPr>
      </w:pPr>
      <w:r>
        <w:rPr>
          <w:rFonts w:ascii="Arial" w:cs="Arial" w:eastAsia="Arial" w:hAnsi="Arial"/>
          <w:sz w:val="17"/>
          <w:szCs w:val="17"/>
          <w:color w:val="auto"/>
        </w:rPr>
        <w:t>additional Investments and acquisitions so long as (i) immediately after giving effect to any such Investment or acquisition no Event of Default shall have occurred and be continuing and (ii) after giving to such Investment or acquisition, the Net First Lien Leverage Ratio calculated on a Pro Forma Basis as of the end of the most recent Test Period for which financial statements are available is less than or equal to 2.75 to 1.00;</w:t>
      </w:r>
    </w:p>
    <w:p>
      <w:pPr>
        <w:spacing w:after="0" w:line="136" w:lineRule="exact"/>
        <w:rPr>
          <w:rFonts w:ascii="Arial" w:cs="Arial" w:eastAsia="Arial" w:hAnsi="Arial"/>
          <w:sz w:val="17"/>
          <w:szCs w:val="17"/>
          <w:color w:val="auto"/>
        </w:rPr>
      </w:pPr>
    </w:p>
    <w:p>
      <w:pPr>
        <w:jc w:val="both"/>
        <w:ind w:firstLine="563"/>
        <w:spacing w:after="0" w:line="230" w:lineRule="auto"/>
        <w:tabs>
          <w:tab w:leader="none" w:pos="1126" w:val="left"/>
        </w:tabs>
        <w:numPr>
          <w:ilvl w:val="0"/>
          <w:numId w:val="225"/>
        </w:numPr>
        <w:rPr>
          <w:rFonts w:ascii="Arial" w:cs="Arial" w:eastAsia="Arial" w:hAnsi="Arial"/>
          <w:sz w:val="16"/>
          <w:szCs w:val="16"/>
          <w:color w:val="auto"/>
        </w:rPr>
      </w:pPr>
      <w:r>
        <w:rPr>
          <w:rFonts w:ascii="Arial" w:cs="Arial" w:eastAsia="Arial" w:hAnsi="Arial"/>
          <w:sz w:val="16"/>
          <w:szCs w:val="16"/>
          <w:color w:val="auto"/>
        </w:rPr>
        <w:t>additional Investments in Restricted Subsidiaries that are not Loan Parties and in Unrestricted Subsidiaries so long as (i) immediately after giving effect to any such Investment or acquisition, no Event of Default shall have occurred and be continuing and (ii) at the time any such Investment is made, the aggregate outstanding amount of Investments made after the Closing Date in reliance on this clause (m) (including any such Investments deemed to have been made pursuant to Section 9.14), together with the aggregate outstanding amount of Investments made after the Closing Date in Subsidiaries that are not Loan Parties pursuant to Section 6.04(c)(iii)(A), shall not exceed the Non-Loan Party Investment Amount at such time;</w:t>
      </w:r>
    </w:p>
    <w:p>
      <w:pPr>
        <w:spacing w:after="0" w:line="136" w:lineRule="exact"/>
        <w:rPr>
          <w:rFonts w:ascii="Arial" w:cs="Arial" w:eastAsia="Arial" w:hAnsi="Arial"/>
          <w:sz w:val="16"/>
          <w:szCs w:val="16"/>
          <w:color w:val="auto"/>
        </w:rPr>
      </w:pPr>
    </w:p>
    <w:p>
      <w:pPr>
        <w:ind w:firstLine="563"/>
        <w:spacing w:after="0" w:line="264" w:lineRule="auto"/>
        <w:tabs>
          <w:tab w:leader="none" w:pos="1126" w:val="left"/>
        </w:tabs>
        <w:numPr>
          <w:ilvl w:val="0"/>
          <w:numId w:val="225"/>
        </w:numPr>
        <w:rPr>
          <w:rFonts w:ascii="Arial" w:cs="Arial" w:eastAsia="Arial" w:hAnsi="Arial"/>
          <w:sz w:val="16"/>
          <w:szCs w:val="16"/>
          <w:color w:val="auto"/>
        </w:rPr>
      </w:pPr>
      <w:r>
        <w:rPr>
          <w:rFonts w:ascii="Arial" w:cs="Arial" w:eastAsia="Arial" w:hAnsi="Arial"/>
          <w:sz w:val="16"/>
          <w:szCs w:val="16"/>
          <w:color w:val="auto"/>
        </w:rPr>
        <w:t>other Investments in an amount not exceed (i) the greater of $400,000,000 and 40% of Consolidated EBITDA calculated on a Pro Forma Basis for the most recently ended Test Period for which financial statements are available, plus (ii) the Cumulative Credit at the time of any such Investment;</w:t>
      </w:r>
    </w:p>
    <w:p>
      <w:pPr>
        <w:spacing w:after="0" w:line="116" w:lineRule="exact"/>
        <w:rPr>
          <w:rFonts w:ascii="Arial" w:cs="Arial" w:eastAsia="Arial" w:hAnsi="Arial"/>
          <w:sz w:val="16"/>
          <w:szCs w:val="16"/>
          <w:color w:val="auto"/>
        </w:rPr>
      </w:pPr>
    </w:p>
    <w:p>
      <w:pPr>
        <w:ind w:left="1120" w:hanging="557"/>
        <w:spacing w:after="0"/>
        <w:tabs>
          <w:tab w:leader="none" w:pos="1120" w:val="left"/>
        </w:tabs>
        <w:numPr>
          <w:ilvl w:val="0"/>
          <w:numId w:val="225"/>
        </w:numPr>
        <w:rPr>
          <w:rFonts w:ascii="Arial" w:cs="Arial" w:eastAsia="Arial" w:hAnsi="Arial"/>
          <w:sz w:val="17"/>
          <w:szCs w:val="17"/>
          <w:color w:val="auto"/>
        </w:rPr>
      </w:pPr>
      <w:r>
        <w:rPr>
          <w:rFonts w:ascii="Arial" w:cs="Arial" w:eastAsia="Arial" w:hAnsi="Arial"/>
          <w:sz w:val="17"/>
          <w:szCs w:val="17"/>
          <w:color w:val="auto"/>
        </w:rPr>
        <w:t>advances of payroll payments to employees in the ordinary course of business;</w:t>
      </w:r>
    </w:p>
    <w:p>
      <w:pPr>
        <w:spacing w:after="0" w:line="159" w:lineRule="exact"/>
        <w:rPr>
          <w:rFonts w:ascii="Arial" w:cs="Arial" w:eastAsia="Arial" w:hAnsi="Arial"/>
          <w:sz w:val="17"/>
          <w:szCs w:val="17"/>
          <w:color w:val="auto"/>
        </w:rPr>
      </w:pPr>
    </w:p>
    <w:p>
      <w:pPr>
        <w:ind w:right="20" w:firstLine="563"/>
        <w:spacing w:after="0" w:line="237" w:lineRule="auto"/>
        <w:tabs>
          <w:tab w:leader="none" w:pos="1126" w:val="left"/>
        </w:tabs>
        <w:numPr>
          <w:ilvl w:val="0"/>
          <w:numId w:val="225"/>
        </w:numPr>
        <w:rPr>
          <w:rFonts w:ascii="Arial" w:cs="Arial" w:eastAsia="Arial" w:hAnsi="Arial"/>
          <w:sz w:val="17"/>
          <w:szCs w:val="17"/>
          <w:color w:val="auto"/>
        </w:rPr>
      </w:pPr>
      <w:r>
        <w:rPr>
          <w:rFonts w:ascii="Arial" w:cs="Arial" w:eastAsia="Arial" w:hAnsi="Arial"/>
          <w:sz w:val="17"/>
          <w:szCs w:val="17"/>
          <w:color w:val="auto"/>
        </w:rPr>
        <w:t>Investments and other acquisitions to the extent that payment for such Investments is made solely with Qualified Equity Interests (excluding Cure Amounts) of Holdings (or any direct or indirect parent thereof);</w:t>
      </w:r>
    </w:p>
    <w:p>
      <w:pPr>
        <w:spacing w:after="0" w:line="134" w:lineRule="exact"/>
        <w:rPr>
          <w:rFonts w:ascii="Arial" w:cs="Arial" w:eastAsia="Arial" w:hAnsi="Arial"/>
          <w:sz w:val="17"/>
          <w:szCs w:val="17"/>
          <w:color w:val="auto"/>
        </w:rPr>
      </w:pPr>
    </w:p>
    <w:p>
      <w:pPr>
        <w:jc w:val="both"/>
        <w:ind w:firstLine="563"/>
        <w:spacing w:after="0" w:line="220" w:lineRule="auto"/>
        <w:tabs>
          <w:tab w:leader="none" w:pos="1126" w:val="left"/>
        </w:tabs>
        <w:numPr>
          <w:ilvl w:val="0"/>
          <w:numId w:val="225"/>
        </w:numPr>
        <w:rPr>
          <w:rFonts w:ascii="Arial" w:cs="Arial" w:eastAsia="Arial" w:hAnsi="Arial"/>
          <w:sz w:val="17"/>
          <w:szCs w:val="17"/>
          <w:color w:val="auto"/>
        </w:rPr>
      </w:pPr>
      <w:r>
        <w:rPr>
          <w:rFonts w:ascii="Arial" w:cs="Arial" w:eastAsia="Arial" w:hAnsi="Arial"/>
          <w:sz w:val="17"/>
          <w:szCs w:val="17"/>
          <w:color w:val="auto"/>
        </w:rPr>
        <w:t>Investments of a Subsidiary acquired after the Closing Date or of a Person merged or consolidated with any Subsidiary in accordance with this Section and Section 6.03 after the Closing Date (other than existing Investments in subsidiaries of such Subsidiary or Person, which must comply with the requirements of Section 6.04(h) or 6.04(m)) to the extent that such Investments were not made in contemplation of or in connection with such acquisition, merger or consolidation and were in existence on the date of such acquisition, merger or consolidation;</w:t>
      </w:r>
    </w:p>
    <w:p>
      <w:pPr>
        <w:spacing w:after="0" w:line="135" w:lineRule="exact"/>
        <w:rPr>
          <w:rFonts w:ascii="Arial" w:cs="Arial" w:eastAsia="Arial" w:hAnsi="Arial"/>
          <w:sz w:val="17"/>
          <w:szCs w:val="17"/>
          <w:color w:val="auto"/>
        </w:rPr>
      </w:pPr>
    </w:p>
    <w:p>
      <w:pPr>
        <w:ind w:left="1120" w:hanging="557"/>
        <w:spacing w:after="0"/>
        <w:tabs>
          <w:tab w:leader="none" w:pos="1120" w:val="left"/>
        </w:tabs>
        <w:numPr>
          <w:ilvl w:val="0"/>
          <w:numId w:val="225"/>
        </w:numPr>
        <w:rPr>
          <w:rFonts w:ascii="Arial" w:cs="Arial" w:eastAsia="Arial" w:hAnsi="Arial"/>
          <w:sz w:val="17"/>
          <w:szCs w:val="17"/>
          <w:color w:val="auto"/>
        </w:rPr>
      </w:pPr>
      <w:r>
        <w:rPr>
          <w:rFonts w:ascii="Arial" w:cs="Arial" w:eastAsia="Arial" w:hAnsi="Arial"/>
          <w:sz w:val="17"/>
          <w:szCs w:val="17"/>
          <w:color w:val="auto"/>
        </w:rPr>
        <w:t>Investments made or acquired in the ordinary course trading activities of the Borrower and its Restricted Subsidiaries;</w:t>
      </w:r>
    </w:p>
    <w:p>
      <w:pPr>
        <w:spacing w:after="0" w:line="159" w:lineRule="exact"/>
        <w:rPr>
          <w:rFonts w:ascii="Arial" w:cs="Arial" w:eastAsia="Arial" w:hAnsi="Arial"/>
          <w:sz w:val="17"/>
          <w:szCs w:val="17"/>
          <w:color w:val="auto"/>
        </w:rPr>
      </w:pPr>
    </w:p>
    <w:p>
      <w:pPr>
        <w:ind w:right="20" w:firstLine="563"/>
        <w:spacing w:after="0" w:line="237" w:lineRule="auto"/>
        <w:tabs>
          <w:tab w:leader="none" w:pos="1130" w:val="left"/>
        </w:tabs>
        <w:numPr>
          <w:ilvl w:val="0"/>
          <w:numId w:val="225"/>
        </w:numPr>
        <w:rPr>
          <w:rFonts w:ascii="Arial" w:cs="Arial" w:eastAsia="Arial" w:hAnsi="Arial"/>
          <w:sz w:val="17"/>
          <w:szCs w:val="17"/>
          <w:color w:val="auto"/>
        </w:rPr>
      </w:pPr>
      <w:r>
        <w:rPr>
          <w:rFonts w:ascii="Arial" w:cs="Arial" w:eastAsia="Arial" w:hAnsi="Arial"/>
          <w:sz w:val="17"/>
          <w:szCs w:val="17"/>
          <w:color w:val="auto"/>
        </w:rPr>
        <w:t xml:space="preserve">non-cash Investments in connection with tax planning and reorganization activities;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after giving effect to any such activities, the security interests of the Lenders in the Collateral, taken as a whole, would not be materially impaired;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144</w:t>
      </w:r>
    </w:p>
    <w:p>
      <w:pPr>
        <w:sectPr>
          <w:pgSz w:w="11900" w:h="16838" w:orient="portrait"/>
          <w:cols w:equalWidth="0" w:num="1">
            <w:col w:w="11260"/>
          </w:cols>
          <w:pgMar w:left="320" w:top="1440" w:right="319" w:bottom="1440" w:gutter="0" w:footer="0" w:header="0"/>
        </w:sectPr>
      </w:pPr>
    </w:p>
    <w:bookmarkStart w:id="318" w:name="page319"/>
    <w:bookmarkEnd w:id="318"/>
    <w:p>
      <w:pPr>
        <w:spacing w:after="0" w:line="385" w:lineRule="exact"/>
        <w:rPr>
          <w:sz w:val="20"/>
          <w:szCs w:val="20"/>
          <w:color w:val="auto"/>
        </w:rPr>
      </w:pPr>
    </w:p>
    <w:p>
      <w:pPr>
        <w:ind w:left="1120" w:hanging="557"/>
        <w:spacing w:after="0"/>
        <w:tabs>
          <w:tab w:leader="none" w:pos="1120" w:val="left"/>
        </w:tabs>
        <w:numPr>
          <w:ilvl w:val="0"/>
          <w:numId w:val="226"/>
        </w:numPr>
        <w:rPr>
          <w:rFonts w:ascii="Arial" w:cs="Arial" w:eastAsia="Arial" w:hAnsi="Arial"/>
          <w:sz w:val="16"/>
          <w:szCs w:val="16"/>
          <w:color w:val="auto"/>
        </w:rPr>
      </w:pPr>
      <w:r>
        <w:rPr>
          <w:rFonts w:ascii="Arial" w:cs="Arial" w:eastAsia="Arial" w:hAnsi="Arial"/>
          <w:sz w:val="16"/>
          <w:szCs w:val="16"/>
          <w:color w:val="auto"/>
        </w:rPr>
        <w:t>to the extent constituting Investments, any purchase, acquisition, license or lease of Intellectual Property in each case in the ordinary course of</w:t>
      </w:r>
    </w:p>
    <w:p>
      <w:pPr>
        <w:spacing w:after="0"/>
        <w:rPr>
          <w:rFonts w:ascii="Arial" w:cs="Arial" w:eastAsia="Arial" w:hAnsi="Arial"/>
          <w:sz w:val="16"/>
          <w:szCs w:val="16"/>
          <w:color w:val="auto"/>
        </w:rPr>
      </w:pPr>
      <w:r>
        <w:rPr>
          <w:rFonts w:ascii="Arial" w:cs="Arial" w:eastAsia="Arial" w:hAnsi="Arial"/>
          <w:sz w:val="17"/>
          <w:szCs w:val="17"/>
          <w:color w:val="auto"/>
        </w:rPr>
        <w:t>business;</w:t>
      </w:r>
    </w:p>
    <w:p>
      <w:pPr>
        <w:spacing w:after="0" w:line="145" w:lineRule="exact"/>
        <w:rPr>
          <w:rFonts w:ascii="Arial" w:cs="Arial" w:eastAsia="Arial" w:hAnsi="Arial"/>
          <w:sz w:val="16"/>
          <w:szCs w:val="16"/>
          <w:color w:val="auto"/>
        </w:rPr>
      </w:pPr>
    </w:p>
    <w:p>
      <w:pPr>
        <w:jc w:val="both"/>
        <w:ind w:firstLine="563"/>
        <w:spacing w:after="0" w:line="225" w:lineRule="auto"/>
        <w:tabs>
          <w:tab w:leader="none" w:pos="1126" w:val="left"/>
        </w:tabs>
        <w:numPr>
          <w:ilvl w:val="0"/>
          <w:numId w:val="226"/>
        </w:numPr>
        <w:rPr>
          <w:rFonts w:ascii="Arial" w:cs="Arial" w:eastAsia="Arial" w:hAnsi="Arial"/>
          <w:sz w:val="17"/>
          <w:szCs w:val="17"/>
          <w:color w:val="auto"/>
        </w:rPr>
      </w:pPr>
      <w:r>
        <w:rPr>
          <w:rFonts w:ascii="Arial" w:cs="Arial" w:eastAsia="Arial" w:hAnsi="Arial"/>
          <w:sz w:val="17"/>
          <w:szCs w:val="17"/>
          <w:color w:val="auto"/>
        </w:rPr>
        <w:t xml:space="preserve">Investments in any Foreign Subsidiary made for the purposes of providing such Foreign Subsidiary the necessary capital to comply with any capital or margin requirements of a Regulatory Supervising Organization;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aggregate outstanding amount of Investments made pursuant to this clause shall not exceed $25,000,000 at any time;</w:t>
      </w:r>
    </w:p>
    <w:p>
      <w:pPr>
        <w:spacing w:after="0" w:line="136" w:lineRule="exact"/>
        <w:rPr>
          <w:rFonts w:ascii="Arial" w:cs="Arial" w:eastAsia="Arial" w:hAnsi="Arial"/>
          <w:sz w:val="17"/>
          <w:szCs w:val="17"/>
          <w:color w:val="auto"/>
        </w:rPr>
      </w:pPr>
    </w:p>
    <w:p>
      <w:pPr>
        <w:ind w:left="1120" w:hanging="557"/>
        <w:spacing w:after="0"/>
        <w:tabs>
          <w:tab w:leader="none" w:pos="1120" w:val="left"/>
        </w:tabs>
        <w:numPr>
          <w:ilvl w:val="0"/>
          <w:numId w:val="226"/>
        </w:numPr>
        <w:rPr>
          <w:rFonts w:ascii="Arial" w:cs="Arial" w:eastAsia="Arial" w:hAnsi="Arial"/>
          <w:sz w:val="17"/>
          <w:szCs w:val="17"/>
          <w:color w:val="auto"/>
        </w:rPr>
      </w:pPr>
      <w:r>
        <w:rPr>
          <w:rFonts w:ascii="Arial" w:cs="Arial" w:eastAsia="Arial" w:hAnsi="Arial"/>
          <w:sz w:val="17"/>
          <w:szCs w:val="17"/>
          <w:color w:val="auto"/>
        </w:rPr>
        <w:t>[reserved];</w:t>
      </w:r>
    </w:p>
    <w:p>
      <w:pPr>
        <w:spacing w:after="0" w:line="159" w:lineRule="exact"/>
        <w:rPr>
          <w:rFonts w:ascii="Arial" w:cs="Arial" w:eastAsia="Arial" w:hAnsi="Arial"/>
          <w:sz w:val="17"/>
          <w:szCs w:val="17"/>
          <w:color w:val="auto"/>
        </w:rPr>
      </w:pPr>
    </w:p>
    <w:p>
      <w:pPr>
        <w:ind w:right="20" w:firstLine="563"/>
        <w:spacing w:after="0" w:line="237" w:lineRule="auto"/>
        <w:tabs>
          <w:tab w:leader="none" w:pos="1129" w:val="left"/>
        </w:tabs>
        <w:numPr>
          <w:ilvl w:val="0"/>
          <w:numId w:val="226"/>
        </w:numPr>
        <w:rPr>
          <w:rFonts w:ascii="Arial" w:cs="Arial" w:eastAsia="Arial" w:hAnsi="Arial"/>
          <w:sz w:val="17"/>
          <w:szCs w:val="17"/>
          <w:color w:val="auto"/>
        </w:rPr>
      </w:pPr>
      <w:r>
        <w:rPr>
          <w:rFonts w:ascii="Arial" w:cs="Arial" w:eastAsia="Arial" w:hAnsi="Arial"/>
          <w:sz w:val="17"/>
          <w:szCs w:val="17"/>
          <w:color w:val="auto"/>
        </w:rPr>
        <w:t>Investments in Joint Ventures in an amount not exceed the greater of $250,000,000 and 25% of Consolidated EBITDA calculated on a Pro Forma Basis for the most recently ended Test Period for which financial statements are available;</w:t>
      </w:r>
    </w:p>
    <w:p>
      <w:pPr>
        <w:spacing w:after="0" w:line="134" w:lineRule="exact"/>
        <w:rPr>
          <w:rFonts w:ascii="Arial" w:cs="Arial" w:eastAsia="Arial" w:hAnsi="Arial"/>
          <w:sz w:val="17"/>
          <w:szCs w:val="17"/>
          <w:color w:val="auto"/>
        </w:rPr>
      </w:pPr>
    </w:p>
    <w:p>
      <w:pPr>
        <w:jc w:val="both"/>
        <w:ind w:right="20" w:firstLine="563"/>
        <w:spacing w:after="0" w:line="225" w:lineRule="auto"/>
        <w:tabs>
          <w:tab w:leader="none" w:pos="1126" w:val="left"/>
        </w:tabs>
        <w:numPr>
          <w:ilvl w:val="0"/>
          <w:numId w:val="226"/>
        </w:numPr>
        <w:rPr>
          <w:rFonts w:ascii="Arial" w:cs="Arial" w:eastAsia="Arial" w:hAnsi="Arial"/>
          <w:sz w:val="17"/>
          <w:szCs w:val="17"/>
          <w:color w:val="auto"/>
        </w:rPr>
      </w:pPr>
      <w:r>
        <w:rPr>
          <w:rFonts w:ascii="Arial" w:cs="Arial" w:eastAsia="Arial" w:hAnsi="Arial"/>
          <w:sz w:val="17"/>
          <w:szCs w:val="17"/>
          <w:color w:val="auto"/>
        </w:rPr>
        <w:t xml:space="preserve">Investments in market structure companies, including securities exchanges, venues and clearing firms, in the ordinary course of business;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the aggregate amount of Investments at any one time outstanding under this clause (x) in any such market structure company shall not exceed</w:t>
      </w:r>
      <w:r>
        <w:rPr>
          <w:rFonts w:ascii="Arial" w:cs="Arial" w:eastAsia="Arial" w:hAnsi="Arial"/>
          <w:sz w:val="17"/>
          <w:szCs w:val="17"/>
          <w:i w:val="1"/>
          <w:iCs w:val="1"/>
          <w:color w:val="auto"/>
        </w:rPr>
        <w:t xml:space="preserve"> </w:t>
      </w:r>
      <w:r>
        <w:rPr>
          <w:rFonts w:ascii="Arial" w:cs="Arial" w:eastAsia="Arial" w:hAnsi="Arial"/>
          <w:sz w:val="17"/>
          <w:szCs w:val="17"/>
          <w:color w:val="auto"/>
        </w:rPr>
        <w:t>$50,000,000;</w:t>
      </w:r>
    </w:p>
    <w:p>
      <w:pPr>
        <w:spacing w:after="0" w:line="136" w:lineRule="exact"/>
        <w:rPr>
          <w:rFonts w:ascii="Arial" w:cs="Arial" w:eastAsia="Arial" w:hAnsi="Arial"/>
          <w:sz w:val="17"/>
          <w:szCs w:val="17"/>
          <w:color w:val="auto"/>
        </w:rPr>
      </w:pPr>
    </w:p>
    <w:p>
      <w:pPr>
        <w:ind w:left="1120" w:hanging="557"/>
        <w:spacing w:after="0"/>
        <w:tabs>
          <w:tab w:leader="none" w:pos="1120" w:val="left"/>
        </w:tabs>
        <w:numPr>
          <w:ilvl w:val="0"/>
          <w:numId w:val="226"/>
        </w:numPr>
        <w:rPr>
          <w:rFonts w:ascii="Arial" w:cs="Arial" w:eastAsia="Arial" w:hAnsi="Arial"/>
          <w:sz w:val="17"/>
          <w:szCs w:val="17"/>
          <w:color w:val="auto"/>
        </w:rPr>
      </w:pPr>
      <w:r>
        <w:rPr>
          <w:rFonts w:ascii="Arial" w:cs="Arial" w:eastAsia="Arial" w:hAnsi="Arial"/>
          <w:sz w:val="17"/>
          <w:szCs w:val="17"/>
          <w:color w:val="auto"/>
        </w:rPr>
        <w:t>Investments consisting of Securitization Assets or arising as a result of Permitted Securitization Financings; and</w:t>
      </w:r>
    </w:p>
    <w:p>
      <w:pPr>
        <w:spacing w:after="0" w:line="159" w:lineRule="exact"/>
        <w:rPr>
          <w:rFonts w:ascii="Arial" w:cs="Arial" w:eastAsia="Arial" w:hAnsi="Arial"/>
          <w:sz w:val="17"/>
          <w:szCs w:val="17"/>
          <w:color w:val="auto"/>
        </w:rPr>
      </w:pPr>
    </w:p>
    <w:p>
      <w:pPr>
        <w:jc w:val="both"/>
        <w:ind w:firstLine="563"/>
        <w:spacing w:after="0" w:line="234" w:lineRule="auto"/>
        <w:tabs>
          <w:tab w:leader="none" w:pos="1128" w:val="left"/>
        </w:tabs>
        <w:numPr>
          <w:ilvl w:val="0"/>
          <w:numId w:val="226"/>
        </w:numPr>
        <w:rPr>
          <w:rFonts w:ascii="Arial" w:cs="Arial" w:eastAsia="Arial" w:hAnsi="Arial"/>
          <w:sz w:val="16"/>
          <w:szCs w:val="16"/>
          <w:color w:val="auto"/>
        </w:rPr>
      </w:pPr>
      <w:r>
        <w:rPr>
          <w:rFonts w:ascii="Arial" w:cs="Arial" w:eastAsia="Arial" w:hAnsi="Arial"/>
          <w:sz w:val="16"/>
          <w:szCs w:val="16"/>
          <w:color w:val="auto"/>
        </w:rPr>
        <w:t>Investments by the Borrower and its Subsidiaries, including loans to any direct or indirect parent of the Borrower, if the Borrower or any other Subsidiary would otherwise be permitted to make a Restricted Payment in such amount (valued at the time of the making thereof, and without giving effect to any subsequent changes in value) pursuant to Sections 6.08(a)(iv), (v), (vii) (</w:t>
      </w:r>
      <w:r>
        <w:rPr>
          <w:rFonts w:ascii="Arial" w:cs="Arial" w:eastAsia="Arial" w:hAnsi="Arial"/>
          <w:sz w:val="16"/>
          <w:szCs w:val="16"/>
          <w:i w:val="1"/>
          <w:iCs w:val="1"/>
          <w:color w:val="auto"/>
        </w:rPr>
        <w:t>provided</w:t>
      </w:r>
      <w:r>
        <w:rPr>
          <w:rFonts w:ascii="Arial" w:cs="Arial" w:eastAsia="Arial" w:hAnsi="Arial"/>
          <w:sz w:val="16"/>
          <w:szCs w:val="16"/>
          <w:color w:val="auto"/>
        </w:rPr>
        <w:t>, that the outstanding amount of any such Investment shall also be deemed to be a Restricted Payment under the appropriate clause of Section 6.06 solely for purposes of determining capacity thereunder).</w:t>
      </w:r>
    </w:p>
    <w:p>
      <w:pPr>
        <w:spacing w:after="0" w:line="135" w:lineRule="exact"/>
        <w:rPr>
          <w:sz w:val="20"/>
          <w:szCs w:val="20"/>
          <w:color w:val="auto"/>
        </w:rPr>
      </w:pPr>
    </w:p>
    <w:p>
      <w:pPr>
        <w:jc w:val="both"/>
        <w:ind w:firstLine="568"/>
        <w:spacing w:after="0" w:line="208" w:lineRule="auto"/>
        <w:rPr>
          <w:sz w:val="20"/>
          <w:szCs w:val="20"/>
          <w:color w:val="auto"/>
        </w:rPr>
      </w:pPr>
      <w:r>
        <w:rPr>
          <w:rFonts w:ascii="Arial" w:cs="Arial" w:eastAsia="Arial" w:hAnsi="Arial"/>
          <w:sz w:val="17"/>
          <w:szCs w:val="17"/>
          <w:color w:val="auto"/>
        </w:rPr>
        <w:t>For purposes of determining compliance with this covenant, (A) an Investment need not be permitted solely by reference to one category of permitted Investments (or portion thereof) described in the above clauses but may be permitted in part under any combination thereof, (B) in the event that an Investment (or any portion thereof) meets the criteria of one or more of the categories of permitted Investments (or any portion thereof) described in the above clauses, the Borrower may, in its sole discretion, classify or reclassify, or later divide, classify or reclassify, such permitted Investment (or any portion thereof) in any manner that complies with this covenant and at the time of classification or reclassification will be entitled to only include the amount and type of such Investment (or any portion thereof) in one of the categories of permitted Investments (or any portion thereof) described in the above clauses, (C) if such Investment could have been made as of any time in reliance of any financial test (including the Net Total Leverage Ratio, the Net Secured Leverage Ratio, the Net First Lien Leverage Ratio, the Fixed Charge Coverage Ratio, the Financial Performance Covenant and/or Consolidated EBITDA) based on the most recently delivered financial statements pursuant to Section 5.01(a) and/or (b), such Investment shall be automatically reclassified (with retroactive effect) as having been incurred under the applicable provisions and (D) the amount of any Investment shall be the amount actually invested, without adjustment for subsequent increases or decreases in the value of such Investment, but in each case, without duplication of any adjustments to the amount of Investments permitted under Section 6.04 (other than Section 6.04(l)), net of any return in respect thereof, including dividends, interest, distributions, returns of principal, profits on sale, repayments, income and similar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145</w:t>
      </w:r>
    </w:p>
    <w:p>
      <w:pPr>
        <w:sectPr>
          <w:pgSz w:w="11900" w:h="16838" w:orient="portrait"/>
          <w:cols w:equalWidth="0" w:num="1">
            <w:col w:w="11260"/>
          </w:cols>
          <w:pgMar w:left="320" w:top="1440" w:right="319" w:bottom="1440" w:gutter="0" w:footer="0" w:header="0"/>
        </w:sectPr>
      </w:pPr>
    </w:p>
    <w:bookmarkStart w:id="319" w:name="page320"/>
    <w:bookmarkEnd w:id="319"/>
    <w:p>
      <w:pPr>
        <w:spacing w:after="0" w:line="389" w:lineRule="exact"/>
        <w:rPr>
          <w:sz w:val="20"/>
          <w:szCs w:val="20"/>
          <w:color w:val="auto"/>
        </w:rPr>
      </w:pPr>
    </w:p>
    <w:p>
      <w:pPr>
        <w:jc w:val="both"/>
        <w:ind w:left="5" w:firstLine="568"/>
        <w:spacing w:after="0" w:line="216" w:lineRule="auto"/>
        <w:rPr>
          <w:sz w:val="20"/>
          <w:szCs w:val="20"/>
          <w:color w:val="auto"/>
        </w:rPr>
      </w:pPr>
      <w:r>
        <w:rPr>
          <w:rFonts w:ascii="Arial" w:cs="Arial" w:eastAsia="Arial" w:hAnsi="Arial"/>
          <w:sz w:val="17"/>
          <w:szCs w:val="17"/>
          <w:color w:val="auto"/>
        </w:rPr>
        <w:t xml:space="preserve">Section 1.05. </w:t>
      </w:r>
      <w:r>
        <w:rPr>
          <w:rFonts w:ascii="Arial" w:cs="Arial" w:eastAsia="Arial" w:hAnsi="Arial"/>
          <w:sz w:val="17"/>
          <w:szCs w:val="17"/>
          <w:i w:val="1"/>
          <w:iCs w:val="1"/>
          <w:color w:val="auto"/>
        </w:rPr>
        <w:t>Asset Sales.</w:t>
      </w:r>
      <w:r>
        <w:rPr>
          <w:rFonts w:ascii="Arial" w:cs="Arial" w:eastAsia="Arial" w:hAnsi="Arial"/>
          <w:sz w:val="17"/>
          <w:szCs w:val="17"/>
          <w:color w:val="auto"/>
        </w:rPr>
        <w:t xml:space="preserve"> Neither Holdings nor the Borrower will, nor will they permit any Restricted Subsidiary to, sell, transfer, lease or otherwise dispose of any asset, including any Equity Interest owned by it, nor will Holdings or the Borrower permit any Restricted Subsidiary to issue any additional Equity Interest in such Restricted Subsidiary (other than issuing directors’ qualifying shares, nominal shares issued to foreign nationals to the extent required by applicable Requirements of Law and other than issuing Equity Interests to Holdings, the Borrower or a Restricted Subsidiary in compliance with Section 6.04(c)) (each, a “</w:t>
      </w:r>
      <w:r>
        <w:rPr>
          <w:rFonts w:ascii="Arial" w:cs="Arial" w:eastAsia="Arial" w:hAnsi="Arial"/>
          <w:sz w:val="17"/>
          <w:szCs w:val="17"/>
          <w:b w:val="1"/>
          <w:bCs w:val="1"/>
          <w:color w:val="auto"/>
        </w:rPr>
        <w:t>Disposition</w:t>
      </w:r>
      <w:r>
        <w:rPr>
          <w:rFonts w:ascii="Arial" w:cs="Arial" w:eastAsia="Arial" w:hAnsi="Arial"/>
          <w:sz w:val="17"/>
          <w:szCs w:val="17"/>
          <w:color w:val="auto"/>
        </w:rPr>
        <w:t>”), except:</w:t>
      </w:r>
    </w:p>
    <w:p>
      <w:pPr>
        <w:spacing w:after="0" w:line="138" w:lineRule="exact"/>
        <w:rPr>
          <w:sz w:val="20"/>
          <w:szCs w:val="20"/>
          <w:color w:val="auto"/>
        </w:rPr>
      </w:pPr>
    </w:p>
    <w:p>
      <w:pPr>
        <w:jc w:val="both"/>
        <w:ind w:left="5" w:right="20" w:firstLine="563"/>
        <w:spacing w:after="0" w:line="225" w:lineRule="auto"/>
        <w:tabs>
          <w:tab w:leader="none" w:pos="1133" w:val="left"/>
        </w:tabs>
        <w:numPr>
          <w:ilvl w:val="1"/>
          <w:numId w:val="227"/>
        </w:numPr>
        <w:rPr>
          <w:rFonts w:ascii="Arial" w:cs="Arial" w:eastAsia="Arial" w:hAnsi="Arial"/>
          <w:sz w:val="17"/>
          <w:szCs w:val="17"/>
          <w:color w:val="auto"/>
        </w:rPr>
      </w:pPr>
      <w:r>
        <w:rPr>
          <w:rFonts w:ascii="Arial" w:cs="Arial" w:eastAsia="Arial" w:hAnsi="Arial"/>
          <w:sz w:val="17"/>
          <w:szCs w:val="17"/>
          <w:color w:val="auto"/>
        </w:rPr>
        <w:t>Dispositions of obsolete or worn out property, whether now owned or hereafter acquired, in the ordinary course of business and Dispositions of property (including abandonment of Intellectual Property) no longer used or useful in the conduct of the business of Holdings, any Intermediate Parent, the Borrower and its Restricted Subsidiaries;</w:t>
      </w:r>
    </w:p>
    <w:p>
      <w:pPr>
        <w:spacing w:after="0" w:line="136" w:lineRule="exact"/>
        <w:rPr>
          <w:rFonts w:ascii="Arial" w:cs="Arial" w:eastAsia="Arial" w:hAnsi="Arial"/>
          <w:sz w:val="17"/>
          <w:szCs w:val="17"/>
          <w:color w:val="auto"/>
        </w:rPr>
      </w:pPr>
    </w:p>
    <w:p>
      <w:pPr>
        <w:ind w:left="1125" w:hanging="557"/>
        <w:spacing w:after="0"/>
        <w:tabs>
          <w:tab w:leader="none" w:pos="1125" w:val="left"/>
        </w:tabs>
        <w:numPr>
          <w:ilvl w:val="1"/>
          <w:numId w:val="227"/>
        </w:numPr>
        <w:rPr>
          <w:rFonts w:ascii="Arial" w:cs="Arial" w:eastAsia="Arial" w:hAnsi="Arial"/>
          <w:sz w:val="17"/>
          <w:szCs w:val="17"/>
          <w:color w:val="auto"/>
        </w:rPr>
      </w:pPr>
      <w:r>
        <w:rPr>
          <w:rFonts w:ascii="Arial" w:cs="Arial" w:eastAsia="Arial" w:hAnsi="Arial"/>
          <w:sz w:val="17"/>
          <w:szCs w:val="17"/>
          <w:color w:val="auto"/>
        </w:rPr>
        <w:t>Dispositions of inventory and other assets in the ordinary course of business;</w:t>
      </w:r>
    </w:p>
    <w:p>
      <w:pPr>
        <w:spacing w:after="0" w:line="155" w:lineRule="exact"/>
        <w:rPr>
          <w:rFonts w:ascii="Arial" w:cs="Arial" w:eastAsia="Arial" w:hAnsi="Arial"/>
          <w:sz w:val="17"/>
          <w:szCs w:val="17"/>
          <w:color w:val="auto"/>
        </w:rPr>
      </w:pPr>
    </w:p>
    <w:p>
      <w:pPr>
        <w:ind w:left="1125" w:hanging="557"/>
        <w:spacing w:after="0"/>
        <w:tabs>
          <w:tab w:leader="none" w:pos="1125" w:val="left"/>
        </w:tabs>
        <w:numPr>
          <w:ilvl w:val="1"/>
          <w:numId w:val="227"/>
        </w:numPr>
        <w:rPr>
          <w:rFonts w:ascii="Arial" w:cs="Arial" w:eastAsia="Arial" w:hAnsi="Arial"/>
          <w:sz w:val="16"/>
          <w:szCs w:val="16"/>
          <w:color w:val="auto"/>
        </w:rPr>
      </w:pPr>
      <w:r>
        <w:rPr>
          <w:rFonts w:ascii="Arial" w:cs="Arial" w:eastAsia="Arial" w:hAnsi="Arial"/>
          <w:sz w:val="16"/>
          <w:szCs w:val="16"/>
          <w:color w:val="auto"/>
        </w:rPr>
        <w:t>Dispositions of property to the extent that (i) such property is exchanged for credit against the purchase price of similar replacement property or</w:t>
      </w:r>
    </w:p>
    <w:p>
      <w:pPr>
        <w:ind w:left="265" w:hanging="265"/>
        <w:spacing w:after="0"/>
        <w:tabs>
          <w:tab w:leader="none" w:pos="265" w:val="left"/>
        </w:tabs>
        <w:numPr>
          <w:ilvl w:val="0"/>
          <w:numId w:val="228"/>
        </w:numPr>
        <w:rPr>
          <w:rFonts w:ascii="Arial" w:cs="Arial" w:eastAsia="Arial" w:hAnsi="Arial"/>
          <w:sz w:val="17"/>
          <w:szCs w:val="17"/>
          <w:color w:val="auto"/>
        </w:rPr>
      </w:pPr>
      <w:r>
        <w:rPr>
          <w:rFonts w:ascii="Arial" w:cs="Arial" w:eastAsia="Arial" w:hAnsi="Arial"/>
          <w:sz w:val="17"/>
          <w:szCs w:val="17"/>
          <w:color w:val="auto"/>
        </w:rPr>
        <w:t>the proceeds of such Disposition are promptly applied to the purchase price of such replacement property;</w:t>
      </w:r>
    </w:p>
    <w:p>
      <w:pPr>
        <w:spacing w:after="0" w:line="145" w:lineRule="exact"/>
        <w:rPr>
          <w:rFonts w:ascii="Arial" w:cs="Arial" w:eastAsia="Arial" w:hAnsi="Arial"/>
          <w:sz w:val="17"/>
          <w:szCs w:val="17"/>
          <w:color w:val="auto"/>
        </w:rPr>
      </w:pPr>
    </w:p>
    <w:p>
      <w:pPr>
        <w:jc w:val="both"/>
        <w:ind w:left="5" w:right="20" w:firstLine="563"/>
        <w:spacing w:after="0" w:line="216" w:lineRule="auto"/>
        <w:tabs>
          <w:tab w:leader="none" w:pos="1131" w:val="left"/>
        </w:tabs>
        <w:numPr>
          <w:ilvl w:val="1"/>
          <w:numId w:val="228"/>
        </w:numPr>
        <w:rPr>
          <w:rFonts w:ascii="Arial" w:cs="Arial" w:eastAsia="Arial" w:hAnsi="Arial"/>
          <w:sz w:val="17"/>
          <w:szCs w:val="17"/>
          <w:color w:val="auto"/>
        </w:rPr>
      </w:pPr>
      <w:r>
        <w:rPr>
          <w:rFonts w:ascii="Arial" w:cs="Arial" w:eastAsia="Arial" w:hAnsi="Arial"/>
          <w:sz w:val="17"/>
          <w:szCs w:val="17"/>
          <w:color w:val="auto"/>
        </w:rPr>
        <w:t xml:space="preserve">Dispositions of property to the Borrower or a Restricted Subsidiary;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transferor in such a transaction is a Loan Party, then (i) the transferee must be a Loan Party or (ii) if the transferee is not a Loan Party, then (A) to the extent constituting an Investment, such Investment must be a permitted Investment in a Restricted Subsidiary that is not a Loan Party in accordance with Section 6.04 or (B) to the extent constituting a Disposition, such Disposition is for fair value and any promissory note or other non-cash consideration received in respect thereof is a permitted investment in a Restricted Subsidiary that is not a Loan Party in accordance with Section 6.04;</w:t>
      </w:r>
    </w:p>
    <w:p>
      <w:pPr>
        <w:spacing w:after="0" w:line="138" w:lineRule="exact"/>
        <w:rPr>
          <w:rFonts w:ascii="Arial" w:cs="Arial" w:eastAsia="Arial" w:hAnsi="Arial"/>
          <w:sz w:val="17"/>
          <w:szCs w:val="17"/>
          <w:color w:val="auto"/>
        </w:rPr>
      </w:pPr>
    </w:p>
    <w:p>
      <w:pPr>
        <w:ind w:left="5" w:firstLine="563"/>
        <w:spacing w:after="0" w:line="237" w:lineRule="auto"/>
        <w:tabs>
          <w:tab w:leader="none" w:pos="1133" w:val="left"/>
        </w:tabs>
        <w:numPr>
          <w:ilvl w:val="1"/>
          <w:numId w:val="228"/>
        </w:numPr>
        <w:rPr>
          <w:rFonts w:ascii="Arial" w:cs="Arial" w:eastAsia="Arial" w:hAnsi="Arial"/>
          <w:sz w:val="17"/>
          <w:szCs w:val="17"/>
          <w:color w:val="auto"/>
        </w:rPr>
      </w:pPr>
      <w:r>
        <w:rPr>
          <w:rFonts w:ascii="Arial" w:cs="Arial" w:eastAsia="Arial" w:hAnsi="Arial"/>
          <w:sz w:val="17"/>
          <w:szCs w:val="17"/>
          <w:color w:val="auto"/>
        </w:rPr>
        <w:t>Dispositions permitted by Section 6.03 (other than Section 6.03(a)(vii)), Investments permitted by Section 6.04, Restricted Payments permitted by Section 6.08 and Liens permitted by Section 6.02;</w:t>
      </w:r>
    </w:p>
    <w:p>
      <w:pPr>
        <w:spacing w:after="0" w:line="134" w:lineRule="exact"/>
        <w:rPr>
          <w:rFonts w:ascii="Arial" w:cs="Arial" w:eastAsia="Arial" w:hAnsi="Arial"/>
          <w:sz w:val="17"/>
          <w:szCs w:val="17"/>
          <w:color w:val="auto"/>
        </w:rPr>
      </w:pPr>
    </w:p>
    <w:p>
      <w:pPr>
        <w:ind w:left="5" w:right="20" w:firstLine="563"/>
        <w:spacing w:after="0" w:line="264" w:lineRule="auto"/>
        <w:tabs>
          <w:tab w:leader="none" w:pos="1137" w:val="left"/>
        </w:tabs>
        <w:numPr>
          <w:ilvl w:val="1"/>
          <w:numId w:val="228"/>
        </w:numPr>
        <w:rPr>
          <w:rFonts w:ascii="Arial" w:cs="Arial" w:eastAsia="Arial" w:hAnsi="Arial"/>
          <w:sz w:val="16"/>
          <w:szCs w:val="16"/>
          <w:color w:val="auto"/>
        </w:rPr>
      </w:pPr>
      <w:r>
        <w:rPr>
          <w:rFonts w:ascii="Arial" w:cs="Arial" w:eastAsia="Arial" w:hAnsi="Arial"/>
          <w:sz w:val="16"/>
          <w:szCs w:val="16"/>
          <w:color w:val="auto"/>
        </w:rPr>
        <w:t>the Disposition (including by capital contribution) of (i) Securitization Assets including pursuant to Permitted Securitization Financings, (ii) any other Securitization Assets subject to Liens securing Permitted Securitization Financing and (iii) receivables in connection with a receivables financing;</w:t>
      </w:r>
    </w:p>
    <w:p>
      <w:pPr>
        <w:spacing w:after="0" w:line="116" w:lineRule="exact"/>
        <w:rPr>
          <w:rFonts w:ascii="Arial" w:cs="Arial" w:eastAsia="Arial" w:hAnsi="Arial"/>
          <w:sz w:val="16"/>
          <w:szCs w:val="16"/>
          <w:color w:val="auto"/>
        </w:rPr>
      </w:pPr>
    </w:p>
    <w:p>
      <w:pPr>
        <w:ind w:left="1125" w:hanging="557"/>
        <w:spacing w:after="0"/>
        <w:tabs>
          <w:tab w:leader="none" w:pos="1125" w:val="left"/>
        </w:tabs>
        <w:numPr>
          <w:ilvl w:val="1"/>
          <w:numId w:val="228"/>
        </w:numPr>
        <w:rPr>
          <w:rFonts w:ascii="Arial" w:cs="Arial" w:eastAsia="Arial" w:hAnsi="Arial"/>
          <w:sz w:val="17"/>
          <w:szCs w:val="17"/>
          <w:color w:val="auto"/>
        </w:rPr>
      </w:pPr>
      <w:r>
        <w:rPr>
          <w:rFonts w:ascii="Arial" w:cs="Arial" w:eastAsia="Arial" w:hAnsi="Arial"/>
          <w:sz w:val="17"/>
          <w:szCs w:val="17"/>
          <w:color w:val="auto"/>
        </w:rPr>
        <w:t>Dispositions of Permitted Investments;</w:t>
      </w:r>
    </w:p>
    <w:p>
      <w:pPr>
        <w:spacing w:after="0" w:line="159" w:lineRule="exact"/>
        <w:rPr>
          <w:rFonts w:ascii="Arial" w:cs="Arial" w:eastAsia="Arial" w:hAnsi="Arial"/>
          <w:sz w:val="17"/>
          <w:szCs w:val="17"/>
          <w:color w:val="auto"/>
        </w:rPr>
      </w:pPr>
    </w:p>
    <w:p>
      <w:pPr>
        <w:ind w:left="1125" w:hanging="557"/>
        <w:spacing w:after="0"/>
        <w:tabs>
          <w:tab w:leader="none" w:pos="1125" w:val="left"/>
        </w:tabs>
        <w:numPr>
          <w:ilvl w:val="1"/>
          <w:numId w:val="228"/>
        </w:numPr>
        <w:rPr>
          <w:rFonts w:ascii="Arial" w:cs="Arial" w:eastAsia="Arial" w:hAnsi="Arial"/>
          <w:sz w:val="17"/>
          <w:szCs w:val="17"/>
          <w:color w:val="auto"/>
        </w:rPr>
      </w:pPr>
      <w:r>
        <w:rPr>
          <w:rFonts w:ascii="Arial" w:cs="Arial" w:eastAsia="Arial" w:hAnsi="Arial"/>
          <w:sz w:val="17"/>
          <w:szCs w:val="17"/>
          <w:color w:val="auto"/>
        </w:rPr>
        <w:t>Dispositions of accounts receivable in connection with the collection or compromise thereof;</w:t>
      </w:r>
    </w:p>
    <w:p>
      <w:pPr>
        <w:spacing w:after="0" w:line="159" w:lineRule="exact"/>
        <w:rPr>
          <w:rFonts w:ascii="Arial" w:cs="Arial" w:eastAsia="Arial" w:hAnsi="Arial"/>
          <w:sz w:val="17"/>
          <w:szCs w:val="17"/>
          <w:color w:val="auto"/>
        </w:rPr>
      </w:pPr>
    </w:p>
    <w:p>
      <w:pPr>
        <w:ind w:left="5" w:firstLine="563"/>
        <w:spacing w:after="0" w:line="264" w:lineRule="auto"/>
        <w:tabs>
          <w:tab w:leader="none" w:pos="1140" w:val="left"/>
        </w:tabs>
        <w:numPr>
          <w:ilvl w:val="1"/>
          <w:numId w:val="228"/>
        </w:numPr>
        <w:rPr>
          <w:rFonts w:ascii="Arial" w:cs="Arial" w:eastAsia="Arial" w:hAnsi="Arial"/>
          <w:sz w:val="16"/>
          <w:szCs w:val="16"/>
          <w:color w:val="auto"/>
        </w:rPr>
      </w:pPr>
      <w:r>
        <w:rPr>
          <w:rFonts w:ascii="Arial" w:cs="Arial" w:eastAsia="Arial" w:hAnsi="Arial"/>
          <w:sz w:val="16"/>
          <w:szCs w:val="16"/>
          <w:color w:val="auto"/>
        </w:rPr>
        <w:t>leases, subleases, licenses or sublicenses (including the provision of software under an open source license), in each case in the ordinary course of business and that do not materially interfere with the business of Holdings, the Borrower and its Restricted Subsidiaries, taken as a whole;</w:t>
      </w:r>
    </w:p>
    <w:p>
      <w:pPr>
        <w:spacing w:after="0" w:line="116" w:lineRule="exact"/>
        <w:rPr>
          <w:rFonts w:ascii="Arial" w:cs="Arial" w:eastAsia="Arial" w:hAnsi="Arial"/>
          <w:sz w:val="16"/>
          <w:szCs w:val="16"/>
          <w:color w:val="auto"/>
        </w:rPr>
      </w:pPr>
    </w:p>
    <w:p>
      <w:pPr>
        <w:ind w:left="1125" w:hanging="557"/>
        <w:spacing w:after="0"/>
        <w:tabs>
          <w:tab w:leader="none" w:pos="1125" w:val="left"/>
        </w:tabs>
        <w:numPr>
          <w:ilvl w:val="1"/>
          <w:numId w:val="228"/>
        </w:numPr>
        <w:rPr>
          <w:rFonts w:ascii="Arial" w:cs="Arial" w:eastAsia="Arial" w:hAnsi="Arial"/>
          <w:sz w:val="17"/>
          <w:szCs w:val="17"/>
          <w:color w:val="auto"/>
        </w:rPr>
      </w:pPr>
      <w:r>
        <w:rPr>
          <w:rFonts w:ascii="Arial" w:cs="Arial" w:eastAsia="Arial" w:hAnsi="Arial"/>
          <w:sz w:val="17"/>
          <w:szCs w:val="17"/>
          <w:color w:val="auto"/>
        </w:rPr>
        <w:t>transfers of property subject to Casualty Events upon receipt of the Net Proceeds of such Casualty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4"/>
        <w:spacing w:after="0"/>
        <w:rPr>
          <w:sz w:val="20"/>
          <w:szCs w:val="20"/>
          <w:color w:val="auto"/>
        </w:rPr>
      </w:pPr>
      <w:r>
        <w:rPr>
          <w:rFonts w:ascii="Arial" w:cs="Arial" w:eastAsia="Arial" w:hAnsi="Arial"/>
          <w:sz w:val="17"/>
          <w:szCs w:val="17"/>
          <w:color w:val="auto"/>
        </w:rPr>
        <w:t>146</w:t>
      </w:r>
    </w:p>
    <w:p>
      <w:pPr>
        <w:sectPr>
          <w:pgSz w:w="11900" w:h="16838" w:orient="portrait"/>
          <w:cols w:equalWidth="0" w:num="1">
            <w:col w:w="11265"/>
          </w:cols>
          <w:pgMar w:left="315" w:top="1440" w:right="319" w:bottom="1440" w:gutter="0" w:footer="0" w:header="0"/>
        </w:sectPr>
      </w:pPr>
    </w:p>
    <w:bookmarkStart w:id="320" w:name="page321"/>
    <w:bookmarkEnd w:id="320"/>
    <w:p>
      <w:pPr>
        <w:spacing w:after="0" w:line="390" w:lineRule="exact"/>
        <w:rPr>
          <w:sz w:val="20"/>
          <w:szCs w:val="20"/>
          <w:color w:val="auto"/>
        </w:rPr>
      </w:pPr>
    </w:p>
    <w:p>
      <w:pPr>
        <w:jc w:val="both"/>
        <w:ind w:firstLine="563"/>
        <w:spacing w:after="0" w:line="220" w:lineRule="auto"/>
        <w:tabs>
          <w:tab w:leader="none" w:pos="1126" w:val="left"/>
        </w:tabs>
        <w:numPr>
          <w:ilvl w:val="0"/>
          <w:numId w:val="229"/>
        </w:numPr>
        <w:rPr>
          <w:rFonts w:ascii="Arial" w:cs="Arial" w:eastAsia="Arial" w:hAnsi="Arial"/>
          <w:sz w:val="16"/>
          <w:szCs w:val="16"/>
          <w:color w:val="auto"/>
        </w:rPr>
      </w:pPr>
      <w:r>
        <w:rPr>
          <w:rFonts w:ascii="Arial" w:cs="Arial" w:eastAsia="Arial" w:hAnsi="Arial"/>
          <w:sz w:val="16"/>
          <w:szCs w:val="16"/>
          <w:color w:val="auto"/>
        </w:rPr>
        <w:t xml:space="preserve">Dispositions of property to Persons other than Restricted Subsidiaries (including the sale or issuance of Equity Interests of a Restricted Subsidiary) not otherwise permitted under this Section 6.05;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no Event of Default shall exist at the time of, or would result from, such Disposition (other than any such Disposition made pursuant to a legally binding commitment entered into at a time when no Event of Default existed or would have resulted from such Disposition) and (ii) with respect to any Disposition pursuant to this clause (k) for a purchase price in excess of the greater of $20,000,000 and 2% of Consolidated EBITDA calculated on a Pro Forma Basis for the most recently ended Test Period for which financial statements are available, Holdings, the Borrower or a Restricted Subsidiary shall receive not less than 75% of such consideration in the form of cash or Permitted Investments;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for the purposes of this clause (ii), (A) any liabilities (as shown on the most recent balance sheet of Holdings provided hereunder or in the footnotes thereto) of Holdings, the Borrower or such Restricted Subsidiary, other than liabilities that are by their terms subordinated in right of payment to the Loan Document Obligations, that are assumed by the transferee with respect to the applicable Disposition and for which Holdings, any Intermediate Parent, the Borrower and all of the Restricted Subsidiaries shall have been validly released by all applicable creditors in writing, shall be deemed to be cash, (B) any securities received by Holdings, any Intermediate Parent, the Borrower or such Restricted Subsidiary from such transferee that are converted by Holdings, any Intermediate Parent, the Borrower or such Restricted Subsidiary into cash or Permitted Investments (to the extent of the cash or Permitted Investments received), shall be deemed to be cash and (C) any Designated Non-Cash Consideration received by Holdings, any Intermediate Parent, the Borrower or such Restricted Subsidiary in respect of such Disposition having an aggregate fair market value, taken together with all other Designated Non-Cash Consideration received pursuant to this clause (k) that is at that time outstanding, not in excess of the greater of $100,000,000 and 10% of Consolidated EBITDA calculated on a Pro Forma Basis for the most recently ended Test Period for which financial statements are available at the time of the receipt of such Designated Non-Cash Consideration, with the fair market value of each item of Designated Non-Cash Consideration being measured at the time received and without giving effect to subsequent changes in value, shall be deemed to be cash;</w:t>
      </w:r>
    </w:p>
    <w:p>
      <w:pPr>
        <w:spacing w:after="0" w:line="137" w:lineRule="exact"/>
        <w:rPr>
          <w:rFonts w:ascii="Arial" w:cs="Arial" w:eastAsia="Arial" w:hAnsi="Arial"/>
          <w:sz w:val="16"/>
          <w:szCs w:val="16"/>
          <w:color w:val="auto"/>
        </w:rPr>
      </w:pPr>
    </w:p>
    <w:p>
      <w:pPr>
        <w:ind w:right="20" w:firstLine="563"/>
        <w:spacing w:after="0" w:line="237" w:lineRule="auto"/>
        <w:tabs>
          <w:tab w:leader="none" w:pos="1134" w:val="left"/>
        </w:tabs>
        <w:numPr>
          <w:ilvl w:val="0"/>
          <w:numId w:val="229"/>
        </w:numPr>
        <w:rPr>
          <w:rFonts w:ascii="Arial" w:cs="Arial" w:eastAsia="Arial" w:hAnsi="Arial"/>
          <w:sz w:val="17"/>
          <w:szCs w:val="17"/>
          <w:color w:val="auto"/>
        </w:rPr>
      </w:pPr>
      <w:r>
        <w:rPr>
          <w:rFonts w:ascii="Arial" w:cs="Arial" w:eastAsia="Arial" w:hAnsi="Arial"/>
          <w:sz w:val="17"/>
          <w:szCs w:val="17"/>
          <w:color w:val="auto"/>
        </w:rPr>
        <w:t>Dispositions of Investments in Joint Ventures to the extent required by, or made pursuant to customary buy/sell arrangements between, the joint venture parties set forth in joint venture arrangements and similar binding arrangements;</w:t>
      </w:r>
    </w:p>
    <w:p>
      <w:pPr>
        <w:spacing w:after="0" w:line="134" w:lineRule="exact"/>
        <w:rPr>
          <w:rFonts w:ascii="Arial" w:cs="Arial" w:eastAsia="Arial" w:hAnsi="Arial"/>
          <w:sz w:val="17"/>
          <w:szCs w:val="17"/>
          <w:color w:val="auto"/>
        </w:rPr>
      </w:pPr>
    </w:p>
    <w:p>
      <w:pPr>
        <w:ind w:left="1120" w:hanging="557"/>
        <w:spacing w:after="0"/>
        <w:tabs>
          <w:tab w:leader="none" w:pos="1120" w:val="left"/>
        </w:tabs>
        <w:numPr>
          <w:ilvl w:val="0"/>
          <w:numId w:val="229"/>
        </w:numPr>
        <w:rPr>
          <w:rFonts w:ascii="Arial" w:cs="Arial" w:eastAsia="Arial" w:hAnsi="Arial"/>
          <w:sz w:val="17"/>
          <w:szCs w:val="17"/>
          <w:color w:val="auto"/>
        </w:rPr>
      </w:pPr>
      <w:r>
        <w:rPr>
          <w:rFonts w:ascii="Arial" w:cs="Arial" w:eastAsia="Arial" w:hAnsi="Arial"/>
          <w:sz w:val="17"/>
          <w:szCs w:val="17"/>
          <w:color w:val="auto"/>
        </w:rPr>
        <w:t>Dispositions of assets listed on Schedule 6.05;</w:t>
      </w:r>
    </w:p>
    <w:p>
      <w:pPr>
        <w:spacing w:after="0" w:line="159" w:lineRule="exact"/>
        <w:rPr>
          <w:rFonts w:ascii="Arial" w:cs="Arial" w:eastAsia="Arial" w:hAnsi="Arial"/>
          <w:sz w:val="17"/>
          <w:szCs w:val="17"/>
          <w:color w:val="auto"/>
        </w:rPr>
      </w:pPr>
    </w:p>
    <w:p>
      <w:pPr>
        <w:jc w:val="both"/>
        <w:ind w:right="20" w:firstLine="563"/>
        <w:spacing w:after="0"/>
        <w:tabs>
          <w:tab w:leader="none" w:pos="1126" w:val="left"/>
        </w:tabs>
        <w:numPr>
          <w:ilvl w:val="0"/>
          <w:numId w:val="229"/>
        </w:numPr>
        <w:rPr>
          <w:rFonts w:ascii="Arial" w:cs="Arial" w:eastAsia="Arial" w:hAnsi="Arial"/>
          <w:sz w:val="16"/>
          <w:szCs w:val="16"/>
          <w:color w:val="auto"/>
        </w:rPr>
      </w:pPr>
      <w:r>
        <w:rPr>
          <w:rFonts w:ascii="Arial" w:cs="Arial" w:eastAsia="Arial" w:hAnsi="Arial"/>
          <w:sz w:val="16"/>
          <w:szCs w:val="16"/>
          <w:color w:val="auto"/>
        </w:rPr>
        <w:t xml:space="preserve">Dispositions of non-core assets acquired in a Permitted Acquisition or other similar Investment;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such assets were identified to the Administrative Agent in writing as non-core assets within thirty days of the time that the applicable Permitted Acquisition was consummated and (B) such Disposition is consummated within two years after the date on which the applicable Permitted Acquisition was consummated;</w:t>
      </w:r>
    </w:p>
    <w:p>
      <w:pPr>
        <w:spacing w:after="0" w:line="134" w:lineRule="exact"/>
        <w:rPr>
          <w:rFonts w:ascii="Arial" w:cs="Arial" w:eastAsia="Arial" w:hAnsi="Arial"/>
          <w:sz w:val="16"/>
          <w:szCs w:val="16"/>
          <w:color w:val="auto"/>
        </w:rPr>
      </w:pPr>
    </w:p>
    <w:p>
      <w:pPr>
        <w:ind w:firstLine="563"/>
        <w:spacing w:after="0" w:line="237" w:lineRule="auto"/>
        <w:tabs>
          <w:tab w:leader="none" w:pos="1126" w:val="left"/>
        </w:tabs>
        <w:numPr>
          <w:ilvl w:val="0"/>
          <w:numId w:val="229"/>
        </w:numPr>
        <w:rPr>
          <w:rFonts w:ascii="Arial" w:cs="Arial" w:eastAsia="Arial" w:hAnsi="Arial"/>
          <w:sz w:val="17"/>
          <w:szCs w:val="17"/>
          <w:color w:val="auto"/>
        </w:rPr>
      </w:pPr>
      <w:r>
        <w:rPr>
          <w:rFonts w:ascii="Arial" w:cs="Arial" w:eastAsia="Arial" w:hAnsi="Arial"/>
          <w:sz w:val="17"/>
          <w:szCs w:val="17"/>
          <w:color w:val="auto"/>
        </w:rPr>
        <w:t>Dispositions of securities, Swap Agreements and other financial instruments as part of the ordinary course trading business of the Borrower and its Restricted Subsidiaries; and</w:t>
      </w:r>
    </w:p>
    <w:p>
      <w:pPr>
        <w:spacing w:after="0" w:line="134" w:lineRule="exact"/>
        <w:rPr>
          <w:rFonts w:ascii="Arial" w:cs="Arial" w:eastAsia="Arial" w:hAnsi="Arial"/>
          <w:sz w:val="17"/>
          <w:szCs w:val="17"/>
          <w:color w:val="auto"/>
        </w:rPr>
      </w:pPr>
    </w:p>
    <w:p>
      <w:pPr>
        <w:ind w:right="20" w:firstLine="563"/>
        <w:spacing w:after="0" w:line="264" w:lineRule="auto"/>
        <w:tabs>
          <w:tab w:leader="none" w:pos="1126" w:val="left"/>
        </w:tabs>
        <w:numPr>
          <w:ilvl w:val="0"/>
          <w:numId w:val="229"/>
        </w:numPr>
        <w:rPr>
          <w:rFonts w:ascii="Arial" w:cs="Arial" w:eastAsia="Arial" w:hAnsi="Arial"/>
          <w:sz w:val="16"/>
          <w:szCs w:val="16"/>
          <w:color w:val="auto"/>
        </w:rPr>
      </w:pPr>
      <w:r>
        <w:rPr>
          <w:rFonts w:ascii="Arial" w:cs="Arial" w:eastAsia="Arial" w:hAnsi="Arial"/>
          <w:sz w:val="16"/>
          <w:szCs w:val="16"/>
          <w:color w:val="auto"/>
        </w:rPr>
        <w:t>Dispositions of non-core assets made or acquired after the Closing Date with an aggregate value not in excess of the greater of $100,000,000 and 10% of Consolidated EBITDA calculated on a Pro Forma Basis for the most recently ended Test Period for which financial statements are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147</w:t>
      </w:r>
    </w:p>
    <w:p>
      <w:pPr>
        <w:sectPr>
          <w:pgSz w:w="11900" w:h="16838" w:orient="portrait"/>
          <w:cols w:equalWidth="0" w:num="1">
            <w:col w:w="11260"/>
          </w:cols>
          <w:pgMar w:left="320" w:top="1440" w:right="319" w:bottom="1440" w:gutter="0" w:footer="0" w:header="0"/>
        </w:sectPr>
      </w:pPr>
    </w:p>
    <w:bookmarkStart w:id="321" w:name="page322"/>
    <w:bookmarkEnd w:id="321"/>
    <w:p>
      <w:pPr>
        <w:spacing w:after="0" w:line="390" w:lineRule="exact"/>
        <w:rPr>
          <w:sz w:val="20"/>
          <w:szCs w:val="20"/>
          <w:color w:val="auto"/>
        </w:rPr>
      </w:pPr>
    </w:p>
    <w:p>
      <w:pPr>
        <w:jc w:val="both"/>
        <w:spacing w:after="0" w:line="237" w:lineRule="auto"/>
        <w:rPr>
          <w:sz w:val="20"/>
          <w:szCs w:val="20"/>
          <w:color w:val="auto"/>
        </w:rPr>
      </w:pP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any Disposition of any property pursuant to clauses (k), (m), (n) or (p) of this Section 6.05 shall be for no less than the fair market value (as</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determined in good faith by the Borrower) of such property at the time of such Disposition.</w:t>
      </w:r>
    </w:p>
    <w:p>
      <w:pPr>
        <w:spacing w:after="0" w:line="135" w:lineRule="exact"/>
        <w:rPr>
          <w:sz w:val="20"/>
          <w:szCs w:val="20"/>
          <w:color w:val="auto"/>
        </w:rPr>
      </w:pPr>
    </w:p>
    <w:p>
      <w:pPr>
        <w:ind w:left="560"/>
        <w:spacing w:after="0"/>
        <w:tabs>
          <w:tab w:leader="none" w:pos="1680" w:val="left"/>
        </w:tabs>
        <w:rPr>
          <w:sz w:val="20"/>
          <w:szCs w:val="20"/>
          <w:color w:val="auto"/>
        </w:rPr>
      </w:pPr>
      <w:r>
        <w:rPr>
          <w:rFonts w:ascii="Arial" w:cs="Arial" w:eastAsia="Arial" w:hAnsi="Arial"/>
          <w:sz w:val="17"/>
          <w:szCs w:val="17"/>
          <w:color w:val="auto"/>
        </w:rPr>
        <w:t>Section 1.06.</w:t>
      </w:r>
      <w:r>
        <w:rPr>
          <w:sz w:val="20"/>
          <w:szCs w:val="20"/>
          <w:color w:val="auto"/>
        </w:rPr>
        <w:tab/>
      </w:r>
      <w:r>
        <w:rPr>
          <w:rFonts w:ascii="Arial" w:cs="Arial" w:eastAsia="Arial" w:hAnsi="Arial"/>
          <w:sz w:val="16"/>
          <w:szCs w:val="16"/>
          <w:i w:val="1"/>
          <w:iCs w:val="1"/>
          <w:color w:val="auto"/>
        </w:rPr>
        <w:t>[Reserved].</w:t>
      </w:r>
    </w:p>
    <w:p>
      <w:pPr>
        <w:spacing w:after="0" w:line="160" w:lineRule="exact"/>
        <w:rPr>
          <w:sz w:val="20"/>
          <w:szCs w:val="20"/>
          <w:color w:val="auto"/>
        </w:rPr>
      </w:pPr>
    </w:p>
    <w:p>
      <w:pPr>
        <w:jc w:val="both"/>
        <w:ind w:firstLine="568"/>
        <w:spacing w:after="0" w:line="226" w:lineRule="auto"/>
        <w:rPr>
          <w:sz w:val="20"/>
          <w:szCs w:val="20"/>
          <w:color w:val="auto"/>
        </w:rPr>
      </w:pPr>
      <w:r>
        <w:rPr>
          <w:rFonts w:ascii="Arial" w:cs="Arial" w:eastAsia="Arial" w:hAnsi="Arial"/>
          <w:sz w:val="16"/>
          <w:szCs w:val="16"/>
          <w:color w:val="auto"/>
        </w:rPr>
        <w:t xml:space="preserve">Section 1.07. </w:t>
      </w:r>
      <w:r>
        <w:rPr>
          <w:rFonts w:ascii="Arial" w:cs="Arial" w:eastAsia="Arial" w:hAnsi="Arial"/>
          <w:sz w:val="16"/>
          <w:szCs w:val="16"/>
          <w:i w:val="1"/>
          <w:iCs w:val="1"/>
          <w:color w:val="auto"/>
        </w:rPr>
        <w:t>Swap Agreements.</w:t>
      </w:r>
      <w:r>
        <w:rPr>
          <w:rFonts w:ascii="Arial" w:cs="Arial" w:eastAsia="Arial" w:hAnsi="Arial"/>
          <w:sz w:val="16"/>
          <w:szCs w:val="16"/>
          <w:color w:val="auto"/>
        </w:rPr>
        <w:t xml:space="preserve"> Neither Holdings nor the Borrower will, nor will they permit any Restricted Subsidiary or Intermediate Parent to, enter into any Swap Agreement, except (a) (i) Swap Agreements entered into to hedge or mitigate risks to which Holdings, the Borrower or any Restricted Subsidiary has actual exposure (other than those in respect of shares of capital stock or other Equity Interests of Holdings, the Borrower or any Restricted Subsidiary) and (ii) Swap Agreements entered into in order to effectively cap, collar or exchange interest rates (from fixed to floating rates, from one floating rate to another floating rate or otherwise) with respect to any interest-bearing liability or investment of Holdings, the Borrower or any Restricted Subsidiary;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Swap Agreement entered into pursuant to this clause (a) shall be entered into in the ordinary course of business and not for speculative purposes and (b) Swap Agreements entered into in the ordinary course trading business of the Borrower or any Restricted Subsidiary.</w:t>
      </w:r>
    </w:p>
    <w:p>
      <w:pPr>
        <w:spacing w:after="0" w:line="137" w:lineRule="exact"/>
        <w:rPr>
          <w:sz w:val="20"/>
          <w:szCs w:val="20"/>
          <w:color w:val="auto"/>
        </w:rPr>
      </w:pPr>
    </w:p>
    <w:p>
      <w:pPr>
        <w:ind w:left="560"/>
        <w:spacing w:after="0"/>
        <w:tabs>
          <w:tab w:leader="none" w:pos="1680" w:val="left"/>
        </w:tabs>
        <w:rPr>
          <w:sz w:val="20"/>
          <w:szCs w:val="20"/>
          <w:color w:val="auto"/>
        </w:rPr>
      </w:pPr>
      <w:r>
        <w:rPr>
          <w:rFonts w:ascii="Arial" w:cs="Arial" w:eastAsia="Arial" w:hAnsi="Arial"/>
          <w:sz w:val="17"/>
          <w:szCs w:val="17"/>
          <w:color w:val="auto"/>
        </w:rPr>
        <w:t>Section 1.08.</w:t>
      </w:r>
      <w:r>
        <w:rPr>
          <w:sz w:val="20"/>
          <w:szCs w:val="20"/>
          <w:color w:val="auto"/>
        </w:rPr>
        <w:tab/>
      </w:r>
      <w:r>
        <w:rPr>
          <w:rFonts w:ascii="Arial" w:cs="Arial" w:eastAsia="Arial" w:hAnsi="Arial"/>
          <w:sz w:val="15"/>
          <w:szCs w:val="15"/>
          <w:i w:val="1"/>
          <w:iCs w:val="1"/>
          <w:color w:val="auto"/>
        </w:rPr>
        <w:t>Restricted Payments; Certain Payments of Indebtedness</w:t>
      </w:r>
      <w:r>
        <w:rPr>
          <w:rFonts w:ascii="Arial" w:cs="Arial" w:eastAsia="Arial" w:hAnsi="Arial"/>
          <w:sz w:val="15"/>
          <w:szCs w:val="15"/>
          <w:color w:val="auto"/>
        </w:rPr>
        <w:t>.</w:t>
      </w:r>
    </w:p>
    <w:p>
      <w:pPr>
        <w:spacing w:after="0" w:line="160" w:lineRule="exact"/>
        <w:rPr>
          <w:sz w:val="20"/>
          <w:szCs w:val="20"/>
          <w:color w:val="auto"/>
        </w:rPr>
      </w:pPr>
    </w:p>
    <w:p>
      <w:pPr>
        <w:ind w:right="20" w:firstLine="563"/>
        <w:spacing w:after="0" w:line="237" w:lineRule="auto"/>
        <w:tabs>
          <w:tab w:leader="none" w:pos="1128" w:val="left"/>
        </w:tabs>
        <w:numPr>
          <w:ilvl w:val="0"/>
          <w:numId w:val="230"/>
        </w:numPr>
        <w:rPr>
          <w:rFonts w:ascii="Arial" w:cs="Arial" w:eastAsia="Arial" w:hAnsi="Arial"/>
          <w:sz w:val="17"/>
          <w:szCs w:val="17"/>
          <w:color w:val="auto"/>
        </w:rPr>
      </w:pPr>
      <w:r>
        <w:rPr>
          <w:rFonts w:ascii="Arial" w:cs="Arial" w:eastAsia="Arial" w:hAnsi="Arial"/>
          <w:sz w:val="17"/>
          <w:szCs w:val="17"/>
          <w:color w:val="auto"/>
        </w:rPr>
        <w:t>Neither Holdings nor the Borrower will, nor will they permit any Restricted Subsidiary to declare or make, or agree to pay or make, directly or indirectly, any Restricted Payment, except:</w:t>
      </w:r>
    </w:p>
    <w:p>
      <w:pPr>
        <w:spacing w:after="0" w:line="134" w:lineRule="exact"/>
        <w:rPr>
          <w:rFonts w:ascii="Arial" w:cs="Arial" w:eastAsia="Arial" w:hAnsi="Arial"/>
          <w:sz w:val="17"/>
          <w:szCs w:val="17"/>
          <w:color w:val="auto"/>
        </w:rPr>
      </w:pPr>
    </w:p>
    <w:p>
      <w:pPr>
        <w:ind w:left="1700" w:hanging="569"/>
        <w:spacing w:after="0"/>
        <w:tabs>
          <w:tab w:leader="none" w:pos="1700" w:val="left"/>
        </w:tabs>
        <w:numPr>
          <w:ilvl w:val="1"/>
          <w:numId w:val="230"/>
        </w:numPr>
        <w:rPr>
          <w:rFonts w:ascii="Arial" w:cs="Arial" w:eastAsia="Arial" w:hAnsi="Arial"/>
          <w:sz w:val="17"/>
          <w:szCs w:val="17"/>
          <w:color w:val="auto"/>
        </w:rPr>
      </w:pPr>
      <w:r>
        <w:rPr>
          <w:rFonts w:ascii="Arial" w:cs="Arial" w:eastAsia="Arial" w:hAnsi="Arial"/>
          <w:sz w:val="17"/>
          <w:szCs w:val="17"/>
          <w:color w:val="auto"/>
        </w:rPr>
        <w:t>each Restricted Subsidiary may make Restricted Payments to the Borrower or any other Restricted Subsidiary;</w:t>
      </w:r>
    </w:p>
    <w:p>
      <w:pPr>
        <w:spacing w:after="0" w:line="159" w:lineRule="exact"/>
        <w:rPr>
          <w:rFonts w:ascii="Arial" w:cs="Arial" w:eastAsia="Arial" w:hAnsi="Arial"/>
          <w:sz w:val="17"/>
          <w:szCs w:val="17"/>
          <w:color w:val="auto"/>
        </w:rPr>
      </w:pPr>
    </w:p>
    <w:p>
      <w:pPr>
        <w:jc w:val="both"/>
        <w:ind w:left="340" w:firstLine="791"/>
        <w:spacing w:after="0" w:line="220" w:lineRule="auto"/>
        <w:tabs>
          <w:tab w:leader="none" w:pos="1702" w:val="left"/>
        </w:tabs>
        <w:numPr>
          <w:ilvl w:val="1"/>
          <w:numId w:val="230"/>
        </w:numPr>
        <w:rPr>
          <w:rFonts w:ascii="Arial" w:cs="Arial" w:eastAsia="Arial" w:hAnsi="Arial"/>
          <w:sz w:val="17"/>
          <w:szCs w:val="17"/>
          <w:color w:val="auto"/>
        </w:rPr>
      </w:pPr>
      <w:r>
        <w:rPr>
          <w:rFonts w:ascii="Arial" w:cs="Arial" w:eastAsia="Arial" w:hAnsi="Arial"/>
          <w:sz w:val="17"/>
          <w:szCs w:val="17"/>
          <w:color w:val="auto"/>
        </w:rPr>
        <w:t xml:space="preserve">Holdings, the Borrower and each Restricted Subsidiary may declare and make dividend payments or other distributions payable solely in the Equity Interests of such Person;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case of any such Restricted Payment by a Restricted Subsidiary that is not a Wholly Owned Subsidiary of the Borrower, such Restricted Payment is made to the Borrower, any Restricted Subsidiary and to each other owner of Equity Interests of such Restricted Subsidiary based on their relative ownership interests of the relevant class of Equity Interests;</w:t>
      </w:r>
    </w:p>
    <w:p>
      <w:pPr>
        <w:spacing w:after="0" w:line="135" w:lineRule="exact"/>
        <w:rPr>
          <w:rFonts w:ascii="Arial" w:cs="Arial" w:eastAsia="Arial" w:hAnsi="Arial"/>
          <w:sz w:val="17"/>
          <w:szCs w:val="17"/>
          <w:color w:val="auto"/>
        </w:rPr>
      </w:pPr>
    </w:p>
    <w:p>
      <w:pPr>
        <w:jc w:val="both"/>
        <w:ind w:left="340" w:right="20" w:firstLine="791"/>
        <w:spacing w:after="0"/>
        <w:tabs>
          <w:tab w:leader="none" w:pos="1703" w:val="left"/>
        </w:tabs>
        <w:numPr>
          <w:ilvl w:val="1"/>
          <w:numId w:val="230"/>
        </w:numPr>
        <w:rPr>
          <w:rFonts w:ascii="Arial" w:cs="Arial" w:eastAsia="Arial" w:hAnsi="Arial"/>
          <w:sz w:val="16"/>
          <w:szCs w:val="16"/>
          <w:color w:val="auto"/>
        </w:rPr>
      </w:pPr>
      <w:r>
        <w:rPr>
          <w:rFonts w:ascii="Arial" w:cs="Arial" w:eastAsia="Arial" w:hAnsi="Arial"/>
          <w:sz w:val="16"/>
          <w:szCs w:val="16"/>
          <w:color w:val="auto"/>
        </w:rPr>
        <w:t xml:space="preserve">so long as no Specified Event of Default has occurred and is continuing or would be caused thereby, the payment of quarterly distributions or dividends in an amount not to exceed the Specified Dividend Amount during any fiscal quarter that commences after the Closing Date;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for the avoidance of doubt, unused amounts with respect to any such fiscal quarter shall not be available in any other fiscal quarter;</w:t>
      </w:r>
    </w:p>
    <w:p>
      <w:pPr>
        <w:spacing w:after="0" w:line="134" w:lineRule="exact"/>
        <w:rPr>
          <w:rFonts w:ascii="Arial" w:cs="Arial" w:eastAsia="Arial" w:hAnsi="Arial"/>
          <w:sz w:val="16"/>
          <w:szCs w:val="16"/>
          <w:color w:val="auto"/>
        </w:rPr>
      </w:pPr>
    </w:p>
    <w:p>
      <w:pPr>
        <w:jc w:val="both"/>
        <w:ind w:left="340" w:firstLine="791"/>
        <w:spacing w:after="0" w:line="225" w:lineRule="auto"/>
        <w:tabs>
          <w:tab w:leader="none" w:pos="1694" w:val="left"/>
        </w:tabs>
        <w:numPr>
          <w:ilvl w:val="1"/>
          <w:numId w:val="230"/>
        </w:numPr>
        <w:rPr>
          <w:rFonts w:ascii="Arial" w:cs="Arial" w:eastAsia="Arial" w:hAnsi="Arial"/>
          <w:sz w:val="17"/>
          <w:szCs w:val="17"/>
          <w:color w:val="auto"/>
        </w:rPr>
      </w:pPr>
      <w:r>
        <w:rPr>
          <w:rFonts w:ascii="Arial" w:cs="Arial" w:eastAsia="Arial" w:hAnsi="Arial"/>
          <w:sz w:val="17"/>
          <w:szCs w:val="17"/>
          <w:color w:val="auto"/>
        </w:rPr>
        <w:t>repurchases of Equity Interests in Holdings (or Restricted Payments by Holdings to allow repurchases of Equity Interests in any direct or indirect parent of Holdings), the Borrower or any Restricted Subsidiary deemed to occur upon the exercise of stock options or warrants if such Equity Interests represent a portion of the exercise price of such options or warrants;</w:t>
      </w:r>
    </w:p>
    <w:p>
      <w:pPr>
        <w:spacing w:after="0" w:line="136" w:lineRule="exact"/>
        <w:rPr>
          <w:rFonts w:ascii="Arial" w:cs="Arial" w:eastAsia="Arial" w:hAnsi="Arial"/>
          <w:sz w:val="17"/>
          <w:szCs w:val="17"/>
          <w:color w:val="auto"/>
        </w:rPr>
      </w:pPr>
    </w:p>
    <w:p>
      <w:pPr>
        <w:jc w:val="both"/>
        <w:ind w:left="340" w:right="20" w:firstLine="791"/>
        <w:spacing w:after="0" w:line="225" w:lineRule="auto"/>
        <w:tabs>
          <w:tab w:leader="none" w:pos="1693" w:val="left"/>
        </w:tabs>
        <w:numPr>
          <w:ilvl w:val="1"/>
          <w:numId w:val="230"/>
        </w:numPr>
        <w:rPr>
          <w:rFonts w:ascii="Arial" w:cs="Arial" w:eastAsia="Arial" w:hAnsi="Arial"/>
          <w:sz w:val="17"/>
          <w:szCs w:val="17"/>
          <w:color w:val="auto"/>
        </w:rPr>
      </w:pPr>
      <w:r>
        <w:rPr>
          <w:rFonts w:ascii="Arial" w:cs="Arial" w:eastAsia="Arial" w:hAnsi="Arial"/>
          <w:sz w:val="17"/>
          <w:szCs w:val="17"/>
          <w:color w:val="auto"/>
        </w:rPr>
        <w:t>Holdings may redeem, acquire, retire or repurchase its Equity Interests (or any options or warrants or stock appreciation rights issued with respect to any of such Equity Interests) (or make Restricted Payments to allow any of Holdings’ direct or indirect parent companies or any Employee Holding Vehicle to so redeem, retire, acquire or repurchase Equity Interests of Holdings or such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148</w:t>
      </w:r>
    </w:p>
    <w:p>
      <w:pPr>
        <w:sectPr>
          <w:pgSz w:w="11900" w:h="16838" w:orient="portrait"/>
          <w:cols w:equalWidth="0" w:num="1">
            <w:col w:w="11260"/>
          </w:cols>
          <w:pgMar w:left="320" w:top="1440" w:right="319" w:bottom="1440" w:gutter="0" w:footer="0" w:header="0"/>
        </w:sectPr>
      </w:pPr>
    </w:p>
    <w:bookmarkStart w:id="322" w:name="page323"/>
    <w:bookmarkEnd w:id="322"/>
    <w:p>
      <w:pPr>
        <w:spacing w:after="0" w:line="390" w:lineRule="exact"/>
        <w:rPr>
          <w:sz w:val="20"/>
          <w:szCs w:val="20"/>
          <w:color w:val="auto"/>
        </w:rPr>
      </w:pPr>
    </w:p>
    <w:p>
      <w:pPr>
        <w:jc w:val="both"/>
        <w:spacing w:after="0" w:line="209" w:lineRule="auto"/>
        <w:rPr>
          <w:sz w:val="20"/>
          <w:szCs w:val="20"/>
          <w:color w:val="auto"/>
        </w:rPr>
      </w:pPr>
      <w:r>
        <w:rPr>
          <w:rFonts w:ascii="Arial" w:cs="Arial" w:eastAsia="Arial" w:hAnsi="Arial"/>
          <w:sz w:val="17"/>
          <w:szCs w:val="17"/>
          <w:color w:val="auto"/>
        </w:rPr>
        <w:t xml:space="preserve">held by current or former officers, managers, consultants, directors and employees or their permitted transferees (or their respective estates, executors, trustees, administrators, heirs, legatees or distributes) of Holdings (or any direct or indirect parent thereof), the Borrower and the Restricted Subsidiaries, or held by any Employee Holding Vehicle for the benefit of any of the foregoing, upon the death, disability, retirement or termination of employment of any such Person or otherwise in accordance with any stock option or stock appreciation rights plan, any management, director and/or employee stock ownership or incentive plan, stock subscription plan, employment termination agreement or any other employment agreements or equity holders’ agreement, in an aggregate amount after the Closing Date together with the aggregate amount of loans and advances to Holdings made pursuant to Section 6.04(k) in lieu of Restricted Payments permitted by this clause (v) not to exceed $30,000,000 in calendar year 2021 and $15,000,000 in any calendar year thereafter, with unused amounts in any calendar year being carried over to succeeding calendar years subject to a maximum of $45,000,000 in any calendar year (without giving effect to the following proviso);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amount in any calendar year may be increased by an amount not to exceed the cash proceeds of key man life insurance policies received by the Borrower or its Restricted Subsidiaries after the Closing Date and not previously applied pursuant to this clause (v);</w:t>
      </w:r>
    </w:p>
    <w:p>
      <w:pPr>
        <w:spacing w:after="0" w:line="134" w:lineRule="exact"/>
        <w:rPr>
          <w:sz w:val="20"/>
          <w:szCs w:val="20"/>
          <w:color w:val="auto"/>
        </w:rPr>
      </w:pPr>
    </w:p>
    <w:p>
      <w:pPr>
        <w:jc w:val="both"/>
        <w:ind w:firstLine="791"/>
        <w:spacing w:after="0" w:line="211" w:lineRule="auto"/>
        <w:tabs>
          <w:tab w:leader="none" w:pos="1354" w:val="left"/>
        </w:tabs>
        <w:numPr>
          <w:ilvl w:val="0"/>
          <w:numId w:val="231"/>
        </w:numPr>
        <w:rPr>
          <w:rFonts w:ascii="Arial" w:cs="Arial" w:eastAsia="Arial" w:hAnsi="Arial"/>
          <w:sz w:val="17"/>
          <w:szCs w:val="17"/>
          <w:color w:val="auto"/>
        </w:rPr>
      </w:pPr>
      <w:r>
        <w:rPr>
          <w:rFonts w:ascii="Arial" w:cs="Arial" w:eastAsia="Arial" w:hAnsi="Arial"/>
          <w:sz w:val="17"/>
          <w:szCs w:val="17"/>
          <w:color w:val="auto"/>
        </w:rPr>
        <w:t>for any Taxable Year for which the Borrower and Holdings are each treated as a pass-through or disregarded entity (a “</w:t>
      </w:r>
      <w:r>
        <w:rPr>
          <w:rFonts w:ascii="Arial" w:cs="Arial" w:eastAsia="Arial" w:hAnsi="Arial"/>
          <w:sz w:val="17"/>
          <w:szCs w:val="17"/>
          <w:b w:val="1"/>
          <w:bCs w:val="1"/>
          <w:color w:val="auto"/>
        </w:rPr>
        <w:t>Flow-Through</w:t>
      </w:r>
      <w:r>
        <w:rPr>
          <w:rFonts w:ascii="Arial" w:cs="Arial" w:eastAsia="Arial" w:hAnsi="Arial"/>
          <w:sz w:val="17"/>
          <w:szCs w:val="17"/>
          <w:color w:val="auto"/>
        </w:rPr>
        <w:t xml:space="preserve"> </w:t>
      </w:r>
      <w:r>
        <w:rPr>
          <w:rFonts w:ascii="Arial" w:cs="Arial" w:eastAsia="Arial" w:hAnsi="Arial"/>
          <w:sz w:val="17"/>
          <w:szCs w:val="17"/>
          <w:b w:val="1"/>
          <w:bCs w:val="1"/>
          <w:color w:val="auto"/>
        </w:rPr>
        <w:t>Entity</w:t>
      </w:r>
      <w:r>
        <w:rPr>
          <w:rFonts w:ascii="Arial" w:cs="Arial" w:eastAsia="Arial" w:hAnsi="Arial"/>
          <w:sz w:val="17"/>
          <w:szCs w:val="17"/>
          <w:color w:val="auto"/>
        </w:rPr>
        <w:t>”) for U.S. federal and state income tax purposes, Borrower may make distributions to Holdings and Holdings may make distributions to its members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for Permitted Tax Distributions at such times and with respect to such periods as Tax Distributions (as defined in the Holdings LLC Agreement) are required to be made or designated pursuant to the Holdings LLC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for any Taxable Year for which Holdings is not a Flow-Through Entity and the Borrower is a Flow-Through Entity, the Borrower may make Permitted Tax Distributions to Holdings on a quarterly basis and at the end of a Taxable Year (with the determination of the Permitted Tax Distributions to be made by substituting the Borrower for Holdings in the applicable definitions); </w:t>
      </w:r>
      <w:r>
        <w:rPr>
          <w:rFonts w:ascii="Arial" w:cs="Arial" w:eastAsia="Arial" w:hAnsi="Arial"/>
          <w:sz w:val="17"/>
          <w:szCs w:val="17"/>
          <w:i w:val="1"/>
          <w:iCs w:val="1"/>
          <w:color w:val="auto"/>
        </w:rPr>
        <w:t xml:space="preserve">provided, further, </w:t>
      </w:r>
      <w:r>
        <w:rPr>
          <w:rFonts w:ascii="Arial" w:cs="Arial" w:eastAsia="Arial" w:hAnsi="Arial"/>
          <w:sz w:val="17"/>
          <w:szCs w:val="17"/>
          <w:color w:val="auto"/>
        </w:rPr>
        <w:t>that Restricted Payments under this clause (vi) in respect of any taxes attributable to the income of any Unrestricted Subsidiaries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Borrower may be made only to the extent that such Unrestricted Subsidiaries have made cash payments for such purpose to the Borrower or its Restricted Subsidiaries;</w:t>
      </w:r>
    </w:p>
    <w:p>
      <w:pPr>
        <w:spacing w:after="0" w:line="140" w:lineRule="exact"/>
        <w:rPr>
          <w:rFonts w:ascii="Arial" w:cs="Arial" w:eastAsia="Arial" w:hAnsi="Arial"/>
          <w:sz w:val="17"/>
          <w:szCs w:val="17"/>
          <w:color w:val="auto"/>
        </w:rPr>
      </w:pPr>
    </w:p>
    <w:p>
      <w:pPr>
        <w:ind w:firstLine="791"/>
        <w:spacing w:after="0" w:line="237" w:lineRule="auto"/>
        <w:tabs>
          <w:tab w:leader="none" w:pos="1354" w:val="left"/>
        </w:tabs>
        <w:numPr>
          <w:ilvl w:val="0"/>
          <w:numId w:val="231"/>
        </w:numPr>
        <w:rPr>
          <w:rFonts w:ascii="Arial" w:cs="Arial" w:eastAsia="Arial" w:hAnsi="Arial"/>
          <w:sz w:val="17"/>
          <w:szCs w:val="17"/>
          <w:color w:val="auto"/>
        </w:rPr>
      </w:pPr>
      <w:r>
        <w:rPr>
          <w:rFonts w:ascii="Arial" w:cs="Arial" w:eastAsia="Arial" w:hAnsi="Arial"/>
          <w:sz w:val="17"/>
          <w:szCs w:val="17"/>
          <w:color w:val="auto"/>
        </w:rPr>
        <w:t>any Intermediate Parent, the Borrower and the Restricted Subsidiaries may make Restricted Payments in cash to Holdings and any Intermediate Parent and, where applicable, Holdings and such Intermediate Parent may make Restricted Payments in cash:</w:t>
      </w:r>
    </w:p>
    <w:p>
      <w:pPr>
        <w:spacing w:after="0" w:line="134" w:lineRule="exact"/>
        <w:rPr>
          <w:rFonts w:ascii="Arial" w:cs="Arial" w:eastAsia="Arial" w:hAnsi="Arial"/>
          <w:sz w:val="17"/>
          <w:szCs w:val="17"/>
          <w:color w:val="auto"/>
        </w:rPr>
      </w:pPr>
    </w:p>
    <w:p>
      <w:pPr>
        <w:jc w:val="both"/>
        <w:ind w:left="800" w:firstLine="559"/>
        <w:spacing w:after="0" w:line="213" w:lineRule="auto"/>
        <w:tabs>
          <w:tab w:leader="none" w:pos="1929" w:val="left"/>
        </w:tabs>
        <w:numPr>
          <w:ilvl w:val="1"/>
          <w:numId w:val="231"/>
        </w:numPr>
        <w:rPr>
          <w:rFonts w:ascii="Arial" w:cs="Arial" w:eastAsia="Arial" w:hAnsi="Arial"/>
          <w:sz w:val="17"/>
          <w:szCs w:val="17"/>
          <w:color w:val="auto"/>
        </w:rPr>
      </w:pPr>
      <w:r>
        <w:rPr>
          <w:rFonts w:ascii="Arial" w:cs="Arial" w:eastAsia="Arial" w:hAnsi="Arial"/>
          <w:sz w:val="17"/>
          <w:szCs w:val="17"/>
          <w:color w:val="auto"/>
        </w:rPr>
        <w:t>the proceeds of which shall be used by Holdings or any Intermediate Parent to pay (or to make Restricted Payments to allow any direct or indirect parent of Holdings to pay) (1) its operating expenses incurred in the ordinary course of business and other corporate overhead costs and expenses (including administrative, legal, accounting and similar expenses payable to third parties) that are reasonable and customary and incurred in the ordinary course of business, in an aggregate amount together with the aggregate amount of loans and advances to Holdings made pursuant to Section 6.04(k) in lieu of Restricted Payments permitted by this clause (a)(vii)(A) not to exceed $20,000,000 in any fiscal year, plus any reasonable and customary indemnification claims made by directors or officers of Holdings (or any parent thereof) attributable to the ownership or operations of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40"/>
        <w:spacing w:after="0"/>
        <w:rPr>
          <w:sz w:val="20"/>
          <w:szCs w:val="20"/>
          <w:color w:val="auto"/>
        </w:rPr>
      </w:pPr>
      <w:r>
        <w:rPr>
          <w:rFonts w:ascii="Arial" w:cs="Arial" w:eastAsia="Arial" w:hAnsi="Arial"/>
          <w:sz w:val="17"/>
          <w:szCs w:val="17"/>
          <w:color w:val="auto"/>
        </w:rPr>
        <w:t>149</w:t>
      </w:r>
    </w:p>
    <w:p>
      <w:pPr>
        <w:sectPr>
          <w:pgSz w:w="11900" w:h="16838" w:orient="portrait"/>
          <w:cols w:equalWidth="0" w:num="1">
            <w:col w:w="10920"/>
          </w:cols>
          <w:pgMar w:left="660" w:top="1440" w:right="319" w:bottom="1440" w:gutter="0" w:footer="0" w:header="0"/>
        </w:sectPr>
      </w:pPr>
    </w:p>
    <w:bookmarkStart w:id="323" w:name="page324"/>
    <w:bookmarkEnd w:id="323"/>
    <w:p>
      <w:pPr>
        <w:spacing w:after="0" w:line="390" w:lineRule="exact"/>
        <w:rPr>
          <w:sz w:val="20"/>
          <w:szCs w:val="20"/>
          <w:color w:val="auto"/>
        </w:rPr>
      </w:pPr>
    </w:p>
    <w:p>
      <w:pPr>
        <w:jc w:val="both"/>
        <w:ind w:left="800"/>
        <w:spacing w:after="0" w:line="225" w:lineRule="auto"/>
        <w:rPr>
          <w:sz w:val="20"/>
          <w:szCs w:val="20"/>
          <w:color w:val="auto"/>
        </w:rPr>
      </w:pPr>
      <w:r>
        <w:rPr>
          <w:rFonts w:ascii="Arial" w:cs="Arial" w:eastAsia="Arial" w:hAnsi="Arial"/>
          <w:sz w:val="17"/>
          <w:szCs w:val="17"/>
          <w:color w:val="auto"/>
        </w:rPr>
        <w:t>and the Restricted Subsidiaries or otherwise payable by Holdings pursuant to the Holdings LLC Agreement and (2) fees and expenses (x) due and payable by any of the Restricted Subsidiaries and (y) otherwise permitted to be paid (but not paid) by such Restricted Subsidiary under this Agreement;</w:t>
      </w:r>
    </w:p>
    <w:p>
      <w:pPr>
        <w:spacing w:after="0" w:line="137" w:lineRule="exact"/>
        <w:rPr>
          <w:sz w:val="20"/>
          <w:szCs w:val="20"/>
          <w:color w:val="auto"/>
        </w:rPr>
      </w:pPr>
    </w:p>
    <w:p>
      <w:pPr>
        <w:ind w:left="800" w:firstLine="559"/>
        <w:spacing w:after="0" w:line="237" w:lineRule="auto"/>
        <w:tabs>
          <w:tab w:leader="none" w:pos="1931" w:val="left"/>
        </w:tabs>
        <w:numPr>
          <w:ilvl w:val="1"/>
          <w:numId w:val="232"/>
        </w:numPr>
        <w:rPr>
          <w:rFonts w:ascii="Arial" w:cs="Arial" w:eastAsia="Arial" w:hAnsi="Arial"/>
          <w:sz w:val="17"/>
          <w:szCs w:val="17"/>
          <w:color w:val="auto"/>
        </w:rPr>
      </w:pPr>
      <w:r>
        <w:rPr>
          <w:rFonts w:ascii="Arial" w:cs="Arial" w:eastAsia="Arial" w:hAnsi="Arial"/>
          <w:sz w:val="17"/>
          <w:szCs w:val="17"/>
          <w:color w:val="auto"/>
        </w:rPr>
        <w:t>the proceeds of which shall be used by Holdings or any Intermediate Parent to pay franchise taxes, and other fees and expenses, required to maintain its organizational existence;</w:t>
      </w:r>
    </w:p>
    <w:p>
      <w:pPr>
        <w:spacing w:after="0" w:line="130" w:lineRule="exact"/>
        <w:rPr>
          <w:rFonts w:ascii="Arial" w:cs="Arial" w:eastAsia="Arial" w:hAnsi="Arial"/>
          <w:sz w:val="17"/>
          <w:szCs w:val="17"/>
          <w:color w:val="auto"/>
        </w:rPr>
      </w:pPr>
    </w:p>
    <w:p>
      <w:pPr>
        <w:ind w:left="1920" w:hanging="561"/>
        <w:spacing w:after="0"/>
        <w:tabs>
          <w:tab w:leader="none" w:pos="1920" w:val="left"/>
        </w:tabs>
        <w:numPr>
          <w:ilvl w:val="1"/>
          <w:numId w:val="232"/>
        </w:numPr>
        <w:rPr>
          <w:rFonts w:ascii="Arial" w:cs="Arial" w:eastAsia="Arial" w:hAnsi="Arial"/>
          <w:sz w:val="16"/>
          <w:szCs w:val="16"/>
          <w:color w:val="auto"/>
        </w:rPr>
      </w:pPr>
      <w:r>
        <w:rPr>
          <w:rFonts w:ascii="Arial" w:cs="Arial" w:eastAsia="Arial" w:hAnsi="Arial"/>
          <w:sz w:val="16"/>
          <w:szCs w:val="16"/>
          <w:color w:val="auto"/>
        </w:rPr>
        <w:t>the proceeds of which shall be used by Holdings to make Restricted Payments permitted by Section 6.08(a)(iv) or Section</w:t>
      </w:r>
    </w:p>
    <w:p>
      <w:pPr>
        <w:ind w:left="800"/>
        <w:spacing w:after="0"/>
        <w:rPr>
          <w:rFonts w:ascii="Arial" w:cs="Arial" w:eastAsia="Arial" w:hAnsi="Arial"/>
          <w:sz w:val="16"/>
          <w:szCs w:val="16"/>
          <w:color w:val="auto"/>
        </w:rPr>
      </w:pPr>
      <w:r>
        <w:rPr>
          <w:rFonts w:ascii="Arial" w:cs="Arial" w:eastAsia="Arial" w:hAnsi="Arial"/>
          <w:sz w:val="17"/>
          <w:szCs w:val="17"/>
          <w:color w:val="auto"/>
        </w:rPr>
        <w:t>6.08(a)(v);</w:t>
      </w:r>
    </w:p>
    <w:p>
      <w:pPr>
        <w:spacing w:after="0" w:line="145" w:lineRule="exact"/>
        <w:rPr>
          <w:rFonts w:ascii="Arial" w:cs="Arial" w:eastAsia="Arial" w:hAnsi="Arial"/>
          <w:sz w:val="16"/>
          <w:szCs w:val="16"/>
          <w:color w:val="auto"/>
        </w:rPr>
      </w:pPr>
    </w:p>
    <w:p>
      <w:pPr>
        <w:jc w:val="both"/>
        <w:ind w:left="800" w:right="20" w:firstLine="559"/>
        <w:spacing w:after="0" w:line="228" w:lineRule="auto"/>
        <w:tabs>
          <w:tab w:leader="none" w:pos="1929" w:val="left"/>
        </w:tabs>
        <w:numPr>
          <w:ilvl w:val="1"/>
          <w:numId w:val="232"/>
        </w:numPr>
        <w:rPr>
          <w:rFonts w:ascii="Arial" w:cs="Arial" w:eastAsia="Arial" w:hAnsi="Arial"/>
          <w:sz w:val="16"/>
          <w:szCs w:val="16"/>
          <w:color w:val="auto"/>
        </w:rPr>
      </w:pPr>
      <w:r>
        <w:rPr>
          <w:rFonts w:ascii="Arial" w:cs="Arial" w:eastAsia="Arial" w:hAnsi="Arial"/>
          <w:sz w:val="16"/>
          <w:szCs w:val="16"/>
          <w:color w:val="auto"/>
        </w:rPr>
        <w:t xml:space="preserve">to finance any Investment permitted to be made pursuant to Section 6.04;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such Restricted Payment shall be made substantially concurrently with the closing of such Investment and (B) Holdings or any Intermediate Parent shall, immediately following the closing thereof, cause (1) all property acquired (whether assets or Equity Interests but not including any loans or advances made pursuant to Section 6.04(b)) to be contributed to the Borrower or the Restricted Subsidiaries or (2) the Person formed or acquired to merge into or consolidate with the Borrower or any of the Restricted Subsidiaries (to the extent such merger or consolidation is permitted under Section 6.03) in order to consummate such Investment, in each case in accordance with the requirements of Sections 5.11 and 5.12;</w:t>
      </w:r>
    </w:p>
    <w:p>
      <w:pPr>
        <w:spacing w:after="0" w:line="135" w:lineRule="exact"/>
        <w:rPr>
          <w:rFonts w:ascii="Arial" w:cs="Arial" w:eastAsia="Arial" w:hAnsi="Arial"/>
          <w:sz w:val="16"/>
          <w:szCs w:val="16"/>
          <w:color w:val="auto"/>
        </w:rPr>
      </w:pPr>
    </w:p>
    <w:p>
      <w:pPr>
        <w:ind w:left="800" w:right="20" w:firstLine="559"/>
        <w:spacing w:after="0" w:line="237" w:lineRule="auto"/>
        <w:tabs>
          <w:tab w:leader="none" w:pos="1933" w:val="left"/>
        </w:tabs>
        <w:numPr>
          <w:ilvl w:val="1"/>
          <w:numId w:val="232"/>
        </w:numPr>
        <w:rPr>
          <w:rFonts w:ascii="Arial" w:cs="Arial" w:eastAsia="Arial" w:hAnsi="Arial"/>
          <w:sz w:val="17"/>
          <w:szCs w:val="17"/>
          <w:color w:val="auto"/>
        </w:rPr>
      </w:pPr>
      <w:r>
        <w:rPr>
          <w:rFonts w:ascii="Arial" w:cs="Arial" w:eastAsia="Arial" w:hAnsi="Arial"/>
          <w:sz w:val="17"/>
          <w:szCs w:val="17"/>
          <w:color w:val="auto"/>
        </w:rPr>
        <w:t>the proceeds of which shall be used to pay (or to make Restricted Payments to allow any direct or indirect parent thereof to pay) fees and expenses related to any equity or debt offering permitted by this Agreement; and</w:t>
      </w:r>
    </w:p>
    <w:p>
      <w:pPr>
        <w:spacing w:after="0" w:line="134" w:lineRule="exact"/>
        <w:rPr>
          <w:rFonts w:ascii="Arial" w:cs="Arial" w:eastAsia="Arial" w:hAnsi="Arial"/>
          <w:sz w:val="17"/>
          <w:szCs w:val="17"/>
          <w:color w:val="auto"/>
        </w:rPr>
      </w:pPr>
    </w:p>
    <w:p>
      <w:pPr>
        <w:ind w:left="1920" w:hanging="561"/>
        <w:spacing w:after="0"/>
        <w:tabs>
          <w:tab w:leader="none" w:pos="1920" w:val="left"/>
        </w:tabs>
        <w:numPr>
          <w:ilvl w:val="1"/>
          <w:numId w:val="232"/>
        </w:numPr>
        <w:rPr>
          <w:rFonts w:ascii="Arial" w:cs="Arial" w:eastAsia="Arial" w:hAnsi="Arial"/>
          <w:sz w:val="17"/>
          <w:szCs w:val="17"/>
          <w:color w:val="auto"/>
        </w:rPr>
      </w:pPr>
      <w:r>
        <w:rPr>
          <w:rFonts w:ascii="Arial" w:cs="Arial" w:eastAsia="Arial" w:hAnsi="Arial"/>
          <w:sz w:val="17"/>
          <w:szCs w:val="17"/>
          <w:color w:val="auto"/>
        </w:rPr>
        <w:t>the proceeds of which shall be used to make payments permitted by clause (b)(iv) of this Section 6.08;</w:t>
      </w:r>
    </w:p>
    <w:p>
      <w:pPr>
        <w:spacing w:after="0" w:line="159" w:lineRule="exact"/>
        <w:rPr>
          <w:rFonts w:ascii="Arial" w:cs="Arial" w:eastAsia="Arial" w:hAnsi="Arial"/>
          <w:sz w:val="17"/>
          <w:szCs w:val="17"/>
          <w:color w:val="auto"/>
        </w:rPr>
      </w:pPr>
    </w:p>
    <w:p>
      <w:pPr>
        <w:jc w:val="both"/>
        <w:ind w:right="20" w:firstLine="791"/>
        <w:spacing w:after="0" w:line="225" w:lineRule="auto"/>
        <w:tabs>
          <w:tab w:leader="none" w:pos="1355" w:val="left"/>
        </w:tabs>
        <w:numPr>
          <w:ilvl w:val="0"/>
          <w:numId w:val="233"/>
        </w:numPr>
        <w:rPr>
          <w:rFonts w:ascii="Arial" w:cs="Arial" w:eastAsia="Arial" w:hAnsi="Arial"/>
          <w:sz w:val="17"/>
          <w:szCs w:val="17"/>
          <w:color w:val="auto"/>
        </w:rPr>
      </w:pPr>
      <w:r>
        <w:rPr>
          <w:rFonts w:ascii="Arial" w:cs="Arial" w:eastAsia="Arial" w:hAnsi="Arial"/>
          <w:sz w:val="17"/>
          <w:szCs w:val="17"/>
          <w:color w:val="auto"/>
        </w:rPr>
        <w:t xml:space="preserve">in addition to the foregoing Restricted Payments, the Borrower may make additional Restricted Payments in an aggregate amount not to exceed the Cumulative Credit; </w:t>
      </w:r>
      <w:r>
        <w:rPr>
          <w:rFonts w:ascii="Arial" w:cs="Arial" w:eastAsia="Arial" w:hAnsi="Arial"/>
          <w:sz w:val="17"/>
          <w:szCs w:val="17"/>
          <w:i w:val="1"/>
          <w:iCs w:val="1"/>
          <w:color w:val="auto"/>
        </w:rPr>
        <w:t>provided</w:t>
      </w:r>
      <w:r>
        <w:rPr>
          <w:rFonts w:ascii="Arial" w:cs="Arial" w:eastAsia="Arial" w:hAnsi="Arial"/>
          <w:sz w:val="17"/>
          <w:szCs w:val="17"/>
          <w:color w:val="auto"/>
        </w:rPr>
        <w:t>, that clause (b) of the definition of “Cumulative Credit” may only be used if no Specified Event of Default shall have occurred and be continuing or would result therefrom;</w:t>
      </w:r>
    </w:p>
    <w:p>
      <w:pPr>
        <w:spacing w:after="0" w:line="136" w:lineRule="exact"/>
        <w:rPr>
          <w:rFonts w:ascii="Arial" w:cs="Arial" w:eastAsia="Arial" w:hAnsi="Arial"/>
          <w:sz w:val="17"/>
          <w:szCs w:val="17"/>
          <w:color w:val="auto"/>
        </w:rPr>
      </w:pPr>
    </w:p>
    <w:p>
      <w:pPr>
        <w:jc w:val="both"/>
        <w:ind w:firstLine="791"/>
        <w:spacing w:after="0"/>
        <w:tabs>
          <w:tab w:leader="none" w:pos="1354" w:val="left"/>
        </w:tabs>
        <w:numPr>
          <w:ilvl w:val="0"/>
          <w:numId w:val="233"/>
        </w:numPr>
        <w:rPr>
          <w:rFonts w:ascii="Arial" w:cs="Arial" w:eastAsia="Arial" w:hAnsi="Arial"/>
          <w:sz w:val="16"/>
          <w:szCs w:val="16"/>
          <w:color w:val="auto"/>
        </w:rPr>
      </w:pPr>
      <w:r>
        <w:rPr>
          <w:rFonts w:ascii="Arial" w:cs="Arial" w:eastAsia="Arial" w:hAnsi="Arial"/>
          <w:sz w:val="16"/>
          <w:szCs w:val="16"/>
          <w:color w:val="auto"/>
        </w:rPr>
        <w:t xml:space="preserve">redemptions in whole or in part of any of its Equity Interests for another class of its Equity Interests or with proceeds from substantially concurrent equity contributions or issuances of new Equity Interests;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new Equity Interests contain terms and provisions at least as advantageous to the Lenders in all respects material to their interests as those contained in the Equity Interests redeemed thereby;</w:t>
      </w:r>
    </w:p>
    <w:p>
      <w:pPr>
        <w:spacing w:after="0" w:line="134" w:lineRule="exact"/>
        <w:rPr>
          <w:rFonts w:ascii="Arial" w:cs="Arial" w:eastAsia="Arial" w:hAnsi="Arial"/>
          <w:sz w:val="16"/>
          <w:szCs w:val="16"/>
          <w:color w:val="auto"/>
        </w:rPr>
      </w:pPr>
    </w:p>
    <w:p>
      <w:pPr>
        <w:jc w:val="both"/>
        <w:ind w:firstLine="791"/>
        <w:spacing w:after="0" w:line="234" w:lineRule="auto"/>
        <w:tabs>
          <w:tab w:leader="none" w:pos="1353" w:val="left"/>
        </w:tabs>
        <w:numPr>
          <w:ilvl w:val="0"/>
          <w:numId w:val="233"/>
        </w:numPr>
        <w:rPr>
          <w:rFonts w:ascii="Arial" w:cs="Arial" w:eastAsia="Arial" w:hAnsi="Arial"/>
          <w:sz w:val="16"/>
          <w:szCs w:val="16"/>
          <w:color w:val="auto"/>
        </w:rPr>
      </w:pPr>
      <w:r>
        <w:rPr>
          <w:rFonts w:ascii="Arial" w:cs="Arial" w:eastAsia="Arial" w:hAnsi="Arial"/>
          <w:sz w:val="16"/>
          <w:szCs w:val="16"/>
          <w:color w:val="auto"/>
        </w:rPr>
        <w:t xml:space="preserve">so long as no Specified Event of Default has occurred and is continuing or would be caused thereby, Holdings, the Borrower and each Restricted Subsidiary may make additional Restricted Payments;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after giving effect to any such Restricted Payment, the aggregate amount of Restricted Payments made in reliance on this clause (x) shall not exceed the greater of $300,000,000 and 30% of Consolidated EBITDA calculated on a Pro Forma Basis for the Test Period most recently ended for which financial statements are available prior to the making of such Restricted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40"/>
        <w:spacing w:after="0"/>
        <w:rPr>
          <w:sz w:val="20"/>
          <w:szCs w:val="20"/>
          <w:color w:val="auto"/>
        </w:rPr>
      </w:pPr>
      <w:r>
        <w:rPr>
          <w:rFonts w:ascii="Arial" w:cs="Arial" w:eastAsia="Arial" w:hAnsi="Arial"/>
          <w:sz w:val="17"/>
          <w:szCs w:val="17"/>
          <w:color w:val="auto"/>
        </w:rPr>
        <w:t>150</w:t>
      </w:r>
    </w:p>
    <w:p>
      <w:pPr>
        <w:sectPr>
          <w:pgSz w:w="11900" w:h="16838" w:orient="portrait"/>
          <w:cols w:equalWidth="0" w:num="1">
            <w:col w:w="10920"/>
          </w:cols>
          <w:pgMar w:left="660" w:top="1440" w:right="319" w:bottom="1440" w:gutter="0" w:footer="0" w:header="0"/>
        </w:sectPr>
      </w:pPr>
    </w:p>
    <w:bookmarkStart w:id="324" w:name="page325"/>
    <w:bookmarkEnd w:id="324"/>
    <w:p>
      <w:pPr>
        <w:spacing w:after="0" w:line="390" w:lineRule="exact"/>
        <w:rPr>
          <w:sz w:val="20"/>
          <w:szCs w:val="20"/>
          <w:color w:val="auto"/>
        </w:rPr>
      </w:pPr>
    </w:p>
    <w:p>
      <w:pPr>
        <w:jc w:val="both"/>
        <w:ind w:left="340" w:firstLine="791"/>
        <w:spacing w:after="0" w:line="220" w:lineRule="auto"/>
        <w:tabs>
          <w:tab w:leader="none" w:pos="1694" w:val="left"/>
        </w:tabs>
        <w:numPr>
          <w:ilvl w:val="1"/>
          <w:numId w:val="234"/>
        </w:numPr>
        <w:rPr>
          <w:rFonts w:ascii="Arial" w:cs="Arial" w:eastAsia="Arial" w:hAnsi="Arial"/>
          <w:sz w:val="17"/>
          <w:szCs w:val="17"/>
          <w:color w:val="auto"/>
        </w:rPr>
      </w:pPr>
      <w:r>
        <w:rPr>
          <w:rFonts w:ascii="Arial" w:cs="Arial" w:eastAsia="Arial" w:hAnsi="Arial"/>
          <w:sz w:val="17"/>
          <w:szCs w:val="17"/>
          <w:color w:val="auto"/>
        </w:rPr>
        <w:t xml:space="preserve">so long as no Specified Event of Default has occurred and is continuing or would be caused thereby, Holdings, the Borrower and each Restricted Subsidiary may make unlimited Restricted Payments;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after giving effect to any such Restricted Payment, the Net First Lien Leverage Ratio calculated on a Pro Forma Basis as of the end of the most recent Test Period for which financial statements are available does not exceed 2.00 to 1.00; and</w:t>
      </w:r>
    </w:p>
    <w:p>
      <w:pPr>
        <w:spacing w:after="0" w:line="135" w:lineRule="exact"/>
        <w:rPr>
          <w:rFonts w:ascii="Arial" w:cs="Arial" w:eastAsia="Arial" w:hAnsi="Arial"/>
          <w:sz w:val="17"/>
          <w:szCs w:val="17"/>
          <w:color w:val="auto"/>
        </w:rPr>
      </w:pPr>
    </w:p>
    <w:p>
      <w:pPr>
        <w:ind w:left="340" w:right="20" w:firstLine="791"/>
        <w:spacing w:after="0" w:line="237" w:lineRule="auto"/>
        <w:tabs>
          <w:tab w:leader="none" w:pos="1694" w:val="left"/>
        </w:tabs>
        <w:numPr>
          <w:ilvl w:val="1"/>
          <w:numId w:val="234"/>
        </w:numPr>
        <w:rPr>
          <w:rFonts w:ascii="Arial" w:cs="Arial" w:eastAsia="Arial" w:hAnsi="Arial"/>
          <w:sz w:val="17"/>
          <w:szCs w:val="17"/>
          <w:color w:val="auto"/>
        </w:rPr>
      </w:pPr>
      <w:r>
        <w:rPr>
          <w:rFonts w:ascii="Arial" w:cs="Arial" w:eastAsia="Arial" w:hAnsi="Arial"/>
          <w:sz w:val="17"/>
          <w:szCs w:val="17"/>
          <w:color w:val="auto"/>
        </w:rPr>
        <w:t>any consideration, payment, dividend, distribution or other transfer in connection with a Permitted Securitization Financing or a receivables financing may be made.</w:t>
      </w:r>
    </w:p>
    <w:p>
      <w:pPr>
        <w:spacing w:after="0" w:line="134" w:lineRule="exact"/>
        <w:rPr>
          <w:rFonts w:ascii="Arial" w:cs="Arial" w:eastAsia="Arial" w:hAnsi="Arial"/>
          <w:sz w:val="17"/>
          <w:szCs w:val="17"/>
          <w:color w:val="auto"/>
        </w:rPr>
      </w:pPr>
    </w:p>
    <w:p>
      <w:pPr>
        <w:jc w:val="both"/>
        <w:ind w:firstLine="563"/>
        <w:spacing w:after="0" w:line="244" w:lineRule="auto"/>
        <w:tabs>
          <w:tab w:leader="none" w:pos="1126" w:val="left"/>
        </w:tabs>
        <w:numPr>
          <w:ilvl w:val="0"/>
          <w:numId w:val="235"/>
        </w:numPr>
        <w:rPr>
          <w:rFonts w:ascii="Arial" w:cs="Arial" w:eastAsia="Arial" w:hAnsi="Arial"/>
          <w:sz w:val="15"/>
          <w:szCs w:val="15"/>
          <w:color w:val="auto"/>
        </w:rPr>
      </w:pPr>
      <w:r>
        <w:rPr>
          <w:rFonts w:ascii="Arial" w:cs="Arial" w:eastAsia="Arial" w:hAnsi="Arial"/>
          <w:sz w:val="15"/>
          <w:szCs w:val="15"/>
          <w:color w:val="auto"/>
        </w:rPr>
        <w:t>Neither Holdings nor the Borrower will, nor will they permit any Restricted Subsidiary to, make or agree to pay or make, directly or indirectly, any payment or other distribution (whether in cash, securities or other property) of or in respect of principal of or interest on any Junior Financing constituting Material Indebtedness more than six (6) months prior to the maturity thereof, or any payment or other distribution (whether in cash, securities or other property), including any sinking fund or similar deposit, on account of the purchase, redemption, retirement, acquisition, cancellation or termination of any Junior Financing constituting Material Indebtedness, in each case, more than six (6) months prior to the maturity thereof, or any other payment (including the application of any payment received under any Swap Agreement in respect of any Junior Financing) that has a substantially similar effect to any of the foregoing, except:</w:t>
      </w:r>
    </w:p>
    <w:p>
      <w:pPr>
        <w:spacing w:after="0" w:line="131" w:lineRule="exact"/>
        <w:rPr>
          <w:rFonts w:ascii="Arial" w:cs="Arial" w:eastAsia="Arial" w:hAnsi="Arial"/>
          <w:sz w:val="15"/>
          <w:szCs w:val="15"/>
          <w:color w:val="auto"/>
        </w:rPr>
      </w:pPr>
    </w:p>
    <w:p>
      <w:pPr>
        <w:jc w:val="both"/>
        <w:ind w:left="340" w:right="20" w:firstLine="791"/>
        <w:spacing w:after="0" w:line="252" w:lineRule="auto"/>
        <w:tabs>
          <w:tab w:leader="none" w:pos="1702" w:val="left"/>
        </w:tabs>
        <w:numPr>
          <w:ilvl w:val="1"/>
          <w:numId w:val="235"/>
        </w:numPr>
        <w:rPr>
          <w:rFonts w:ascii="Arial" w:cs="Arial" w:eastAsia="Arial" w:hAnsi="Arial"/>
          <w:sz w:val="15"/>
          <w:szCs w:val="15"/>
          <w:color w:val="auto"/>
        </w:rPr>
      </w:pPr>
      <w:r>
        <w:rPr>
          <w:rFonts w:ascii="Arial" w:cs="Arial" w:eastAsia="Arial" w:hAnsi="Arial"/>
          <w:sz w:val="15"/>
          <w:szCs w:val="15"/>
          <w:color w:val="auto"/>
        </w:rPr>
        <w:t>payment of regularly scheduled interest and principal payments (including, for the avoidance of doubt, regularly scheduled payments pursuant to any Swap Agreement) as and when due in respect of any Indebtedness, any mandatory prepayments of principal, interest and fees thereunder, scheduled payments thereon necessary to avoid the Junior Financing from constituting “applicable high yield discount obligations” within the meaning of Section 163(i)(l) of the Code, other than, in each case, payments in respect of any Junior Financing prohibited by the subordination provisions thereof;</w:t>
      </w:r>
    </w:p>
    <w:p>
      <w:pPr>
        <w:spacing w:after="0" w:line="127" w:lineRule="exact"/>
        <w:rPr>
          <w:rFonts w:ascii="Arial" w:cs="Arial" w:eastAsia="Arial" w:hAnsi="Arial"/>
          <w:sz w:val="15"/>
          <w:szCs w:val="15"/>
          <w:color w:val="auto"/>
        </w:rPr>
      </w:pPr>
    </w:p>
    <w:p>
      <w:pPr>
        <w:ind w:left="1700" w:hanging="569"/>
        <w:spacing w:after="0"/>
        <w:tabs>
          <w:tab w:leader="none" w:pos="1700" w:val="left"/>
        </w:tabs>
        <w:numPr>
          <w:ilvl w:val="1"/>
          <w:numId w:val="235"/>
        </w:numPr>
        <w:rPr>
          <w:rFonts w:ascii="Arial" w:cs="Arial" w:eastAsia="Arial" w:hAnsi="Arial"/>
          <w:sz w:val="17"/>
          <w:szCs w:val="17"/>
          <w:color w:val="auto"/>
        </w:rPr>
      </w:pPr>
      <w:r>
        <w:rPr>
          <w:rFonts w:ascii="Arial" w:cs="Arial" w:eastAsia="Arial" w:hAnsi="Arial"/>
          <w:sz w:val="17"/>
          <w:szCs w:val="17"/>
          <w:color w:val="auto"/>
        </w:rPr>
        <w:t>refinancings of Indebtedness to the extent permitted by Section 6.01;</w:t>
      </w:r>
    </w:p>
    <w:p>
      <w:pPr>
        <w:spacing w:after="0" w:line="159" w:lineRule="exact"/>
        <w:rPr>
          <w:rFonts w:ascii="Arial" w:cs="Arial" w:eastAsia="Arial" w:hAnsi="Arial"/>
          <w:sz w:val="17"/>
          <w:szCs w:val="17"/>
          <w:color w:val="auto"/>
        </w:rPr>
      </w:pPr>
    </w:p>
    <w:p>
      <w:pPr>
        <w:jc w:val="both"/>
        <w:ind w:left="340" w:firstLine="791"/>
        <w:spacing w:after="0" w:line="225" w:lineRule="auto"/>
        <w:tabs>
          <w:tab w:leader="none" w:pos="1703" w:val="left"/>
        </w:tabs>
        <w:numPr>
          <w:ilvl w:val="1"/>
          <w:numId w:val="235"/>
        </w:numPr>
        <w:rPr>
          <w:rFonts w:ascii="Arial" w:cs="Arial" w:eastAsia="Arial" w:hAnsi="Arial"/>
          <w:sz w:val="17"/>
          <w:szCs w:val="17"/>
          <w:color w:val="auto"/>
        </w:rPr>
      </w:pPr>
      <w:r>
        <w:rPr>
          <w:rFonts w:ascii="Arial" w:cs="Arial" w:eastAsia="Arial" w:hAnsi="Arial"/>
          <w:sz w:val="17"/>
          <w:szCs w:val="17"/>
          <w:color w:val="auto"/>
        </w:rPr>
        <w:t xml:space="preserve">the conversion of any Junior Financing to, or the exchange of any Junior Financing for, Equity Interests (other than Disqualified Equity Interests) of Holdings or any of its direct or indirect parent companies or any Intermediate Parent;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case of any such exchange, such Junior Financing is promptly cancelled;</w:t>
      </w:r>
    </w:p>
    <w:p>
      <w:pPr>
        <w:spacing w:after="0" w:line="136" w:lineRule="exact"/>
        <w:rPr>
          <w:rFonts w:ascii="Arial" w:cs="Arial" w:eastAsia="Arial" w:hAnsi="Arial"/>
          <w:sz w:val="17"/>
          <w:szCs w:val="17"/>
          <w:color w:val="auto"/>
        </w:rPr>
      </w:pPr>
    </w:p>
    <w:p>
      <w:pPr>
        <w:jc w:val="both"/>
        <w:ind w:left="340" w:firstLine="791"/>
        <w:spacing w:after="0" w:line="234" w:lineRule="auto"/>
        <w:tabs>
          <w:tab w:leader="none" w:pos="1694" w:val="left"/>
        </w:tabs>
        <w:numPr>
          <w:ilvl w:val="1"/>
          <w:numId w:val="235"/>
        </w:numPr>
        <w:rPr>
          <w:rFonts w:ascii="Arial" w:cs="Arial" w:eastAsia="Arial" w:hAnsi="Arial"/>
          <w:sz w:val="16"/>
          <w:szCs w:val="16"/>
          <w:color w:val="auto"/>
        </w:rPr>
      </w:pPr>
      <w:r>
        <w:rPr>
          <w:rFonts w:ascii="Arial" w:cs="Arial" w:eastAsia="Arial" w:hAnsi="Arial"/>
          <w:sz w:val="16"/>
          <w:szCs w:val="16"/>
          <w:color w:val="auto"/>
        </w:rPr>
        <w:t>so long as no Specified Event of Default has occurred and is continuing or would be caused thereby, prepayments, redemptions, purchases, defeasances and other payments in respect of Junior Financings prior to their scheduled maturity (including, for the avoidance of doubt, prepayments, redemptions, purchases, defeasances and other payments resulting from the termination of any Swap Agreement) (“</w:t>
      </w:r>
      <w:r>
        <w:rPr>
          <w:rFonts w:ascii="Arial" w:cs="Arial" w:eastAsia="Arial" w:hAnsi="Arial"/>
          <w:sz w:val="16"/>
          <w:szCs w:val="16"/>
          <w:b w:val="1"/>
          <w:bCs w:val="1"/>
          <w:color w:val="auto"/>
        </w:rPr>
        <w:t>Junior Financing</w:t>
      </w:r>
      <w:r>
        <w:rPr>
          <w:rFonts w:ascii="Arial" w:cs="Arial" w:eastAsia="Arial" w:hAnsi="Arial"/>
          <w:sz w:val="16"/>
          <w:szCs w:val="16"/>
          <w:color w:val="auto"/>
        </w:rPr>
        <w:t xml:space="preserve"> </w:t>
      </w:r>
      <w:r>
        <w:rPr>
          <w:rFonts w:ascii="Arial" w:cs="Arial" w:eastAsia="Arial" w:hAnsi="Arial"/>
          <w:sz w:val="16"/>
          <w:szCs w:val="16"/>
          <w:b w:val="1"/>
          <w:bCs w:val="1"/>
          <w:color w:val="auto"/>
        </w:rPr>
        <w:t>Prepayments</w:t>
      </w:r>
      <w:r>
        <w:rPr>
          <w:rFonts w:ascii="Arial" w:cs="Arial" w:eastAsia="Arial" w:hAnsi="Arial"/>
          <w:sz w:val="16"/>
          <w:szCs w:val="16"/>
          <w:color w:val="auto"/>
        </w:rPr>
        <w:t>”) in an amount not to exceed the Cumulative Credit at the time when such Junior Financing Prepayment is made;</w:t>
      </w:r>
    </w:p>
    <w:p>
      <w:pPr>
        <w:spacing w:after="0" w:line="134" w:lineRule="exact"/>
        <w:rPr>
          <w:rFonts w:ascii="Arial" w:cs="Arial" w:eastAsia="Arial" w:hAnsi="Arial"/>
          <w:sz w:val="16"/>
          <w:szCs w:val="16"/>
          <w:color w:val="auto"/>
        </w:rPr>
      </w:pPr>
    </w:p>
    <w:p>
      <w:pPr>
        <w:jc w:val="both"/>
        <w:ind w:left="340" w:right="20" w:firstLine="791"/>
        <w:spacing w:after="0" w:line="225" w:lineRule="auto"/>
        <w:tabs>
          <w:tab w:leader="none" w:pos="1693" w:val="left"/>
        </w:tabs>
        <w:numPr>
          <w:ilvl w:val="1"/>
          <w:numId w:val="235"/>
        </w:numPr>
        <w:rPr>
          <w:rFonts w:ascii="Arial" w:cs="Arial" w:eastAsia="Arial" w:hAnsi="Arial"/>
          <w:sz w:val="17"/>
          <w:szCs w:val="17"/>
          <w:color w:val="auto"/>
        </w:rPr>
      </w:pPr>
      <w:r>
        <w:rPr>
          <w:rFonts w:ascii="Arial" w:cs="Arial" w:eastAsia="Arial" w:hAnsi="Arial"/>
          <w:sz w:val="17"/>
          <w:szCs w:val="17"/>
          <w:color w:val="auto"/>
        </w:rPr>
        <w:t xml:space="preserve">so long as no Specified Event of Default has occurred and is continuing or would be caused thereby, additional Junior Financing Prepayments;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after giving effect to any such Junior Financing Prepayment, the aggregate amount of Junior Financing Prepayments made in reliance on this clause (v) shall not exceed the greater of $250,000,000 and 25% of Consolidated EBITDA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151</w:t>
      </w:r>
    </w:p>
    <w:p>
      <w:pPr>
        <w:sectPr>
          <w:pgSz w:w="11900" w:h="16838" w:orient="portrait"/>
          <w:cols w:equalWidth="0" w:num="1">
            <w:col w:w="11260"/>
          </w:cols>
          <w:pgMar w:left="320" w:top="1440" w:right="319" w:bottom="1440" w:gutter="0" w:footer="0" w:header="0"/>
        </w:sectPr>
      </w:pPr>
    </w:p>
    <w:bookmarkStart w:id="325" w:name="page326"/>
    <w:bookmarkEnd w:id="325"/>
    <w:p>
      <w:pPr>
        <w:spacing w:after="0" w:line="389" w:lineRule="exact"/>
        <w:rPr>
          <w:sz w:val="20"/>
          <w:szCs w:val="20"/>
          <w:color w:val="auto"/>
        </w:rPr>
      </w:pPr>
    </w:p>
    <w:p>
      <w:pPr>
        <w:ind w:left="345"/>
        <w:spacing w:after="0" w:line="237" w:lineRule="auto"/>
        <w:rPr>
          <w:sz w:val="20"/>
          <w:szCs w:val="20"/>
          <w:color w:val="auto"/>
        </w:rPr>
      </w:pPr>
      <w:r>
        <w:rPr>
          <w:rFonts w:ascii="Arial" w:cs="Arial" w:eastAsia="Arial" w:hAnsi="Arial"/>
          <w:sz w:val="17"/>
          <w:szCs w:val="17"/>
          <w:color w:val="auto"/>
        </w:rPr>
        <w:t>calculated on a Pro Forma Basis for the Test Period most recently ended for which financial statements are available prior to the making of such Junior Financing Prepayment; and</w:t>
      </w:r>
    </w:p>
    <w:p>
      <w:pPr>
        <w:spacing w:after="0" w:line="135" w:lineRule="exact"/>
        <w:rPr>
          <w:sz w:val="20"/>
          <w:szCs w:val="20"/>
          <w:color w:val="auto"/>
        </w:rPr>
      </w:pPr>
    </w:p>
    <w:p>
      <w:pPr>
        <w:jc w:val="both"/>
        <w:ind w:left="345" w:firstLine="791"/>
        <w:spacing w:after="0" w:line="220" w:lineRule="auto"/>
        <w:tabs>
          <w:tab w:leader="none" w:pos="1699" w:val="left"/>
        </w:tabs>
        <w:numPr>
          <w:ilvl w:val="0"/>
          <w:numId w:val="236"/>
        </w:numPr>
        <w:rPr>
          <w:rFonts w:ascii="Arial" w:cs="Arial" w:eastAsia="Arial" w:hAnsi="Arial"/>
          <w:sz w:val="17"/>
          <w:szCs w:val="17"/>
          <w:color w:val="auto"/>
        </w:rPr>
      </w:pPr>
      <w:r>
        <w:rPr>
          <w:rFonts w:ascii="Arial" w:cs="Arial" w:eastAsia="Arial" w:hAnsi="Arial"/>
          <w:sz w:val="17"/>
          <w:szCs w:val="17"/>
          <w:color w:val="auto"/>
        </w:rPr>
        <w:t xml:space="preserve">so long as no Specified Event of Default has occurred and is continuing or would be caused thereby, Holdings, the Borrower and the Restricted Subsidiaries may make unlimited Junior Financing Prepayments;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after giving effect to any such Junior Financing Prepayment, the Net First Lien Leverage Ratio calculated on a Pro Forma Basis as of the end of the most recent Test Period for which financial statements are available does not exceed 2.25 to 1.00.</w:t>
      </w:r>
    </w:p>
    <w:p>
      <w:pPr>
        <w:spacing w:after="0" w:line="136" w:lineRule="exact"/>
        <w:rPr>
          <w:sz w:val="20"/>
          <w:szCs w:val="20"/>
          <w:color w:val="auto"/>
        </w:rPr>
      </w:pPr>
    </w:p>
    <w:p>
      <w:pPr>
        <w:jc w:val="both"/>
        <w:ind w:left="5" w:firstLine="568"/>
        <w:spacing w:after="0" w:line="231" w:lineRule="auto"/>
        <w:rPr>
          <w:sz w:val="20"/>
          <w:szCs w:val="20"/>
          <w:color w:val="auto"/>
        </w:rPr>
      </w:pPr>
      <w:r>
        <w:rPr>
          <w:rFonts w:ascii="Arial" w:cs="Arial" w:eastAsia="Arial" w:hAnsi="Arial"/>
          <w:sz w:val="15"/>
          <w:szCs w:val="15"/>
          <w:color w:val="auto"/>
        </w:rPr>
        <w:t xml:space="preserve">Section 1.09. </w:t>
      </w:r>
      <w:r>
        <w:rPr>
          <w:rFonts w:ascii="Arial" w:cs="Arial" w:eastAsia="Arial" w:hAnsi="Arial"/>
          <w:sz w:val="15"/>
          <w:szCs w:val="15"/>
          <w:i w:val="1"/>
          <w:iCs w:val="1"/>
          <w:color w:val="auto"/>
        </w:rPr>
        <w:t>Transactions with Affiliates.</w:t>
      </w:r>
      <w:r>
        <w:rPr>
          <w:rFonts w:ascii="Arial" w:cs="Arial" w:eastAsia="Arial" w:hAnsi="Arial"/>
          <w:sz w:val="15"/>
          <w:szCs w:val="15"/>
          <w:color w:val="auto"/>
        </w:rPr>
        <w:t xml:space="preserve"> Neither Holdings nor the Borrower will, nor will they permit any Restricted Subsidiary to, sell, lease or otherwise transfer any property or assets to, or purchase, lease or otherwise acquire any property or assets from, or otherwise engage in any other transactions with, any of its Affiliates involving aggregate consideration (or payments) in excess of the greater of $25,000,000 and 2.5% of Consolidated EBITDA calculated on a Pro Forma Basis for the Test Period most recently ended for which financial statements are available, except (a) transactions with Holdings, the Borrower or any Restricted Subsidiary or any Person that becomes a Restricted Subsidiary as a result of such transaction, (b) on terms substantially as favorable to Holdings, the Borrower or such Restricted Subsidiary as would be obtainable by such Person at the time in a comparable arm’s-length transaction with a Person other than an Affiliate as determined by the Borrower in good faith, (c) Holdings, the Borrower or any Restricted Subsidiary shall be permitted to enter any underwriting agreements, stock purchase agreements or other similar agreements in connection with offerings of securities and provide customary representations, warranties, covenants and indemnities in respect of Virtu Financial, Inc., its subsidiaries and such offering in connection therewith, (d) issuances of Equity Interests of Holdings to the extent otherwise permitted by this Agreement, (e) employment and severance arrangements between Holdings, the Borrower and the Restricted Subsidiaries and their respective officers and employees in the ordinary course of business (including loans and advances pursuant to Sections 6.04(b) and 6.04(o)), (f) payments by Holdings (and any direct or indirect parent thereof), the Borrower and the Restricted Subsidiaries pursuant to tax sharing agreements among Holdings (and any such parent thereof), the Borrower and the Restricted Subsidiaries on customary terms to the extent attributable to the ownership or operation of the Borrower and the Restricted Subsidiaries, to the extent payments are Permitted Tax Distributions, (g) the payment of customary fees and reasonable out-of-pocket costs to, and indemnities provided on behalf of, directors, officers and employees of Holdings, the Borrower and the Restricted Subsidiaries in the ordinary course of business to the extent attributable to the ownership or operation of Holdings, the Borrower and the Restricted Subsidiaries,</w:t>
      </w:r>
    </w:p>
    <w:p>
      <w:pPr>
        <w:spacing w:after="0" w:line="10" w:lineRule="exact"/>
        <w:rPr>
          <w:sz w:val="20"/>
          <w:szCs w:val="20"/>
          <w:color w:val="auto"/>
        </w:rPr>
      </w:pPr>
    </w:p>
    <w:p>
      <w:pPr>
        <w:jc w:val="both"/>
        <w:ind w:left="5" w:hanging="5"/>
        <w:spacing w:after="0" w:line="209" w:lineRule="auto"/>
        <w:tabs>
          <w:tab w:leader="none" w:pos="253" w:val="left"/>
        </w:tabs>
        <w:numPr>
          <w:ilvl w:val="0"/>
          <w:numId w:val="237"/>
        </w:numPr>
        <w:rPr>
          <w:rFonts w:ascii="Arial" w:cs="Arial" w:eastAsia="Arial" w:hAnsi="Arial"/>
          <w:sz w:val="17"/>
          <w:szCs w:val="17"/>
          <w:color w:val="auto"/>
        </w:rPr>
      </w:pPr>
      <w:r>
        <w:rPr>
          <w:rFonts w:ascii="Arial" w:cs="Arial" w:eastAsia="Arial" w:hAnsi="Arial"/>
          <w:sz w:val="17"/>
          <w:szCs w:val="17"/>
          <w:color w:val="auto"/>
        </w:rPr>
        <w:t>transactions pursuant to any permitted agreements in existence or contemplated on the Closing Date and set forth on Schedule 6.09 or any amendment thereto to the extent such an amendment is not adverse to the Lenders in any material respect, (i) Restricted Payments permitted under Section 6.08, (j) Investments, loans or advances that are permitted to be made in lieu of Restricted Payments pursuant to Section 6.04, (k) transactions pursuant to any Permitted Securitization Financing or a receivables sale or financing and (l) any transaction in respect of which the Borrower delivers to the Administrative Agent a letter addressed to the sole member of the Borrower from an accounting, appraisal or investment banking firm, in each case of nationally recognized standing that is in the good faith determination of the Borrower qualified to render such letter, which letter states that (i) such transaction is on terms that are substantially no less favorable, when taken as a whole, to the Borrower or the applicable Subsidiary, as applicable, than would be obtained in a comparable arm’s-length transaction with a person that is not an Affiliate or (ii) such transaction is fair, when taken as a whole, to the Borrower or the applicable Subsidiary, as applicable, from a financial point of view.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4"/>
        <w:spacing w:after="0"/>
        <w:rPr>
          <w:sz w:val="20"/>
          <w:szCs w:val="20"/>
          <w:color w:val="auto"/>
        </w:rPr>
      </w:pPr>
      <w:r>
        <w:rPr>
          <w:rFonts w:ascii="Arial" w:cs="Arial" w:eastAsia="Arial" w:hAnsi="Arial"/>
          <w:sz w:val="17"/>
          <w:szCs w:val="17"/>
          <w:color w:val="auto"/>
        </w:rPr>
        <w:t>152</w:t>
      </w:r>
    </w:p>
    <w:p>
      <w:pPr>
        <w:sectPr>
          <w:pgSz w:w="11900" w:h="16838" w:orient="portrait"/>
          <w:cols w:equalWidth="0" w:num="1">
            <w:col w:w="11265"/>
          </w:cols>
          <w:pgMar w:left="315" w:top="1440" w:right="319" w:bottom="1440" w:gutter="0" w:footer="0" w:header="0"/>
        </w:sectPr>
      </w:pPr>
    </w:p>
    <w:bookmarkStart w:id="326" w:name="page327"/>
    <w:bookmarkEnd w:id="326"/>
    <w:p>
      <w:pPr>
        <w:spacing w:after="0" w:line="389" w:lineRule="exact"/>
        <w:rPr>
          <w:sz w:val="20"/>
          <w:szCs w:val="20"/>
          <w:color w:val="auto"/>
        </w:rPr>
      </w:pPr>
    </w:p>
    <w:p>
      <w:pPr>
        <w:jc w:val="both"/>
        <w:ind w:left="5" w:firstLine="568"/>
        <w:spacing w:after="0" w:line="222" w:lineRule="auto"/>
        <w:rPr>
          <w:sz w:val="20"/>
          <w:szCs w:val="20"/>
          <w:color w:val="auto"/>
        </w:rPr>
      </w:pPr>
      <w:r>
        <w:rPr>
          <w:rFonts w:ascii="Arial" w:cs="Arial" w:eastAsia="Arial" w:hAnsi="Arial"/>
          <w:sz w:val="16"/>
          <w:szCs w:val="16"/>
          <w:color w:val="auto"/>
        </w:rPr>
        <w:t xml:space="preserve">Section 1.10. </w:t>
      </w:r>
      <w:r>
        <w:rPr>
          <w:rFonts w:ascii="Arial" w:cs="Arial" w:eastAsia="Arial" w:hAnsi="Arial"/>
          <w:sz w:val="16"/>
          <w:szCs w:val="16"/>
          <w:i w:val="1"/>
          <w:iCs w:val="1"/>
          <w:color w:val="auto"/>
        </w:rPr>
        <w:t>Restrictive Agreements.</w:t>
      </w:r>
      <w:r>
        <w:rPr>
          <w:rFonts w:ascii="Arial" w:cs="Arial" w:eastAsia="Arial" w:hAnsi="Arial"/>
          <w:sz w:val="16"/>
          <w:szCs w:val="16"/>
          <w:color w:val="auto"/>
        </w:rPr>
        <w:t xml:space="preserve"> Neither Holdings nor the Borrower will, nor will they permit any Restricted Subsidiary to, directly or indirectly, enter into, incur or permit to exist any agreement or other arrangement that prohibits, restricts or imposes any condition upon (a) the ability of Holdings, the Borrower or any other Subsidiary Loan Party to create, incur or permit to exist any Lien upon any of its property or assets to secure the Secured Obligations or</w:t>
      </w:r>
    </w:p>
    <w:p>
      <w:pPr>
        <w:spacing w:after="0" w:line="1" w:lineRule="exact"/>
        <w:rPr>
          <w:sz w:val="20"/>
          <w:szCs w:val="20"/>
          <w:color w:val="auto"/>
        </w:rPr>
      </w:pPr>
    </w:p>
    <w:p>
      <w:pPr>
        <w:jc w:val="both"/>
        <w:ind w:left="5" w:right="20" w:hanging="5"/>
        <w:spacing w:after="0" w:line="220" w:lineRule="auto"/>
        <w:tabs>
          <w:tab w:leader="none" w:pos="254" w:val="left"/>
        </w:tabs>
        <w:numPr>
          <w:ilvl w:val="0"/>
          <w:numId w:val="238"/>
        </w:numPr>
        <w:rPr>
          <w:rFonts w:ascii="Arial" w:cs="Arial" w:eastAsia="Arial" w:hAnsi="Arial"/>
          <w:sz w:val="17"/>
          <w:szCs w:val="17"/>
          <w:color w:val="auto"/>
        </w:rPr>
      </w:pPr>
      <w:r>
        <w:rPr>
          <w:rFonts w:ascii="Arial" w:cs="Arial" w:eastAsia="Arial" w:hAnsi="Arial"/>
          <w:sz w:val="17"/>
          <w:szCs w:val="17"/>
          <w:color w:val="auto"/>
        </w:rPr>
        <w:t xml:space="preserve">the ability of any Restricted Subsidiary that is not a Loan Party to pay dividends or other distributions with respect to any of its Equity Interests or to make or repay loans or advances to any Restricted Subsidiary or to Guarantee Indebtedness of any Restricted Subsidiary;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foregoing clauses (a) and (b) shall not apply to any such restrictions that</w:t>
      </w:r>
    </w:p>
    <w:p>
      <w:pPr>
        <w:spacing w:after="0" w:line="135" w:lineRule="exact"/>
        <w:rPr>
          <w:sz w:val="20"/>
          <w:szCs w:val="20"/>
          <w:color w:val="auto"/>
        </w:rPr>
      </w:pPr>
    </w:p>
    <w:p>
      <w:pPr>
        <w:jc w:val="both"/>
        <w:ind w:left="5" w:right="20" w:firstLine="1136"/>
        <w:spacing w:after="0" w:line="220" w:lineRule="auto"/>
        <w:rPr>
          <w:sz w:val="20"/>
          <w:szCs w:val="20"/>
          <w:color w:val="auto"/>
        </w:rPr>
      </w:pPr>
      <w:r>
        <w:rPr>
          <w:rFonts w:ascii="Arial" w:cs="Arial" w:eastAsia="Arial" w:hAnsi="Arial"/>
          <w:sz w:val="17"/>
          <w:szCs w:val="17"/>
          <w:color w:val="auto"/>
        </w:rPr>
        <w:t>(i)(x) exist on the Closing Date and (to the extent not otherwise permitted by this Section 6.10) are listed on Schedule 6.10 and (y) any renewal, extension, amendment, modification or replacement of a restriction permitted by clause (i)(x) or any agreement evidencing such restriction so long as such renewal, extension, amendment, modification or replacement does not materially expand the scope of such restrictions (as determined in good faith by the Borrower);</w:t>
      </w:r>
    </w:p>
    <w:p>
      <w:pPr>
        <w:spacing w:after="0" w:line="136" w:lineRule="exact"/>
        <w:rPr>
          <w:sz w:val="20"/>
          <w:szCs w:val="20"/>
          <w:color w:val="auto"/>
        </w:rPr>
      </w:pPr>
    </w:p>
    <w:p>
      <w:pPr>
        <w:jc w:val="both"/>
        <w:ind w:left="5" w:firstLine="1136"/>
        <w:spacing w:after="0" w:line="220" w:lineRule="auto"/>
        <w:rPr>
          <w:sz w:val="20"/>
          <w:szCs w:val="20"/>
          <w:color w:val="auto"/>
        </w:rPr>
      </w:pPr>
      <w:r>
        <w:rPr>
          <w:rFonts w:ascii="Arial" w:cs="Arial" w:eastAsia="Arial" w:hAnsi="Arial"/>
          <w:sz w:val="17"/>
          <w:szCs w:val="17"/>
          <w:color w:val="auto"/>
        </w:rPr>
        <w:t>(ii)(x) are binding on a Subsidiary at the time such Subsidiary first becomes a Subsidiary, so long as such restrictions were not entered into solely in contemplation of such Person becoming a Subsidiary and (y) any renewal, extension, amendment, modification or replacement of a restriction permitted by clause (ii)(x) or any agreement evidencing such restriction so long as such renewal or extension does not materially expand the scope of such restrictions (as determined in good faith by the Borrower);</w:t>
      </w:r>
    </w:p>
    <w:p>
      <w:pPr>
        <w:spacing w:after="0" w:line="136" w:lineRule="exact"/>
        <w:rPr>
          <w:sz w:val="20"/>
          <w:szCs w:val="20"/>
          <w:color w:val="auto"/>
        </w:rPr>
      </w:pPr>
    </w:p>
    <w:p>
      <w:pPr>
        <w:ind w:left="1445" w:hanging="309"/>
        <w:spacing w:after="0"/>
        <w:tabs>
          <w:tab w:leader="none" w:pos="1445" w:val="left"/>
        </w:tabs>
        <w:numPr>
          <w:ilvl w:val="0"/>
          <w:numId w:val="239"/>
        </w:numPr>
        <w:rPr>
          <w:rFonts w:ascii="Arial" w:cs="Arial" w:eastAsia="Arial" w:hAnsi="Arial"/>
          <w:sz w:val="17"/>
          <w:szCs w:val="17"/>
          <w:color w:val="auto"/>
        </w:rPr>
      </w:pPr>
      <w:r>
        <w:rPr>
          <w:rFonts w:ascii="Arial" w:cs="Arial" w:eastAsia="Arial" w:hAnsi="Arial"/>
          <w:sz w:val="17"/>
          <w:szCs w:val="17"/>
          <w:color w:val="auto"/>
        </w:rPr>
        <w:t>represent Indebtedness of a Restricted Subsidiary that is not a Loan Party that is permitted by Section 6.01;</w:t>
      </w:r>
    </w:p>
    <w:p>
      <w:pPr>
        <w:spacing w:after="0" w:line="159" w:lineRule="exact"/>
        <w:rPr>
          <w:rFonts w:ascii="Arial" w:cs="Arial" w:eastAsia="Arial" w:hAnsi="Arial"/>
          <w:sz w:val="17"/>
          <w:szCs w:val="17"/>
          <w:color w:val="auto"/>
        </w:rPr>
      </w:pPr>
    </w:p>
    <w:p>
      <w:pPr>
        <w:ind w:left="5" w:right="20" w:firstLine="1131"/>
        <w:spacing w:after="0" w:line="237" w:lineRule="auto"/>
        <w:tabs>
          <w:tab w:leader="none" w:pos="1437" w:val="left"/>
        </w:tabs>
        <w:numPr>
          <w:ilvl w:val="0"/>
          <w:numId w:val="239"/>
        </w:numPr>
        <w:rPr>
          <w:rFonts w:ascii="Arial" w:cs="Arial" w:eastAsia="Arial" w:hAnsi="Arial"/>
          <w:sz w:val="17"/>
          <w:szCs w:val="17"/>
          <w:color w:val="auto"/>
        </w:rPr>
      </w:pPr>
      <w:r>
        <w:rPr>
          <w:rFonts w:ascii="Arial" w:cs="Arial" w:eastAsia="Arial" w:hAnsi="Arial"/>
          <w:sz w:val="17"/>
          <w:szCs w:val="17"/>
          <w:color w:val="auto"/>
        </w:rPr>
        <w:t>are customary restrictions that arise in connection with any Disposition permitted by Section 6.05 applicable pending such Disposition solely to the assets subject to such Disposition;</w:t>
      </w:r>
    </w:p>
    <w:p>
      <w:pPr>
        <w:spacing w:after="0" w:line="134" w:lineRule="exact"/>
        <w:rPr>
          <w:rFonts w:ascii="Arial" w:cs="Arial" w:eastAsia="Arial" w:hAnsi="Arial"/>
          <w:sz w:val="17"/>
          <w:szCs w:val="17"/>
          <w:color w:val="auto"/>
        </w:rPr>
      </w:pPr>
    </w:p>
    <w:p>
      <w:pPr>
        <w:ind w:left="1385" w:hanging="249"/>
        <w:spacing w:after="0"/>
        <w:tabs>
          <w:tab w:leader="none" w:pos="1385" w:val="left"/>
        </w:tabs>
        <w:numPr>
          <w:ilvl w:val="0"/>
          <w:numId w:val="239"/>
        </w:numPr>
        <w:rPr>
          <w:rFonts w:ascii="Arial" w:cs="Arial" w:eastAsia="Arial" w:hAnsi="Arial"/>
          <w:sz w:val="15"/>
          <w:szCs w:val="15"/>
          <w:color w:val="auto"/>
        </w:rPr>
      </w:pPr>
      <w:r>
        <w:rPr>
          <w:rFonts w:ascii="Arial" w:cs="Arial" w:eastAsia="Arial" w:hAnsi="Arial"/>
          <w:sz w:val="15"/>
          <w:szCs w:val="15"/>
          <w:color w:val="auto"/>
        </w:rPr>
        <w:t>are customary provisions in joint venture agreements and other similar agreements applicable to joint ventures permitted under Section 6.04;</w:t>
      </w:r>
    </w:p>
    <w:p>
      <w:pPr>
        <w:spacing w:after="0" w:line="182" w:lineRule="exact"/>
        <w:rPr>
          <w:rFonts w:ascii="Arial" w:cs="Arial" w:eastAsia="Arial" w:hAnsi="Arial"/>
          <w:sz w:val="15"/>
          <w:szCs w:val="15"/>
          <w:color w:val="auto"/>
        </w:rPr>
      </w:pPr>
    </w:p>
    <w:p>
      <w:pPr>
        <w:jc w:val="both"/>
        <w:ind w:left="5" w:firstLine="1131"/>
        <w:spacing w:after="0" w:line="225" w:lineRule="auto"/>
        <w:tabs>
          <w:tab w:leader="none" w:pos="1447" w:val="left"/>
        </w:tabs>
        <w:numPr>
          <w:ilvl w:val="0"/>
          <w:numId w:val="239"/>
        </w:numPr>
        <w:rPr>
          <w:rFonts w:ascii="Arial" w:cs="Arial" w:eastAsia="Arial" w:hAnsi="Arial"/>
          <w:sz w:val="17"/>
          <w:szCs w:val="17"/>
          <w:color w:val="auto"/>
        </w:rPr>
      </w:pPr>
      <w:r>
        <w:rPr>
          <w:rFonts w:ascii="Arial" w:cs="Arial" w:eastAsia="Arial" w:hAnsi="Arial"/>
          <w:sz w:val="17"/>
          <w:szCs w:val="17"/>
          <w:color w:val="auto"/>
        </w:rPr>
        <w:t>are negative pledges and restrictions on Liens in favor of any holder of Indebtedness permitted under Section 6.01 but solely to the extent any negative pledge relates to the property financed by or securing such Indebtedness (and excluding in any event any Indebtedness constituting any Junior Financing);</w:t>
      </w:r>
    </w:p>
    <w:p>
      <w:pPr>
        <w:spacing w:after="0" w:line="136" w:lineRule="exact"/>
        <w:rPr>
          <w:rFonts w:ascii="Arial" w:cs="Arial" w:eastAsia="Arial" w:hAnsi="Arial"/>
          <w:sz w:val="17"/>
          <w:szCs w:val="17"/>
          <w:color w:val="auto"/>
        </w:rPr>
      </w:pPr>
    </w:p>
    <w:p>
      <w:pPr>
        <w:jc w:val="both"/>
        <w:ind w:left="5" w:right="20" w:firstLine="1131"/>
        <w:spacing w:after="0"/>
        <w:tabs>
          <w:tab w:leader="none" w:pos="1489" w:val="left"/>
        </w:tabs>
        <w:numPr>
          <w:ilvl w:val="0"/>
          <w:numId w:val="239"/>
        </w:numPr>
        <w:rPr>
          <w:rFonts w:ascii="Arial" w:cs="Arial" w:eastAsia="Arial" w:hAnsi="Arial"/>
          <w:sz w:val="16"/>
          <w:szCs w:val="16"/>
          <w:color w:val="auto"/>
        </w:rPr>
      </w:pPr>
      <w:r>
        <w:rPr>
          <w:rFonts w:ascii="Arial" w:cs="Arial" w:eastAsia="Arial" w:hAnsi="Arial"/>
          <w:sz w:val="16"/>
          <w:szCs w:val="16"/>
          <w:color w:val="auto"/>
        </w:rPr>
        <w:t>are imposed by (v) Requirements of Law, (w) any Loan Document, (x) any documentation governing Incremental Equivalent Debt, (y) any documentation governing Credit Agreement Refinancing Indebtedness and (z) any documentation governing any Permitted First Priority Refinancing Debt, and Permitted Unsecured Refinancing Debt incurred to refinance any such Indebtedness referenced in clauses (v) through (z) above;</w:t>
      </w:r>
    </w:p>
    <w:p>
      <w:pPr>
        <w:spacing w:after="0" w:line="134" w:lineRule="exact"/>
        <w:rPr>
          <w:rFonts w:ascii="Arial" w:cs="Arial" w:eastAsia="Arial" w:hAnsi="Arial"/>
          <w:sz w:val="16"/>
          <w:szCs w:val="16"/>
          <w:color w:val="auto"/>
        </w:rPr>
      </w:pPr>
    </w:p>
    <w:p>
      <w:pPr>
        <w:ind w:left="5" w:firstLine="1131"/>
        <w:spacing w:after="0" w:line="237" w:lineRule="auto"/>
        <w:tabs>
          <w:tab w:leader="none" w:pos="1556" w:val="left"/>
        </w:tabs>
        <w:numPr>
          <w:ilvl w:val="0"/>
          <w:numId w:val="239"/>
        </w:numPr>
        <w:rPr>
          <w:rFonts w:ascii="Arial" w:cs="Arial" w:eastAsia="Arial" w:hAnsi="Arial"/>
          <w:sz w:val="17"/>
          <w:szCs w:val="17"/>
          <w:color w:val="auto"/>
        </w:rPr>
      </w:pPr>
      <w:r>
        <w:rPr>
          <w:rFonts w:ascii="Arial" w:cs="Arial" w:eastAsia="Arial" w:hAnsi="Arial"/>
          <w:sz w:val="17"/>
          <w:szCs w:val="17"/>
          <w:color w:val="auto"/>
        </w:rPr>
        <w:t>are customary restrictions contained in leases, subleases, licenses or asset sale agreements otherwise permitted hereby so long as such restrictions relate only to the assets subject thereto;</w:t>
      </w:r>
    </w:p>
    <w:p>
      <w:pPr>
        <w:spacing w:after="0" w:line="134" w:lineRule="exact"/>
        <w:rPr>
          <w:rFonts w:ascii="Arial" w:cs="Arial" w:eastAsia="Arial" w:hAnsi="Arial"/>
          <w:sz w:val="17"/>
          <w:szCs w:val="17"/>
          <w:color w:val="auto"/>
        </w:rPr>
      </w:pPr>
    </w:p>
    <w:p>
      <w:pPr>
        <w:ind w:left="5" w:right="20" w:firstLine="1131"/>
        <w:spacing w:after="0" w:line="237" w:lineRule="auto"/>
        <w:tabs>
          <w:tab w:leader="none" w:pos="1444" w:val="left"/>
        </w:tabs>
        <w:numPr>
          <w:ilvl w:val="0"/>
          <w:numId w:val="239"/>
        </w:numPr>
        <w:rPr>
          <w:rFonts w:ascii="Arial" w:cs="Arial" w:eastAsia="Arial" w:hAnsi="Arial"/>
          <w:sz w:val="17"/>
          <w:szCs w:val="17"/>
          <w:color w:val="auto"/>
        </w:rPr>
      </w:pPr>
      <w:r>
        <w:rPr>
          <w:rFonts w:ascii="Arial" w:cs="Arial" w:eastAsia="Arial" w:hAnsi="Arial"/>
          <w:sz w:val="17"/>
          <w:szCs w:val="17"/>
          <w:color w:val="auto"/>
        </w:rPr>
        <w:t>comprise restrictions imposed by any agreement relating to secured Indebtedness permitted pursuant to Section 6.01(a)(v) to the extent that such restrictions apply only to the property or assets securing such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4"/>
        <w:spacing w:after="0"/>
        <w:rPr>
          <w:sz w:val="20"/>
          <w:szCs w:val="20"/>
          <w:color w:val="auto"/>
        </w:rPr>
      </w:pPr>
      <w:r>
        <w:rPr>
          <w:rFonts w:ascii="Arial" w:cs="Arial" w:eastAsia="Arial" w:hAnsi="Arial"/>
          <w:sz w:val="17"/>
          <w:szCs w:val="17"/>
          <w:color w:val="auto"/>
        </w:rPr>
        <w:t>153</w:t>
      </w:r>
    </w:p>
    <w:p>
      <w:pPr>
        <w:sectPr>
          <w:pgSz w:w="11900" w:h="16838" w:orient="portrait"/>
          <w:cols w:equalWidth="0" w:num="1">
            <w:col w:w="11265"/>
          </w:cols>
          <w:pgMar w:left="315" w:top="1440" w:right="319" w:bottom="1440" w:gutter="0" w:footer="0" w:header="0"/>
        </w:sectPr>
      </w:pPr>
    </w:p>
    <w:bookmarkStart w:id="327" w:name="page328"/>
    <w:bookmarkEnd w:id="327"/>
    <w:p>
      <w:pPr>
        <w:spacing w:after="0" w:line="390" w:lineRule="exact"/>
        <w:rPr>
          <w:sz w:val="20"/>
          <w:szCs w:val="20"/>
          <w:color w:val="auto"/>
        </w:rPr>
      </w:pPr>
    </w:p>
    <w:p>
      <w:pPr>
        <w:ind w:right="20" w:firstLine="1131"/>
        <w:spacing w:after="0" w:line="237" w:lineRule="auto"/>
        <w:tabs>
          <w:tab w:leader="none" w:pos="1411" w:val="left"/>
        </w:tabs>
        <w:numPr>
          <w:ilvl w:val="0"/>
          <w:numId w:val="240"/>
        </w:numPr>
        <w:rPr>
          <w:rFonts w:ascii="Arial" w:cs="Arial" w:eastAsia="Arial" w:hAnsi="Arial"/>
          <w:sz w:val="17"/>
          <w:szCs w:val="17"/>
          <w:color w:val="auto"/>
        </w:rPr>
      </w:pPr>
      <w:r>
        <w:rPr>
          <w:rFonts w:ascii="Arial" w:cs="Arial" w:eastAsia="Arial" w:hAnsi="Arial"/>
          <w:sz w:val="17"/>
          <w:szCs w:val="17"/>
          <w:color w:val="auto"/>
        </w:rPr>
        <w:t>are customary provisions restricting subletting or assignment of any lease governing a leasehold interest of Holdings, any Intermediate Parent, the Borrower or any Restricted Subsidiary;</w:t>
      </w:r>
    </w:p>
    <w:p>
      <w:pPr>
        <w:spacing w:after="0" w:line="134" w:lineRule="exact"/>
        <w:rPr>
          <w:rFonts w:ascii="Arial" w:cs="Arial" w:eastAsia="Arial" w:hAnsi="Arial"/>
          <w:sz w:val="17"/>
          <w:szCs w:val="17"/>
          <w:color w:val="auto"/>
        </w:rPr>
      </w:pPr>
    </w:p>
    <w:p>
      <w:pPr>
        <w:ind w:left="1420" w:hanging="289"/>
        <w:spacing w:after="0"/>
        <w:tabs>
          <w:tab w:leader="none" w:pos="1420" w:val="left"/>
        </w:tabs>
        <w:numPr>
          <w:ilvl w:val="0"/>
          <w:numId w:val="240"/>
        </w:numPr>
        <w:rPr>
          <w:rFonts w:ascii="Arial" w:cs="Arial" w:eastAsia="Arial" w:hAnsi="Arial"/>
          <w:sz w:val="17"/>
          <w:szCs w:val="17"/>
          <w:color w:val="auto"/>
        </w:rPr>
      </w:pPr>
      <w:r>
        <w:rPr>
          <w:rFonts w:ascii="Arial" w:cs="Arial" w:eastAsia="Arial" w:hAnsi="Arial"/>
          <w:sz w:val="17"/>
          <w:szCs w:val="17"/>
          <w:color w:val="auto"/>
        </w:rPr>
        <w:t>are customary provisions restricting assignment of any license, lease or other agreement;</w:t>
      </w:r>
    </w:p>
    <w:p>
      <w:pPr>
        <w:spacing w:after="0" w:line="159" w:lineRule="exact"/>
        <w:rPr>
          <w:rFonts w:ascii="Arial" w:cs="Arial" w:eastAsia="Arial" w:hAnsi="Arial"/>
          <w:sz w:val="17"/>
          <w:szCs w:val="17"/>
          <w:color w:val="auto"/>
        </w:rPr>
      </w:pPr>
    </w:p>
    <w:p>
      <w:pPr>
        <w:ind w:right="20" w:firstLine="1131"/>
        <w:spacing w:after="0" w:line="237" w:lineRule="auto"/>
        <w:tabs>
          <w:tab w:leader="none" w:pos="1486" w:val="left"/>
        </w:tabs>
        <w:numPr>
          <w:ilvl w:val="0"/>
          <w:numId w:val="240"/>
        </w:numPr>
        <w:rPr>
          <w:rFonts w:ascii="Arial" w:cs="Arial" w:eastAsia="Arial" w:hAnsi="Arial"/>
          <w:sz w:val="17"/>
          <w:szCs w:val="17"/>
          <w:color w:val="auto"/>
        </w:rPr>
      </w:pPr>
      <w:r>
        <w:rPr>
          <w:rFonts w:ascii="Arial" w:cs="Arial" w:eastAsia="Arial" w:hAnsi="Arial"/>
          <w:sz w:val="17"/>
          <w:szCs w:val="17"/>
          <w:color w:val="auto"/>
        </w:rPr>
        <w:t>are restrictions on cash (or Permitted Investments) or deposits imposed by customers under contracts entered into in the ordinary course of business (or otherwise constituting Permitted Encumbrances on such cash or Permitted Investments or deposits);</w:t>
      </w:r>
    </w:p>
    <w:p>
      <w:pPr>
        <w:spacing w:after="0" w:line="134" w:lineRule="exact"/>
        <w:rPr>
          <w:rFonts w:ascii="Arial" w:cs="Arial" w:eastAsia="Arial" w:hAnsi="Arial"/>
          <w:sz w:val="17"/>
          <w:szCs w:val="17"/>
          <w:color w:val="auto"/>
        </w:rPr>
      </w:pPr>
    </w:p>
    <w:p>
      <w:pPr>
        <w:jc w:val="both"/>
        <w:ind w:firstLine="1131"/>
        <w:spacing w:after="0" w:line="225" w:lineRule="auto"/>
        <w:tabs>
          <w:tab w:leader="none" w:pos="1533" w:val="left"/>
        </w:tabs>
        <w:numPr>
          <w:ilvl w:val="0"/>
          <w:numId w:val="240"/>
        </w:numPr>
        <w:rPr>
          <w:rFonts w:ascii="Arial" w:cs="Arial" w:eastAsia="Arial" w:hAnsi="Arial"/>
          <w:sz w:val="17"/>
          <w:szCs w:val="17"/>
          <w:color w:val="auto"/>
        </w:rPr>
      </w:pPr>
      <w:r>
        <w:rPr>
          <w:rFonts w:ascii="Arial" w:cs="Arial" w:eastAsia="Arial" w:hAnsi="Arial"/>
          <w:sz w:val="17"/>
          <w:szCs w:val="17"/>
          <w:color w:val="auto"/>
        </w:rPr>
        <w:t>are customary net worth provisions contained in real property leases or licenses of intellectual property entered into by the Borrower or its Subsidiaries, so long as the Borrower has determined in good faith that such net worth provisions could not reasonably be expected to impair the ability of the Borrower and its Restricted Subsidiaries to meet their ongoing obligations under the Loan Documents;</w:t>
      </w:r>
    </w:p>
    <w:p>
      <w:pPr>
        <w:spacing w:after="0" w:line="137" w:lineRule="exact"/>
        <w:rPr>
          <w:sz w:val="20"/>
          <w:szCs w:val="20"/>
          <w:color w:val="auto"/>
        </w:rPr>
      </w:pPr>
    </w:p>
    <w:p>
      <w:pPr>
        <w:ind w:right="20" w:firstLine="1131"/>
        <w:spacing w:after="0" w:line="237" w:lineRule="auto"/>
        <w:tabs>
          <w:tab w:leader="none" w:pos="1476" w:val="left"/>
        </w:tabs>
        <w:numPr>
          <w:ilvl w:val="0"/>
          <w:numId w:val="241"/>
        </w:numPr>
        <w:rPr>
          <w:rFonts w:ascii="Arial" w:cs="Arial" w:eastAsia="Arial" w:hAnsi="Arial"/>
          <w:sz w:val="17"/>
          <w:szCs w:val="17"/>
          <w:color w:val="auto"/>
        </w:rPr>
      </w:pPr>
      <w:r>
        <w:rPr>
          <w:rFonts w:ascii="Arial" w:cs="Arial" w:eastAsia="Arial" w:hAnsi="Arial"/>
          <w:sz w:val="17"/>
          <w:szCs w:val="17"/>
          <w:color w:val="auto"/>
        </w:rPr>
        <w:t>any restriction on a Subsidiary imposed pursuant to an agreement entered into for the sale or disposition of all of the Equity Interests or all or substantially all of the assets of such Subsidiary pending the closing of such sale or disposition;</w:t>
      </w:r>
    </w:p>
    <w:p>
      <w:pPr>
        <w:spacing w:after="0" w:line="135" w:lineRule="exact"/>
        <w:rPr>
          <w:sz w:val="20"/>
          <w:szCs w:val="20"/>
          <w:color w:val="auto"/>
        </w:rPr>
      </w:pPr>
    </w:p>
    <w:p>
      <w:pPr>
        <w:jc w:val="both"/>
        <w:ind w:firstLine="1131"/>
        <w:spacing w:after="0" w:line="225" w:lineRule="auto"/>
        <w:tabs>
          <w:tab w:leader="none" w:pos="1574" w:val="left"/>
        </w:tabs>
        <w:numPr>
          <w:ilvl w:val="0"/>
          <w:numId w:val="242"/>
        </w:numPr>
        <w:rPr>
          <w:rFonts w:ascii="Arial" w:cs="Arial" w:eastAsia="Arial" w:hAnsi="Arial"/>
          <w:sz w:val="17"/>
          <w:szCs w:val="17"/>
          <w:color w:val="auto"/>
        </w:rPr>
      </w:pPr>
      <w:r>
        <w:rPr>
          <w:rFonts w:ascii="Arial" w:cs="Arial" w:eastAsia="Arial" w:hAnsi="Arial"/>
          <w:sz w:val="17"/>
          <w:szCs w:val="17"/>
          <w:color w:val="auto"/>
        </w:rPr>
        <w:t>customary restrictions and conditions contained in the document relating to any Lien permitted hereunder, so long as (1) such restrictions or conditions relate only to the specific asset subject to such Lien, and (2) such restrictions and conditions are not created for the purpose of avoiding the restrictions imposed by this Section 6.10;</w:t>
      </w:r>
    </w:p>
    <w:p>
      <w:pPr>
        <w:spacing w:after="0" w:line="136" w:lineRule="exact"/>
        <w:rPr>
          <w:rFonts w:ascii="Arial" w:cs="Arial" w:eastAsia="Arial" w:hAnsi="Arial"/>
          <w:sz w:val="17"/>
          <w:szCs w:val="17"/>
          <w:color w:val="auto"/>
        </w:rPr>
      </w:pPr>
    </w:p>
    <w:p>
      <w:pPr>
        <w:ind w:right="20" w:firstLine="1131"/>
        <w:spacing w:after="0" w:line="237" w:lineRule="auto"/>
        <w:tabs>
          <w:tab w:leader="none" w:pos="1625" w:val="left"/>
        </w:tabs>
        <w:numPr>
          <w:ilvl w:val="0"/>
          <w:numId w:val="242"/>
        </w:numPr>
        <w:rPr>
          <w:rFonts w:ascii="Arial" w:cs="Arial" w:eastAsia="Arial" w:hAnsi="Arial"/>
          <w:sz w:val="17"/>
          <w:szCs w:val="17"/>
          <w:color w:val="auto"/>
        </w:rPr>
      </w:pPr>
      <w:r>
        <w:rPr>
          <w:rFonts w:ascii="Arial" w:cs="Arial" w:eastAsia="Arial" w:hAnsi="Arial"/>
          <w:sz w:val="17"/>
          <w:szCs w:val="17"/>
          <w:color w:val="auto"/>
        </w:rPr>
        <w:t>customary restrictions contained in leases, subleases, licenses or Equity Interests or asset sale agreements otherwise permitted hereby as long as such restrictions relate to the Equity Interests and assets subject thereto; or</w:t>
      </w:r>
    </w:p>
    <w:p>
      <w:pPr>
        <w:spacing w:after="0" w:line="134" w:lineRule="exact"/>
        <w:rPr>
          <w:rFonts w:ascii="Arial" w:cs="Arial" w:eastAsia="Arial" w:hAnsi="Arial"/>
          <w:sz w:val="17"/>
          <w:szCs w:val="17"/>
          <w:color w:val="auto"/>
        </w:rPr>
      </w:pPr>
    </w:p>
    <w:p>
      <w:pPr>
        <w:ind w:firstLine="1131"/>
        <w:spacing w:after="0" w:line="237" w:lineRule="auto"/>
        <w:tabs>
          <w:tab w:leader="none" w:pos="1564" w:val="left"/>
        </w:tabs>
        <w:numPr>
          <w:ilvl w:val="0"/>
          <w:numId w:val="242"/>
        </w:numPr>
        <w:rPr>
          <w:rFonts w:ascii="Arial" w:cs="Arial" w:eastAsia="Arial" w:hAnsi="Arial"/>
          <w:sz w:val="17"/>
          <w:szCs w:val="17"/>
          <w:color w:val="auto"/>
        </w:rPr>
      </w:pPr>
      <w:r>
        <w:rPr>
          <w:rFonts w:ascii="Arial" w:cs="Arial" w:eastAsia="Arial" w:hAnsi="Arial"/>
          <w:sz w:val="17"/>
          <w:szCs w:val="17"/>
          <w:color w:val="auto"/>
        </w:rPr>
        <w:t>arise in connection with Permitted Securitization Financings on the assets and Equity Interests of the applicable Special Purpose Securitization Subsidiary.</w:t>
      </w:r>
    </w:p>
    <w:p>
      <w:pPr>
        <w:spacing w:after="0" w:line="135" w:lineRule="exact"/>
        <w:rPr>
          <w:sz w:val="20"/>
          <w:szCs w:val="20"/>
          <w:color w:val="auto"/>
        </w:rPr>
      </w:pPr>
    </w:p>
    <w:p>
      <w:pPr>
        <w:jc w:val="both"/>
        <w:ind w:firstLine="568"/>
        <w:spacing w:after="0" w:line="225" w:lineRule="auto"/>
        <w:rPr>
          <w:sz w:val="20"/>
          <w:szCs w:val="20"/>
          <w:color w:val="auto"/>
        </w:rPr>
      </w:pPr>
      <w:r>
        <w:rPr>
          <w:rFonts w:ascii="Arial" w:cs="Arial" w:eastAsia="Arial" w:hAnsi="Arial"/>
          <w:sz w:val="17"/>
          <w:szCs w:val="17"/>
          <w:color w:val="auto"/>
        </w:rPr>
        <w:t xml:space="preserve">Section 1.11. </w:t>
      </w:r>
      <w:r>
        <w:rPr>
          <w:rFonts w:ascii="Arial" w:cs="Arial" w:eastAsia="Arial" w:hAnsi="Arial"/>
          <w:sz w:val="17"/>
          <w:szCs w:val="17"/>
          <w:i w:val="1"/>
          <w:iCs w:val="1"/>
          <w:color w:val="auto"/>
        </w:rPr>
        <w:t>Amendment of Junior Financing.</w:t>
      </w:r>
      <w:r>
        <w:rPr>
          <w:rFonts w:ascii="Arial" w:cs="Arial" w:eastAsia="Arial" w:hAnsi="Arial"/>
          <w:sz w:val="17"/>
          <w:szCs w:val="17"/>
          <w:color w:val="auto"/>
        </w:rPr>
        <w:t xml:space="preserve"> Neither Holdings nor the Borrower will, nor will they permit any Restricted Subsidiary or any Intermediate Parent to, amend, modify, waive, terminate or release the documentation governing any Junior Financing, in each case if the effect of such amendment, modification, waiver, termination or release is materially adverse to the Lenders.</w:t>
      </w:r>
    </w:p>
    <w:p>
      <w:pPr>
        <w:spacing w:after="0" w:line="137" w:lineRule="exact"/>
        <w:rPr>
          <w:sz w:val="20"/>
          <w:szCs w:val="20"/>
          <w:color w:val="auto"/>
        </w:rPr>
      </w:pPr>
    </w:p>
    <w:p>
      <w:pPr>
        <w:jc w:val="both"/>
        <w:ind w:right="20" w:firstLine="568"/>
        <w:spacing w:after="0" w:line="237" w:lineRule="auto"/>
        <w:rPr>
          <w:sz w:val="20"/>
          <w:szCs w:val="20"/>
          <w:color w:val="auto"/>
        </w:rPr>
      </w:pPr>
      <w:r>
        <w:rPr>
          <w:rFonts w:ascii="Arial" w:cs="Arial" w:eastAsia="Arial" w:hAnsi="Arial"/>
          <w:sz w:val="17"/>
          <w:szCs w:val="17"/>
          <w:color w:val="auto"/>
        </w:rPr>
        <w:t xml:space="preserve">Section 1.12. </w:t>
      </w:r>
      <w:r>
        <w:rPr>
          <w:rFonts w:ascii="Arial" w:cs="Arial" w:eastAsia="Arial" w:hAnsi="Arial"/>
          <w:sz w:val="17"/>
          <w:szCs w:val="17"/>
          <w:i w:val="1"/>
          <w:iCs w:val="1"/>
          <w:color w:val="auto"/>
        </w:rPr>
        <w:t>Net First Lien Leverage Ratio.</w:t>
      </w:r>
      <w:r>
        <w:rPr>
          <w:rFonts w:ascii="Arial" w:cs="Arial" w:eastAsia="Arial" w:hAnsi="Arial"/>
          <w:sz w:val="17"/>
          <w:szCs w:val="17"/>
          <w:color w:val="auto"/>
        </w:rPr>
        <w:t xml:space="preserve"> The Borrower will not permit the Net First Lien Leverage Ratio as of the last day of any Financial Performance Covenant Test Period to exceed 3.25 to 1.00.</w:t>
      </w:r>
    </w:p>
    <w:p>
      <w:pPr>
        <w:spacing w:after="0" w:line="135" w:lineRule="exact"/>
        <w:rPr>
          <w:sz w:val="20"/>
          <w:szCs w:val="20"/>
          <w:color w:val="auto"/>
        </w:rPr>
      </w:pPr>
    </w:p>
    <w:p>
      <w:pPr>
        <w:jc w:val="both"/>
        <w:ind w:firstLine="568"/>
        <w:spacing w:after="0" w:line="220" w:lineRule="auto"/>
        <w:rPr>
          <w:sz w:val="20"/>
          <w:szCs w:val="20"/>
          <w:color w:val="auto"/>
        </w:rPr>
      </w:pPr>
      <w:r>
        <w:rPr>
          <w:rFonts w:ascii="Arial" w:cs="Arial" w:eastAsia="Arial" w:hAnsi="Arial"/>
          <w:sz w:val="17"/>
          <w:szCs w:val="17"/>
          <w:color w:val="auto"/>
        </w:rPr>
        <w:t xml:space="preserve">Section 1.13. </w:t>
      </w:r>
      <w:r>
        <w:rPr>
          <w:rFonts w:ascii="Arial" w:cs="Arial" w:eastAsia="Arial" w:hAnsi="Arial"/>
          <w:sz w:val="17"/>
          <w:szCs w:val="17"/>
          <w:i w:val="1"/>
          <w:iCs w:val="1"/>
          <w:color w:val="auto"/>
        </w:rPr>
        <w:t>Changes in Fiscal Periods.</w:t>
      </w:r>
      <w:r>
        <w:rPr>
          <w:rFonts w:ascii="Arial" w:cs="Arial" w:eastAsia="Arial" w:hAnsi="Arial"/>
          <w:sz w:val="17"/>
          <w:szCs w:val="17"/>
          <w:color w:val="auto"/>
        </w:rPr>
        <w:t xml:space="preserve"> Neither Holdings nor the Borrower will make any change in fiscal year;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Holdings and the Borrower may, upon written notice to the Administrative Agent, change its fiscal year to any other fiscal year reasonably acceptable to the Administrative Agent, in which case, Holdings, the Borrower and the Administrative Agent will, and are hereby authorized by the Lenders to, make any adjustments to this Agreement that are necessary to reflect such change in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154</w:t>
      </w:r>
    </w:p>
    <w:p>
      <w:pPr>
        <w:sectPr>
          <w:pgSz w:w="11900" w:h="16838" w:orient="portrait"/>
          <w:cols w:equalWidth="0" w:num="1">
            <w:col w:w="11260"/>
          </w:cols>
          <w:pgMar w:left="320" w:top="1440" w:right="319" w:bottom="1440" w:gutter="0" w:footer="0" w:header="0"/>
        </w:sectPr>
      </w:pPr>
    </w:p>
    <w:bookmarkStart w:id="328" w:name="page329"/>
    <w:bookmarkEnd w:id="328"/>
    <w:p>
      <w:pPr>
        <w:spacing w:after="0" w:line="200" w:lineRule="exact"/>
        <w:rPr>
          <w:sz w:val="20"/>
          <w:szCs w:val="20"/>
          <w:color w:val="auto"/>
        </w:rPr>
      </w:pPr>
    </w:p>
    <w:p>
      <w:pPr>
        <w:spacing w:after="0" w:line="227" w:lineRule="exact"/>
        <w:rPr>
          <w:sz w:val="20"/>
          <w:szCs w:val="20"/>
          <w:color w:val="auto"/>
        </w:rPr>
      </w:pPr>
    </w:p>
    <w:p>
      <w:pPr>
        <w:ind w:left="5060"/>
        <w:spacing w:after="0"/>
        <w:rPr>
          <w:sz w:val="20"/>
          <w:szCs w:val="20"/>
          <w:color w:val="auto"/>
        </w:rPr>
      </w:pPr>
      <w:r>
        <w:rPr>
          <w:rFonts w:ascii="Arial" w:cs="Arial" w:eastAsia="Arial" w:hAnsi="Arial"/>
          <w:sz w:val="16"/>
          <w:szCs w:val="16"/>
          <w:color w:val="auto"/>
        </w:rPr>
        <w:t>ARTICLE 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Events of Default</w:t>
      </w:r>
    </w:p>
    <w:p>
      <w:pPr>
        <w:spacing w:after="0" w:line="189" w:lineRule="exact"/>
        <w:rPr>
          <w:sz w:val="20"/>
          <w:szCs w:val="20"/>
          <w:color w:val="auto"/>
        </w:rPr>
      </w:pPr>
    </w:p>
    <w:p>
      <w:pPr>
        <w:ind w:left="560"/>
        <w:spacing w:after="0"/>
        <w:tabs>
          <w:tab w:leader="none" w:pos="1680" w:val="left"/>
        </w:tabs>
        <w:rPr>
          <w:sz w:val="20"/>
          <w:szCs w:val="20"/>
          <w:color w:val="auto"/>
        </w:rPr>
      </w:pPr>
      <w:r>
        <w:rPr>
          <w:rFonts w:ascii="Arial" w:cs="Arial" w:eastAsia="Arial" w:hAnsi="Arial"/>
          <w:sz w:val="17"/>
          <w:szCs w:val="17"/>
          <w:color w:val="auto"/>
        </w:rPr>
        <w:t>Section 1.01.</w:t>
      </w:r>
      <w:r>
        <w:rPr>
          <w:sz w:val="20"/>
          <w:szCs w:val="20"/>
          <w:color w:val="auto"/>
        </w:rPr>
        <w:tab/>
      </w:r>
      <w:r>
        <w:rPr>
          <w:rFonts w:ascii="Arial" w:cs="Arial" w:eastAsia="Arial" w:hAnsi="Arial"/>
          <w:sz w:val="15"/>
          <w:szCs w:val="15"/>
          <w:i w:val="1"/>
          <w:iCs w:val="1"/>
          <w:color w:val="auto"/>
        </w:rPr>
        <w:t xml:space="preserve">Events of Default. </w:t>
      </w:r>
      <w:r>
        <w:rPr>
          <w:rFonts w:ascii="Arial" w:cs="Arial" w:eastAsia="Arial" w:hAnsi="Arial"/>
          <w:sz w:val="15"/>
          <w:szCs w:val="15"/>
          <w:color w:val="auto"/>
        </w:rPr>
        <w:t>If any of the following events (any such event, an “</w:t>
      </w:r>
      <w:r>
        <w:rPr>
          <w:rFonts w:ascii="Arial" w:cs="Arial" w:eastAsia="Arial" w:hAnsi="Arial"/>
          <w:sz w:val="15"/>
          <w:szCs w:val="15"/>
          <w:b w:val="1"/>
          <w:bCs w:val="1"/>
          <w:color w:val="auto"/>
        </w:rPr>
        <w:t>Event of Default</w:t>
      </w:r>
      <w:r>
        <w:rPr>
          <w:rFonts w:ascii="Arial" w:cs="Arial" w:eastAsia="Arial" w:hAnsi="Arial"/>
          <w:sz w:val="15"/>
          <w:szCs w:val="15"/>
          <w:color w:val="auto"/>
        </w:rPr>
        <w:t>”) shall occur:</w:t>
      </w:r>
    </w:p>
    <w:p>
      <w:pPr>
        <w:spacing w:after="0" w:line="166" w:lineRule="exact"/>
        <w:rPr>
          <w:sz w:val="20"/>
          <w:szCs w:val="20"/>
          <w:color w:val="auto"/>
        </w:rPr>
      </w:pPr>
    </w:p>
    <w:p>
      <w:pPr>
        <w:ind w:firstLine="563"/>
        <w:spacing w:after="0" w:line="237" w:lineRule="auto"/>
        <w:tabs>
          <w:tab w:leader="none" w:pos="1128" w:val="left"/>
        </w:tabs>
        <w:numPr>
          <w:ilvl w:val="0"/>
          <w:numId w:val="243"/>
        </w:numPr>
        <w:rPr>
          <w:rFonts w:ascii="Arial" w:cs="Arial" w:eastAsia="Arial" w:hAnsi="Arial"/>
          <w:sz w:val="17"/>
          <w:szCs w:val="17"/>
          <w:color w:val="auto"/>
        </w:rPr>
      </w:pPr>
      <w:r>
        <w:rPr>
          <w:rFonts w:ascii="Arial" w:cs="Arial" w:eastAsia="Arial" w:hAnsi="Arial"/>
          <w:sz w:val="17"/>
          <w:szCs w:val="17"/>
          <w:color w:val="auto"/>
        </w:rPr>
        <w:t>any Loan Party shall fail to pay any principal of any Loan or any reimbursement obligation in respect of any LC Disbursement when and as the same shall become due and payable, whether at the due date thereof or at a date fixed for prepayment thereof or otherwise;</w:t>
      </w:r>
    </w:p>
    <w:p>
      <w:pPr>
        <w:spacing w:after="0" w:line="134" w:lineRule="exact"/>
        <w:rPr>
          <w:rFonts w:ascii="Arial" w:cs="Arial" w:eastAsia="Arial" w:hAnsi="Arial"/>
          <w:sz w:val="17"/>
          <w:szCs w:val="17"/>
          <w:color w:val="auto"/>
        </w:rPr>
      </w:pPr>
    </w:p>
    <w:p>
      <w:pPr>
        <w:jc w:val="both"/>
        <w:ind w:right="20" w:firstLine="563"/>
        <w:spacing w:after="0" w:line="225" w:lineRule="auto"/>
        <w:tabs>
          <w:tab w:leader="none" w:pos="1126" w:val="left"/>
        </w:tabs>
        <w:numPr>
          <w:ilvl w:val="0"/>
          <w:numId w:val="243"/>
        </w:numPr>
        <w:rPr>
          <w:rFonts w:ascii="Arial" w:cs="Arial" w:eastAsia="Arial" w:hAnsi="Arial"/>
          <w:sz w:val="17"/>
          <w:szCs w:val="17"/>
          <w:color w:val="auto"/>
        </w:rPr>
      </w:pPr>
      <w:r>
        <w:rPr>
          <w:rFonts w:ascii="Arial" w:cs="Arial" w:eastAsia="Arial" w:hAnsi="Arial"/>
          <w:sz w:val="17"/>
          <w:szCs w:val="17"/>
          <w:color w:val="auto"/>
        </w:rPr>
        <w:t>any Loan Party shall fail to pay any interest on any Loan or any fee or any other amount (other than an amount referred to in paragraph (a) of this Section) payable under any Loan Document, when and as the same shall become due and payable, and such failure shall continue unremedied for a period of five Business Days;</w:t>
      </w:r>
    </w:p>
    <w:p>
      <w:pPr>
        <w:spacing w:after="0" w:line="136" w:lineRule="exact"/>
        <w:rPr>
          <w:rFonts w:ascii="Arial" w:cs="Arial" w:eastAsia="Arial" w:hAnsi="Arial"/>
          <w:sz w:val="17"/>
          <w:szCs w:val="17"/>
          <w:color w:val="auto"/>
        </w:rPr>
      </w:pPr>
    </w:p>
    <w:p>
      <w:pPr>
        <w:jc w:val="both"/>
        <w:ind w:firstLine="563"/>
        <w:spacing w:after="0" w:line="234" w:lineRule="auto"/>
        <w:tabs>
          <w:tab w:leader="none" w:pos="1128" w:val="left"/>
        </w:tabs>
        <w:numPr>
          <w:ilvl w:val="0"/>
          <w:numId w:val="243"/>
        </w:numPr>
        <w:rPr>
          <w:rFonts w:ascii="Arial" w:cs="Arial" w:eastAsia="Arial" w:hAnsi="Arial"/>
          <w:sz w:val="16"/>
          <w:szCs w:val="16"/>
          <w:color w:val="auto"/>
        </w:rPr>
      </w:pPr>
      <w:r>
        <w:rPr>
          <w:rFonts w:ascii="Arial" w:cs="Arial" w:eastAsia="Arial" w:hAnsi="Arial"/>
          <w:sz w:val="16"/>
          <w:szCs w:val="16"/>
          <w:color w:val="auto"/>
        </w:rPr>
        <w:t>any representation or warranty made or deemed made by or on behalf of Holdings, the Borrower or any of its Restricted Subsidiaries in or in connection with any Loan Document or any amendment or modification thereof or waiver thereunder, or in any report, certificate, financial statement or other document furnished pursuant to or in connection with any Loan Document or any amendment or modification thereof or waiver thereunder, shall prove to have been incorrect in any material respect when made or deemed made for a period of 30 days after notice thereof from the Administrative Agent to the Borrower;</w:t>
      </w:r>
    </w:p>
    <w:p>
      <w:pPr>
        <w:spacing w:after="0" w:line="134" w:lineRule="exact"/>
        <w:rPr>
          <w:rFonts w:ascii="Arial" w:cs="Arial" w:eastAsia="Arial" w:hAnsi="Arial"/>
          <w:sz w:val="16"/>
          <w:szCs w:val="16"/>
          <w:color w:val="auto"/>
        </w:rPr>
      </w:pPr>
    </w:p>
    <w:p>
      <w:pPr>
        <w:jc w:val="both"/>
        <w:ind w:firstLine="563"/>
        <w:spacing w:after="0" w:line="213" w:lineRule="auto"/>
        <w:tabs>
          <w:tab w:leader="none" w:pos="1126" w:val="left"/>
        </w:tabs>
        <w:numPr>
          <w:ilvl w:val="0"/>
          <w:numId w:val="243"/>
        </w:numPr>
        <w:rPr>
          <w:rFonts w:ascii="Arial" w:cs="Arial" w:eastAsia="Arial" w:hAnsi="Arial"/>
          <w:sz w:val="17"/>
          <w:szCs w:val="17"/>
          <w:color w:val="auto"/>
        </w:rPr>
      </w:pPr>
      <w:r>
        <w:rPr>
          <w:rFonts w:ascii="Arial" w:cs="Arial" w:eastAsia="Arial" w:hAnsi="Arial"/>
          <w:sz w:val="17"/>
          <w:szCs w:val="17"/>
          <w:color w:val="auto"/>
        </w:rPr>
        <w:t xml:space="preserve">Holdings, the Borrower or any of its Restricted Subsidiaries shall fail to observe or perform any covenant, condition or agreement contained in Sections 5.02, 5.04 (with respect to the existence of Holdings, the Borrower or such Restricted Subsidiaries), 5.10 or in Article 6 (other than Section 6.09);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any Event of Default under the Financial Performance Covenant is subject to the cure period provided in Section 7.02;</w:t>
      </w:r>
      <w:r>
        <w:rPr>
          <w:rFonts w:ascii="Arial" w:cs="Arial" w:eastAsia="Arial" w:hAnsi="Arial"/>
          <w:sz w:val="17"/>
          <w:szCs w:val="17"/>
          <w:i w:val="1"/>
          <w:iCs w:val="1"/>
          <w:color w:val="auto"/>
        </w:rPr>
        <w:t xml:space="preserve"> 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further</w:t>
      </w:r>
      <w:r>
        <w:rPr>
          <w:rFonts w:ascii="Arial" w:cs="Arial" w:eastAsia="Arial" w:hAnsi="Arial"/>
          <w:sz w:val="17"/>
          <w:szCs w:val="17"/>
          <w:color w:val="auto"/>
        </w:rPr>
        <w:t>, that failure</w:t>
      </w:r>
      <w:r>
        <w:rPr>
          <w:rFonts w:ascii="Arial" w:cs="Arial" w:eastAsia="Arial" w:hAnsi="Arial"/>
          <w:sz w:val="17"/>
          <w:szCs w:val="17"/>
          <w:i w:val="1"/>
          <w:iCs w:val="1"/>
          <w:color w:val="auto"/>
        </w:rPr>
        <w:t xml:space="preserve"> </w:t>
      </w:r>
      <w:r>
        <w:rPr>
          <w:rFonts w:ascii="Arial" w:cs="Arial" w:eastAsia="Arial" w:hAnsi="Arial"/>
          <w:sz w:val="17"/>
          <w:szCs w:val="17"/>
          <w:color w:val="auto"/>
        </w:rPr>
        <w:t>to comply with the Financial Performance Covenant will not constitute an Event of Default with respect to any Term Loans unless and until the Required Revolving Lenders have terminated the Revolving Commitments and demanded payment of, or otherwise accelerated, the Revolving Loans and any other obligations with respect to the Revolving Commitments and Revolving Loans and have not rescinded such demand or acceleration (the “</w:t>
      </w:r>
      <w:r>
        <w:rPr>
          <w:rFonts w:ascii="Arial" w:cs="Arial" w:eastAsia="Arial" w:hAnsi="Arial"/>
          <w:sz w:val="17"/>
          <w:szCs w:val="17"/>
          <w:b w:val="1"/>
          <w:bCs w:val="1"/>
          <w:color w:val="auto"/>
        </w:rPr>
        <w:t>Financial Covenant</w:t>
      </w:r>
      <w:r>
        <w:rPr>
          <w:rFonts w:ascii="Arial" w:cs="Arial" w:eastAsia="Arial" w:hAnsi="Arial"/>
          <w:sz w:val="17"/>
          <w:szCs w:val="17"/>
          <w:color w:val="auto"/>
        </w:rPr>
        <w:t xml:space="preserve"> </w:t>
      </w:r>
      <w:r>
        <w:rPr>
          <w:rFonts w:ascii="Arial" w:cs="Arial" w:eastAsia="Arial" w:hAnsi="Arial"/>
          <w:sz w:val="17"/>
          <w:szCs w:val="17"/>
          <w:b w:val="1"/>
          <w:bCs w:val="1"/>
          <w:color w:val="auto"/>
        </w:rPr>
        <w:t>Standstill</w:t>
      </w:r>
      <w:r>
        <w:rPr>
          <w:rFonts w:ascii="Arial" w:cs="Arial" w:eastAsia="Arial" w:hAnsi="Arial"/>
          <w:sz w:val="17"/>
          <w:szCs w:val="17"/>
          <w:color w:val="auto"/>
        </w:rPr>
        <w:t>”);</w:t>
      </w:r>
    </w:p>
    <w:p>
      <w:pPr>
        <w:spacing w:after="0" w:line="135" w:lineRule="exact"/>
        <w:rPr>
          <w:rFonts w:ascii="Arial" w:cs="Arial" w:eastAsia="Arial" w:hAnsi="Arial"/>
          <w:sz w:val="17"/>
          <w:szCs w:val="17"/>
          <w:color w:val="auto"/>
        </w:rPr>
      </w:pPr>
    </w:p>
    <w:p>
      <w:pPr>
        <w:jc w:val="both"/>
        <w:ind w:firstLine="563"/>
        <w:spacing w:after="0" w:line="225" w:lineRule="auto"/>
        <w:tabs>
          <w:tab w:leader="none" w:pos="1128" w:val="left"/>
        </w:tabs>
        <w:numPr>
          <w:ilvl w:val="0"/>
          <w:numId w:val="243"/>
        </w:numPr>
        <w:rPr>
          <w:rFonts w:ascii="Arial" w:cs="Arial" w:eastAsia="Arial" w:hAnsi="Arial"/>
          <w:sz w:val="17"/>
          <w:szCs w:val="17"/>
          <w:color w:val="auto"/>
        </w:rPr>
      </w:pPr>
      <w:r>
        <w:rPr>
          <w:rFonts w:ascii="Arial" w:cs="Arial" w:eastAsia="Arial" w:hAnsi="Arial"/>
          <w:sz w:val="17"/>
          <w:szCs w:val="17"/>
          <w:color w:val="auto"/>
        </w:rPr>
        <w:t>Holdings, the Borrower or any of its Restricted Subsidiaries shall fail to observe or perform any covenant, condition or agreement contained in any Loan Document (other than those specified in paragraph (a), (b) or (d) of this Section), and such failure shall continue unremedied for a period of 30 days after notice thereof from the Administrative Agent to the Borrower;</w:t>
      </w:r>
    </w:p>
    <w:p>
      <w:pPr>
        <w:spacing w:after="0" w:line="136" w:lineRule="exact"/>
        <w:rPr>
          <w:rFonts w:ascii="Arial" w:cs="Arial" w:eastAsia="Arial" w:hAnsi="Arial"/>
          <w:sz w:val="17"/>
          <w:szCs w:val="17"/>
          <w:color w:val="auto"/>
        </w:rPr>
      </w:pPr>
    </w:p>
    <w:p>
      <w:pPr>
        <w:ind w:firstLine="563"/>
        <w:spacing w:after="0" w:line="264" w:lineRule="auto"/>
        <w:tabs>
          <w:tab w:leader="none" w:pos="1132" w:val="left"/>
        </w:tabs>
        <w:numPr>
          <w:ilvl w:val="0"/>
          <w:numId w:val="243"/>
        </w:numPr>
        <w:rPr>
          <w:rFonts w:ascii="Arial" w:cs="Arial" w:eastAsia="Arial" w:hAnsi="Arial"/>
          <w:sz w:val="16"/>
          <w:szCs w:val="16"/>
          <w:color w:val="auto"/>
        </w:rPr>
      </w:pPr>
      <w:r>
        <w:rPr>
          <w:rFonts w:ascii="Arial" w:cs="Arial" w:eastAsia="Arial" w:hAnsi="Arial"/>
          <w:sz w:val="16"/>
          <w:szCs w:val="16"/>
          <w:color w:val="auto"/>
        </w:rPr>
        <w:t>Holdings, the Borrower or any of its Restricted Subsidiaries shall fail to make any payment (whether of principal or interest and regardless of amount) in respect of any Material Indebtedness, when and as the same shall become due and payable (after giving effect to any applicable grace period);</w:t>
      </w:r>
    </w:p>
    <w:p>
      <w:pPr>
        <w:spacing w:after="0" w:line="116" w:lineRule="exact"/>
        <w:rPr>
          <w:rFonts w:ascii="Arial" w:cs="Arial" w:eastAsia="Arial" w:hAnsi="Arial"/>
          <w:sz w:val="16"/>
          <w:szCs w:val="16"/>
          <w:color w:val="auto"/>
        </w:rPr>
      </w:pPr>
    </w:p>
    <w:p>
      <w:pPr>
        <w:jc w:val="both"/>
        <w:ind w:right="20" w:firstLine="563"/>
        <w:spacing w:after="0" w:line="220" w:lineRule="auto"/>
        <w:tabs>
          <w:tab w:leader="none" w:pos="1126" w:val="left"/>
        </w:tabs>
        <w:numPr>
          <w:ilvl w:val="0"/>
          <w:numId w:val="243"/>
        </w:numPr>
        <w:rPr>
          <w:rFonts w:ascii="Arial" w:cs="Arial" w:eastAsia="Arial" w:hAnsi="Arial"/>
          <w:sz w:val="17"/>
          <w:szCs w:val="17"/>
          <w:color w:val="auto"/>
        </w:rPr>
      </w:pPr>
      <w:r>
        <w:rPr>
          <w:rFonts w:ascii="Arial" w:cs="Arial" w:eastAsia="Arial" w:hAnsi="Arial"/>
          <w:sz w:val="17"/>
          <w:szCs w:val="17"/>
          <w:color w:val="auto"/>
        </w:rPr>
        <w:t xml:space="preserve">any event or condition occurs that results in any Material Indebtedness becoming due prior to its scheduled maturity or that enables or permits (with all applicable grace periods having expired) the holder or holders of any Material Indebtedness or any trustee or agent on its or their behalf to cause any Material Indebtedness to become due, or to require the prepayment, repurchase, redemption or defeasance thereof, prior to its scheduled maturity,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this paragraph (g) shall not apply to (i) secured Indebtedness that becomes due as a result of the sale, transfer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155</w:t>
      </w:r>
    </w:p>
    <w:p>
      <w:pPr>
        <w:sectPr>
          <w:pgSz w:w="11900" w:h="16838" w:orient="portrait"/>
          <w:cols w:equalWidth="0" w:num="1">
            <w:col w:w="11260"/>
          </w:cols>
          <w:pgMar w:left="320" w:top="1440" w:right="319" w:bottom="1440" w:gutter="0" w:footer="0" w:header="0"/>
        </w:sectPr>
      </w:pPr>
    </w:p>
    <w:bookmarkStart w:id="329" w:name="page330"/>
    <w:bookmarkEnd w:id="329"/>
    <w:p>
      <w:pPr>
        <w:spacing w:after="0" w:line="390" w:lineRule="exact"/>
        <w:rPr>
          <w:sz w:val="20"/>
          <w:szCs w:val="20"/>
          <w:color w:val="auto"/>
        </w:rPr>
      </w:pPr>
    </w:p>
    <w:p>
      <w:pPr>
        <w:jc w:val="both"/>
        <w:ind w:left="5"/>
        <w:spacing w:after="0" w:line="216" w:lineRule="auto"/>
        <w:rPr>
          <w:sz w:val="20"/>
          <w:szCs w:val="20"/>
          <w:color w:val="auto"/>
        </w:rPr>
      </w:pPr>
      <w:r>
        <w:rPr>
          <w:rFonts w:ascii="Arial" w:cs="Arial" w:eastAsia="Arial" w:hAnsi="Arial"/>
          <w:sz w:val="17"/>
          <w:szCs w:val="17"/>
          <w:color w:val="auto"/>
        </w:rPr>
        <w:t>other disposition (including as a result of a casualty or condemnation event) of the property or assets securing such Indebtedness (to the extent such sale, transfer or other disposition is not prohibited under this Agreement), (ii) Trading Debt (it being understood that paragraph (f) of this Section will apply to any failure to make any payment in respect of any Trading Debt), (iii) termination events or similar events occurring under any Swap Agreement that constitutes Material Indebtedness (it being understood that paragraph (f) of this Section will apply to any failure to make any payment required as a result of any such termination or similar event) or (iv) Indebtedness with respect to Permitted Securitization Financings;</w:t>
      </w:r>
    </w:p>
    <w:p>
      <w:pPr>
        <w:spacing w:after="0" w:line="138" w:lineRule="exact"/>
        <w:rPr>
          <w:sz w:val="20"/>
          <w:szCs w:val="20"/>
          <w:color w:val="auto"/>
        </w:rPr>
      </w:pPr>
    </w:p>
    <w:p>
      <w:pPr>
        <w:jc w:val="both"/>
        <w:ind w:left="5" w:firstLine="563"/>
        <w:spacing w:after="0" w:line="230" w:lineRule="auto"/>
        <w:tabs>
          <w:tab w:leader="none" w:pos="1131" w:val="left"/>
        </w:tabs>
        <w:numPr>
          <w:ilvl w:val="1"/>
          <w:numId w:val="244"/>
        </w:numPr>
        <w:rPr>
          <w:rFonts w:ascii="Arial" w:cs="Arial" w:eastAsia="Arial" w:hAnsi="Arial"/>
          <w:sz w:val="16"/>
          <w:szCs w:val="16"/>
          <w:color w:val="auto"/>
        </w:rPr>
      </w:pPr>
      <w:r>
        <w:rPr>
          <w:rFonts w:ascii="Arial" w:cs="Arial" w:eastAsia="Arial" w:hAnsi="Arial"/>
          <w:sz w:val="16"/>
          <w:szCs w:val="16"/>
          <w:color w:val="auto"/>
        </w:rPr>
        <w:t>an involuntary proceeding shall be commenced or an involuntary petition shall be filed seeking (i) liquidation, court protection, reorganization or other relief in respect of Holdings, the Borrower or any Material Subsidiary or its debts, or of a material part of its assets, under any Federal, state or foreign bankruptcy, insolvency, receivership or similar law now or hereafter in effect or (ii) the appointment of a receiver, trustee, custodian, examiner, sequestrator, conservator or similar official for Holdings, the Borrower or any Material Subsidiary or for a material part of its assets, and, in any such case, such proceeding or petition shall continue undismissed or unstayed for 60 days or an order or decree approving or ordering any of the foregoing shall be entered;</w:t>
      </w:r>
    </w:p>
    <w:p>
      <w:pPr>
        <w:spacing w:after="0" w:line="136" w:lineRule="exact"/>
        <w:rPr>
          <w:rFonts w:ascii="Arial" w:cs="Arial" w:eastAsia="Arial" w:hAnsi="Arial"/>
          <w:sz w:val="16"/>
          <w:szCs w:val="16"/>
          <w:color w:val="auto"/>
        </w:rPr>
      </w:pPr>
    </w:p>
    <w:p>
      <w:pPr>
        <w:jc w:val="both"/>
        <w:ind w:left="5" w:firstLine="563"/>
        <w:spacing w:after="0" w:line="225" w:lineRule="auto"/>
        <w:tabs>
          <w:tab w:leader="none" w:pos="1140" w:val="left"/>
        </w:tabs>
        <w:numPr>
          <w:ilvl w:val="1"/>
          <w:numId w:val="244"/>
        </w:numPr>
        <w:rPr>
          <w:rFonts w:ascii="Arial" w:cs="Arial" w:eastAsia="Arial" w:hAnsi="Arial"/>
          <w:sz w:val="16"/>
          <w:szCs w:val="16"/>
          <w:color w:val="auto"/>
        </w:rPr>
      </w:pPr>
      <w:r>
        <w:rPr>
          <w:rFonts w:ascii="Arial" w:cs="Arial" w:eastAsia="Arial" w:hAnsi="Arial"/>
          <w:sz w:val="16"/>
          <w:szCs w:val="16"/>
          <w:color w:val="auto"/>
        </w:rPr>
        <w:t>Holdings, the Borrower or any other Material Subsidiary shall (i) voluntarily commence any proceeding or file any petition seeking liquidation, court protection, reorganization or other relief under any Federal, state or foreign bankruptcy, insolvency, receivership or similar law now or hereafter in effect,</w:t>
      </w:r>
    </w:p>
    <w:p>
      <w:pPr>
        <w:jc w:val="both"/>
        <w:ind w:left="5" w:hanging="5"/>
        <w:spacing w:after="0" w:line="230" w:lineRule="auto"/>
        <w:tabs>
          <w:tab w:leader="none" w:pos="269" w:val="left"/>
        </w:tabs>
        <w:numPr>
          <w:ilvl w:val="0"/>
          <w:numId w:val="245"/>
        </w:numPr>
        <w:rPr>
          <w:rFonts w:ascii="Arial" w:cs="Arial" w:eastAsia="Arial" w:hAnsi="Arial"/>
          <w:sz w:val="15"/>
          <w:szCs w:val="15"/>
          <w:color w:val="auto"/>
        </w:rPr>
      </w:pPr>
      <w:r>
        <w:rPr>
          <w:rFonts w:ascii="Arial" w:cs="Arial" w:eastAsia="Arial" w:hAnsi="Arial"/>
          <w:sz w:val="15"/>
          <w:szCs w:val="15"/>
          <w:color w:val="auto"/>
        </w:rPr>
        <w:t>consent to the institution of, or fail to contest in a timely and appropriate manner, any proceeding or petition described in paragraph (h) of this Section, (iii) apply for or consent to the appointment of a receiver, trustee, examiner, custodian, sequestrator, conservator or similar official for Holdings, the Borrower or any Material Subsidiary or for a material part of its assets, (iv) file an answer admitting the material allegations of a petition filed against it in any such proceeding or</w:t>
      </w:r>
    </w:p>
    <w:p>
      <w:pPr>
        <w:spacing w:after="0" w:line="1" w:lineRule="exact"/>
        <w:rPr>
          <w:rFonts w:ascii="Arial" w:cs="Arial" w:eastAsia="Arial" w:hAnsi="Arial"/>
          <w:sz w:val="15"/>
          <w:szCs w:val="15"/>
          <w:color w:val="auto"/>
        </w:rPr>
      </w:pPr>
    </w:p>
    <w:p>
      <w:pPr>
        <w:ind w:left="245" w:hanging="245"/>
        <w:spacing w:after="0"/>
        <w:tabs>
          <w:tab w:leader="none" w:pos="245" w:val="left"/>
        </w:tabs>
        <w:numPr>
          <w:ilvl w:val="0"/>
          <w:numId w:val="246"/>
        </w:numPr>
        <w:rPr>
          <w:rFonts w:ascii="Arial" w:cs="Arial" w:eastAsia="Arial" w:hAnsi="Arial"/>
          <w:sz w:val="17"/>
          <w:szCs w:val="17"/>
          <w:color w:val="auto"/>
        </w:rPr>
      </w:pPr>
      <w:r>
        <w:rPr>
          <w:rFonts w:ascii="Arial" w:cs="Arial" w:eastAsia="Arial" w:hAnsi="Arial"/>
          <w:sz w:val="17"/>
          <w:szCs w:val="17"/>
          <w:color w:val="auto"/>
        </w:rPr>
        <w:t>make a general assignment for the benefit of creditors;</w:t>
      </w:r>
    </w:p>
    <w:p>
      <w:pPr>
        <w:spacing w:after="0" w:line="145" w:lineRule="exact"/>
        <w:rPr>
          <w:rFonts w:ascii="Arial" w:cs="Arial" w:eastAsia="Arial" w:hAnsi="Arial"/>
          <w:sz w:val="17"/>
          <w:szCs w:val="17"/>
          <w:color w:val="auto"/>
        </w:rPr>
      </w:pPr>
    </w:p>
    <w:p>
      <w:pPr>
        <w:jc w:val="both"/>
        <w:ind w:left="5" w:firstLine="563"/>
        <w:spacing w:after="0" w:line="230" w:lineRule="auto"/>
        <w:tabs>
          <w:tab w:leader="none" w:pos="1140" w:val="left"/>
        </w:tabs>
        <w:numPr>
          <w:ilvl w:val="1"/>
          <w:numId w:val="246"/>
        </w:numPr>
        <w:rPr>
          <w:rFonts w:ascii="Arial" w:cs="Arial" w:eastAsia="Arial" w:hAnsi="Arial"/>
          <w:sz w:val="16"/>
          <w:szCs w:val="16"/>
          <w:color w:val="auto"/>
        </w:rPr>
      </w:pPr>
      <w:r>
        <w:rPr>
          <w:rFonts w:ascii="Arial" w:cs="Arial" w:eastAsia="Arial" w:hAnsi="Arial"/>
          <w:sz w:val="16"/>
          <w:szCs w:val="16"/>
          <w:color w:val="auto"/>
        </w:rPr>
        <w:t>one or more enforceable judgments for the payment of money in an aggregate amount in excess of $50,000,000 (to the extent not covered by insurance as to which the insurer has been notified of such judgment or order and has not denied coverage) shall be rendered against Holdings, the Borrower and any of its Restricted Subsidiaries or any combination thereof and the same shall remain undischarged for a period of 60 consecutive days during which execution shall not be effectively stayed, or any judgment creditor shall legally attach or levy upon assets of any such Loan Party that are material to the businesses and operations of Holdings, the Borrower and its Restricted Subsidiaries, taken as a whole, to enforce any such judgment;</w:t>
      </w:r>
    </w:p>
    <w:p>
      <w:pPr>
        <w:spacing w:after="0" w:line="136" w:lineRule="exact"/>
        <w:rPr>
          <w:rFonts w:ascii="Arial" w:cs="Arial" w:eastAsia="Arial" w:hAnsi="Arial"/>
          <w:sz w:val="16"/>
          <w:szCs w:val="16"/>
          <w:color w:val="auto"/>
        </w:rPr>
      </w:pPr>
    </w:p>
    <w:p>
      <w:pPr>
        <w:jc w:val="both"/>
        <w:ind w:left="5" w:right="20" w:firstLine="563"/>
        <w:spacing w:after="0" w:line="216" w:lineRule="auto"/>
        <w:tabs>
          <w:tab w:leader="none" w:pos="1131" w:val="left"/>
        </w:tabs>
        <w:numPr>
          <w:ilvl w:val="1"/>
          <w:numId w:val="246"/>
        </w:numPr>
        <w:rPr>
          <w:rFonts w:ascii="Arial" w:cs="Arial" w:eastAsia="Arial" w:hAnsi="Arial"/>
          <w:sz w:val="17"/>
          <w:szCs w:val="17"/>
          <w:color w:val="auto"/>
        </w:rPr>
      </w:pPr>
      <w:r>
        <w:rPr>
          <w:rFonts w:ascii="Arial" w:cs="Arial" w:eastAsia="Arial" w:hAnsi="Arial"/>
          <w:sz w:val="17"/>
          <w:szCs w:val="17"/>
          <w:color w:val="auto"/>
        </w:rPr>
        <w:t>(i) an ERISA Event occurs that has resulted or could reasonably be expected to result in liability of any Loan Party in an aggregate amount that could reasonably be expected to result in a Material Adverse Effect, or (ii) any Loan Party or any ERISA Affiliate fails to pay when due, after the expiration of any applicable grace period, any installment payment with respect to its withdrawal liability under Section 4201 of ERISA under a Multiemployer Plan that has resulted or could reasonably be expected to result in liability of any Loan Party in an aggregate amount that could reasonably be expected to result in a Material Adverse Effect;</w:t>
      </w:r>
    </w:p>
    <w:p>
      <w:pPr>
        <w:spacing w:after="0" w:line="138" w:lineRule="exact"/>
        <w:rPr>
          <w:rFonts w:ascii="Arial" w:cs="Arial" w:eastAsia="Arial" w:hAnsi="Arial"/>
          <w:sz w:val="17"/>
          <w:szCs w:val="17"/>
          <w:color w:val="auto"/>
        </w:rPr>
      </w:pPr>
    </w:p>
    <w:p>
      <w:pPr>
        <w:jc w:val="both"/>
        <w:ind w:left="5" w:right="20" w:firstLine="563"/>
        <w:spacing w:after="0" w:line="225" w:lineRule="auto"/>
        <w:tabs>
          <w:tab w:leader="none" w:pos="1140" w:val="left"/>
        </w:tabs>
        <w:numPr>
          <w:ilvl w:val="1"/>
          <w:numId w:val="246"/>
        </w:numPr>
        <w:rPr>
          <w:rFonts w:ascii="Arial" w:cs="Arial" w:eastAsia="Arial" w:hAnsi="Arial"/>
          <w:sz w:val="17"/>
          <w:szCs w:val="17"/>
          <w:color w:val="auto"/>
        </w:rPr>
      </w:pPr>
      <w:r>
        <w:rPr>
          <w:rFonts w:ascii="Arial" w:cs="Arial" w:eastAsia="Arial" w:hAnsi="Arial"/>
          <w:sz w:val="17"/>
          <w:szCs w:val="17"/>
          <w:color w:val="auto"/>
        </w:rPr>
        <w:t>any Lien purported to be created under any Security Document shall cease to be, or shall be asserted by any Loan Party not to be, a valid and perfected Lien on any material portion of the Collateral, with the priority required by the applicable Security Document, except (i) as a result of the sale or other disposition of the applicable Collateral in a transaction permitted under the Loan Documents, (ii) as a result of (A)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4"/>
        <w:spacing w:after="0"/>
        <w:rPr>
          <w:sz w:val="20"/>
          <w:szCs w:val="20"/>
          <w:color w:val="auto"/>
        </w:rPr>
      </w:pPr>
      <w:r>
        <w:rPr>
          <w:rFonts w:ascii="Arial" w:cs="Arial" w:eastAsia="Arial" w:hAnsi="Arial"/>
          <w:sz w:val="17"/>
          <w:szCs w:val="17"/>
          <w:color w:val="auto"/>
        </w:rPr>
        <w:t>156</w:t>
      </w:r>
    </w:p>
    <w:p>
      <w:pPr>
        <w:sectPr>
          <w:pgSz w:w="11900" w:h="16838" w:orient="portrait"/>
          <w:cols w:equalWidth="0" w:num="1">
            <w:col w:w="11265"/>
          </w:cols>
          <w:pgMar w:left="315" w:top="1440" w:right="319" w:bottom="1440" w:gutter="0" w:footer="0" w:header="0"/>
        </w:sectPr>
      </w:pPr>
    </w:p>
    <w:bookmarkStart w:id="330" w:name="page331"/>
    <w:bookmarkEnd w:id="330"/>
    <w:p>
      <w:pPr>
        <w:spacing w:after="0" w:line="390" w:lineRule="exact"/>
        <w:rPr>
          <w:sz w:val="20"/>
          <w:szCs w:val="20"/>
          <w:color w:val="auto"/>
        </w:rPr>
      </w:pPr>
    </w:p>
    <w:p>
      <w:pPr>
        <w:jc w:val="both"/>
        <w:ind w:right="20"/>
        <w:spacing w:after="0" w:line="234" w:lineRule="auto"/>
        <w:rPr>
          <w:sz w:val="20"/>
          <w:szCs w:val="20"/>
          <w:color w:val="auto"/>
        </w:rPr>
      </w:pPr>
      <w:r>
        <w:rPr>
          <w:rFonts w:ascii="Arial" w:cs="Arial" w:eastAsia="Arial" w:hAnsi="Arial"/>
          <w:sz w:val="16"/>
          <w:szCs w:val="16"/>
          <w:color w:val="auto"/>
        </w:rPr>
        <w:t>Administrative Agent no longer having possession of any stock certificates, promissory notes or other instruments delivered to it under the Security Documents or (B) as a result of a Uniform Commercial Code filing having lapsed because a Uniform Commercial Code continuation statement was not filed in a timely manner, (iii) as to Collateral consisting of real property to the extent that such losses are covered by a lender’s title insurance policy and such insurer has not denied coverage or (iv) as the direct exclusive result of acts or omissions of the Administrative Agent or any Lender within its sole control;</w:t>
      </w:r>
    </w:p>
    <w:p>
      <w:pPr>
        <w:spacing w:after="0" w:line="135" w:lineRule="exact"/>
        <w:rPr>
          <w:sz w:val="20"/>
          <w:szCs w:val="20"/>
          <w:color w:val="auto"/>
        </w:rPr>
      </w:pPr>
    </w:p>
    <w:p>
      <w:pPr>
        <w:ind w:firstLine="563"/>
        <w:spacing w:after="0" w:line="297" w:lineRule="auto"/>
        <w:tabs>
          <w:tab w:leader="none" w:pos="1126" w:val="left"/>
        </w:tabs>
        <w:numPr>
          <w:ilvl w:val="0"/>
          <w:numId w:val="247"/>
        </w:numPr>
        <w:rPr>
          <w:rFonts w:ascii="Arial" w:cs="Arial" w:eastAsia="Arial" w:hAnsi="Arial"/>
          <w:sz w:val="15"/>
          <w:szCs w:val="15"/>
          <w:color w:val="auto"/>
        </w:rPr>
      </w:pPr>
      <w:r>
        <w:rPr>
          <w:rFonts w:ascii="Arial" w:cs="Arial" w:eastAsia="Arial" w:hAnsi="Arial"/>
          <w:sz w:val="15"/>
          <w:szCs w:val="15"/>
          <w:color w:val="auto"/>
        </w:rPr>
        <w:t>any material provision of any Loan Document or any Guarantee of the Loan Document Obligations shall for any reason be asserted by any Loan Party not to be a legal, valid and binding obligation of any Loan Party party thereto or subject thereto other than as expressly permitted hereunder or thereunder;</w:t>
      </w:r>
    </w:p>
    <w:p>
      <w:pPr>
        <w:spacing w:after="0" w:line="94" w:lineRule="exact"/>
        <w:rPr>
          <w:rFonts w:ascii="Arial" w:cs="Arial" w:eastAsia="Arial" w:hAnsi="Arial"/>
          <w:sz w:val="15"/>
          <w:szCs w:val="15"/>
          <w:color w:val="auto"/>
        </w:rPr>
      </w:pPr>
    </w:p>
    <w:p>
      <w:pPr>
        <w:ind w:right="20" w:firstLine="563"/>
        <w:spacing w:after="0" w:line="237" w:lineRule="auto"/>
        <w:tabs>
          <w:tab w:leader="none" w:pos="1126" w:val="left"/>
        </w:tabs>
        <w:numPr>
          <w:ilvl w:val="0"/>
          <w:numId w:val="247"/>
        </w:numPr>
        <w:rPr>
          <w:rFonts w:ascii="Arial" w:cs="Arial" w:eastAsia="Arial" w:hAnsi="Arial"/>
          <w:sz w:val="17"/>
          <w:szCs w:val="17"/>
          <w:color w:val="auto"/>
        </w:rPr>
      </w:pPr>
      <w:r>
        <w:rPr>
          <w:rFonts w:ascii="Arial" w:cs="Arial" w:eastAsia="Arial" w:hAnsi="Arial"/>
          <w:sz w:val="17"/>
          <w:szCs w:val="17"/>
          <w:color w:val="auto"/>
        </w:rPr>
        <w:t>any Guarantee of the Loan Document Obligations by any Loan Party pursuant to the Guarantee Agreement shall cease to be in full force and effect (in each case, other than in accordance with the terms of the Loan Documents);</w:t>
      </w:r>
    </w:p>
    <w:p>
      <w:pPr>
        <w:spacing w:after="0" w:line="134" w:lineRule="exact"/>
        <w:rPr>
          <w:rFonts w:ascii="Arial" w:cs="Arial" w:eastAsia="Arial" w:hAnsi="Arial"/>
          <w:sz w:val="17"/>
          <w:szCs w:val="17"/>
          <w:color w:val="auto"/>
        </w:rPr>
      </w:pPr>
    </w:p>
    <w:p>
      <w:pPr>
        <w:ind w:left="1120" w:hanging="557"/>
        <w:spacing w:after="0"/>
        <w:tabs>
          <w:tab w:leader="none" w:pos="1120" w:val="left"/>
        </w:tabs>
        <w:numPr>
          <w:ilvl w:val="0"/>
          <w:numId w:val="247"/>
        </w:numPr>
        <w:rPr>
          <w:rFonts w:ascii="Arial" w:cs="Arial" w:eastAsia="Arial" w:hAnsi="Arial"/>
          <w:sz w:val="17"/>
          <w:szCs w:val="17"/>
          <w:color w:val="auto"/>
        </w:rPr>
      </w:pPr>
      <w:r>
        <w:rPr>
          <w:rFonts w:ascii="Arial" w:cs="Arial" w:eastAsia="Arial" w:hAnsi="Arial"/>
          <w:sz w:val="17"/>
          <w:szCs w:val="17"/>
          <w:color w:val="auto"/>
        </w:rPr>
        <w:t>a Change in Control shall occur;</w:t>
      </w:r>
    </w:p>
    <w:p>
      <w:pPr>
        <w:spacing w:after="0" w:line="159" w:lineRule="exact"/>
        <w:rPr>
          <w:rFonts w:ascii="Arial" w:cs="Arial" w:eastAsia="Arial" w:hAnsi="Arial"/>
          <w:sz w:val="17"/>
          <w:szCs w:val="17"/>
          <w:color w:val="auto"/>
        </w:rPr>
      </w:pPr>
    </w:p>
    <w:p>
      <w:pPr>
        <w:ind w:right="20" w:firstLine="563"/>
        <w:spacing w:after="0" w:line="264" w:lineRule="auto"/>
        <w:tabs>
          <w:tab w:leader="none" w:pos="1126" w:val="left"/>
        </w:tabs>
        <w:numPr>
          <w:ilvl w:val="0"/>
          <w:numId w:val="247"/>
        </w:numPr>
        <w:rPr>
          <w:rFonts w:ascii="Arial" w:cs="Arial" w:eastAsia="Arial" w:hAnsi="Arial"/>
          <w:sz w:val="16"/>
          <w:szCs w:val="16"/>
          <w:color w:val="auto"/>
        </w:rPr>
      </w:pPr>
      <w:r>
        <w:rPr>
          <w:rFonts w:ascii="Arial" w:cs="Arial" w:eastAsia="Arial" w:hAnsi="Arial"/>
          <w:sz w:val="16"/>
          <w:szCs w:val="16"/>
          <w:color w:val="auto"/>
        </w:rPr>
        <w:t>one or more Regulated Subsidiaries shall become subject to regulatory restrictions on its business as a result of falling below capital early warning levels and such restrictions are material and adverse to the business of Holdings, the Borrower and the Restricted Subsidiaries, taken as a whole; or</w:t>
      </w:r>
    </w:p>
    <w:p>
      <w:pPr>
        <w:spacing w:after="0" w:line="116" w:lineRule="exact"/>
        <w:rPr>
          <w:rFonts w:ascii="Arial" w:cs="Arial" w:eastAsia="Arial" w:hAnsi="Arial"/>
          <w:sz w:val="16"/>
          <w:szCs w:val="16"/>
          <w:color w:val="auto"/>
        </w:rPr>
      </w:pPr>
    </w:p>
    <w:p>
      <w:pPr>
        <w:jc w:val="both"/>
        <w:ind w:right="20" w:firstLine="563"/>
        <w:spacing w:after="0" w:line="220" w:lineRule="auto"/>
        <w:tabs>
          <w:tab w:leader="none" w:pos="1126" w:val="left"/>
        </w:tabs>
        <w:numPr>
          <w:ilvl w:val="0"/>
          <w:numId w:val="247"/>
        </w:numPr>
        <w:rPr>
          <w:rFonts w:ascii="Arial" w:cs="Arial" w:eastAsia="Arial" w:hAnsi="Arial"/>
          <w:sz w:val="17"/>
          <w:szCs w:val="17"/>
          <w:color w:val="auto"/>
        </w:rPr>
      </w:pPr>
      <w:r>
        <w:rPr>
          <w:rFonts w:ascii="Arial" w:cs="Arial" w:eastAsia="Arial" w:hAnsi="Arial"/>
          <w:sz w:val="17"/>
          <w:szCs w:val="17"/>
          <w:color w:val="auto"/>
        </w:rPr>
        <w:t xml:space="preserve">any disqualification of the Borrower or Holdings from owning any Regulated Subsidiary which disqualification remains in effect and unwaived for a period of 30 days from receipt of notification thereof by the Borrower or Holdings;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the Borrower or Holdings becomes the subject of a waiver application within such 30 day period, then such disqualification shall not constitute an Event Of Default for so long as such waiver application has not been denied;</w:t>
      </w:r>
    </w:p>
    <w:p>
      <w:pPr>
        <w:spacing w:after="0" w:line="136" w:lineRule="exact"/>
        <w:rPr>
          <w:sz w:val="20"/>
          <w:szCs w:val="20"/>
          <w:color w:val="auto"/>
        </w:rPr>
      </w:pPr>
    </w:p>
    <w:p>
      <w:pPr>
        <w:jc w:val="both"/>
        <w:spacing w:after="0" w:line="236" w:lineRule="auto"/>
        <w:rPr>
          <w:sz w:val="20"/>
          <w:szCs w:val="20"/>
          <w:color w:val="auto"/>
        </w:rPr>
      </w:pPr>
      <w:r>
        <w:rPr>
          <w:rFonts w:ascii="Arial" w:cs="Arial" w:eastAsia="Arial" w:hAnsi="Arial"/>
          <w:sz w:val="15"/>
          <w:szCs w:val="15"/>
          <w:color w:val="auto"/>
        </w:rPr>
        <w:t>then, and in every such event (other than (x) an event with respect to Holdings or the Borrower described in paragraph (h) or (i) of this Section 7.01 or (y) any Event of Default arising out of a failure to observe or perform the Financial Performance Covenant), and at any time thereafter during the continuance of such event, the Administrative Agent may, and at the request of the Required Lenders shall, by notice to the Borrower, take any of the following actions, at the same or different times: (i) terminate the Revolving Commitments, and thereupon such Commitments shall terminate immediately,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Loan Document Obligations of the Borrower accrued hereunder, shall become due and payable immediately, without presentment, demand, protest or other notice of any kind, all of which are hereby waived by the Borrower and (iii) require that the Borrower deposit in the LC Cash Collateral Account an additional amount in cash as reasonably requested by the Issuing Banks (not to exceed 105% of the relevant face amount) of the then outstanding LC Exposure (</w:t>
      </w:r>
      <w:r>
        <w:rPr>
          <w:rFonts w:ascii="Arial" w:cs="Arial" w:eastAsia="Arial" w:hAnsi="Arial"/>
          <w:sz w:val="15"/>
          <w:szCs w:val="15"/>
          <w:i w:val="1"/>
          <w:iCs w:val="1"/>
          <w:color w:val="auto"/>
        </w:rPr>
        <w:t>minus</w:t>
      </w:r>
      <w:r>
        <w:rPr>
          <w:rFonts w:ascii="Arial" w:cs="Arial" w:eastAsia="Arial" w:hAnsi="Arial"/>
          <w:sz w:val="15"/>
          <w:szCs w:val="15"/>
          <w:color w:val="auto"/>
        </w:rPr>
        <w:t xml:space="preserve"> the amount then on deposit in the LC Cash Collateral Account); and (A) in the case of any event with respect to Holdings or the Borrower described in paragraph (h) or (i) of this Section 7.01, the Commitments shall automatically terminate and the principal of the Loans then outstanding, together with accrued interest thereon and all fees and other Loan Document Obligations of the Borrower accrued hereunder, shall automatically become due and payable, without presentment, demand, protest or other notice of any kind, all of which are hereby waived by the Borrower, and the obligation of the Borrower to cash collateralize the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157</w:t>
      </w:r>
    </w:p>
    <w:p>
      <w:pPr>
        <w:sectPr>
          <w:pgSz w:w="11900" w:h="16838" w:orient="portrait"/>
          <w:cols w:equalWidth="0" w:num="1">
            <w:col w:w="11260"/>
          </w:cols>
          <w:pgMar w:left="320" w:top="1440" w:right="319" w:bottom="1440" w:gutter="0" w:footer="0" w:header="0"/>
        </w:sectPr>
      </w:pPr>
    </w:p>
    <w:bookmarkStart w:id="331" w:name="page332"/>
    <w:bookmarkEnd w:id="331"/>
    <w:p>
      <w:pPr>
        <w:spacing w:after="0" w:line="389" w:lineRule="exact"/>
        <w:rPr>
          <w:sz w:val="20"/>
          <w:szCs w:val="20"/>
          <w:color w:val="auto"/>
        </w:rPr>
      </w:pPr>
    </w:p>
    <w:p>
      <w:pPr>
        <w:jc w:val="both"/>
        <w:spacing w:after="0" w:line="220" w:lineRule="auto"/>
        <w:rPr>
          <w:sz w:val="20"/>
          <w:szCs w:val="20"/>
          <w:color w:val="auto"/>
        </w:rPr>
      </w:pPr>
      <w:r>
        <w:rPr>
          <w:rFonts w:ascii="Arial" w:cs="Arial" w:eastAsia="Arial" w:hAnsi="Arial"/>
          <w:sz w:val="16"/>
          <w:szCs w:val="16"/>
          <w:color w:val="auto"/>
        </w:rPr>
        <w:t>Letters of Credit as aforesaid shall automatically become effective, in each case without further action of the Administrative Agent or any Lender and (B) during the continuance of any Event of Default arising out of a failure to observe or perform the Financial Performance Covenant, (X) upon the request of the Required Revolving Lenders (but not the Required Lenders or any other Lender or group of Lenders), the Administrative Agent shall, by notice to the Borrower, (1) terminate the Revolving Commitments, and thereupon such Revolving Commitments shall terminate immediately, (2) declare the Revolving Loans then outstanding to be due and payable in whole (or in part, in which case any principal not so declared to be due and payable may thereafter be declared to be due and payable), and thereupon the principal of the Revolving Loans so declared to be due and payable, together with accrued interest thereon and all fees and other Loan Document Obligations of the Borrower accrued hereunder, shall become due and payable immediately, without presentment, demand, protest or other notice of any kind, all of which are hereby waived by the Borrower and (3) require that the Borrower deposit in the LC Cash Collateral Account an additional amount in cash as reasonably requested by the Issuing Banks (not to exceed 105% of the relevant face amount) of the then outstanding LC Exposure (</w:t>
      </w:r>
      <w:r>
        <w:rPr>
          <w:rFonts w:ascii="Arial" w:cs="Arial" w:eastAsia="Arial" w:hAnsi="Arial"/>
          <w:sz w:val="16"/>
          <w:szCs w:val="16"/>
          <w:i w:val="1"/>
          <w:iCs w:val="1"/>
          <w:color w:val="auto"/>
        </w:rPr>
        <w:t>minus</w:t>
      </w:r>
      <w:r>
        <w:rPr>
          <w:rFonts w:ascii="Arial" w:cs="Arial" w:eastAsia="Arial" w:hAnsi="Arial"/>
          <w:sz w:val="16"/>
          <w:szCs w:val="16"/>
          <w:color w:val="auto"/>
        </w:rPr>
        <w:t xml:space="preserve"> the amount then on deposit in the LC Cash Collateral Account) and (Y) subject to the Financial Covenant Standstill, the Administrative Agent may, and at the request of the Required Lenders shall, by notice to the Borrower,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shall become due and payable immediately, without presentment, demand, protest or other notice of any kind, all of which are hereby waived by the Borrower. Upon the occurrence and during the continuance of an Event of Default, the Administrative Agent may, and at the request of the Required Lenders shall, exercise any rights and remedies provided to the Administrative Agent under the Loan Documents or at law or equity, including all remedies provided under the UCC.</w:t>
      </w:r>
    </w:p>
    <w:p>
      <w:pPr>
        <w:spacing w:after="0" w:line="143" w:lineRule="exact"/>
        <w:rPr>
          <w:sz w:val="20"/>
          <w:szCs w:val="20"/>
          <w:color w:val="auto"/>
        </w:rPr>
      </w:pPr>
    </w:p>
    <w:p>
      <w:pPr>
        <w:ind w:left="560"/>
        <w:spacing w:after="0"/>
        <w:tabs>
          <w:tab w:leader="none" w:pos="1680" w:val="left"/>
        </w:tabs>
        <w:rPr>
          <w:sz w:val="20"/>
          <w:szCs w:val="20"/>
          <w:color w:val="auto"/>
        </w:rPr>
      </w:pPr>
      <w:r>
        <w:rPr>
          <w:rFonts w:ascii="Arial" w:cs="Arial" w:eastAsia="Arial" w:hAnsi="Arial"/>
          <w:sz w:val="17"/>
          <w:szCs w:val="17"/>
          <w:color w:val="auto"/>
        </w:rPr>
        <w:t>Section 1.02.</w:t>
      </w:r>
      <w:r>
        <w:rPr>
          <w:sz w:val="20"/>
          <w:szCs w:val="20"/>
          <w:color w:val="auto"/>
        </w:rPr>
        <w:tab/>
      </w:r>
      <w:r>
        <w:rPr>
          <w:rFonts w:ascii="Arial" w:cs="Arial" w:eastAsia="Arial" w:hAnsi="Arial"/>
          <w:sz w:val="15"/>
          <w:szCs w:val="15"/>
          <w:i w:val="1"/>
          <w:iCs w:val="1"/>
          <w:color w:val="auto"/>
        </w:rPr>
        <w:t>Right to Cure</w:t>
      </w:r>
      <w:r>
        <w:rPr>
          <w:rFonts w:ascii="Arial" w:cs="Arial" w:eastAsia="Arial" w:hAnsi="Arial"/>
          <w:sz w:val="15"/>
          <w:szCs w:val="15"/>
          <w:color w:val="auto"/>
        </w:rPr>
        <w:t>.</w:t>
      </w:r>
    </w:p>
    <w:p>
      <w:pPr>
        <w:spacing w:after="0" w:line="160" w:lineRule="exact"/>
        <w:rPr>
          <w:sz w:val="20"/>
          <w:szCs w:val="20"/>
          <w:color w:val="auto"/>
        </w:rPr>
      </w:pPr>
    </w:p>
    <w:p>
      <w:pPr>
        <w:jc w:val="both"/>
        <w:ind w:firstLine="563"/>
        <w:spacing w:after="0" w:line="223" w:lineRule="auto"/>
        <w:tabs>
          <w:tab w:leader="none" w:pos="1128" w:val="left"/>
        </w:tabs>
        <w:numPr>
          <w:ilvl w:val="0"/>
          <w:numId w:val="248"/>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in Section 7.01, in the event that the Borrower and the Restricted Subsidiaries fail to comply with the requirements of the Financial Performance Covenant as of the last day of any Financial Performance Covenant Test Period, then at any time after the beginning of such fiscal quarter until the expiration of the 10th day subsequent to the earlier of (i) the date on which a Compliance Certificate with respect to such fiscal quarter (or the fiscal year ended on the last day of such fiscal quarter) is delivered in accordance with Section 5.01(d) and (ii) the date on which the financial statements with respect to such fiscal quarter (or the fiscal year ended on the last day of such fiscal quarter) are required to be delivered pursuant to Section 5.01(a) or (b) (the “</w:t>
      </w:r>
      <w:r>
        <w:rPr>
          <w:rFonts w:ascii="Arial" w:cs="Arial" w:eastAsia="Arial" w:hAnsi="Arial"/>
          <w:sz w:val="16"/>
          <w:szCs w:val="16"/>
          <w:b w:val="1"/>
          <w:bCs w:val="1"/>
          <w:color w:val="auto"/>
        </w:rPr>
        <w:t>Cure Deadline</w:t>
      </w:r>
      <w:r>
        <w:rPr>
          <w:rFonts w:ascii="Arial" w:cs="Arial" w:eastAsia="Arial" w:hAnsi="Arial"/>
          <w:sz w:val="16"/>
          <w:szCs w:val="16"/>
          <w:color w:val="auto"/>
        </w:rPr>
        <w:t>”), as applicable, Holdings shall have the right to issue Qualified Equity Interests for cash or otherwise receive cash contributions to the capital of Holdings as cash common equity or other Qualified Equity Interests (which Holdings shall contribute through its Subsidiaries of which the Borrower is a Subsidiary to the Borrower as cash common equity) (collectively, the “</w:t>
      </w:r>
      <w:r>
        <w:rPr>
          <w:rFonts w:ascii="Arial" w:cs="Arial" w:eastAsia="Arial" w:hAnsi="Arial"/>
          <w:sz w:val="16"/>
          <w:szCs w:val="16"/>
          <w:b w:val="1"/>
          <w:bCs w:val="1"/>
          <w:color w:val="auto"/>
        </w:rPr>
        <w:t>Cure Right</w:t>
      </w:r>
      <w:r>
        <w:rPr>
          <w:rFonts w:ascii="Arial" w:cs="Arial" w:eastAsia="Arial" w:hAnsi="Arial"/>
          <w:sz w:val="16"/>
          <w:szCs w:val="16"/>
          <w:color w:val="auto"/>
        </w:rPr>
        <w:t>”), and upon the receipt by the Borrower of the Net Proceeds of such issuance (which Net Proceeds may not be included in the calculation of the Cumulative Credit) (the “</w:t>
      </w:r>
      <w:r>
        <w:rPr>
          <w:rFonts w:ascii="Arial" w:cs="Arial" w:eastAsia="Arial" w:hAnsi="Arial"/>
          <w:sz w:val="16"/>
          <w:szCs w:val="16"/>
          <w:b w:val="1"/>
          <w:bCs w:val="1"/>
          <w:color w:val="auto"/>
        </w:rPr>
        <w:t>Cure Amount</w:t>
      </w:r>
      <w:r>
        <w:rPr>
          <w:rFonts w:ascii="Arial" w:cs="Arial" w:eastAsia="Arial" w:hAnsi="Arial"/>
          <w:sz w:val="16"/>
          <w:szCs w:val="16"/>
          <w:color w:val="auto"/>
        </w:rPr>
        <w:t>”) pursuant to the exercise by Holdings of such Cure Right such Financial Performance Covenant shall be recalculated giving effect to the following pro forma adjustment:</w:t>
      </w:r>
    </w:p>
    <w:p>
      <w:pPr>
        <w:spacing w:after="0" w:line="137" w:lineRule="exact"/>
        <w:rPr>
          <w:rFonts w:ascii="Arial" w:cs="Arial" w:eastAsia="Arial" w:hAnsi="Arial"/>
          <w:sz w:val="16"/>
          <w:szCs w:val="16"/>
          <w:color w:val="auto"/>
        </w:rPr>
      </w:pPr>
    </w:p>
    <w:p>
      <w:pPr>
        <w:ind w:left="340" w:firstLine="791"/>
        <w:spacing w:after="0" w:line="237" w:lineRule="auto"/>
        <w:tabs>
          <w:tab w:leader="none" w:pos="1702" w:val="left"/>
        </w:tabs>
        <w:numPr>
          <w:ilvl w:val="1"/>
          <w:numId w:val="248"/>
        </w:numPr>
        <w:rPr>
          <w:rFonts w:ascii="Arial" w:cs="Arial" w:eastAsia="Arial" w:hAnsi="Arial"/>
          <w:sz w:val="17"/>
          <w:szCs w:val="17"/>
          <w:color w:val="auto"/>
        </w:rPr>
      </w:pPr>
      <w:r>
        <w:rPr>
          <w:rFonts w:ascii="Arial" w:cs="Arial" w:eastAsia="Arial" w:hAnsi="Arial"/>
          <w:sz w:val="17"/>
          <w:szCs w:val="17"/>
          <w:color w:val="auto"/>
        </w:rPr>
        <w:t>Consolidated EBITDA shall be increased with respect to such applicable fiscal quarter and any four fiscal quarter period that contains such fiscal quarter, solely for the purpose of measuring the Financial Performance Covenant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158</w:t>
      </w:r>
    </w:p>
    <w:p>
      <w:pPr>
        <w:sectPr>
          <w:pgSz w:w="11900" w:h="16838" w:orient="portrait"/>
          <w:cols w:equalWidth="0" w:num="1">
            <w:col w:w="11260"/>
          </w:cols>
          <w:pgMar w:left="320" w:top="1440" w:right="319" w:bottom="1440" w:gutter="0" w:footer="0" w:header="0"/>
        </w:sectPr>
      </w:pPr>
    </w:p>
    <w:bookmarkStart w:id="332" w:name="page333"/>
    <w:bookmarkEnd w:id="332"/>
    <w:p>
      <w:pPr>
        <w:spacing w:after="0" w:line="38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and not for any other purpose under this Agreement, by an amount equal to the Cure Amount; and</w:t>
      </w:r>
    </w:p>
    <w:p>
      <w:pPr>
        <w:spacing w:after="0" w:line="160" w:lineRule="exact"/>
        <w:rPr>
          <w:sz w:val="20"/>
          <w:szCs w:val="20"/>
          <w:color w:val="auto"/>
        </w:rPr>
      </w:pPr>
    </w:p>
    <w:p>
      <w:pPr>
        <w:jc w:val="both"/>
        <w:ind w:left="340" w:firstLine="791"/>
        <w:spacing w:after="0" w:line="228" w:lineRule="auto"/>
        <w:tabs>
          <w:tab w:leader="none" w:pos="1702" w:val="left"/>
        </w:tabs>
        <w:numPr>
          <w:ilvl w:val="0"/>
          <w:numId w:val="249"/>
        </w:numPr>
        <w:rPr>
          <w:rFonts w:ascii="Arial" w:cs="Arial" w:eastAsia="Arial" w:hAnsi="Arial"/>
          <w:sz w:val="16"/>
          <w:szCs w:val="16"/>
          <w:color w:val="auto"/>
        </w:rPr>
      </w:pPr>
      <w:r>
        <w:rPr>
          <w:rFonts w:ascii="Arial" w:cs="Arial" w:eastAsia="Arial" w:hAnsi="Arial"/>
          <w:sz w:val="16"/>
          <w:szCs w:val="16"/>
          <w:color w:val="auto"/>
        </w:rPr>
        <w:t>if, after giving effect to the foregoing pro forma adjustment (without giving effect to any repayment of any Indebtedness with any portion of the Cure Amount or any portion of the Cure Amount on the balance sheet of the Borrower and its Restricted Subsidiaries, in each case, with respect to such fiscal quarter only), the Borrower and its Restricted Subsidiaries shall then be in compliance with the requirements of the Financial Performance Covenant, the Borrower and its Restricted Subsidiaries shall be deemed to have satisfied the requirements of the Financial Performance Covenant as of the relevant date of determination with the same effect as though there had been no failure to comply therewith at such date, and the applicable breach or default of the Financial Performance Covenant that had occurred shall be deemed cured for the purposes of this Agreement;</w:t>
      </w:r>
    </w:p>
    <w:p>
      <w:pPr>
        <w:spacing w:after="0" w:line="129"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the Borrower shall have notified the Administrative Agent of the exercise of such Cure Right (a “</w:t>
      </w:r>
      <w:r>
        <w:rPr>
          <w:rFonts w:ascii="Arial" w:cs="Arial" w:eastAsia="Arial" w:hAnsi="Arial"/>
          <w:sz w:val="17"/>
          <w:szCs w:val="17"/>
          <w:b w:val="1"/>
          <w:bCs w:val="1"/>
          <w:color w:val="auto"/>
        </w:rPr>
        <w:t>Cure Notice</w:t>
      </w:r>
      <w:r>
        <w:rPr>
          <w:rFonts w:ascii="Arial" w:cs="Arial" w:eastAsia="Arial" w:hAnsi="Arial"/>
          <w:sz w:val="17"/>
          <w:szCs w:val="17"/>
          <w:color w:val="auto"/>
        </w:rPr>
        <w:t>”) within five (5) Business Days of</w:t>
      </w:r>
      <w:r>
        <w:rPr>
          <w:rFonts w:ascii="Arial" w:cs="Arial" w:eastAsia="Arial" w:hAnsi="Arial"/>
          <w:sz w:val="17"/>
          <w:szCs w:val="17"/>
          <w:i w:val="1"/>
          <w:iCs w:val="1"/>
          <w:color w:val="auto"/>
        </w:rPr>
        <w:t xml:space="preserve"> </w:t>
      </w:r>
      <w:r>
        <w:rPr>
          <w:rFonts w:ascii="Arial" w:cs="Arial" w:eastAsia="Arial" w:hAnsi="Arial"/>
          <w:sz w:val="17"/>
          <w:szCs w:val="17"/>
          <w:color w:val="auto"/>
        </w:rPr>
        <w:t>the issuance of the relevant Qualified Equity Interests for cash or the receipt of the cash contributions by Holdings.</w:t>
      </w:r>
    </w:p>
    <w:p>
      <w:pPr>
        <w:spacing w:after="0" w:line="134" w:lineRule="exact"/>
        <w:rPr>
          <w:sz w:val="20"/>
          <w:szCs w:val="20"/>
          <w:color w:val="auto"/>
        </w:rPr>
      </w:pPr>
    </w:p>
    <w:p>
      <w:pPr>
        <w:jc w:val="both"/>
        <w:ind w:left="340" w:right="20" w:firstLine="791"/>
        <w:spacing w:after="0" w:line="214" w:lineRule="auto"/>
        <w:tabs>
          <w:tab w:leader="none" w:pos="1703" w:val="left"/>
        </w:tabs>
        <w:numPr>
          <w:ilvl w:val="1"/>
          <w:numId w:val="250"/>
        </w:numPr>
        <w:rPr>
          <w:rFonts w:ascii="Arial" w:cs="Arial" w:eastAsia="Arial" w:hAnsi="Arial"/>
          <w:sz w:val="17"/>
          <w:szCs w:val="17"/>
          <w:color w:val="auto"/>
        </w:rPr>
      </w:pPr>
      <w:r>
        <w:rPr>
          <w:rFonts w:ascii="Arial" w:cs="Arial" w:eastAsia="Arial" w:hAnsi="Arial"/>
          <w:sz w:val="17"/>
          <w:szCs w:val="17"/>
          <w:color w:val="auto"/>
        </w:rPr>
        <w:t>Notwithstanding anything to the contrary, (i) neither the Administrative Agent nor any Lender shall exercise any right to accelerate the Loans or terminate the Revolving Commitments, and none of the Administrative Agent, nor any Lender or Secured Party shall exercise any right to foreclose on or take possession of the Collateral or any other right or remedy under the Loan Documents solely on the basis of the relevant Event of Default under Section 7.01(d); and (ii) no Revolving Lender, Swingline Lender or Issuing Bank shall be required to make any Loans or issue any Letter of Credit from and after such time as the Administrative Agent has received the Cure Notice unless and until the Cure Amount is actually received on or prior to the Cure Deadline;</w:t>
      </w:r>
    </w:p>
    <w:p>
      <w:pPr>
        <w:spacing w:after="0" w:line="138" w:lineRule="exact"/>
        <w:rPr>
          <w:rFonts w:ascii="Arial" w:cs="Arial" w:eastAsia="Arial" w:hAnsi="Arial"/>
          <w:sz w:val="17"/>
          <w:szCs w:val="17"/>
          <w:color w:val="auto"/>
        </w:rPr>
      </w:pPr>
    </w:p>
    <w:p>
      <w:pPr>
        <w:jc w:val="both"/>
        <w:ind w:firstLine="563"/>
        <w:spacing w:after="0" w:line="211" w:lineRule="auto"/>
        <w:tabs>
          <w:tab w:leader="none" w:pos="1126" w:val="left"/>
        </w:tabs>
        <w:numPr>
          <w:ilvl w:val="0"/>
          <w:numId w:val="251"/>
        </w:numPr>
        <w:rPr>
          <w:rFonts w:ascii="Arial" w:cs="Arial" w:eastAsia="Arial" w:hAnsi="Arial"/>
          <w:sz w:val="17"/>
          <w:szCs w:val="17"/>
          <w:color w:val="auto"/>
        </w:rPr>
      </w:pPr>
      <w:r>
        <w:rPr>
          <w:rFonts w:ascii="Arial" w:cs="Arial" w:eastAsia="Arial" w:hAnsi="Arial"/>
          <w:sz w:val="17"/>
          <w:szCs w:val="17"/>
          <w:color w:val="auto"/>
        </w:rPr>
        <w:t>Notwithstanding anything herein to the contrary, (i) in each four consecutive fiscal quarter period of the Borrower there shall be at least two fiscal quarters in which the Cure Right is not exercised, (ii) during the life of this Agreement, the Cure Right shall not be exercised more than four times and (iii) for purposes of this Section 7.02, the Cure Amount shall be no greater than the amount required for purposes of complying with the Financial Performance Covenant with respect to the applicable fiscal quarter and any amounts in excess thereof shall not be deemed to be a Cure Amount. Notwithstanding any other provision in this Agreement to the contrary, (x) the Cure Amount received pursuant to any exercise of the Cure Right shall be disregarded for purposes of determining any financial ratio based conditions or any available basket under Article 6 of this Agreement and (y) there shall be no pro forma reduction in Indebtedness with the proceeds of any Cure Amount for determining compliance with the financial maintenance covenants for the fiscal quarter with respect to which such Cure Right is exercised.</w:t>
      </w:r>
    </w:p>
    <w:p>
      <w:pPr>
        <w:spacing w:after="0" w:line="178" w:lineRule="exact"/>
        <w:rPr>
          <w:sz w:val="20"/>
          <w:szCs w:val="20"/>
          <w:color w:val="auto"/>
        </w:rPr>
      </w:pPr>
    </w:p>
    <w:p>
      <w:pPr>
        <w:jc w:val="center"/>
        <w:ind w:right="360"/>
        <w:spacing w:after="0"/>
        <w:rPr>
          <w:sz w:val="20"/>
          <w:szCs w:val="20"/>
          <w:color w:val="auto"/>
        </w:rPr>
      </w:pPr>
      <w:r>
        <w:rPr>
          <w:rFonts w:ascii="Arial" w:cs="Arial" w:eastAsia="Arial" w:hAnsi="Arial"/>
          <w:sz w:val="16"/>
          <w:szCs w:val="16"/>
          <w:color w:val="auto"/>
        </w:rPr>
        <w:t>ARTICLE 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Administrative Agent and Collateral Agent</w:t>
      </w:r>
    </w:p>
    <w:p>
      <w:pPr>
        <w:spacing w:after="0" w:line="195" w:lineRule="exact"/>
        <w:rPr>
          <w:sz w:val="20"/>
          <w:szCs w:val="20"/>
          <w:color w:val="auto"/>
        </w:rPr>
      </w:pPr>
    </w:p>
    <w:p>
      <w:pPr>
        <w:ind w:left="560"/>
        <w:spacing w:after="0"/>
        <w:tabs>
          <w:tab w:leader="none" w:pos="1680" w:val="left"/>
        </w:tabs>
        <w:rPr>
          <w:sz w:val="20"/>
          <w:szCs w:val="20"/>
          <w:color w:val="auto"/>
        </w:rPr>
      </w:pPr>
      <w:r>
        <w:rPr>
          <w:rFonts w:ascii="Arial" w:cs="Arial" w:eastAsia="Arial" w:hAnsi="Arial"/>
          <w:sz w:val="17"/>
          <w:szCs w:val="17"/>
          <w:color w:val="auto"/>
        </w:rPr>
        <w:t>Section 1.01.</w:t>
      </w:r>
      <w:r>
        <w:rPr>
          <w:sz w:val="20"/>
          <w:szCs w:val="20"/>
          <w:color w:val="auto"/>
        </w:rPr>
        <w:tab/>
      </w:r>
      <w:r>
        <w:rPr>
          <w:rFonts w:ascii="Arial" w:cs="Arial" w:eastAsia="Arial" w:hAnsi="Arial"/>
          <w:sz w:val="16"/>
          <w:szCs w:val="16"/>
          <w:i w:val="1"/>
          <w:iCs w:val="1"/>
          <w:color w:val="auto"/>
        </w:rPr>
        <w:t>General</w:t>
      </w:r>
      <w:r>
        <w:rPr>
          <w:rFonts w:ascii="Arial" w:cs="Arial" w:eastAsia="Arial" w:hAnsi="Arial"/>
          <w:sz w:val="16"/>
          <w:szCs w:val="16"/>
          <w:color w:val="auto"/>
        </w:rPr>
        <w:t>.</w:t>
      </w:r>
    </w:p>
    <w:p>
      <w:pPr>
        <w:spacing w:after="0" w:line="160" w:lineRule="exact"/>
        <w:rPr>
          <w:sz w:val="20"/>
          <w:szCs w:val="20"/>
          <w:color w:val="auto"/>
        </w:rPr>
      </w:pPr>
    </w:p>
    <w:p>
      <w:pPr>
        <w:ind w:right="20" w:firstLine="568"/>
        <w:spacing w:after="0" w:line="237" w:lineRule="auto"/>
        <w:rPr>
          <w:sz w:val="20"/>
          <w:szCs w:val="20"/>
          <w:color w:val="auto"/>
        </w:rPr>
      </w:pPr>
      <w:r>
        <w:rPr>
          <w:rFonts w:ascii="Arial" w:cs="Arial" w:eastAsia="Arial" w:hAnsi="Arial"/>
          <w:sz w:val="17"/>
          <w:szCs w:val="17"/>
          <w:color w:val="auto"/>
        </w:rPr>
        <w:t>Each Lender hereby irrevocably appoints the Administrative Agent its agent and authorizes the Administrative Agent to take such actions on its behalf and to exercise such powers as are delegated to it by the terms of the Loan Documents, together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159</w:t>
      </w:r>
    </w:p>
    <w:p>
      <w:pPr>
        <w:sectPr>
          <w:pgSz w:w="11900" w:h="16838" w:orient="portrait"/>
          <w:cols w:equalWidth="0" w:num="1">
            <w:col w:w="11260"/>
          </w:cols>
          <w:pgMar w:left="320" w:top="1440" w:right="319" w:bottom="1440" w:gutter="0" w:footer="0" w:header="0"/>
        </w:sectPr>
      </w:pPr>
    </w:p>
    <w:bookmarkStart w:id="333" w:name="page334"/>
    <w:bookmarkEnd w:id="333"/>
    <w:p>
      <w:pPr>
        <w:spacing w:after="0" w:line="389" w:lineRule="exact"/>
        <w:rPr>
          <w:sz w:val="20"/>
          <w:szCs w:val="20"/>
          <w:color w:val="auto"/>
        </w:rPr>
      </w:pPr>
    </w:p>
    <w:p>
      <w:pPr>
        <w:jc w:val="both"/>
        <w:spacing w:after="0" w:line="224" w:lineRule="auto"/>
        <w:rPr>
          <w:sz w:val="20"/>
          <w:szCs w:val="20"/>
          <w:color w:val="auto"/>
        </w:rPr>
      </w:pPr>
      <w:r>
        <w:rPr>
          <w:rFonts w:ascii="Arial" w:cs="Arial" w:eastAsia="Arial" w:hAnsi="Arial"/>
          <w:sz w:val="16"/>
          <w:szCs w:val="16"/>
          <w:color w:val="auto"/>
        </w:rPr>
        <w:t>such actions and powers as are reasonably incidental thereto. The Administrative Agent shall also act as the “collateral agent” under the Loan Documents (and for purposes of this Article 8, the Administrative Agent acting in its capacity as such and acting in its capacity as collateral agent shall be referred to collectively as the “</w:t>
      </w:r>
      <w:r>
        <w:rPr>
          <w:rFonts w:ascii="Arial" w:cs="Arial" w:eastAsia="Arial" w:hAnsi="Arial"/>
          <w:sz w:val="16"/>
          <w:szCs w:val="16"/>
          <w:b w:val="1"/>
          <w:bCs w:val="1"/>
          <w:color w:val="auto"/>
        </w:rPr>
        <w:t>Agent</w:t>
      </w:r>
      <w:r>
        <w:rPr>
          <w:rFonts w:ascii="Arial" w:cs="Arial" w:eastAsia="Arial" w:hAnsi="Arial"/>
          <w:sz w:val="16"/>
          <w:szCs w:val="16"/>
          <w:color w:val="auto"/>
        </w:rPr>
        <w:t>” or the “</w:t>
      </w:r>
      <w:r>
        <w:rPr>
          <w:rFonts w:ascii="Arial" w:cs="Arial" w:eastAsia="Arial" w:hAnsi="Arial"/>
          <w:sz w:val="16"/>
          <w:szCs w:val="16"/>
          <w:b w:val="1"/>
          <w:bCs w:val="1"/>
          <w:color w:val="auto"/>
        </w:rPr>
        <w:t>Agents</w:t>
      </w:r>
      <w:r>
        <w:rPr>
          <w:rFonts w:ascii="Arial" w:cs="Arial" w:eastAsia="Arial" w:hAnsi="Arial"/>
          <w:sz w:val="16"/>
          <w:szCs w:val="16"/>
          <w:color w:val="auto"/>
        </w:rPr>
        <w:t>”), and each of the Lenders hereby irrevocably appoints and authorizes the Administrative Agent to act as the agent of such Lender for purposes of acquiring, holding and enforcing any and all Liens on Collateral granted by any of the Loan Parties to secure any of the Secured Obligations, together with such powers and discretion as are reasonably incidental thereto. In this connection, the Administrative Agent, as “collateral agent” and any co-agents, sub-agents and attorneys-in-fact appointed by the Administrative Agent hereunder for purposes of holding or enforcing any Lien on the Collateral (or any portion thereof) granted under the Security Documents, or for exercising any rights and remedies thereunder at the direction of the Administrative Agent, shall be entitled to the benefits of all provisions of this Article 8 and Article 9 (including Section 9.03 as though such co-agents, sub-agents and attorneys-in-fact were the “collateral agent” under the Loan Documents) as if set forth in full herein with respect thereto.</w:t>
      </w:r>
    </w:p>
    <w:p>
      <w:pPr>
        <w:spacing w:after="0" w:line="136" w:lineRule="exact"/>
        <w:rPr>
          <w:sz w:val="20"/>
          <w:szCs w:val="20"/>
          <w:color w:val="auto"/>
        </w:rPr>
      </w:pPr>
    </w:p>
    <w:p>
      <w:pPr>
        <w:jc w:val="both"/>
        <w:ind w:firstLine="568"/>
        <w:spacing w:after="0" w:line="213" w:lineRule="auto"/>
        <w:rPr>
          <w:sz w:val="20"/>
          <w:szCs w:val="20"/>
          <w:color w:val="auto"/>
        </w:rPr>
      </w:pPr>
      <w:r>
        <w:rPr>
          <w:rFonts w:ascii="Arial" w:cs="Arial" w:eastAsia="Arial" w:hAnsi="Arial"/>
          <w:sz w:val="17"/>
          <w:szCs w:val="17"/>
          <w:color w:val="auto"/>
        </w:rPr>
        <w:t>Without limiting the generality of the foregoing, the Agents are hereby expressly authorized to (i) execute any and all documents (including releases) with respect to the Collateral and the rights of the Secured Parties with respect thereto, as contemplated by and in accordance with the provisions of this Agreement and the Security Documents and (ii) negotiate, enforce or settle any claim, action or proceeding affecting the Lenders in their capacity as such, at the direction of the Required Lenders, which negotiation, enforcement or settlement will be binding upon each Lender. In the event that any obligations (other than the Secured Obligations) are permitted to be incurred hereunder and secured by Liens permitted to be incurred hereunder on all or a portion of the Collateral, each Lender authorizes each Agent to enter into intercreditor agreements, subordination agreements and amendments to the Security Documents to reflect such arrangements on terms acceptable to such Agent.</w:t>
      </w:r>
    </w:p>
    <w:p>
      <w:pPr>
        <w:spacing w:after="0" w:line="135" w:lineRule="exact"/>
        <w:rPr>
          <w:sz w:val="20"/>
          <w:szCs w:val="20"/>
          <w:color w:val="auto"/>
        </w:rPr>
      </w:pPr>
    </w:p>
    <w:p>
      <w:pPr>
        <w:jc w:val="both"/>
        <w:ind w:firstLine="568"/>
        <w:spacing w:after="0" w:line="216" w:lineRule="auto"/>
        <w:rPr>
          <w:sz w:val="20"/>
          <w:szCs w:val="20"/>
          <w:color w:val="auto"/>
        </w:rPr>
      </w:pPr>
      <w:r>
        <w:rPr>
          <w:rFonts w:ascii="Arial" w:cs="Arial" w:eastAsia="Arial" w:hAnsi="Arial"/>
          <w:sz w:val="17"/>
          <w:szCs w:val="17"/>
          <w:color w:val="auto"/>
        </w:rPr>
        <w:t>The institution serving as the Administrative Agent hereunder shall have the same rights and powers in its capacity as a Lender as any other Lender and may exercise the same as though it were not an Agent, and the term “Lender” or “Lenders” shall, unless otherwise expressly indicated or unless the context otherwise requires, include the Person serving as the Agent hereunder in its individual capacity. Such bank and its Affiliates may accept deposits from, lend money to and generally engage in any kind of business with Holdings, the Borrower or any Subsidiary or other Affiliate thereof as if it were not an Agent hereunder.</w:t>
      </w:r>
    </w:p>
    <w:p>
      <w:pPr>
        <w:spacing w:after="0" w:line="138" w:lineRule="exact"/>
        <w:rPr>
          <w:sz w:val="20"/>
          <w:szCs w:val="20"/>
          <w:color w:val="auto"/>
        </w:rPr>
      </w:pPr>
    </w:p>
    <w:p>
      <w:pPr>
        <w:jc w:val="both"/>
        <w:ind w:firstLine="568"/>
        <w:spacing w:after="0" w:line="224" w:lineRule="auto"/>
        <w:rPr>
          <w:sz w:val="20"/>
          <w:szCs w:val="20"/>
          <w:color w:val="auto"/>
        </w:rPr>
      </w:pPr>
      <w:r>
        <w:rPr>
          <w:rFonts w:ascii="Arial" w:cs="Arial" w:eastAsia="Arial" w:hAnsi="Arial"/>
          <w:sz w:val="16"/>
          <w:szCs w:val="16"/>
          <w:color w:val="auto"/>
        </w:rPr>
        <w:t xml:space="preserve">Neither Agent shall have any duties or obligations except those expressly set forth in the Loan Documents. Without limiting the generality of the foregoing, (a) neither Agent shall be subject to any fiduciary or other implied duties, regardless of whether a Default has occurred and is continuing, (b) neither Agent shall have any duty to take any discretionary action or exercise any discretionary powers, except discretionary rights and powers expressly contemplated hereby that such Agent is instructed in writing to exercise by the Required Lenders (or such other number or percentage of the Lenders as shall be necessary under the circumstances as provided in Section 9.02);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neither Agent shall be required to take any action that, in its opinion or the opinion of its counsel, may expose such Agent to liability or that is contrary to any Loan Document or applicable law, and (c) except as expressly set forth in the Loan Documents, neither Agent shall have any duty to disclose, nor shall it be liable for the failure to disclose, any information relating to Holdings, the Borrower or any of the Subsidiaries that is communicated to or obtained by the bank serving as Administrative Agent or any of its Affiliates in any capacity. Neither Agent shall be liable for any action taken or not taken by it with the consent or at the request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160</w:t>
      </w:r>
    </w:p>
    <w:p>
      <w:pPr>
        <w:sectPr>
          <w:pgSz w:w="11900" w:h="16838" w:orient="portrait"/>
          <w:cols w:equalWidth="0" w:num="1">
            <w:col w:w="11260"/>
          </w:cols>
          <w:pgMar w:left="320" w:top="1440" w:right="319" w:bottom="1440" w:gutter="0" w:footer="0" w:header="0"/>
        </w:sectPr>
      </w:pPr>
    </w:p>
    <w:bookmarkStart w:id="334" w:name="page335"/>
    <w:bookmarkEnd w:id="334"/>
    <w:p>
      <w:pPr>
        <w:spacing w:after="0" w:line="390" w:lineRule="exact"/>
        <w:rPr>
          <w:sz w:val="20"/>
          <w:szCs w:val="20"/>
          <w:color w:val="auto"/>
        </w:rPr>
      </w:pPr>
    </w:p>
    <w:p>
      <w:pPr>
        <w:jc w:val="both"/>
        <w:ind w:left="5"/>
        <w:spacing w:after="0" w:line="232" w:lineRule="auto"/>
        <w:rPr>
          <w:sz w:val="20"/>
          <w:szCs w:val="20"/>
          <w:color w:val="auto"/>
        </w:rPr>
      </w:pPr>
      <w:r>
        <w:rPr>
          <w:rFonts w:ascii="Arial" w:cs="Arial" w:eastAsia="Arial" w:hAnsi="Arial"/>
          <w:sz w:val="15"/>
          <w:szCs w:val="15"/>
          <w:color w:val="auto"/>
        </w:rPr>
        <w:t>Required Lenders (or such other number or percentage of the Lenders as shall be necessary under the circumstances as provided in Section 9.02) or in the absence of its own gross negligence or willful misconduct as determined by a court of competent jurisdiction in a final and non-appealable judgment. Neither Agent shall be deemed to have knowledge of any Default unless and until written notice thereof is given to such Agent by Holdings, the Borrower or a Lender and neither Agent shall be responsible for or have any duty to ascertain or inquire into (i) any statement, warranty or representation made in or in connection with any Loan Document, (ii) the contents of any certificate, report or other document delivered thereunder or in connection therewith, (iii) the performance or observance of any of the covenants, agreements or other terms or conditions set forth in any Loan Document, (iv) the validity, enforceability, effectiveness or genuineness of any Loan Document or any other agreement, instrument or document, (v) the creation, perfection or priority of any Lien purported to be created by the Security Documents, (vi) the value or the sufficiency of any Collateral, (vii) the financial condition or business affairs of any Loan Party or any other Person liable for the payment of any Secured Obligations or as to the use of the proceeds of the Loans, (viii) the properties, books or records of any Loan Party,</w:t>
      </w:r>
    </w:p>
    <w:p>
      <w:pPr>
        <w:spacing w:after="0" w:line="5" w:lineRule="exact"/>
        <w:rPr>
          <w:sz w:val="20"/>
          <w:szCs w:val="20"/>
          <w:color w:val="auto"/>
        </w:rPr>
      </w:pPr>
    </w:p>
    <w:p>
      <w:pPr>
        <w:ind w:left="5" w:hanging="5"/>
        <w:spacing w:after="0" w:line="228" w:lineRule="auto"/>
        <w:tabs>
          <w:tab w:leader="none" w:pos="306" w:val="left"/>
        </w:tabs>
        <w:numPr>
          <w:ilvl w:val="0"/>
          <w:numId w:val="252"/>
        </w:numPr>
        <w:rPr>
          <w:rFonts w:ascii="Arial" w:cs="Arial" w:eastAsia="Arial" w:hAnsi="Arial"/>
          <w:sz w:val="17"/>
          <w:szCs w:val="17"/>
          <w:color w:val="auto"/>
        </w:rPr>
      </w:pPr>
      <w:r>
        <w:rPr>
          <w:rFonts w:ascii="Arial" w:cs="Arial" w:eastAsia="Arial" w:hAnsi="Arial"/>
          <w:sz w:val="17"/>
          <w:szCs w:val="17"/>
          <w:color w:val="auto"/>
        </w:rPr>
        <w:t>the existence or possible existence of any Event of Default or Default or (x) the satisfaction of any condition set forth in Article 4 or elsewhere in any Loan Document, other than to confirm receipt of items expressly required to be delivered to such Agent.</w:t>
      </w:r>
    </w:p>
    <w:p>
      <w:pPr>
        <w:spacing w:after="0" w:line="136" w:lineRule="exact"/>
        <w:rPr>
          <w:sz w:val="20"/>
          <w:szCs w:val="20"/>
          <w:color w:val="auto"/>
        </w:rPr>
      </w:pPr>
    </w:p>
    <w:p>
      <w:pPr>
        <w:jc w:val="both"/>
        <w:ind w:left="5" w:firstLine="568"/>
        <w:spacing w:after="0" w:line="224" w:lineRule="auto"/>
        <w:rPr>
          <w:sz w:val="20"/>
          <w:szCs w:val="20"/>
          <w:color w:val="auto"/>
        </w:rPr>
      </w:pPr>
      <w:r>
        <w:rPr>
          <w:rFonts w:ascii="Arial" w:cs="Arial" w:eastAsia="Arial" w:hAnsi="Arial"/>
          <w:sz w:val="16"/>
          <w:szCs w:val="16"/>
          <w:color w:val="auto"/>
        </w:rPr>
        <w:t>Each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Each Agent may also rely upon any statement made to it orally or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or an Issuing Bank, the Administrative Agent may presume that such condition is satisfactory to such Lender or such Issuing Bank unless the Administrative Agent shall have received notice to the contrary from such Lender or such Issuing Bank prior to the making of such Loan or the issuance of such Letter of Credit. Each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36" w:lineRule="exact"/>
        <w:rPr>
          <w:sz w:val="20"/>
          <w:szCs w:val="20"/>
          <w:color w:val="auto"/>
        </w:rPr>
      </w:pPr>
    </w:p>
    <w:p>
      <w:pPr>
        <w:jc w:val="both"/>
        <w:ind w:left="5" w:firstLine="568"/>
        <w:spacing w:after="0" w:line="234" w:lineRule="auto"/>
        <w:rPr>
          <w:sz w:val="20"/>
          <w:szCs w:val="20"/>
          <w:color w:val="auto"/>
        </w:rPr>
      </w:pPr>
      <w:r>
        <w:rPr>
          <w:rFonts w:ascii="Arial" w:cs="Arial" w:eastAsia="Arial" w:hAnsi="Arial"/>
          <w:sz w:val="16"/>
          <w:szCs w:val="16"/>
          <w:color w:val="auto"/>
        </w:rPr>
        <w:t>Each Agent may perform any and all its duties and exercise its rights and powers by or through any one or more sub-agents appointed by it. Each Agent and any such sub-agent may perform any and all its duties and exercise its rights and powers by or through their respective Related Parties. The exculpatory provisions of the preceding paragraphs shall apply to any such sub-agent and to the Related Parties of each Agent and any such sub-agent, and shall apply to their respective activities in connection with the syndication of the credit facilities provided for herein as well as activities as Agent.</w:t>
      </w:r>
    </w:p>
    <w:p>
      <w:pPr>
        <w:spacing w:after="0" w:line="135" w:lineRule="exact"/>
        <w:rPr>
          <w:sz w:val="20"/>
          <w:szCs w:val="20"/>
          <w:color w:val="auto"/>
        </w:rPr>
      </w:pPr>
    </w:p>
    <w:p>
      <w:pPr>
        <w:jc w:val="both"/>
        <w:ind w:left="5" w:firstLine="568"/>
        <w:spacing w:after="0" w:line="214" w:lineRule="auto"/>
        <w:rPr>
          <w:sz w:val="20"/>
          <w:szCs w:val="20"/>
          <w:color w:val="auto"/>
        </w:rPr>
      </w:pPr>
      <w:r>
        <w:rPr>
          <w:rFonts w:ascii="Arial" w:cs="Arial" w:eastAsia="Arial" w:hAnsi="Arial"/>
          <w:sz w:val="17"/>
          <w:szCs w:val="17"/>
          <w:color w:val="auto"/>
        </w:rPr>
        <w:t>The Administrative Agent may resign at any time by giving 30 days’ prior written notice thereof to the Lenders, the Issuing Banks and the Borrower, whether or not a successor Administrative Agent has been appointed. If the Administrative Agent becomes the subject of a bankruptcy or insolvency proceeding, or has had a receiver, conservator, trustee or custodian appointed for it, or has consented to, approved of or acquiesced in any such proceeding or appointment or has a parent company that has become the subject of a bankruptcy or insolvency proceeding, or has had a receiver, conservator, trustee or custodian appointed for it, or has consented to, approved of or acquiesced in any such proceeding or appointment and the Administrative Agent is not performing its role hereunder as Administrative Agent, then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4"/>
        <w:spacing w:after="0"/>
        <w:rPr>
          <w:sz w:val="20"/>
          <w:szCs w:val="20"/>
          <w:color w:val="auto"/>
        </w:rPr>
      </w:pPr>
      <w:r>
        <w:rPr>
          <w:rFonts w:ascii="Arial" w:cs="Arial" w:eastAsia="Arial" w:hAnsi="Arial"/>
          <w:sz w:val="17"/>
          <w:szCs w:val="17"/>
          <w:color w:val="auto"/>
        </w:rPr>
        <w:t>161</w:t>
      </w:r>
    </w:p>
    <w:p>
      <w:pPr>
        <w:sectPr>
          <w:pgSz w:w="11900" w:h="16838" w:orient="portrait"/>
          <w:cols w:equalWidth="0" w:num="1">
            <w:col w:w="11265"/>
          </w:cols>
          <w:pgMar w:left="315" w:top="1440" w:right="319" w:bottom="1440" w:gutter="0" w:footer="0" w:header="0"/>
        </w:sectPr>
      </w:pPr>
    </w:p>
    <w:bookmarkStart w:id="335" w:name="page336"/>
    <w:bookmarkEnd w:id="335"/>
    <w:p>
      <w:pPr>
        <w:spacing w:after="0" w:line="390" w:lineRule="exact"/>
        <w:rPr>
          <w:sz w:val="20"/>
          <w:szCs w:val="20"/>
          <w:color w:val="auto"/>
        </w:rPr>
      </w:pPr>
    </w:p>
    <w:p>
      <w:pPr>
        <w:jc w:val="both"/>
        <w:spacing w:after="0" w:line="222" w:lineRule="auto"/>
        <w:rPr>
          <w:sz w:val="20"/>
          <w:szCs w:val="20"/>
          <w:color w:val="auto"/>
        </w:rPr>
      </w:pPr>
      <w:r>
        <w:rPr>
          <w:rFonts w:ascii="Arial" w:cs="Arial" w:eastAsia="Arial" w:hAnsi="Arial"/>
          <w:sz w:val="16"/>
          <w:szCs w:val="16"/>
          <w:color w:val="auto"/>
        </w:rPr>
        <w:t>may be removed as the Administrative Agent hereunder at the request of the Borrower and the Required Lenders. Upon receipt of any such notice of resignation or upon such removal, the Required Lenders shall have the right to appoint a successor Administrative Agent. If no successor Administrative Agent shall have been so appointed by the Required Lenders, and shall have accepted such appointment, within 30 days after the retiring Administrative Agent’s giving of notice of resignation, then the retiring Administrative Agent may, on behalf of the Lenders and the Issuing Banks, appoint a successor Administrative Agent, which shall be a bank with an office in New York, New York or an Affiliate of any such bank. In either case, such appointment shall be subject to the prior written approval of the Borrower (which approval may not be unreasonably withheld or delayed)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consent of the Borrower shall be required if an Event of Default under Section 7.01(a), (b), (h) or (i) has occurred and is continuing). Upon the acceptance of any appointment as Administrative Agent by a successor Administrative Agent, such successor Administrative Agent shall succeed to, and become vested with, all the rights, powers, privileges and duties of the retiring Administrative Agent. Upon the acceptance of appointment as Administrative Agent by a successor Administrative Agent, the retiring Administrative Agent shall be discharged from its duties and obligations under this Agreement and the other Loan Documents. Prior to any retiring Administrative Agent’s resignation hereunder as Administrative Agent, the retiring Administrative Agent shall take such action as may be reasonably necessary to assign to the successor Administrative Agent its rights as Administrative Agent under the Loan Documents.</w:t>
      </w:r>
    </w:p>
    <w:p>
      <w:pPr>
        <w:spacing w:after="0" w:line="136" w:lineRule="exact"/>
        <w:rPr>
          <w:sz w:val="20"/>
          <w:szCs w:val="20"/>
          <w:color w:val="auto"/>
        </w:rPr>
      </w:pPr>
    </w:p>
    <w:p>
      <w:pPr>
        <w:jc w:val="both"/>
        <w:ind w:firstLine="568"/>
        <w:spacing w:after="0" w:line="220" w:lineRule="auto"/>
        <w:rPr>
          <w:sz w:val="20"/>
          <w:szCs w:val="20"/>
          <w:color w:val="auto"/>
        </w:rPr>
      </w:pPr>
      <w:r>
        <w:rPr>
          <w:rFonts w:ascii="Arial" w:cs="Arial" w:eastAsia="Arial" w:hAnsi="Arial"/>
          <w:sz w:val="16"/>
          <w:szCs w:val="16"/>
          <w:color w:val="auto"/>
        </w:rPr>
        <w:t xml:space="preserve">Notwithstanding the preceding paragraph of this Section, in the event no successor Administrative Agent shall have been so appointed and shall have accepted such appointment within 30 days after the retiring Administrative Agent gives notice of its intent to resign, the retiring Administrative Agent may give notice of the effectiveness of its resignation to the Lenders, the Issuing Banks and the Borrower, whereupon, on the date of effectiveness of such resignation stated in such notice, (i) the retiring Administrative Agent shall be discharged from its duties and obligations hereunder and under the other Loan Documents;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solely for purposes of maintaining any security interest granted to the Administrative Agent under any Security Document for the benefit of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Secured Parties, the retiring Administrative Agent shall continue to be vested with such security interest as collateral agent for the benefit of the Secured Parties, and continue to be entitled to the rights set forth in such Security Document and Loan Document, and, in the case of any Collateral in the possession of the Administrative Agent, shall continue to hold such Collateral, in each case until such time as a successor Administrative Agent is appointed and accepts such appointment in accordance with this Section (it being understood and agreed that the retiring Administrative Agent shall have no duty or obligation to take any further action under any Security Document, including any action required to maintain the perfection of any such security interest), and (ii) the Required Lenders shall succeed to and become vested with all the rights, powers, privileges and duties of the retiring Administrative Agent;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all payments required to be made hereunder or under any other Loan Document to the Administrative Agent for the account of any Person other than the Administrative Agent shall be made directly to such Person and (B) all notices and other communications required or contemplated to be given or made to the Administrative Agent shall directly be given or made to each Lender and each Issuing Bank. Following the effectiveness of the Administrative Agent’s resignation from its capacity as such, the provisions of this Article and Section 8.01, as well as any exculpatory, reimbursement and indemnification provisions set forth in any other Loan Document, shall continue in effect for the benefit of such retiring Administrative Agent, its sub-agents and their respective Related Parties in respect of any actions taken or omitted to be taken by any of them while the retiring Administrative Agent was acting as Administrative Agent and in respect of the matters referred to in the proviso in clause (i)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162</w:t>
      </w:r>
    </w:p>
    <w:p>
      <w:pPr>
        <w:sectPr>
          <w:pgSz w:w="11900" w:h="16838" w:orient="portrait"/>
          <w:cols w:equalWidth="0" w:num="1">
            <w:col w:w="11260"/>
          </w:cols>
          <w:pgMar w:left="320" w:top="1440" w:right="319" w:bottom="1440" w:gutter="0" w:footer="0" w:header="0"/>
        </w:sectPr>
      </w:pPr>
    </w:p>
    <w:bookmarkStart w:id="336" w:name="page337"/>
    <w:bookmarkEnd w:id="336"/>
    <w:p>
      <w:pPr>
        <w:spacing w:after="0" w:line="390" w:lineRule="exact"/>
        <w:rPr>
          <w:sz w:val="20"/>
          <w:szCs w:val="20"/>
          <w:color w:val="auto"/>
        </w:rPr>
      </w:pPr>
    </w:p>
    <w:p>
      <w:pPr>
        <w:jc w:val="both"/>
        <w:ind w:firstLine="568"/>
        <w:spacing w:after="0" w:line="220" w:lineRule="auto"/>
        <w:rPr>
          <w:sz w:val="20"/>
          <w:szCs w:val="20"/>
          <w:color w:val="auto"/>
        </w:rPr>
      </w:pPr>
      <w:r>
        <w:rPr>
          <w:rFonts w:ascii="Arial" w:cs="Arial" w:eastAsia="Arial" w:hAnsi="Arial"/>
          <w:sz w:val="16"/>
          <w:szCs w:val="16"/>
          <w:color w:val="auto"/>
        </w:rPr>
        <w:t>Each Lender and each Issuing Bank represents and warrants that (i) the Loan Documents set forth the terms of a commercial lending facility, (ii) it is engaged in making, acquiring or holding commercial loans and in providing other facilities set forth herein as may be applicable to such Lender or Issuing Bank, in each case in the ordinary course of business, and not for the purpose of purchasing, acquiring or holding any other type of financial instrument (and each Lender and each Issuing Bank agrees not to assert a claim in contravention of the foregoing), (iii) it has, independently and without reliance upon the Administrative Agent, any Arranger or any other Lender or Issuing Bank, or any of the Related Parties of any of the foregoing, and based on such documents and information as it has deemed appropriate, made its own credit analysis and decision to enter into this Agreement as a Lender, and to make, acquire or hold Loans hereunder and (iv) it is sophisticated with respect to decisions to make, acquire and/or hold commercial loans and to provide other facilities set forth herein, as may be applicable to such Lender or such Issuing Bank, and either it, or the Person exercising discretion in making its decision to make, acquire and/or hold such commercial loans or to provide such other facilities, is experienced in making, acquiring or holding such commercial loans or providing such other facilities. Each Lender and each Issuing Bank also acknowledges that it will, independently and without reliance upon the Administrative Agent, any Arranger or any other Lender or Issuing Bank, or any of the Related Parties of any of the foregoing, and based on such documents and information (which may contain material, non-public information within the meaning of the United States securities laws concerning the Borrower and its Affiliates) as it shall from time to time deem appropriate, continue to make its own decisions in taking or not taking action under or based upon this Agreement, any other Loan Document or any related agreement or any document furnished hereunder or thereunder. Neither Agent shall have any duty or responsibility, either initially or on a continuing basis, to make any investigation or any appraisal on behalf of Lenders or any Issuing Bank or to provide any Lender with any credit or other information with respect thereto, whether coming into its possession before the making of the Loans or at any time or times thereafter, and neither Agent shall have any responsibility with respect to the accuracy or completeness of any information provided to Lenders.</w:t>
      </w:r>
    </w:p>
    <w:p>
      <w:pPr>
        <w:spacing w:after="0" w:line="140" w:lineRule="exact"/>
        <w:rPr>
          <w:sz w:val="20"/>
          <w:szCs w:val="20"/>
          <w:color w:val="auto"/>
        </w:rPr>
      </w:pPr>
    </w:p>
    <w:p>
      <w:pPr>
        <w:jc w:val="both"/>
        <w:ind w:firstLine="568"/>
        <w:spacing w:after="0" w:line="222" w:lineRule="auto"/>
        <w:rPr>
          <w:sz w:val="20"/>
          <w:szCs w:val="20"/>
          <w:color w:val="auto"/>
        </w:rPr>
      </w:pPr>
      <w:r>
        <w:rPr>
          <w:rFonts w:ascii="Arial" w:cs="Arial" w:eastAsia="Arial" w:hAnsi="Arial"/>
          <w:sz w:val="16"/>
          <w:szCs w:val="16"/>
          <w:color w:val="auto"/>
        </w:rPr>
        <w:t>Each Lender hereby agrees that (x)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w:t>
      </w:r>
      <w:r>
        <w:rPr>
          <w:rFonts w:ascii="Arial" w:cs="Arial" w:eastAsia="Arial" w:hAnsi="Arial"/>
          <w:sz w:val="16"/>
          <w:szCs w:val="16"/>
          <w:b w:val="1"/>
          <w:bCs w:val="1"/>
          <w:color w:val="auto"/>
        </w:rPr>
        <w:t>Payment</w:t>
      </w:r>
      <w:r>
        <w:rPr>
          <w:rFonts w:ascii="Arial" w:cs="Arial" w:eastAsia="Arial" w:hAnsi="Arial"/>
          <w:sz w:val="16"/>
          <w:szCs w:val="16"/>
          <w:color w:val="auto"/>
        </w:rPr>
        <w:t>”) were erroneously transmitted to such Lender (whether or not known to such Lender), and demands the return of such Payment (or a portion thereof), such Lender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Section 8.01 shall be conclusive, absent manifest error.</w:t>
      </w:r>
    </w:p>
    <w:p>
      <w:pPr>
        <w:spacing w:after="0" w:line="141" w:lineRule="exact"/>
        <w:rPr>
          <w:sz w:val="20"/>
          <w:szCs w:val="20"/>
          <w:color w:val="auto"/>
        </w:rPr>
      </w:pPr>
    </w:p>
    <w:p>
      <w:pPr>
        <w:jc w:val="both"/>
        <w:ind w:right="20" w:firstLine="568"/>
        <w:spacing w:after="0" w:line="237" w:lineRule="auto"/>
        <w:rPr>
          <w:sz w:val="20"/>
          <w:szCs w:val="20"/>
          <w:color w:val="auto"/>
        </w:rPr>
      </w:pPr>
      <w:r>
        <w:rPr>
          <w:rFonts w:ascii="Arial" w:cs="Arial" w:eastAsia="Arial" w:hAnsi="Arial"/>
          <w:sz w:val="17"/>
          <w:szCs w:val="17"/>
          <w:color w:val="auto"/>
        </w:rPr>
        <w:t>Each Lender hereby further agrees that if it receives a Payment from the Administrative Agent or any of its Affiliates (x) that is in a different amount than, or on a different date from, that specified in a notice of payment sent by the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163</w:t>
      </w:r>
    </w:p>
    <w:p>
      <w:pPr>
        <w:sectPr>
          <w:pgSz w:w="11900" w:h="16838" w:orient="portrait"/>
          <w:cols w:equalWidth="0" w:num="1">
            <w:col w:w="11260"/>
          </w:cols>
          <w:pgMar w:left="320" w:top="1440" w:right="319" w:bottom="1440" w:gutter="0" w:footer="0" w:header="0"/>
        </w:sectPr>
      </w:pPr>
    </w:p>
    <w:bookmarkStart w:id="337" w:name="page338"/>
    <w:bookmarkEnd w:id="337"/>
    <w:p>
      <w:pPr>
        <w:spacing w:after="0" w:line="384" w:lineRule="exact"/>
        <w:rPr>
          <w:sz w:val="20"/>
          <w:szCs w:val="20"/>
          <w:color w:val="auto"/>
        </w:rPr>
      </w:pPr>
    </w:p>
    <w:p>
      <w:pPr>
        <w:jc w:val="both"/>
        <w:spacing w:after="0" w:line="212" w:lineRule="auto"/>
        <w:rPr>
          <w:sz w:val="20"/>
          <w:szCs w:val="20"/>
          <w:color w:val="auto"/>
        </w:rPr>
      </w:pPr>
      <w:r>
        <w:rPr>
          <w:rFonts w:ascii="Arial" w:cs="Arial" w:eastAsia="Arial" w:hAnsi="Arial"/>
          <w:sz w:val="17"/>
          <w:szCs w:val="17"/>
          <w:color w:val="auto"/>
        </w:rPr>
        <w:t>Agent (or any of its Affiliates) with respect to such Payment (a “</w:t>
      </w:r>
      <w:r>
        <w:rPr>
          <w:rFonts w:ascii="Arial" w:cs="Arial" w:eastAsia="Arial" w:hAnsi="Arial"/>
          <w:sz w:val="17"/>
          <w:szCs w:val="17"/>
          <w:b w:val="1"/>
          <w:bCs w:val="1"/>
          <w:color w:val="auto"/>
        </w:rPr>
        <w:t>Payment Notice</w:t>
      </w:r>
      <w:r>
        <w:rPr>
          <w:rFonts w:ascii="Arial" w:cs="Arial" w:eastAsia="Arial" w:hAnsi="Arial"/>
          <w:sz w:val="17"/>
          <w:szCs w:val="17"/>
          <w:color w:val="auto"/>
        </w:rPr>
        <w:t>”)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w:t>
      </w:r>
    </w:p>
    <w:p>
      <w:pPr>
        <w:spacing w:after="0" w:line="140" w:lineRule="exact"/>
        <w:rPr>
          <w:sz w:val="20"/>
          <w:szCs w:val="20"/>
          <w:color w:val="auto"/>
        </w:rPr>
      </w:pPr>
    </w:p>
    <w:p>
      <w:pPr>
        <w:jc w:val="both"/>
        <w:ind w:firstLine="568"/>
        <w:spacing w:after="0" w:line="230" w:lineRule="auto"/>
        <w:rPr>
          <w:sz w:val="20"/>
          <w:szCs w:val="20"/>
          <w:color w:val="auto"/>
        </w:rPr>
      </w:pPr>
      <w:r>
        <w:rPr>
          <w:rFonts w:ascii="Arial" w:cs="Arial" w:eastAsia="Arial" w:hAnsi="Arial"/>
          <w:sz w:val="16"/>
          <w:szCs w:val="16"/>
          <w:color w:val="auto"/>
        </w:rPr>
        <w:t>The Borrower and each other Loan Party hereby agrees that (x) in the event an erroneous Payment (or portion thereof) are not recovered from any Lender that has received such Payment (or portion thereof) for any reason, the Administrative Agent shall be subrogated to all the rights of such Lender with respect to such amount and (y) an erroneous Payment shall not pay, prepay, repay, discharge or otherwise satisfy any Secured Obligations owed by the Borrower or any other Loan Party except, in each case, to the extent such Payment is, and solely with respect to the amount of such Payment that is, comprised of funds received by the Administrative Agent from the Borrower or any other Loan Party for the purpose of making such Payment.</w:t>
      </w:r>
    </w:p>
    <w:p>
      <w:pPr>
        <w:spacing w:after="0" w:line="137" w:lineRule="exact"/>
        <w:rPr>
          <w:sz w:val="20"/>
          <w:szCs w:val="20"/>
          <w:color w:val="auto"/>
        </w:rPr>
      </w:pPr>
    </w:p>
    <w:p>
      <w:pPr>
        <w:jc w:val="both"/>
        <w:ind w:right="20" w:firstLine="568"/>
        <w:spacing w:after="0" w:line="225" w:lineRule="auto"/>
        <w:rPr>
          <w:sz w:val="20"/>
          <w:szCs w:val="20"/>
          <w:color w:val="auto"/>
        </w:rPr>
      </w:pPr>
      <w:r>
        <w:rPr>
          <w:rFonts w:ascii="Arial" w:cs="Arial" w:eastAsia="Arial" w:hAnsi="Arial"/>
          <w:sz w:val="17"/>
          <w:szCs w:val="17"/>
          <w:color w:val="auto"/>
        </w:rPr>
        <w:t>Each party’s obligations under this Section 8.01 shall survive the resignation or replacement of the Administrative Agent or any transfer of rights or obligations by, or the replacement of, a Lender, the termination of the Commitments or the repayment, satisfaction or discharge of all Secured Obligations under any Loan Document.</w:t>
      </w:r>
    </w:p>
    <w:p>
      <w:pPr>
        <w:spacing w:after="0" w:line="137" w:lineRule="exact"/>
        <w:rPr>
          <w:sz w:val="20"/>
          <w:szCs w:val="20"/>
          <w:color w:val="auto"/>
        </w:rPr>
      </w:pPr>
    </w:p>
    <w:p>
      <w:pPr>
        <w:jc w:val="both"/>
        <w:ind w:firstLine="568"/>
        <w:spacing w:after="0" w:line="220" w:lineRule="auto"/>
        <w:rPr>
          <w:sz w:val="20"/>
          <w:szCs w:val="20"/>
          <w:color w:val="auto"/>
        </w:rPr>
      </w:pPr>
      <w:r>
        <w:rPr>
          <w:rFonts w:ascii="Arial" w:cs="Arial" w:eastAsia="Arial" w:hAnsi="Arial"/>
          <w:sz w:val="17"/>
          <w:szCs w:val="17"/>
          <w:color w:val="auto"/>
        </w:rPr>
        <w:t>In case of the pendency of any proceeding under any Debtor Relief Law or any other judicial proceeding relative to any Loan Party, the Administrative Agent (irrespective of whether the principal of any Loan or outstanding Letter of Credit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136" w:lineRule="exact"/>
        <w:rPr>
          <w:sz w:val="20"/>
          <w:szCs w:val="20"/>
          <w:color w:val="auto"/>
        </w:rPr>
      </w:pPr>
    </w:p>
    <w:p>
      <w:pPr>
        <w:jc w:val="both"/>
        <w:ind w:right="20" w:firstLine="563"/>
        <w:spacing w:after="0" w:line="252" w:lineRule="auto"/>
        <w:tabs>
          <w:tab w:leader="none" w:pos="953" w:val="left"/>
        </w:tabs>
        <w:numPr>
          <w:ilvl w:val="0"/>
          <w:numId w:val="253"/>
        </w:numPr>
        <w:rPr>
          <w:rFonts w:ascii="Arial" w:cs="Arial" w:eastAsia="Arial" w:hAnsi="Arial"/>
          <w:sz w:val="15"/>
          <w:szCs w:val="15"/>
          <w:color w:val="auto"/>
        </w:rPr>
      </w:pPr>
      <w:r>
        <w:rPr>
          <w:rFonts w:ascii="Arial" w:cs="Arial" w:eastAsia="Arial" w:hAnsi="Arial"/>
          <w:sz w:val="15"/>
          <w:szCs w:val="15"/>
          <w:color w:val="auto"/>
        </w:rPr>
        <w:t>to file and prove a claim for the whole amount of the principal and interest owing and unpaid in respect of the Loans, outstanding Letters of Credit and all other Secured Obligations that are owing and unpaid and to file such other documents as may be necessary or advisable in order to have the claims of the Lenders and the Agents (including any claim for the reasonable compensation, expenses, disbursements and advances of the Lenders and the Agents and their respective agents and counsel and all other amounts due the Lenders and the Agents under Sections 2.12 and 9.03) allowed in such judicial proceeding; and</w:t>
      </w:r>
    </w:p>
    <w:p>
      <w:pPr>
        <w:spacing w:after="0" w:line="127" w:lineRule="exact"/>
        <w:rPr>
          <w:rFonts w:ascii="Arial" w:cs="Arial" w:eastAsia="Arial" w:hAnsi="Arial"/>
          <w:sz w:val="15"/>
          <w:szCs w:val="15"/>
          <w:color w:val="auto"/>
        </w:rPr>
      </w:pPr>
    </w:p>
    <w:p>
      <w:pPr>
        <w:ind w:left="940" w:hanging="377"/>
        <w:spacing w:after="0"/>
        <w:tabs>
          <w:tab w:leader="none" w:pos="940" w:val="left"/>
        </w:tabs>
        <w:numPr>
          <w:ilvl w:val="0"/>
          <w:numId w:val="253"/>
        </w:numPr>
        <w:rPr>
          <w:rFonts w:ascii="Arial" w:cs="Arial" w:eastAsia="Arial" w:hAnsi="Arial"/>
          <w:sz w:val="17"/>
          <w:szCs w:val="17"/>
          <w:color w:val="auto"/>
        </w:rPr>
      </w:pPr>
      <w:r>
        <w:rPr>
          <w:rFonts w:ascii="Arial" w:cs="Arial" w:eastAsia="Arial" w:hAnsi="Arial"/>
          <w:sz w:val="17"/>
          <w:szCs w:val="17"/>
          <w:color w:val="auto"/>
        </w:rPr>
        <w:t>to collect and receive any monies or other property payable or deliverable on any such claims and to distribute the same;</w:t>
      </w:r>
    </w:p>
    <w:p>
      <w:pPr>
        <w:spacing w:after="0" w:line="160" w:lineRule="exact"/>
        <w:rPr>
          <w:sz w:val="20"/>
          <w:szCs w:val="20"/>
          <w:color w:val="auto"/>
        </w:rPr>
      </w:pPr>
    </w:p>
    <w:p>
      <w:pPr>
        <w:jc w:val="both"/>
        <w:ind w:firstLine="568"/>
        <w:spacing w:after="0" w:line="220" w:lineRule="auto"/>
        <w:rPr>
          <w:sz w:val="20"/>
          <w:szCs w:val="20"/>
          <w:color w:val="auto"/>
        </w:rPr>
      </w:pPr>
      <w:r>
        <w:rPr>
          <w:rFonts w:ascii="Arial" w:cs="Arial" w:eastAsia="Arial" w:hAnsi="Arial"/>
          <w:sz w:val="17"/>
          <w:szCs w:val="17"/>
          <w:color w:val="auto"/>
        </w:rPr>
        <w:t>and any custodian, receiver, assignee, trustee, liquidator, sequestrator or other similar official in any such judicial proceeding is hereby authorized by each Lender to make such payments to the Administrative Agent and, if the Administrative Agent shall consent to the making of such payments directly to the Lenders to pay to each Agent any amount due for the reasonable compensation, expenses, disbursements and advances of such Agent and its agents and counsel, and any other amounts due such Agent under Sections 2.12 and 9.03.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164</w:t>
      </w:r>
    </w:p>
    <w:p>
      <w:pPr>
        <w:sectPr>
          <w:pgSz w:w="11900" w:h="16838" w:orient="portrait"/>
          <w:cols w:equalWidth="0" w:num="1">
            <w:col w:w="11260"/>
          </w:cols>
          <w:pgMar w:left="320" w:top="1440" w:right="319" w:bottom="1440" w:gutter="0" w:footer="0" w:header="0"/>
        </w:sectPr>
      </w:pPr>
    </w:p>
    <w:bookmarkStart w:id="338" w:name="page339"/>
    <w:bookmarkEnd w:id="338"/>
    <w:p>
      <w:pPr>
        <w:spacing w:after="0" w:line="389" w:lineRule="exact"/>
        <w:rPr>
          <w:sz w:val="20"/>
          <w:szCs w:val="20"/>
          <w:color w:val="auto"/>
        </w:rPr>
      </w:pPr>
    </w:p>
    <w:p>
      <w:pPr>
        <w:jc w:val="both"/>
        <w:ind w:firstLine="568"/>
        <w:spacing w:after="0" w:line="225" w:lineRule="auto"/>
        <w:rPr>
          <w:sz w:val="20"/>
          <w:szCs w:val="20"/>
          <w:color w:val="auto"/>
        </w:rPr>
      </w:pPr>
      <w:r>
        <w:rPr>
          <w:rFonts w:ascii="Arial" w:cs="Arial" w:eastAsia="Arial" w:hAnsi="Arial"/>
          <w:sz w:val="17"/>
          <w:szCs w:val="17"/>
          <w:color w:val="auto"/>
        </w:rPr>
        <w:t>Nothing contained herein shall be deemed to authorize the Administrative Agent to authorize or consent to or accept or adopt on behalf of any Lender any plan of reorganization, arrangement, adjustment or composition affecting the Secured Obligations or the rights of any Lender to authorize the Administrative Agent to vote in respect of the claim of any Lender in any such proceeding.</w:t>
      </w:r>
    </w:p>
    <w:p>
      <w:pPr>
        <w:spacing w:after="0" w:line="137" w:lineRule="exact"/>
        <w:rPr>
          <w:sz w:val="20"/>
          <w:szCs w:val="20"/>
          <w:color w:val="auto"/>
        </w:rPr>
      </w:pPr>
    </w:p>
    <w:p>
      <w:pPr>
        <w:jc w:val="both"/>
        <w:ind w:firstLine="568"/>
        <w:spacing w:after="0" w:line="221" w:lineRule="auto"/>
        <w:rPr>
          <w:sz w:val="20"/>
          <w:szCs w:val="20"/>
          <w:color w:val="auto"/>
        </w:rPr>
      </w:pPr>
      <w:r>
        <w:rPr>
          <w:rFonts w:ascii="Arial" w:cs="Arial" w:eastAsia="Arial" w:hAnsi="Arial"/>
          <w:sz w:val="16"/>
          <w:szCs w:val="16"/>
          <w:color w:val="auto"/>
        </w:rPr>
        <w:t>To the extent required by any applicable law, the Administrative Agent may deduct or withhold from any payment to any Lender an amount equivalent to any applicable withholding Tax. If the Internal Revenue Service or any other authority of the United States or other jurisdiction asserts a claim that the Administrative Agent did not properly withhold Tax from amounts paid to or for the account of any Lender for any reason (including, without limitation, because the appropriate form was not delivered or not property executed, or because such Lender failed to notify the Administrative Agent of a change in circumstance that rendered the exemption from, or reduction of withholding Tax ineffective, or for any other reason), such Lender shall indemnify and hold harmless the Administrative Agent (to the extent that the Administrative Agent has not already been reimbursed by the Borrower pursuant to Section 2.15 and without limiting any obligation of the Borrower to do so pursuant to such Section) fully for all amounts paid, directly or indirectly, by the Administrative Agent as Taxes or otherwise, together with all expenses incurred, including legal expenses and any other out-of-pocket expenses, whether or not such Tax was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Loan Document against any amount due to the Administrative Agent under this Article 8. The agreements in this Article 8 shall survive the resignation and/or replacement of the Administrative Agent, any assignment of rights by, or the replacement of, a Lender, the termination of this Agreement and the repayment, satisfaction or discharge of all other obligations.</w:t>
      </w:r>
    </w:p>
    <w:p>
      <w:pPr>
        <w:spacing w:after="0" w:line="142" w:lineRule="exact"/>
        <w:rPr>
          <w:sz w:val="20"/>
          <w:szCs w:val="20"/>
          <w:color w:val="auto"/>
        </w:rPr>
      </w:pPr>
    </w:p>
    <w:p>
      <w:pPr>
        <w:jc w:val="both"/>
        <w:ind w:firstLine="568"/>
        <w:spacing w:after="0" w:line="230" w:lineRule="auto"/>
        <w:rPr>
          <w:sz w:val="20"/>
          <w:szCs w:val="20"/>
          <w:color w:val="auto"/>
        </w:rPr>
      </w:pPr>
      <w:r>
        <w:rPr>
          <w:rFonts w:ascii="Arial" w:cs="Arial" w:eastAsia="Arial" w:hAnsi="Arial"/>
          <w:sz w:val="16"/>
          <w:szCs w:val="16"/>
          <w:color w:val="auto"/>
        </w:rPr>
        <w:t>Notwithstanding any other provision of this Agreement or any provision of any other Loan Document, each Lead Arranger is named as such for recognition purposes only, and in its capacity as such shall have no duties, responsibilities or liabilities with respect to this Agreement or any other Loan Document; it being understood and agreed that the Lead Arrangers shall be entitled to all indemnification and reimbursement rights in favor of the Agents provided herein and in the other Loan Documents. Without limitation of the foregoing, the Lead Arrangers in their respective capacities as such shall not, by reason of this Agreement or any other Loan Document, have any fiduciary relationship in respect of any Lender, any Loan Party or any other Person.</w:t>
      </w:r>
    </w:p>
    <w:p>
      <w:pPr>
        <w:spacing w:after="0" w:line="13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term “Lender” in this Section 8.01 shall include any Issuing Bank and the Swingline Lender.</w:t>
      </w:r>
    </w:p>
    <w:p>
      <w:pPr>
        <w:spacing w:after="0" w:line="160" w:lineRule="exact"/>
        <w:rPr>
          <w:sz w:val="20"/>
          <w:szCs w:val="20"/>
          <w:color w:val="auto"/>
        </w:rPr>
      </w:pPr>
    </w:p>
    <w:p>
      <w:pPr>
        <w:ind w:left="560"/>
        <w:spacing w:after="0"/>
        <w:tabs>
          <w:tab w:leader="none" w:pos="1680" w:val="left"/>
        </w:tabs>
        <w:rPr>
          <w:sz w:val="20"/>
          <w:szCs w:val="20"/>
          <w:color w:val="auto"/>
        </w:rPr>
      </w:pPr>
      <w:r>
        <w:rPr>
          <w:rFonts w:ascii="Arial" w:cs="Arial" w:eastAsia="Arial" w:hAnsi="Arial"/>
          <w:sz w:val="17"/>
          <w:szCs w:val="17"/>
          <w:color w:val="auto"/>
        </w:rPr>
        <w:t>Section 1.02.</w:t>
      </w:r>
      <w:r>
        <w:rPr>
          <w:sz w:val="20"/>
          <w:szCs w:val="20"/>
          <w:color w:val="auto"/>
        </w:rPr>
        <w:tab/>
      </w:r>
      <w:r>
        <w:rPr>
          <w:rFonts w:ascii="Arial" w:cs="Arial" w:eastAsia="Arial" w:hAnsi="Arial"/>
          <w:sz w:val="15"/>
          <w:szCs w:val="15"/>
          <w:i w:val="1"/>
          <w:iCs w:val="1"/>
          <w:color w:val="auto"/>
        </w:rPr>
        <w:t>Certain ERISA Matters</w:t>
      </w:r>
      <w:r>
        <w:rPr>
          <w:rFonts w:ascii="Arial" w:cs="Arial" w:eastAsia="Arial" w:hAnsi="Arial"/>
          <w:sz w:val="15"/>
          <w:szCs w:val="15"/>
          <w:color w:val="auto"/>
        </w:rPr>
        <w:t>.</w:t>
      </w:r>
    </w:p>
    <w:p>
      <w:pPr>
        <w:spacing w:after="0" w:line="160" w:lineRule="exact"/>
        <w:rPr>
          <w:sz w:val="20"/>
          <w:szCs w:val="20"/>
          <w:color w:val="auto"/>
        </w:rPr>
      </w:pPr>
    </w:p>
    <w:p>
      <w:pPr>
        <w:jc w:val="both"/>
        <w:ind w:firstLine="563"/>
        <w:spacing w:after="0" w:line="220" w:lineRule="auto"/>
        <w:tabs>
          <w:tab w:leader="none" w:pos="1128" w:val="left"/>
        </w:tabs>
        <w:numPr>
          <w:ilvl w:val="0"/>
          <w:numId w:val="254"/>
        </w:numPr>
        <w:rPr>
          <w:rFonts w:ascii="Arial" w:cs="Arial" w:eastAsia="Arial" w:hAnsi="Arial"/>
          <w:sz w:val="17"/>
          <w:szCs w:val="17"/>
          <w:color w:val="auto"/>
        </w:rPr>
      </w:pPr>
      <w:r>
        <w:rPr>
          <w:rFonts w:ascii="Arial" w:cs="Arial" w:eastAsia="Arial" w:hAnsi="Arial"/>
          <w:sz w:val="17"/>
          <w:szCs w:val="17"/>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each Arranger and their respective Affiliates, and not, for the avoidance of doubt, to or for the benefit of the Borrower or any other Loan Party, that at least one of the following is and will be true:</w:t>
      </w:r>
    </w:p>
    <w:p>
      <w:pPr>
        <w:spacing w:after="0" w:line="131" w:lineRule="exact"/>
        <w:rPr>
          <w:rFonts w:ascii="Arial" w:cs="Arial" w:eastAsia="Arial" w:hAnsi="Arial"/>
          <w:sz w:val="17"/>
          <w:szCs w:val="17"/>
          <w:color w:val="auto"/>
        </w:rPr>
      </w:pPr>
    </w:p>
    <w:p>
      <w:pPr>
        <w:ind w:left="1700" w:hanging="569"/>
        <w:spacing w:after="0"/>
        <w:tabs>
          <w:tab w:leader="none" w:pos="1700" w:val="left"/>
        </w:tabs>
        <w:numPr>
          <w:ilvl w:val="1"/>
          <w:numId w:val="254"/>
        </w:numPr>
        <w:rPr>
          <w:rFonts w:ascii="Arial" w:cs="Arial" w:eastAsia="Arial" w:hAnsi="Arial"/>
          <w:sz w:val="16"/>
          <w:szCs w:val="16"/>
          <w:color w:val="auto"/>
        </w:rPr>
      </w:pPr>
      <w:r>
        <w:rPr>
          <w:rFonts w:ascii="Arial" w:cs="Arial" w:eastAsia="Arial" w:hAnsi="Arial"/>
          <w:sz w:val="16"/>
          <w:szCs w:val="16"/>
          <w:color w:val="auto"/>
        </w:rPr>
        <w:t>such Lender is not using “plan assets” (within the meaning of Section 3(42) of ERISA or otherwise) of one or more Benefit Plans with</w:t>
      </w:r>
    </w:p>
    <w:p>
      <w:pPr>
        <w:ind w:left="340"/>
        <w:spacing w:after="0"/>
        <w:rPr>
          <w:rFonts w:ascii="Arial" w:cs="Arial" w:eastAsia="Arial" w:hAnsi="Arial"/>
          <w:sz w:val="16"/>
          <w:szCs w:val="16"/>
          <w:color w:val="auto"/>
        </w:rPr>
      </w:pPr>
      <w:r>
        <w:rPr>
          <w:rFonts w:ascii="Arial" w:cs="Arial" w:eastAsia="Arial" w:hAnsi="Arial"/>
          <w:sz w:val="17"/>
          <w:szCs w:val="17"/>
          <w:color w:val="auto"/>
        </w:rPr>
        <w:t>respect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165</w:t>
      </w:r>
    </w:p>
    <w:p>
      <w:pPr>
        <w:sectPr>
          <w:pgSz w:w="11900" w:h="16838" w:orient="portrait"/>
          <w:cols w:equalWidth="0" w:num="1">
            <w:col w:w="11260"/>
          </w:cols>
          <w:pgMar w:left="320" w:top="1440" w:right="319" w:bottom="1440" w:gutter="0" w:footer="0" w:header="0"/>
        </w:sectPr>
      </w:pPr>
    </w:p>
    <w:bookmarkStart w:id="339" w:name="page340"/>
    <w:bookmarkEnd w:id="339"/>
    <w:p>
      <w:pPr>
        <w:spacing w:after="0" w:line="38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such Lender’s entrance into, participation in, administration of and performance of the Loans, the Letters of Credit, the Commitments or this Agreement;</w:t>
      </w:r>
    </w:p>
    <w:p>
      <w:pPr>
        <w:spacing w:after="0" w:line="171" w:lineRule="exact"/>
        <w:rPr>
          <w:sz w:val="20"/>
          <w:szCs w:val="20"/>
          <w:color w:val="auto"/>
        </w:rPr>
      </w:pPr>
    </w:p>
    <w:p>
      <w:pPr>
        <w:jc w:val="both"/>
        <w:ind w:left="340" w:right="20" w:firstLine="791"/>
        <w:spacing w:after="0" w:line="214" w:lineRule="auto"/>
        <w:tabs>
          <w:tab w:leader="none" w:pos="1702" w:val="left"/>
        </w:tabs>
        <w:numPr>
          <w:ilvl w:val="2"/>
          <w:numId w:val="255"/>
        </w:numPr>
        <w:rPr>
          <w:rFonts w:ascii="Arial" w:cs="Arial" w:eastAsia="Arial" w:hAnsi="Arial"/>
          <w:sz w:val="17"/>
          <w:szCs w:val="17"/>
          <w:color w:val="auto"/>
        </w:rPr>
      </w:pPr>
      <w:r>
        <w:rPr>
          <w:rFonts w:ascii="Arial" w:cs="Arial" w:eastAsia="Arial" w:hAnsi="Arial"/>
          <w:sz w:val="17"/>
          <w:szCs w:val="17"/>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38" w:lineRule="exact"/>
        <w:rPr>
          <w:rFonts w:ascii="Arial" w:cs="Arial" w:eastAsia="Arial" w:hAnsi="Arial"/>
          <w:sz w:val="17"/>
          <w:szCs w:val="17"/>
          <w:color w:val="auto"/>
        </w:rPr>
      </w:pPr>
    </w:p>
    <w:p>
      <w:pPr>
        <w:jc w:val="both"/>
        <w:ind w:left="340" w:right="20" w:firstLine="791"/>
        <w:spacing w:after="0" w:line="235" w:lineRule="auto"/>
        <w:tabs>
          <w:tab w:leader="none" w:pos="1703" w:val="left"/>
        </w:tabs>
        <w:numPr>
          <w:ilvl w:val="2"/>
          <w:numId w:val="255"/>
        </w:numPr>
        <w:rPr>
          <w:rFonts w:ascii="Arial" w:cs="Arial" w:eastAsia="Arial" w:hAnsi="Arial"/>
          <w:sz w:val="15"/>
          <w:szCs w:val="15"/>
          <w:color w:val="auto"/>
        </w:rPr>
      </w:pPr>
      <w:r>
        <w:rPr>
          <w:rFonts w:ascii="Arial" w:cs="Arial" w:eastAsia="Arial" w:hAnsi="Arial"/>
          <w:sz w:val="15"/>
          <w:szCs w:val="15"/>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w:t>
      </w:r>
    </w:p>
    <w:p>
      <w:pPr>
        <w:spacing w:after="0" w:line="1" w:lineRule="exact"/>
        <w:rPr>
          <w:rFonts w:ascii="Arial" w:cs="Arial" w:eastAsia="Arial" w:hAnsi="Arial"/>
          <w:sz w:val="15"/>
          <w:szCs w:val="15"/>
          <w:color w:val="auto"/>
        </w:rPr>
      </w:pPr>
    </w:p>
    <w:p>
      <w:pPr>
        <w:ind w:left="340" w:right="20" w:hanging="4"/>
        <w:spacing w:after="0" w:line="228" w:lineRule="auto"/>
        <w:tabs>
          <w:tab w:leader="none" w:pos="626" w:val="left"/>
        </w:tabs>
        <w:numPr>
          <w:ilvl w:val="0"/>
          <w:numId w:val="256"/>
        </w:numPr>
        <w:rPr>
          <w:rFonts w:ascii="Arial" w:cs="Arial" w:eastAsia="Arial" w:hAnsi="Arial"/>
          <w:sz w:val="17"/>
          <w:szCs w:val="17"/>
          <w:color w:val="auto"/>
        </w:rPr>
      </w:pPr>
      <w:r>
        <w:rPr>
          <w:rFonts w:ascii="Arial" w:cs="Arial" w:eastAsia="Arial" w:hAnsi="Arial"/>
          <w:sz w:val="17"/>
          <w:szCs w:val="17"/>
          <w:color w:val="auto"/>
        </w:rPr>
        <w:t>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31" w:lineRule="exact"/>
        <w:rPr>
          <w:rFonts w:ascii="Arial" w:cs="Arial" w:eastAsia="Arial" w:hAnsi="Arial"/>
          <w:sz w:val="17"/>
          <w:szCs w:val="17"/>
          <w:color w:val="auto"/>
        </w:rPr>
      </w:pPr>
    </w:p>
    <w:p>
      <w:pPr>
        <w:ind w:left="1680" w:hanging="549"/>
        <w:spacing w:after="0"/>
        <w:tabs>
          <w:tab w:leader="none" w:pos="1680" w:val="left"/>
        </w:tabs>
        <w:numPr>
          <w:ilvl w:val="2"/>
          <w:numId w:val="256"/>
        </w:numPr>
        <w:rPr>
          <w:rFonts w:ascii="Arial" w:cs="Arial" w:eastAsia="Arial" w:hAnsi="Arial"/>
          <w:sz w:val="16"/>
          <w:szCs w:val="16"/>
          <w:color w:val="auto"/>
        </w:rPr>
      </w:pPr>
      <w:r>
        <w:rPr>
          <w:rFonts w:ascii="Arial" w:cs="Arial" w:eastAsia="Arial" w:hAnsi="Arial"/>
          <w:sz w:val="16"/>
          <w:szCs w:val="16"/>
          <w:color w:val="auto"/>
        </w:rPr>
        <w:t>such other representation, warranty and covenant as may be agreed in writing between the Administrative Agent, in its sole discretion,</w:t>
      </w:r>
    </w:p>
    <w:p>
      <w:pPr>
        <w:ind w:left="340"/>
        <w:spacing w:after="0"/>
        <w:rPr>
          <w:rFonts w:ascii="Arial" w:cs="Arial" w:eastAsia="Arial" w:hAnsi="Arial"/>
          <w:sz w:val="16"/>
          <w:szCs w:val="16"/>
          <w:color w:val="auto"/>
        </w:rPr>
      </w:pPr>
      <w:r>
        <w:rPr>
          <w:rFonts w:ascii="Arial" w:cs="Arial" w:eastAsia="Arial" w:hAnsi="Arial"/>
          <w:sz w:val="17"/>
          <w:szCs w:val="17"/>
          <w:color w:val="auto"/>
        </w:rPr>
        <w:t>and such Lender.</w:t>
      </w:r>
    </w:p>
    <w:p>
      <w:pPr>
        <w:spacing w:after="0" w:line="145" w:lineRule="exact"/>
        <w:rPr>
          <w:rFonts w:ascii="Arial" w:cs="Arial" w:eastAsia="Arial" w:hAnsi="Arial"/>
          <w:sz w:val="16"/>
          <w:szCs w:val="16"/>
          <w:color w:val="auto"/>
        </w:rPr>
      </w:pPr>
    </w:p>
    <w:p>
      <w:pPr>
        <w:jc w:val="both"/>
        <w:ind w:firstLine="563"/>
        <w:spacing w:after="0" w:line="241" w:lineRule="auto"/>
        <w:tabs>
          <w:tab w:leader="none" w:pos="1126" w:val="left"/>
        </w:tabs>
        <w:numPr>
          <w:ilvl w:val="1"/>
          <w:numId w:val="256"/>
        </w:numPr>
        <w:rPr>
          <w:rFonts w:ascii="Arial" w:cs="Arial" w:eastAsia="Arial" w:hAnsi="Arial"/>
          <w:sz w:val="15"/>
          <w:szCs w:val="15"/>
          <w:color w:val="auto"/>
        </w:rPr>
      </w:pPr>
      <w:r>
        <w:rPr>
          <w:rFonts w:ascii="Arial" w:cs="Arial" w:eastAsia="Arial" w:hAnsi="Arial"/>
          <w:sz w:val="15"/>
          <w:szCs w:val="15"/>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175" w:lineRule="exact"/>
        <w:rPr>
          <w:sz w:val="20"/>
          <w:szCs w:val="20"/>
          <w:color w:val="auto"/>
        </w:rPr>
      </w:pPr>
    </w:p>
    <w:p>
      <w:pPr>
        <w:ind w:left="5060"/>
        <w:spacing w:after="0"/>
        <w:rPr>
          <w:sz w:val="20"/>
          <w:szCs w:val="20"/>
          <w:color w:val="auto"/>
        </w:rPr>
      </w:pPr>
      <w:r>
        <w:rPr>
          <w:rFonts w:ascii="Arial" w:cs="Arial" w:eastAsia="Arial" w:hAnsi="Arial"/>
          <w:sz w:val="16"/>
          <w:szCs w:val="16"/>
          <w:color w:val="auto"/>
        </w:rPr>
        <w:t>ARTICLE 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Miscellaneous</w:t>
      </w:r>
    </w:p>
    <w:p>
      <w:pPr>
        <w:spacing w:after="0" w:line="195" w:lineRule="exact"/>
        <w:rPr>
          <w:sz w:val="20"/>
          <w:szCs w:val="20"/>
          <w:color w:val="auto"/>
        </w:rPr>
      </w:pPr>
    </w:p>
    <w:p>
      <w:pPr>
        <w:ind w:left="560"/>
        <w:spacing w:after="0"/>
        <w:tabs>
          <w:tab w:leader="none" w:pos="1680" w:val="left"/>
        </w:tabs>
        <w:rPr>
          <w:sz w:val="20"/>
          <w:szCs w:val="20"/>
          <w:color w:val="auto"/>
        </w:rPr>
      </w:pPr>
      <w:r>
        <w:rPr>
          <w:rFonts w:ascii="Arial" w:cs="Arial" w:eastAsia="Arial" w:hAnsi="Arial"/>
          <w:sz w:val="17"/>
          <w:szCs w:val="17"/>
          <w:color w:val="auto"/>
        </w:rPr>
        <w:t>Section 1.01.</w:t>
      </w:r>
      <w:r>
        <w:rPr>
          <w:sz w:val="20"/>
          <w:szCs w:val="20"/>
          <w:color w:val="auto"/>
        </w:rPr>
        <w:tab/>
      </w:r>
      <w:r>
        <w:rPr>
          <w:rFonts w:ascii="Arial" w:cs="Arial" w:eastAsia="Arial" w:hAnsi="Arial"/>
          <w:sz w:val="15"/>
          <w:szCs w:val="15"/>
          <w:i w:val="1"/>
          <w:iCs w:val="1"/>
          <w:color w:val="auto"/>
        </w:rPr>
        <w:t>Notices</w:t>
      </w:r>
      <w:r>
        <w:rPr>
          <w:rFonts w:ascii="Arial" w:cs="Arial" w:eastAsia="Arial" w:hAnsi="Arial"/>
          <w:sz w:val="15"/>
          <w:szCs w:val="15"/>
          <w:color w:val="auto"/>
        </w:rPr>
        <w:t>.</w:t>
      </w:r>
    </w:p>
    <w:p>
      <w:pPr>
        <w:spacing w:after="0" w:line="160" w:lineRule="exact"/>
        <w:rPr>
          <w:sz w:val="20"/>
          <w:szCs w:val="20"/>
          <w:color w:val="auto"/>
        </w:rPr>
      </w:pPr>
    </w:p>
    <w:p>
      <w:pPr>
        <w:jc w:val="both"/>
        <w:ind w:firstLine="563"/>
        <w:spacing w:after="0" w:line="225" w:lineRule="auto"/>
        <w:tabs>
          <w:tab w:leader="none" w:pos="1128" w:val="left"/>
        </w:tabs>
        <w:numPr>
          <w:ilvl w:val="0"/>
          <w:numId w:val="257"/>
        </w:numPr>
        <w:rPr>
          <w:rFonts w:ascii="Arial" w:cs="Arial" w:eastAsia="Arial" w:hAnsi="Arial"/>
          <w:sz w:val="17"/>
          <w:szCs w:val="17"/>
          <w:color w:val="auto"/>
        </w:rPr>
      </w:pPr>
      <w:r>
        <w:rPr>
          <w:rFonts w:ascii="Arial" w:cs="Arial" w:eastAsia="Arial" w:hAnsi="Arial"/>
          <w:sz w:val="17"/>
          <w:szCs w:val="17"/>
          <w:color w:val="auto"/>
        </w:rPr>
        <w:t>Except in the case of notices and other communications expressly permitted to be given by telephone, all notices and other communications provided for herein shall be in writing and shall be delivered by hand or overnight courier service, mailed by certified or registered mail or sent by fax or other electronic transmission,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166</w:t>
      </w:r>
    </w:p>
    <w:p>
      <w:pPr>
        <w:sectPr>
          <w:pgSz w:w="11900" w:h="16838" w:orient="portrait"/>
          <w:cols w:equalWidth="0" w:num="1">
            <w:col w:w="11260"/>
          </w:cols>
          <w:pgMar w:left="320" w:top="1440" w:right="319" w:bottom="1440" w:gutter="0" w:footer="0" w:header="0"/>
        </w:sectPr>
      </w:pPr>
    </w:p>
    <w:bookmarkStart w:id="340" w:name="page341"/>
    <w:bookmarkEnd w:id="340"/>
    <w:p>
      <w:pPr>
        <w:spacing w:after="0" w:line="389" w:lineRule="exact"/>
        <w:rPr>
          <w:sz w:val="20"/>
          <w:szCs w:val="20"/>
          <w:color w:val="auto"/>
        </w:rPr>
      </w:pPr>
    </w:p>
    <w:p>
      <w:pPr>
        <w:ind w:left="340" w:right="20" w:firstLine="791"/>
        <w:spacing w:after="0" w:line="237" w:lineRule="auto"/>
        <w:tabs>
          <w:tab w:leader="none" w:pos="1702" w:val="left"/>
        </w:tabs>
        <w:numPr>
          <w:ilvl w:val="0"/>
          <w:numId w:val="258"/>
        </w:numPr>
        <w:rPr>
          <w:rFonts w:ascii="Arial" w:cs="Arial" w:eastAsia="Arial" w:hAnsi="Arial"/>
          <w:sz w:val="17"/>
          <w:szCs w:val="17"/>
          <w:color w:val="auto"/>
        </w:rPr>
      </w:pPr>
      <w:r>
        <w:rPr>
          <w:rFonts w:ascii="Arial" w:cs="Arial" w:eastAsia="Arial" w:hAnsi="Arial"/>
          <w:sz w:val="17"/>
          <w:szCs w:val="17"/>
          <w:color w:val="auto"/>
        </w:rPr>
        <w:t>if to Holdings, the Borrower, the Administrative Agent, the Issuing Banks or the Swingline Lender, to the address, fax number, e-mail address or telephone number specified for such Person on Schedule 9.01; and</w:t>
      </w:r>
    </w:p>
    <w:p>
      <w:pPr>
        <w:spacing w:after="0" w:line="134" w:lineRule="exact"/>
        <w:rPr>
          <w:rFonts w:ascii="Arial" w:cs="Arial" w:eastAsia="Arial" w:hAnsi="Arial"/>
          <w:sz w:val="17"/>
          <w:szCs w:val="17"/>
          <w:color w:val="auto"/>
        </w:rPr>
      </w:pPr>
    </w:p>
    <w:p>
      <w:pPr>
        <w:jc w:val="both"/>
        <w:ind w:left="340" w:firstLine="791"/>
        <w:spacing w:after="0" w:line="225" w:lineRule="auto"/>
        <w:tabs>
          <w:tab w:leader="none" w:pos="1702" w:val="left"/>
        </w:tabs>
        <w:numPr>
          <w:ilvl w:val="0"/>
          <w:numId w:val="258"/>
        </w:numPr>
        <w:rPr>
          <w:rFonts w:ascii="Arial" w:cs="Arial" w:eastAsia="Arial" w:hAnsi="Arial"/>
          <w:sz w:val="17"/>
          <w:szCs w:val="17"/>
          <w:color w:val="auto"/>
        </w:rPr>
      </w:pPr>
      <w:r>
        <w:rPr>
          <w:rFonts w:ascii="Arial" w:cs="Arial" w:eastAsia="Arial" w:hAnsi="Arial"/>
          <w:sz w:val="17"/>
          <w:szCs w:val="17"/>
          <w:color w:val="auto"/>
        </w:rPr>
        <w:t>if to any Lender, to it at its address (or fax number, telephone number or e-mail address) set forth in its Administrative Questionnaire (including, as appropriate, notices delivered solely to the Person designated by a Lender on its Administrative Questionnaire then in effect for the delivery of notices that may contain material non-public information relating to the Borrower).</w:t>
      </w:r>
    </w:p>
    <w:p>
      <w:pPr>
        <w:spacing w:after="0" w:line="137" w:lineRule="exact"/>
        <w:rPr>
          <w:sz w:val="20"/>
          <w:szCs w:val="20"/>
          <w:color w:val="auto"/>
        </w:rPr>
      </w:pPr>
    </w:p>
    <w:p>
      <w:pPr>
        <w:jc w:val="both"/>
        <w:ind w:firstLine="568"/>
        <w:spacing w:after="0" w:line="252" w:lineRule="auto"/>
        <w:rPr>
          <w:sz w:val="20"/>
          <w:szCs w:val="20"/>
          <w:color w:val="auto"/>
        </w:rPr>
      </w:pPr>
      <w:r>
        <w:rPr>
          <w:rFonts w:ascii="Arial" w:cs="Arial" w:eastAsia="Arial" w:hAnsi="Arial"/>
          <w:sz w:val="15"/>
          <w:szCs w:val="15"/>
          <w:color w:val="auto"/>
        </w:rPr>
        <w:t>Notices and other communications sent by hand or overnight courier service, or mailed by certified or registered mail, shall be deemed to have been given when received; notices and other communications sent by telecopier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w:t>
      </w:r>
    </w:p>
    <w:p>
      <w:pPr>
        <w:spacing w:after="0" w:line="128" w:lineRule="exact"/>
        <w:rPr>
          <w:sz w:val="20"/>
          <w:szCs w:val="20"/>
          <w:color w:val="auto"/>
        </w:rPr>
      </w:pPr>
    </w:p>
    <w:p>
      <w:pPr>
        <w:jc w:val="both"/>
        <w:ind w:firstLine="563"/>
        <w:spacing w:after="0" w:line="213" w:lineRule="auto"/>
        <w:tabs>
          <w:tab w:leader="none" w:pos="1126" w:val="left"/>
        </w:tabs>
        <w:numPr>
          <w:ilvl w:val="0"/>
          <w:numId w:val="259"/>
        </w:numPr>
        <w:rPr>
          <w:rFonts w:ascii="Arial" w:cs="Arial" w:eastAsia="Arial" w:hAnsi="Arial"/>
          <w:sz w:val="17"/>
          <w:szCs w:val="17"/>
          <w:color w:val="auto"/>
        </w:rPr>
      </w:pPr>
      <w:r>
        <w:rPr>
          <w:rFonts w:ascii="Arial" w:cs="Arial" w:eastAsia="Arial" w:hAnsi="Arial"/>
          <w:sz w:val="17"/>
          <w:szCs w:val="17"/>
          <w:i w:val="1"/>
          <w:iCs w:val="1"/>
          <w:color w:val="auto"/>
        </w:rPr>
        <w:t>Electronic Communications</w:t>
      </w:r>
      <w:r>
        <w:rPr>
          <w:rFonts w:ascii="Arial" w:cs="Arial" w:eastAsia="Arial" w:hAnsi="Arial"/>
          <w:sz w:val="17"/>
          <w:szCs w:val="17"/>
          <w:color w:val="auto"/>
        </w:rPr>
        <w:t>. Notices and other communications to the Lenders, the Issuing Banks and the Swingline Lender hereunder may be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delivered or furnished by electronic communication (including e-mail and Internet or intranet websites) pursuant to procedures reasonably approved by the Administrative Agent,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foregoing shall not apply to notices to any Lender, the Issuing Banks or the Swingline Lender pursuant to Article 2 if such Lender, the Issuing Banks or the Swingline Lender, as applicable, has notified the Administrative Agent that it is incapable of receiving notices under such Article by electronic communication. The Administrative Agent or the Borrower may, in its discretion, agree to accept notices and other communications to it hereunder by electronic communications pursuant to procedures approved by it;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approval of such procedures may be limited to particular notices or communications.</w:t>
      </w:r>
    </w:p>
    <w:p>
      <w:pPr>
        <w:spacing w:after="0" w:line="135" w:lineRule="exact"/>
        <w:rPr>
          <w:sz w:val="20"/>
          <w:szCs w:val="20"/>
          <w:color w:val="auto"/>
        </w:rPr>
      </w:pPr>
    </w:p>
    <w:p>
      <w:pPr>
        <w:jc w:val="both"/>
        <w:ind w:firstLine="568"/>
        <w:spacing w:after="0" w:line="228" w:lineRule="auto"/>
        <w:rPr>
          <w:sz w:val="20"/>
          <w:szCs w:val="20"/>
          <w:color w:val="auto"/>
        </w:rPr>
      </w:pPr>
      <w:r>
        <w:rPr>
          <w:rFonts w:ascii="Arial" w:cs="Arial" w:eastAsia="Arial" w:hAnsi="Arial"/>
          <w:sz w:val="16"/>
          <w:szCs w:val="16"/>
          <w:color w:val="auto"/>
        </w:rPr>
        <w:t xml:space="preserve">Unless the Administrative Agent otherwise prescribes (with the Borrower’s consent),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135" w:lineRule="exact"/>
        <w:rPr>
          <w:sz w:val="20"/>
          <w:szCs w:val="20"/>
          <w:color w:val="auto"/>
        </w:rPr>
      </w:pPr>
    </w:p>
    <w:p>
      <w:pPr>
        <w:jc w:val="both"/>
        <w:ind w:right="20" w:firstLine="563"/>
        <w:spacing w:after="0" w:line="225" w:lineRule="auto"/>
        <w:tabs>
          <w:tab w:leader="none" w:pos="1128" w:val="left"/>
        </w:tabs>
        <w:numPr>
          <w:ilvl w:val="0"/>
          <w:numId w:val="260"/>
        </w:numPr>
        <w:rPr>
          <w:rFonts w:ascii="Arial" w:cs="Arial" w:eastAsia="Arial" w:hAnsi="Arial"/>
          <w:sz w:val="17"/>
          <w:szCs w:val="17"/>
          <w:color w:val="auto"/>
        </w:rPr>
      </w:pPr>
      <w:r>
        <w:rPr>
          <w:rFonts w:ascii="Arial" w:cs="Arial" w:eastAsia="Arial" w:hAnsi="Arial"/>
          <w:sz w:val="17"/>
          <w:szCs w:val="17"/>
          <w:i w:val="1"/>
          <w:iCs w:val="1"/>
          <w:color w:val="auto"/>
        </w:rPr>
        <w:t xml:space="preserve">The Platform. </w:t>
      </w:r>
      <w:r>
        <w:rPr>
          <w:rFonts w:ascii="Arial" w:cs="Arial" w:eastAsia="Arial" w:hAnsi="Arial"/>
          <w:sz w:val="17"/>
          <w:szCs w:val="17"/>
          <w:color w:val="auto"/>
        </w:rPr>
        <w:t>(i) The Borrower agrees that the Administrative Agent may, but shall not be obligated to, make any Communications available to</w:t>
      </w:r>
      <w:r>
        <w:rPr>
          <w:rFonts w:ascii="Arial" w:cs="Arial" w:eastAsia="Arial" w:hAnsi="Arial"/>
          <w:sz w:val="17"/>
          <w:szCs w:val="17"/>
          <w:i w:val="1"/>
          <w:iCs w:val="1"/>
          <w:color w:val="auto"/>
        </w:rPr>
        <w:t xml:space="preserve"> </w:t>
      </w:r>
      <w:r>
        <w:rPr>
          <w:rFonts w:ascii="Arial" w:cs="Arial" w:eastAsia="Arial" w:hAnsi="Arial"/>
          <w:sz w:val="17"/>
          <w:szCs w:val="17"/>
          <w:color w:val="auto"/>
        </w:rPr>
        <w:t>the Lenders and the Issuing Banks by posting the Communications on IntraLinks™, DebtDomain, SyndTrak, ClearPar or any other electronic platform chosen by the Administrative Agent to be its electronic transmission system (the “</w:t>
      </w:r>
      <w:r>
        <w:rPr>
          <w:rFonts w:ascii="Arial" w:cs="Arial" w:eastAsia="Arial" w:hAnsi="Arial"/>
          <w:sz w:val="17"/>
          <w:szCs w:val="17"/>
          <w:b w:val="1"/>
          <w:bCs w:val="1"/>
          <w:color w:val="auto"/>
        </w:rPr>
        <w:t>Approved Electronic Platform</w:t>
      </w:r>
      <w:r>
        <w:rPr>
          <w:rFonts w:ascii="Arial" w:cs="Arial" w:eastAsia="Arial" w:hAnsi="Arial"/>
          <w:sz w:val="17"/>
          <w:szCs w:val="17"/>
          <w:color w:val="auto"/>
        </w:rPr>
        <w:t>”).</w:t>
      </w:r>
    </w:p>
    <w:p>
      <w:pPr>
        <w:spacing w:after="0" w:line="136" w:lineRule="exact"/>
        <w:rPr>
          <w:rFonts w:ascii="Arial" w:cs="Arial" w:eastAsia="Arial" w:hAnsi="Arial"/>
          <w:sz w:val="17"/>
          <w:szCs w:val="17"/>
          <w:color w:val="auto"/>
        </w:rPr>
      </w:pPr>
    </w:p>
    <w:p>
      <w:pPr>
        <w:jc w:val="both"/>
        <w:ind w:left="340" w:right="20" w:firstLine="791"/>
        <w:spacing w:after="0" w:line="220" w:lineRule="auto"/>
        <w:tabs>
          <w:tab w:leader="none" w:pos="1659" w:val="left"/>
        </w:tabs>
        <w:numPr>
          <w:ilvl w:val="1"/>
          <w:numId w:val="260"/>
        </w:numPr>
        <w:rPr>
          <w:rFonts w:ascii="Arial" w:cs="Arial" w:eastAsia="Arial" w:hAnsi="Arial"/>
          <w:sz w:val="17"/>
          <w:szCs w:val="17"/>
          <w:color w:val="auto"/>
        </w:rPr>
      </w:pPr>
      <w:r>
        <w:rPr>
          <w:rFonts w:ascii="Arial" w:cs="Arial" w:eastAsia="Arial" w:hAnsi="Arial"/>
          <w:sz w:val="17"/>
          <w:szCs w:val="17"/>
          <w:color w:val="auto"/>
        </w:rPr>
        <w:t>Although the Approved Electronic Platform and its primary web portal are secured with generally-applicable security procedures and policies implemented or modified by the Administrative Agent from time to time (including, as of the Closing Date, a user ID/password authorization system) and the Approved Electronic Platform is secured through a per-deal authorization method whereby each user may access the Approved Electronic Platform only on a deal-by-deal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167</w:t>
      </w:r>
    </w:p>
    <w:p>
      <w:pPr>
        <w:sectPr>
          <w:pgSz w:w="11900" w:h="16838" w:orient="portrait"/>
          <w:cols w:equalWidth="0" w:num="1">
            <w:col w:w="11260"/>
          </w:cols>
          <w:pgMar w:left="320" w:top="1440" w:right="319" w:bottom="1440" w:gutter="0" w:footer="0" w:header="0"/>
        </w:sectPr>
      </w:pPr>
    </w:p>
    <w:bookmarkStart w:id="341" w:name="page342"/>
    <w:bookmarkEnd w:id="341"/>
    <w:p>
      <w:pPr>
        <w:spacing w:after="0" w:line="390" w:lineRule="exact"/>
        <w:rPr>
          <w:sz w:val="20"/>
          <w:szCs w:val="20"/>
          <w:color w:val="auto"/>
        </w:rPr>
      </w:pPr>
    </w:p>
    <w:p>
      <w:pPr>
        <w:jc w:val="both"/>
        <w:spacing w:after="0" w:line="216" w:lineRule="auto"/>
        <w:rPr>
          <w:sz w:val="20"/>
          <w:szCs w:val="20"/>
          <w:color w:val="auto"/>
        </w:rPr>
      </w:pPr>
      <w:r>
        <w:rPr>
          <w:rFonts w:ascii="Arial" w:cs="Arial" w:eastAsia="Arial" w:hAnsi="Arial"/>
          <w:sz w:val="17"/>
          <w:szCs w:val="17"/>
          <w:color w:val="auto"/>
        </w:rPr>
        <w:t>basis, each of the Lenders, each of the Issuing Banks and the Borrower acknowledges and agrees that the distribution of material through an electronic medium is not necessarily secure, that the Administrative Agent is not responsible for approving or vetting the representatives or contacts of any Lender that are added to the Approved Electronic Platform, and that there may be confidentiality and other risks associated with such distribution. Each of the Lenders, each of the Issuing Banks and the Borrower hereby approves distribution of the Communications through the Approved Electronic Platform and understands and assumes the risks of such distribution.</w:t>
      </w:r>
    </w:p>
    <w:p>
      <w:pPr>
        <w:spacing w:after="0" w:line="138" w:lineRule="exact"/>
        <w:rPr>
          <w:sz w:val="20"/>
          <w:szCs w:val="20"/>
          <w:color w:val="auto"/>
        </w:rPr>
      </w:pPr>
    </w:p>
    <w:p>
      <w:pPr>
        <w:jc w:val="both"/>
        <w:ind w:firstLine="791"/>
        <w:spacing w:after="0" w:line="208" w:lineRule="auto"/>
        <w:tabs>
          <w:tab w:leader="none" w:pos="1279" w:val="left"/>
        </w:tabs>
        <w:numPr>
          <w:ilvl w:val="0"/>
          <w:numId w:val="261"/>
        </w:numPr>
        <w:rPr>
          <w:rFonts w:ascii="Arial" w:cs="Arial" w:eastAsia="Arial" w:hAnsi="Arial"/>
          <w:sz w:val="17"/>
          <w:szCs w:val="17"/>
          <w:color w:val="auto"/>
        </w:rPr>
      </w:pPr>
      <w:r>
        <w:rPr>
          <w:rFonts w:ascii="Arial" w:cs="Arial" w:eastAsia="Arial" w:hAnsi="Arial"/>
          <w:sz w:val="17"/>
          <w:szCs w:val="17"/>
          <w:color w:val="auto"/>
        </w:rPr>
        <w:t>THE APPROVED ELECTRONIC PLATFORM AND THE COMMUNICATIONS ARE PROVIDED “AS IS” AND “AS AVAILABLE”. THE APPLICABLE PARTIES (AS DEFINED BELOW) DO NOT WARRANT THE ACCURACY OR COMPLETENESS OF THE COMMUNICATIONS, OR THE ADEQUACY OF THE APPROVED ELECTRONIC PLATFORM AND EXPRESSLY DISCLAIM LIABILITY FOR ERRORS OR OMISSIONS IN THE APPROVED ELECTRONIC PLATFORM AND THE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COMMUNICATIONS OR THE APPROVED ELECTRONIC PLATFORM. IN NO EVENT SHALL THE ADMINISTRATIVE AGENT, ANY ARRANGER OR ANY OF THEIR RESPECTIVE RELATED PARTIES (COLLECTIVELY, “</w:t>
      </w:r>
      <w:r>
        <w:rPr>
          <w:rFonts w:ascii="Arial" w:cs="Arial" w:eastAsia="Arial" w:hAnsi="Arial"/>
          <w:sz w:val="17"/>
          <w:szCs w:val="17"/>
          <w:b w:val="1"/>
          <w:bCs w:val="1"/>
          <w:color w:val="auto"/>
        </w:rPr>
        <w:t>APPLICABLE PARTIES</w:t>
      </w:r>
      <w:r>
        <w:rPr>
          <w:rFonts w:ascii="Arial" w:cs="Arial" w:eastAsia="Arial" w:hAnsi="Arial"/>
          <w:sz w:val="17"/>
          <w:szCs w:val="17"/>
          <w:color w:val="auto"/>
        </w:rPr>
        <w:t>”) HAVE ANY LIABILITY TO ANY LOAN PARTY, ANY LENDER, ANY ISSUING BANK OR ANY OTHER PERSON OR ENTITY FOR DAMAGES OF ANY KIND, INCLUDING DIRECT OR INDIRECT, SPECIAL, INCIDENTAL OR CONSEQUENTIAL DAMAGES, LOSSES OR EXPENSES (WHETHER IN TORT, CONTRACT OR OTHERWISE) ARISING OUT OF ANY LOAN PARTY’S OR THE ADMINISTRATIVE AGENT’S TRANSMISSION OF COMMUNICATIONS THROUGH THE INTERNET OR THE APPROVED ELECTRONIC PLATFORM.</w:t>
      </w:r>
    </w:p>
    <w:p>
      <w:pPr>
        <w:spacing w:after="0" w:line="141" w:lineRule="exact"/>
        <w:rPr>
          <w:rFonts w:ascii="Arial" w:cs="Arial" w:eastAsia="Arial" w:hAnsi="Arial"/>
          <w:sz w:val="17"/>
          <w:szCs w:val="17"/>
          <w:color w:val="auto"/>
        </w:rPr>
      </w:pPr>
    </w:p>
    <w:p>
      <w:pPr>
        <w:jc w:val="both"/>
        <w:ind w:firstLine="791"/>
        <w:spacing w:after="0" w:line="216" w:lineRule="auto"/>
        <w:tabs>
          <w:tab w:leader="none" w:pos="1252" w:val="left"/>
        </w:tabs>
        <w:numPr>
          <w:ilvl w:val="0"/>
          <w:numId w:val="261"/>
        </w:numPr>
        <w:rPr>
          <w:rFonts w:ascii="Arial" w:cs="Arial" w:eastAsia="Arial" w:hAnsi="Arial"/>
          <w:sz w:val="17"/>
          <w:szCs w:val="17"/>
          <w:color w:val="auto"/>
        </w:rPr>
      </w:pPr>
      <w:r>
        <w:rPr>
          <w:rFonts w:ascii="Arial" w:cs="Arial" w:eastAsia="Arial" w:hAnsi="Arial"/>
          <w:sz w:val="17"/>
          <w:szCs w:val="17"/>
          <w:color w:val="auto"/>
        </w:rPr>
        <w:t>Each Lender and each Issuing Bank agrees that notice to it (as provided in the next sentence) specifying that Communications have been posted to the Approved Electronic Platform shall constitute effective delivery of the Communications to such Lender for purposes of the Loan Documents. Each Lender and Issuing Bank agrees (i) to notify the Administrative Agent in writing (which could be in the form of electronic communication) from time to time of such Lender’s or Issuing Bank’s (as applicable) email address to which the foregoing notice may be sent by electronic transmission and (ii) that the foregoing notice may be sent to such email address.</w:t>
      </w:r>
    </w:p>
    <w:p>
      <w:pPr>
        <w:spacing w:after="0" w:line="138" w:lineRule="exact"/>
        <w:rPr>
          <w:rFonts w:ascii="Arial" w:cs="Arial" w:eastAsia="Arial" w:hAnsi="Arial"/>
          <w:sz w:val="17"/>
          <w:szCs w:val="17"/>
          <w:color w:val="auto"/>
        </w:rPr>
      </w:pPr>
    </w:p>
    <w:p>
      <w:pPr>
        <w:jc w:val="both"/>
        <w:ind w:right="20" w:firstLine="791"/>
        <w:spacing w:after="0" w:line="225" w:lineRule="auto"/>
        <w:tabs>
          <w:tab w:leader="none" w:pos="1182" w:val="left"/>
        </w:tabs>
        <w:numPr>
          <w:ilvl w:val="0"/>
          <w:numId w:val="261"/>
        </w:numPr>
        <w:rPr>
          <w:rFonts w:ascii="Arial" w:cs="Arial" w:eastAsia="Arial" w:hAnsi="Arial"/>
          <w:sz w:val="17"/>
          <w:szCs w:val="17"/>
          <w:color w:val="auto"/>
        </w:rPr>
      </w:pPr>
      <w:r>
        <w:rPr>
          <w:rFonts w:ascii="Arial" w:cs="Arial" w:eastAsia="Arial" w:hAnsi="Arial"/>
          <w:sz w:val="17"/>
          <w:szCs w:val="17"/>
          <w:color w:val="auto"/>
        </w:rPr>
        <w:t>Each of the Lenders, each of the Issuing Banks and the Borrower agrees that the Administrative Agent may, but (except as may be required by applicable law) shall not be obligated to, store the Communications on the Approved Electronic Platform in accordance with the Administrative Agent’s generally applicable document retention procedures and policies.</w:t>
      </w:r>
    </w:p>
    <w:p>
      <w:pPr>
        <w:spacing w:after="0" w:line="136" w:lineRule="exact"/>
        <w:rPr>
          <w:rFonts w:ascii="Arial" w:cs="Arial" w:eastAsia="Arial" w:hAnsi="Arial"/>
          <w:sz w:val="17"/>
          <w:szCs w:val="17"/>
          <w:color w:val="auto"/>
        </w:rPr>
      </w:pPr>
    </w:p>
    <w:p>
      <w:pPr>
        <w:ind w:firstLine="791"/>
        <w:spacing w:after="0" w:line="237" w:lineRule="auto"/>
        <w:tabs>
          <w:tab w:leader="none" w:pos="1346" w:val="left"/>
        </w:tabs>
        <w:numPr>
          <w:ilvl w:val="0"/>
          <w:numId w:val="261"/>
        </w:numPr>
        <w:rPr>
          <w:rFonts w:ascii="Arial" w:cs="Arial" w:eastAsia="Arial" w:hAnsi="Arial"/>
          <w:sz w:val="17"/>
          <w:szCs w:val="17"/>
          <w:color w:val="auto"/>
        </w:rPr>
      </w:pPr>
      <w:r>
        <w:rPr>
          <w:rFonts w:ascii="Arial" w:cs="Arial" w:eastAsia="Arial" w:hAnsi="Arial"/>
          <w:sz w:val="17"/>
          <w:szCs w:val="17"/>
          <w:color w:val="auto"/>
        </w:rPr>
        <w:t>Nothing herein shall prejudice the right of the Administrative Agent, any Lender or any Issuing Bank to give any notice or other communication pursuant to any Loan Document in any other manner specified in such Loan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40"/>
        <w:spacing w:after="0"/>
        <w:rPr>
          <w:sz w:val="20"/>
          <w:szCs w:val="20"/>
          <w:color w:val="auto"/>
        </w:rPr>
      </w:pPr>
      <w:r>
        <w:rPr>
          <w:rFonts w:ascii="Arial" w:cs="Arial" w:eastAsia="Arial" w:hAnsi="Arial"/>
          <w:sz w:val="17"/>
          <w:szCs w:val="17"/>
          <w:color w:val="auto"/>
        </w:rPr>
        <w:t>168</w:t>
      </w:r>
    </w:p>
    <w:p>
      <w:pPr>
        <w:sectPr>
          <w:pgSz w:w="11900" w:h="16838" w:orient="portrait"/>
          <w:cols w:equalWidth="0" w:num="1">
            <w:col w:w="10920"/>
          </w:cols>
          <w:pgMar w:left="660" w:top="1440" w:right="319" w:bottom="1440" w:gutter="0" w:footer="0" w:header="0"/>
        </w:sectPr>
      </w:pPr>
    </w:p>
    <w:bookmarkStart w:id="342" w:name="page343"/>
    <w:bookmarkEnd w:id="342"/>
    <w:p>
      <w:pPr>
        <w:spacing w:after="0" w:line="390" w:lineRule="exact"/>
        <w:rPr>
          <w:sz w:val="20"/>
          <w:szCs w:val="20"/>
          <w:color w:val="auto"/>
        </w:rPr>
      </w:pPr>
    </w:p>
    <w:p>
      <w:pPr>
        <w:jc w:val="both"/>
        <w:ind w:right="20" w:firstLine="563"/>
        <w:spacing w:after="0" w:line="230" w:lineRule="auto"/>
        <w:tabs>
          <w:tab w:leader="none" w:pos="1126" w:val="left"/>
        </w:tabs>
        <w:numPr>
          <w:ilvl w:val="0"/>
          <w:numId w:val="262"/>
        </w:numPr>
        <w:rPr>
          <w:rFonts w:ascii="Arial" w:cs="Arial" w:eastAsia="Arial" w:hAnsi="Arial"/>
          <w:sz w:val="16"/>
          <w:szCs w:val="16"/>
          <w:color w:val="auto"/>
        </w:rPr>
      </w:pPr>
      <w:r>
        <w:rPr>
          <w:rFonts w:ascii="Arial" w:cs="Arial" w:eastAsia="Arial" w:hAnsi="Arial"/>
          <w:sz w:val="16"/>
          <w:szCs w:val="16"/>
          <w:i w:val="1"/>
          <w:iCs w:val="1"/>
          <w:color w:val="auto"/>
        </w:rPr>
        <w:t xml:space="preserve">Public Lenders. </w:t>
      </w:r>
      <w:r>
        <w:rPr>
          <w:rFonts w:ascii="Arial" w:cs="Arial" w:eastAsia="Arial" w:hAnsi="Arial"/>
          <w:sz w:val="16"/>
          <w:szCs w:val="16"/>
          <w:color w:val="auto"/>
        </w:rPr>
        <w:t>Each Public Lender agrees to cause at least one individual at or on behalf of such Public Lender to at all times have selected the</w:t>
      </w:r>
      <w:r>
        <w:rPr>
          <w:rFonts w:ascii="Arial" w:cs="Arial" w:eastAsia="Arial" w:hAnsi="Arial"/>
          <w:sz w:val="16"/>
          <w:szCs w:val="16"/>
          <w:i w:val="1"/>
          <w:iCs w:val="1"/>
          <w:color w:val="auto"/>
        </w:rPr>
        <w:t xml:space="preserve"> </w:t>
      </w:r>
      <w:r>
        <w:rPr>
          <w:rFonts w:ascii="Arial" w:cs="Arial" w:eastAsia="Arial" w:hAnsi="Arial"/>
          <w:sz w:val="16"/>
          <w:szCs w:val="16"/>
          <w:color w:val="auto"/>
        </w:rPr>
        <w:t>“Private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communications that are not made available through the “Public Side Information” portion of the Platform and that may contain material non-public information with respect to the Borrower or its securities for purposes of United States Federal or state securities laws.</w:t>
      </w:r>
    </w:p>
    <w:p>
      <w:pPr>
        <w:spacing w:after="0" w:line="136" w:lineRule="exact"/>
        <w:rPr>
          <w:rFonts w:ascii="Arial" w:cs="Arial" w:eastAsia="Arial" w:hAnsi="Arial"/>
          <w:sz w:val="16"/>
          <w:szCs w:val="16"/>
          <w:color w:val="auto"/>
        </w:rPr>
      </w:pPr>
    </w:p>
    <w:p>
      <w:pPr>
        <w:jc w:val="both"/>
        <w:ind w:firstLine="563"/>
        <w:spacing w:after="0" w:line="214" w:lineRule="auto"/>
        <w:tabs>
          <w:tab w:leader="none" w:pos="1128" w:val="left"/>
        </w:tabs>
        <w:numPr>
          <w:ilvl w:val="0"/>
          <w:numId w:val="262"/>
        </w:numPr>
        <w:rPr>
          <w:rFonts w:ascii="Arial" w:cs="Arial" w:eastAsia="Arial" w:hAnsi="Arial"/>
          <w:sz w:val="17"/>
          <w:szCs w:val="17"/>
          <w:color w:val="auto"/>
        </w:rPr>
      </w:pPr>
      <w:r>
        <w:rPr>
          <w:rFonts w:ascii="Arial" w:cs="Arial" w:eastAsia="Arial" w:hAnsi="Arial"/>
          <w:sz w:val="17"/>
          <w:szCs w:val="17"/>
          <w:i w:val="1"/>
          <w:iCs w:val="1"/>
          <w:color w:val="auto"/>
        </w:rPr>
        <w:t>Change of Address, Etc</w:t>
      </w:r>
      <w:r>
        <w:rPr>
          <w:rFonts w:ascii="Arial" w:cs="Arial" w:eastAsia="Arial" w:hAnsi="Arial"/>
          <w:sz w:val="17"/>
          <w:szCs w:val="17"/>
          <w:color w:val="auto"/>
        </w:rPr>
        <w:t>. Each of Holdings, the Borrower, the Administrative Agent, the Issuing Banks and the Swingline Lender may change its</w:t>
      </w:r>
      <w:r>
        <w:rPr>
          <w:rFonts w:ascii="Arial" w:cs="Arial" w:eastAsia="Arial" w:hAnsi="Arial"/>
          <w:sz w:val="17"/>
          <w:szCs w:val="17"/>
          <w:i w:val="1"/>
          <w:iCs w:val="1"/>
          <w:color w:val="auto"/>
        </w:rPr>
        <w:t xml:space="preserve"> </w:t>
      </w:r>
      <w:r>
        <w:rPr>
          <w:rFonts w:ascii="Arial" w:cs="Arial" w:eastAsia="Arial" w:hAnsi="Arial"/>
          <w:sz w:val="17"/>
          <w:szCs w:val="17"/>
          <w:color w:val="auto"/>
        </w:rPr>
        <w:t>address, electronic mail address, fax or telephone number for notices and other communications or website hereunder by notice to the other parties hereto. Each Lender may change its address, fax or telephone number for notices and other communications hereunder by notice to the Borrower, the Administrative Agent, the Issuing Banks and the Swingline Lender. In addition, each Lender agrees to notify the Administrative Agent from time to time to ensure that the Administrative Agent has on record (i) an effective address, contact name, telephone number, fax number and electronic mail address to which notices and other communications may be sent and (ii) accurate wire instructions for such Lender.</w:t>
      </w:r>
    </w:p>
    <w:p>
      <w:pPr>
        <w:spacing w:after="0" w:line="138" w:lineRule="exact"/>
        <w:rPr>
          <w:rFonts w:ascii="Arial" w:cs="Arial" w:eastAsia="Arial" w:hAnsi="Arial"/>
          <w:sz w:val="17"/>
          <w:szCs w:val="17"/>
          <w:color w:val="auto"/>
        </w:rPr>
      </w:pPr>
    </w:p>
    <w:p>
      <w:pPr>
        <w:jc w:val="both"/>
        <w:ind w:firstLine="563"/>
        <w:spacing w:after="0" w:line="213" w:lineRule="auto"/>
        <w:tabs>
          <w:tab w:leader="none" w:pos="1132" w:val="left"/>
        </w:tabs>
        <w:numPr>
          <w:ilvl w:val="0"/>
          <w:numId w:val="262"/>
        </w:numPr>
        <w:rPr>
          <w:rFonts w:ascii="Arial" w:cs="Arial" w:eastAsia="Arial" w:hAnsi="Arial"/>
          <w:sz w:val="17"/>
          <w:szCs w:val="17"/>
          <w:color w:val="auto"/>
        </w:rPr>
      </w:pPr>
      <w:r>
        <w:rPr>
          <w:rFonts w:ascii="Arial" w:cs="Arial" w:eastAsia="Arial" w:hAnsi="Arial"/>
          <w:sz w:val="17"/>
          <w:szCs w:val="17"/>
          <w:i w:val="1"/>
          <w:iCs w:val="1"/>
          <w:color w:val="auto"/>
        </w:rPr>
        <w:t>Reliance by Administrative Agent, Issuing Bank and Lenders</w:t>
      </w:r>
      <w:r>
        <w:rPr>
          <w:rFonts w:ascii="Arial" w:cs="Arial" w:eastAsia="Arial" w:hAnsi="Arial"/>
          <w:sz w:val="17"/>
          <w:szCs w:val="17"/>
          <w:color w:val="auto"/>
        </w:rPr>
        <w:t>. The Administrative Agent, the Issuing Banks and the Lenders shall be entitled to</w:t>
      </w:r>
      <w:r>
        <w:rPr>
          <w:rFonts w:ascii="Arial" w:cs="Arial" w:eastAsia="Arial" w:hAnsi="Arial"/>
          <w:sz w:val="17"/>
          <w:szCs w:val="17"/>
          <w:i w:val="1"/>
          <w:iCs w:val="1"/>
          <w:color w:val="auto"/>
        </w:rPr>
        <w:t xml:space="preserve"> </w:t>
      </w:r>
      <w:r>
        <w:rPr>
          <w:rFonts w:ascii="Arial" w:cs="Arial" w:eastAsia="Arial" w:hAnsi="Arial"/>
          <w:sz w:val="17"/>
          <w:szCs w:val="17"/>
          <w:color w:val="auto"/>
        </w:rPr>
        <w:t>rely and act upon any notices purportedly given by or on behalf of the Borrower even if (i) such notices were not made in a manner specified herein, were incomplete or were not preceded or followed by any other form of notice specified herein, or (ii) the terms thereof, as understood by the recipient, varied from any confirmation thereof. The Borrower shall indemnify the Administrative Agent, each Issuing Bank, each Lender and the Related Parties from all losses, costs, expenses and liabilities resulting from the reliance by such Person on each notice purportedly given by or on behalf of the Borrower to the extent required by Section 9.05. All telephonic notices to and other telephonic communications with the Administrative Agent may be recorded by the Administrative Agent and each of the parties hereto hereby consents to such recording.</w:t>
      </w:r>
    </w:p>
    <w:p>
      <w:pPr>
        <w:spacing w:after="0" w:line="135" w:lineRule="exact"/>
        <w:rPr>
          <w:sz w:val="20"/>
          <w:szCs w:val="20"/>
          <w:color w:val="auto"/>
        </w:rPr>
      </w:pPr>
    </w:p>
    <w:p>
      <w:pPr>
        <w:ind w:left="560"/>
        <w:spacing w:after="0"/>
        <w:tabs>
          <w:tab w:leader="none" w:pos="1680" w:val="left"/>
        </w:tabs>
        <w:rPr>
          <w:sz w:val="20"/>
          <w:szCs w:val="20"/>
          <w:color w:val="auto"/>
        </w:rPr>
      </w:pPr>
      <w:r>
        <w:rPr>
          <w:rFonts w:ascii="Arial" w:cs="Arial" w:eastAsia="Arial" w:hAnsi="Arial"/>
          <w:sz w:val="17"/>
          <w:szCs w:val="17"/>
          <w:color w:val="auto"/>
        </w:rPr>
        <w:t>Section 1.02.</w:t>
      </w:r>
      <w:r>
        <w:rPr>
          <w:sz w:val="20"/>
          <w:szCs w:val="20"/>
          <w:color w:val="auto"/>
        </w:rPr>
        <w:tab/>
      </w:r>
      <w:r>
        <w:rPr>
          <w:rFonts w:ascii="Arial" w:cs="Arial" w:eastAsia="Arial" w:hAnsi="Arial"/>
          <w:sz w:val="15"/>
          <w:szCs w:val="15"/>
          <w:i w:val="1"/>
          <w:iCs w:val="1"/>
          <w:color w:val="auto"/>
        </w:rPr>
        <w:t>Waivers; Amendments</w:t>
      </w:r>
      <w:r>
        <w:rPr>
          <w:rFonts w:ascii="Arial" w:cs="Arial" w:eastAsia="Arial" w:hAnsi="Arial"/>
          <w:sz w:val="15"/>
          <w:szCs w:val="15"/>
          <w:color w:val="auto"/>
        </w:rPr>
        <w:t>.</w:t>
      </w:r>
    </w:p>
    <w:p>
      <w:pPr>
        <w:spacing w:after="0" w:line="160" w:lineRule="exact"/>
        <w:rPr>
          <w:sz w:val="20"/>
          <w:szCs w:val="20"/>
          <w:color w:val="auto"/>
        </w:rPr>
      </w:pPr>
    </w:p>
    <w:p>
      <w:pPr>
        <w:jc w:val="both"/>
        <w:ind w:firstLine="563"/>
        <w:spacing w:after="0" w:line="223" w:lineRule="auto"/>
        <w:tabs>
          <w:tab w:leader="none" w:pos="1128" w:val="left"/>
        </w:tabs>
        <w:numPr>
          <w:ilvl w:val="0"/>
          <w:numId w:val="263"/>
        </w:numPr>
        <w:rPr>
          <w:rFonts w:ascii="Arial" w:cs="Arial" w:eastAsia="Arial" w:hAnsi="Arial"/>
          <w:sz w:val="16"/>
          <w:szCs w:val="16"/>
          <w:color w:val="auto"/>
        </w:rPr>
      </w:pPr>
      <w:r>
        <w:rPr>
          <w:rFonts w:ascii="Arial" w:cs="Arial" w:eastAsia="Arial" w:hAnsi="Arial"/>
          <w:sz w:val="16"/>
          <w:szCs w:val="16"/>
          <w:color w:val="auto"/>
        </w:rPr>
        <w:t>No failure or delay by the Administrative Agent, any Issuing Bank or any Lender in exercising any right or power under this Agreement or any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Lenders hereunder and under the other Loan Documents are cumulative and are not exclusive of any rights or remedies that they would otherwise have. No waiver of any provision of this Agreement or any Loan Document or consent to any departure by any Loan Party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or the issuance, amendment, renewal or extension of a Letter of Credit shall not be construed as a waiver of any Default, regardless of whether the Administrative Agent, any Lender or any Issuing Bank may have had notice or knowledge of such Default at the time. No notice or demand on the Borrower or Holdings in any case shall entitle the Borrower or Holdings to any other or further notice or demand in similar or other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169</w:t>
      </w:r>
    </w:p>
    <w:p>
      <w:pPr>
        <w:sectPr>
          <w:pgSz w:w="11900" w:h="16838" w:orient="portrait"/>
          <w:cols w:equalWidth="0" w:num="1">
            <w:col w:w="11260"/>
          </w:cols>
          <w:pgMar w:left="320" w:top="1440" w:right="319" w:bottom="1440" w:gutter="0" w:footer="0" w:header="0"/>
        </w:sectPr>
      </w:pPr>
    </w:p>
    <w:bookmarkStart w:id="343" w:name="page344"/>
    <w:bookmarkEnd w:id="343"/>
    <w:p>
      <w:pPr>
        <w:spacing w:after="0" w:line="390" w:lineRule="exact"/>
        <w:rPr>
          <w:sz w:val="20"/>
          <w:szCs w:val="20"/>
          <w:color w:val="auto"/>
        </w:rPr>
      </w:pPr>
    </w:p>
    <w:p>
      <w:pPr>
        <w:jc w:val="both"/>
        <w:ind w:firstLine="563"/>
        <w:spacing w:after="0" w:line="218" w:lineRule="auto"/>
        <w:tabs>
          <w:tab w:leader="none" w:pos="1126" w:val="left"/>
        </w:tabs>
        <w:numPr>
          <w:ilvl w:val="0"/>
          <w:numId w:val="264"/>
        </w:numPr>
        <w:rPr>
          <w:rFonts w:ascii="Arial" w:cs="Arial" w:eastAsia="Arial" w:hAnsi="Arial"/>
          <w:sz w:val="16"/>
          <w:szCs w:val="16"/>
          <w:color w:val="auto"/>
        </w:rPr>
      </w:pPr>
      <w:r>
        <w:rPr>
          <w:rFonts w:ascii="Arial" w:cs="Arial" w:eastAsia="Arial" w:hAnsi="Arial"/>
          <w:sz w:val="16"/>
          <w:szCs w:val="16"/>
          <w:color w:val="auto"/>
        </w:rPr>
        <w:t xml:space="preserve">Except as provided in Section 2.18 with respect to any Incremental Revolving Facility Amendment or Incremental Term Facility Amendment (including to provide for provisions relating to the issuance of letters of credit and swingline loans and provisions with respect to “defaulting lenders”), Section 2.19 with respect to any Refinancing Amendment, Section 6.13 with respect to a change in the fiscal year of Holdings and the Borrower or Section 2.12 with respect to an alternate rate of interest, neither this Agreement nor any Loan Document nor any provision hereof or thereof may be waived, amended or modified except, in the case of this Agreement, pursuant to an agreement or agreements in writing entered into by Holdings, the Borrower and the Required Lenders or, in the case of any other Loan Document, pursuant to an agreement or agreements in writing entered into by the Administrative Agent and the Loan Party or Loan Parties that are parties thereto, in each case with the consent of the Required Lenders;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agreement shall (i) increase the Commitment of any Lender without the written consent of such Lender (it being understood that a waiver of any condition precedent set forth in paragraphs (a) and (b) of Section 4.02 or the waiver of any Default, mandatory prepayment or mandatory reduction of the Commitments shall not constitute an extension or increase of any Commitment of any Lender), (ii) reduce the principal amount of any Loan or LC Disbursement or reduce the reimbursement obligations of the Borrower in respect of the LC Exposure or reduce the rate of interest thereon, or reduce any fees payable hereunder, without the written consent of each Lender directly and adversely affected thereby (it being understood that any change to the definition of Net First Lien Leverage Ratio, Net Secured Leverage Ratio, Net Total Leverage Ratio or in the component definitions thereof shall not constitute a reduction of interest or fees);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only the consent of the Required Lenders shall be necessary to waive any obligation of the Borrower to pay default interest pursuant to Section 2.11(c) or to amend or waive the MFN Protections, (iii) postpone the maturity of any Loan, or the date of any scheduled amortization payment of the principal amount of any Term Loan under Section 2.08 or the applicable Refinancing Amendment, or the reimbursement date with respect to any LC Disbursement, or any date for the payment of any interest or fees payable hereunder, or reduce the amount of, waive or excuse any such payment, or postpone the scheduled date of expiration of any Commitment, without the written consent of each Lender directly and adversely affected thereby, (iv) (x) change Section 2.16(b) or (c) in a manner that would alter the pro rata sharing of payments required thereby or (y) change Section 4.02 of the Collateral Agreement, in each case, without the written consent of each Lender (other than a Defaulting Lender), (v) change any of the provisions of this Section without the written consent of each Lender directly and adversely affected thereby, (vi) change the percentage set forth in the definition of “Required Lenders”, “Majority in Interest” or any other provision of any Loan Document specifying the number or percentage of Lenders (or Lenders of any Class) required to waive, amend or modify any rights thereunder or make any determination or grant any consent thereunder, without the written consent of each Lender (or each Lender of such Class, as the case may be), (vii) release all or substantially all the value of the Guarantees under the Guarantee Agreement (except as expressly provided in the Guarantee Agreement) without the written consent of each Lender (other than a Defaulting Lender) (except as expressly provided in the Security Documents), (viii) release all or substantially all the Collateral from the Liens of the Security Documents, without the written consent of each Lender (other than a Defaulting Lender), (ix) change any provisions of any Loan Document in a manner that by its terms adversely affects the rights in respect of payments due to Lenders holding Loans of any Class differently than those holding Loans of any other Class, without the written consent of Lenders (other than a Defaulting Lender) holding a Majority in Interest of the outstanding Loans and unused Commitments of each affected Class, or (x) change the rights of the Term Lenders to decline mandatory prepayments as provided in Section 2.09 or the rights of any Additional Lenders of any Class to decline mandatory prepayments of Term Loans of such Class as provided in the applicable Refinancing Amendment, without the written consent of a Majority in Interest of the Term Lenders or Additional Lenders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170</w:t>
      </w:r>
    </w:p>
    <w:p>
      <w:pPr>
        <w:sectPr>
          <w:pgSz w:w="11900" w:h="16838" w:orient="portrait"/>
          <w:cols w:equalWidth="0" w:num="1">
            <w:col w:w="11260"/>
          </w:cols>
          <w:pgMar w:left="320" w:top="1440" w:right="319" w:bottom="1440" w:gutter="0" w:footer="0" w:header="0"/>
        </w:sectPr>
      </w:pPr>
    </w:p>
    <w:bookmarkStart w:id="344" w:name="page345"/>
    <w:bookmarkEnd w:id="344"/>
    <w:p>
      <w:pPr>
        <w:spacing w:after="0" w:line="390" w:lineRule="exact"/>
        <w:rPr>
          <w:sz w:val="20"/>
          <w:szCs w:val="20"/>
          <w:color w:val="auto"/>
        </w:rPr>
      </w:pPr>
    </w:p>
    <w:p>
      <w:pPr>
        <w:jc w:val="both"/>
        <w:ind w:left="5" w:right="20"/>
        <w:spacing w:after="0" w:line="233" w:lineRule="auto"/>
        <w:rPr>
          <w:sz w:val="20"/>
          <w:szCs w:val="20"/>
          <w:color w:val="auto"/>
        </w:rPr>
      </w:pPr>
      <w:r>
        <w:rPr>
          <w:rFonts w:ascii="Arial" w:cs="Arial" w:eastAsia="Arial" w:hAnsi="Arial"/>
          <w:sz w:val="15"/>
          <w:szCs w:val="15"/>
          <w:color w:val="auto"/>
        </w:rPr>
        <w:t xml:space="preserve">Class, as applicable;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further</w:t>
      </w:r>
      <w:r>
        <w:rPr>
          <w:rFonts w:ascii="Arial" w:cs="Arial" w:eastAsia="Arial" w:hAnsi="Arial"/>
          <w:sz w:val="15"/>
          <w:szCs w:val="15"/>
          <w:color w:val="auto"/>
        </w:rPr>
        <w:t>, that (A) no such agreement shall amend, modify or otherwise affect the rights or duties of the Administrative Agent, the Swingline Lender or any Issuing Bank without the prior written consent of the Administrative Agent, the Swingline Lender or such Issuing Bank, as the case may be, and (B) any provision of this Agreement or any other Loan Document may be amended by an agreement in writing entered into by Holdings, the Borrower and the Administrative Agent to cure any ambiguity, omission, defect or inconsistency so long as, in each case, the Lenders shall have received at least five Business Days’ prior written notice thereof and the Administrative Agent shall not have received, within five Business Days of the date of such notice to the Lenders, a written notice from the Required Lenders stating that the Required Lenders object to such amendment. Notwithstanding the foregoing, (a) this Agreement may be amended (or amended and restated) with the written consent of the Required Lenders, the Administrative Agent, Holdings and the Borrower</w:t>
      </w:r>
    </w:p>
    <w:p>
      <w:pPr>
        <w:spacing w:after="0" w:line="2" w:lineRule="exact"/>
        <w:rPr>
          <w:sz w:val="20"/>
          <w:szCs w:val="20"/>
          <w:color w:val="auto"/>
        </w:rPr>
      </w:pPr>
    </w:p>
    <w:p>
      <w:pPr>
        <w:jc w:val="both"/>
        <w:ind w:left="5" w:hanging="5"/>
        <w:spacing w:after="0" w:line="220" w:lineRule="auto"/>
        <w:tabs>
          <w:tab w:leader="none" w:pos="234" w:val="left"/>
        </w:tabs>
        <w:numPr>
          <w:ilvl w:val="0"/>
          <w:numId w:val="265"/>
        </w:numPr>
        <w:rPr>
          <w:rFonts w:ascii="Arial" w:cs="Arial" w:eastAsia="Arial" w:hAnsi="Arial"/>
          <w:sz w:val="16"/>
          <w:szCs w:val="16"/>
          <w:color w:val="auto"/>
        </w:rPr>
      </w:pPr>
      <w:r>
        <w:rPr>
          <w:rFonts w:ascii="Arial" w:cs="Arial" w:eastAsia="Arial" w:hAnsi="Arial"/>
          <w:sz w:val="16"/>
          <w:szCs w:val="16"/>
          <w:color w:val="auto"/>
        </w:rPr>
        <w:t>to add one or more additional credit facilities to this Agreement and to permit the extensions of credit from time to time outstanding thereunder and the accrued interest and fees in respect thereof to share ratably in the benefits of this Agreement and the other Loan Documents and (ii) to include appropriately the Lenders holding such credit facilities in any determination of the Required Lenders on substantially the same basis as the Lenders prior to such inclusion and (b) guarantees, collateral security documents and related documents executed by Foreign Subsidiaries in connection with this Agreement may be in a form reasonably determined by the Administrative Agent and may be, together with this Agreement, amended and waived with the consent of the Administrative Agent at the request of the Borrower without the need to obtain the consent of any other Lender if such amendment or waiver is delivered in order (i) to comply with local law or advice of local counsel, (ii) to cure ambiguities or defects or (iii) to cause such guarantee, collateral security document or other document to be consistent with this Agreement and the other Loan Documents. Notwithstanding anything to the contrary, only the consent of the Required Revolving Lenders shall be necessary to (1) waive or consent to a waiver of an Event of Default with respect to the Financial Performance Covenant or waive or amend the conditions set forth in Section 4.02 (and Section 4.02 may not be waived or amended in a manner that affects the making of any Revolving Borrowing without the consent of the Required Revolving Lenders) or (2) modify or amend the Financial Performance Covenant (and the Financial Performance Covenant may not be modified or amended without the consent of the Required Revolving Lenders) or Section 7.02 (including, in each case, the related definitions, solely to the extent such definitions are used in such Sections (but not otherwise)) or this sentence.</w:t>
      </w:r>
    </w:p>
    <w:p>
      <w:pPr>
        <w:spacing w:after="0" w:line="131" w:lineRule="exact"/>
        <w:rPr>
          <w:rFonts w:ascii="Arial" w:cs="Arial" w:eastAsia="Arial" w:hAnsi="Arial"/>
          <w:sz w:val="16"/>
          <w:szCs w:val="16"/>
          <w:color w:val="auto"/>
        </w:rPr>
      </w:pPr>
    </w:p>
    <w:p>
      <w:pPr>
        <w:jc w:val="both"/>
        <w:ind w:left="5" w:firstLine="563"/>
        <w:spacing w:after="0" w:line="223" w:lineRule="auto"/>
        <w:tabs>
          <w:tab w:leader="none" w:pos="1133" w:val="left"/>
        </w:tabs>
        <w:numPr>
          <w:ilvl w:val="1"/>
          <w:numId w:val="265"/>
        </w:numPr>
        <w:rPr>
          <w:rFonts w:ascii="Arial" w:cs="Arial" w:eastAsia="Arial" w:hAnsi="Arial"/>
          <w:sz w:val="16"/>
          <w:szCs w:val="16"/>
          <w:color w:val="auto"/>
        </w:rPr>
      </w:pPr>
      <w:r>
        <w:rPr>
          <w:rFonts w:ascii="Arial" w:cs="Arial" w:eastAsia="Arial" w:hAnsi="Arial"/>
          <w:sz w:val="16"/>
          <w:szCs w:val="16"/>
          <w:color w:val="auto"/>
        </w:rPr>
        <w:t>In connection with any proposed amendment, modification, waiver or termination (a “</w:t>
      </w:r>
      <w:r>
        <w:rPr>
          <w:rFonts w:ascii="Arial" w:cs="Arial" w:eastAsia="Arial" w:hAnsi="Arial"/>
          <w:sz w:val="16"/>
          <w:szCs w:val="16"/>
          <w:b w:val="1"/>
          <w:bCs w:val="1"/>
          <w:color w:val="auto"/>
        </w:rPr>
        <w:t>Proposed Change</w:t>
      </w:r>
      <w:r>
        <w:rPr>
          <w:rFonts w:ascii="Arial" w:cs="Arial" w:eastAsia="Arial" w:hAnsi="Arial"/>
          <w:sz w:val="16"/>
          <w:szCs w:val="16"/>
          <w:color w:val="auto"/>
        </w:rPr>
        <w:t>”) requiring the consent of all Lenders or all directly and adversely affected Lenders, if the consent of the Required Lenders (and, to the extent any Proposed Change requires the consent of Lenders holding Loans of any Class pursuant to clause (iv), (ix) or (x) of paragraph (b) of this Section, the consent of a Majority in Interest of the outstanding Loans and unused Commitments of such Class) to such Proposed Change is obtained, but the consent to such Proposed Change of other Lenders whose consent is required is not obtained (any such Lender whose consent is not obtained as described in paragraph (b) of this Section being referred to as a “</w:t>
      </w:r>
      <w:r>
        <w:rPr>
          <w:rFonts w:ascii="Arial" w:cs="Arial" w:eastAsia="Arial" w:hAnsi="Arial"/>
          <w:sz w:val="16"/>
          <w:szCs w:val="16"/>
          <w:b w:val="1"/>
          <w:bCs w:val="1"/>
          <w:color w:val="auto"/>
        </w:rPr>
        <w:t>Non-Consenting Lender</w:t>
      </w:r>
      <w:r>
        <w:rPr>
          <w:rFonts w:ascii="Arial" w:cs="Arial" w:eastAsia="Arial" w:hAnsi="Arial"/>
          <w:sz w:val="16"/>
          <w:szCs w:val="16"/>
          <w:color w:val="auto"/>
        </w:rPr>
        <w:t xml:space="preserve">”), then, so long as the Lender that is acting as Administrative Agent is not a Non-Consenting Lender, the Borrower may, at its sole expense and effort, upon notice to such Non-Consenting Lender and the Administrative Agent, require such Non-Consenting Lender to assign and delegate, without recourse (in accordance with and subject to the restrictions contained in Section 9.04), all its interests, rights and obligations under this Agreement to an Eligible Assignee that shall assume such obligations (which Eligible Assignee may be another Lender, if a Lender accepts such assignment),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the Borrower shall have received the prior written consent of the Administrative Agent to the extent such consent would be required under Section 9.04(b) for an assignment of Loans or Commitments, as applicable (and, if a Revolving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4"/>
        <w:spacing w:after="0"/>
        <w:rPr>
          <w:sz w:val="20"/>
          <w:szCs w:val="20"/>
          <w:color w:val="auto"/>
        </w:rPr>
      </w:pPr>
      <w:r>
        <w:rPr>
          <w:rFonts w:ascii="Arial" w:cs="Arial" w:eastAsia="Arial" w:hAnsi="Arial"/>
          <w:sz w:val="17"/>
          <w:szCs w:val="17"/>
          <w:color w:val="auto"/>
        </w:rPr>
        <w:t>171</w:t>
      </w:r>
    </w:p>
    <w:p>
      <w:pPr>
        <w:sectPr>
          <w:pgSz w:w="11900" w:h="16838" w:orient="portrait"/>
          <w:cols w:equalWidth="0" w:num="1">
            <w:col w:w="11265"/>
          </w:cols>
          <w:pgMar w:left="315" w:top="1440" w:right="319" w:bottom="1440" w:gutter="0" w:footer="0" w:header="0"/>
        </w:sectPr>
      </w:pPr>
    </w:p>
    <w:bookmarkStart w:id="345" w:name="page346"/>
    <w:bookmarkEnd w:id="345"/>
    <w:p>
      <w:pPr>
        <w:spacing w:after="0" w:line="389" w:lineRule="exact"/>
        <w:rPr>
          <w:sz w:val="20"/>
          <w:szCs w:val="20"/>
          <w:color w:val="auto"/>
        </w:rPr>
      </w:pPr>
    </w:p>
    <w:p>
      <w:pPr>
        <w:jc w:val="both"/>
        <w:ind w:left="5" w:right="20"/>
        <w:spacing w:after="0" w:line="241" w:lineRule="auto"/>
        <w:rPr>
          <w:sz w:val="20"/>
          <w:szCs w:val="20"/>
          <w:color w:val="auto"/>
        </w:rPr>
      </w:pPr>
      <w:r>
        <w:rPr>
          <w:rFonts w:ascii="Arial" w:cs="Arial" w:eastAsia="Arial" w:hAnsi="Arial"/>
          <w:sz w:val="15"/>
          <w:szCs w:val="15"/>
          <w:color w:val="auto"/>
        </w:rPr>
        <w:t>Commitment is being assigned, each Issuing Bank and the Swingline Lender), which consent shall not unreasonably be withheld, (b) such Non-Consenting Lender shall have received payment of an amount equal to the outstanding par principal amount of its Loans and participations in LC Disbursements and Swingline Lenders, accrued interest thereon, accrued fees and all other amounts payable to it hereunder (including pursuant to Section 2.09(a)(i)) from the Eligible Assignee (to the extent of such outstanding principal and accrued interest and fees) or the Borrower (in the case of all other amounts) and (c) unless waived, the Borrower or such Eligible Assignee shall have paid to the Administrative Agent the processing and recordation fee specified in Section 9.04(b). Each party hereto agrees that an assignment required pursuant to this Section 9.02(c) may be effected pursuant to an Assignment and Assumption executed by the Borrower, the Administrative Agent and the assignee and that the Non-Consenting Lender required to make such assignment need not be a party thereto.</w:t>
      </w:r>
    </w:p>
    <w:p>
      <w:pPr>
        <w:spacing w:after="0" w:line="137" w:lineRule="exact"/>
        <w:rPr>
          <w:sz w:val="20"/>
          <w:szCs w:val="20"/>
          <w:color w:val="auto"/>
        </w:rPr>
      </w:pPr>
    </w:p>
    <w:p>
      <w:pPr>
        <w:jc w:val="both"/>
        <w:ind w:left="5" w:firstLine="563"/>
        <w:spacing w:after="0" w:line="224" w:lineRule="auto"/>
        <w:tabs>
          <w:tab w:leader="none" w:pos="1131" w:val="left"/>
        </w:tabs>
        <w:numPr>
          <w:ilvl w:val="1"/>
          <w:numId w:val="266"/>
        </w:numPr>
        <w:rPr>
          <w:rFonts w:ascii="Arial" w:cs="Arial" w:eastAsia="Arial" w:hAnsi="Arial"/>
          <w:sz w:val="16"/>
          <w:szCs w:val="16"/>
          <w:color w:val="auto"/>
        </w:rPr>
      </w:pPr>
      <w:r>
        <w:rPr>
          <w:rFonts w:ascii="Arial" w:cs="Arial" w:eastAsia="Arial" w:hAnsi="Arial"/>
          <w:sz w:val="16"/>
          <w:szCs w:val="16"/>
          <w:color w:val="auto"/>
        </w:rPr>
        <w:t xml:space="preserve">Notwithstanding anything in this Agreement or the other Loan Documents to the contrary, (i) the Revolving Commitments and Revolving Exposure of any Lender that is at the time a Defaulting Lender shall not have any voting or approval rights under the Loan Documents and shall be excluded in determining whether all Lenders (or all Lenders of a Class), all affected Lenders (or all affected Lenders of a Class), a Majority in Interest of Lenders of any Class, the Required Lenders or the Required Revolving Lenders have taken or may take any action hereunder (including any consent to any amendment or waiver pursuant to this Section 9.02);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(x) the Commitment of any Defaulting Lender may not be increased or extended without the consent of such Lender and (y) any waiver, amendment or modification requiring the consent of all Lenders or each affected Lender that affects any Defaulting Lender more adversely than other affected Lenders shall require the consent of such Defaulting Lender, and (ii) no Net Short Lender shall have any right to approve or disapprove any amendment, waiver or consent hereunder or under any of the Loan Documents or given any notice of any Default under any Loan Document and instead shall be deemed to have voted its interest as a Lender as provided in this Section 9.02.</w:t>
      </w:r>
    </w:p>
    <w:p>
      <w:pPr>
        <w:spacing w:after="0" w:line="135" w:lineRule="exact"/>
        <w:rPr>
          <w:rFonts w:ascii="Arial" w:cs="Arial" w:eastAsia="Arial" w:hAnsi="Arial"/>
          <w:sz w:val="16"/>
          <w:szCs w:val="16"/>
          <w:color w:val="auto"/>
        </w:rPr>
      </w:pPr>
    </w:p>
    <w:p>
      <w:pPr>
        <w:jc w:val="both"/>
        <w:ind w:left="5" w:right="20" w:firstLine="563"/>
        <w:spacing w:after="0" w:line="225" w:lineRule="auto"/>
        <w:tabs>
          <w:tab w:leader="none" w:pos="1133" w:val="left"/>
        </w:tabs>
        <w:numPr>
          <w:ilvl w:val="1"/>
          <w:numId w:val="266"/>
        </w:numPr>
        <w:rPr>
          <w:rFonts w:ascii="Arial" w:cs="Arial" w:eastAsia="Arial" w:hAnsi="Arial"/>
          <w:sz w:val="16"/>
          <w:szCs w:val="16"/>
          <w:color w:val="auto"/>
        </w:rPr>
      </w:pPr>
      <w:r>
        <w:rPr>
          <w:rFonts w:ascii="Arial" w:cs="Arial" w:eastAsia="Arial" w:hAnsi="Arial"/>
          <w:sz w:val="16"/>
          <w:szCs w:val="16"/>
          <w:color w:val="auto"/>
        </w:rPr>
        <w:t>Notwithstanding anything to the contrary herein, in connection with any determination as to whether the requisite Lenders have (A) consented (or not consented) to any amendment or waiver of any provision of this Agreement or any other Loan Document or any departure by any Loan Party therefrom,</w:t>
      </w:r>
    </w:p>
    <w:p>
      <w:pPr>
        <w:jc w:val="both"/>
        <w:ind w:left="5" w:hanging="5"/>
        <w:spacing w:after="0" w:line="220" w:lineRule="auto"/>
        <w:tabs>
          <w:tab w:leader="none" w:pos="283" w:val="left"/>
        </w:tabs>
        <w:numPr>
          <w:ilvl w:val="0"/>
          <w:numId w:val="267"/>
        </w:numPr>
        <w:rPr>
          <w:rFonts w:ascii="Arial" w:cs="Arial" w:eastAsia="Arial" w:hAnsi="Arial"/>
          <w:sz w:val="16"/>
          <w:szCs w:val="16"/>
          <w:color w:val="auto"/>
        </w:rPr>
      </w:pPr>
      <w:r>
        <w:rPr>
          <w:rFonts w:ascii="Arial" w:cs="Arial" w:eastAsia="Arial" w:hAnsi="Arial"/>
          <w:sz w:val="16"/>
          <w:szCs w:val="16"/>
          <w:color w:val="auto"/>
        </w:rPr>
        <w:t>otherwise acted on any matter related to any Loan Document, or (C) directed or required the Administrative Agent or any Lender to undertake any action (or refrain from taking any action) with respect to or under any Loan Document, any Lender (alone or together with its Affiliates (other than Ethically Screened Affiliates) (but subject to clause (vi) below)) (other than any Lender that is a Revolving Lender as of the Closing Date or Affiliate of such Lender or any Lender that is a Regulated Bank) that, as a result of its (or its Affiliates (other than Ethically Screened Affiliates)) interest in any total return swap, total rate of return swap, credit default swap or other derivative contract (other than any such total return swap, total rate of return swap, credit default swap or other derivative contract entered into pursuant to bona fide market making activities), has a net short position with respect to the Loans and/or Commitments (each, a “</w:t>
      </w:r>
      <w:r>
        <w:rPr>
          <w:rFonts w:ascii="Arial" w:cs="Arial" w:eastAsia="Arial" w:hAnsi="Arial"/>
          <w:sz w:val="16"/>
          <w:szCs w:val="16"/>
          <w:b w:val="1"/>
          <w:bCs w:val="1"/>
          <w:color w:val="auto"/>
        </w:rPr>
        <w:t>Net Short</w:t>
      </w:r>
      <w:r>
        <w:rPr>
          <w:rFonts w:ascii="Arial" w:cs="Arial" w:eastAsia="Arial" w:hAnsi="Arial"/>
          <w:sz w:val="16"/>
          <w:szCs w:val="16"/>
          <w:color w:val="auto"/>
        </w:rPr>
        <w:t xml:space="preserve"> </w:t>
      </w:r>
      <w:r>
        <w:rPr>
          <w:rFonts w:ascii="Arial" w:cs="Arial" w:eastAsia="Arial" w:hAnsi="Arial"/>
          <w:sz w:val="16"/>
          <w:szCs w:val="16"/>
          <w:b w:val="1"/>
          <w:bCs w:val="1"/>
          <w:color w:val="auto"/>
        </w:rPr>
        <w:t>Lender</w:t>
      </w:r>
      <w:r>
        <w:rPr>
          <w:rFonts w:ascii="Arial" w:cs="Arial" w:eastAsia="Arial" w:hAnsi="Arial"/>
          <w:sz w:val="16"/>
          <w:szCs w:val="16"/>
          <w:color w:val="auto"/>
        </w:rPr>
        <w:t>”) shall have no right to vote any of its Loans and Commitments and shall be deemed to have voted its interest as a Lender without discretion in the same</w:t>
      </w:r>
      <w:r>
        <w:rPr>
          <w:rFonts w:ascii="Arial" w:cs="Arial" w:eastAsia="Arial" w:hAnsi="Arial"/>
          <w:sz w:val="16"/>
          <w:szCs w:val="16"/>
          <w:b w:val="1"/>
          <w:bCs w:val="1"/>
          <w:color w:val="auto"/>
        </w:rPr>
        <w:t xml:space="preserve"> </w:t>
      </w:r>
      <w:r>
        <w:rPr>
          <w:rFonts w:ascii="Arial" w:cs="Arial" w:eastAsia="Arial" w:hAnsi="Arial"/>
          <w:sz w:val="16"/>
          <w:szCs w:val="16"/>
          <w:color w:val="auto"/>
        </w:rPr>
        <w:t>proportion as the allocation of voting with respect to such matter by Lenders who are not Net Short Lenders (in each case unless otherwise agreed to by the Borrower). In connection with any such determination, each Lender (other than (any Lender that is a Regulated Bank) shall promptly notify the Administrative Agent in writing that it is a Net Short Lender, or shall otherwise be deemed to have represented and warranted to the Borrower and the Administrative Agent that it is not a Net Short Lender (it being understood and agreed that (i) the Borrower and the Administrative Agent shall be entitled to rely on each such representation and deemed representation and (ii) the Administrative Agent shall be entitled to the exculpatory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4"/>
        <w:spacing w:after="0"/>
        <w:rPr>
          <w:sz w:val="20"/>
          <w:szCs w:val="20"/>
          <w:color w:val="auto"/>
        </w:rPr>
      </w:pPr>
      <w:r>
        <w:rPr>
          <w:rFonts w:ascii="Arial" w:cs="Arial" w:eastAsia="Arial" w:hAnsi="Arial"/>
          <w:sz w:val="17"/>
          <w:szCs w:val="17"/>
          <w:color w:val="auto"/>
        </w:rPr>
        <w:t>172</w:t>
      </w:r>
    </w:p>
    <w:p>
      <w:pPr>
        <w:sectPr>
          <w:pgSz w:w="11900" w:h="16838" w:orient="portrait"/>
          <w:cols w:equalWidth="0" w:num="1">
            <w:col w:w="11265"/>
          </w:cols>
          <w:pgMar w:left="315" w:top="1440" w:right="319" w:bottom="1440" w:gutter="0" w:footer="0" w:header="0"/>
        </w:sectPr>
      </w:pPr>
    </w:p>
    <w:bookmarkStart w:id="346" w:name="page347"/>
    <w:bookmarkEnd w:id="346"/>
    <w:p>
      <w:pPr>
        <w:spacing w:after="0" w:line="389" w:lineRule="exact"/>
        <w:rPr>
          <w:sz w:val="20"/>
          <w:szCs w:val="20"/>
          <w:color w:val="auto"/>
        </w:rPr>
      </w:pPr>
    </w:p>
    <w:p>
      <w:pPr>
        <w:jc w:val="both"/>
        <w:spacing w:after="0"/>
        <w:rPr>
          <w:sz w:val="20"/>
          <w:szCs w:val="20"/>
          <w:color w:val="auto"/>
        </w:rPr>
      </w:pPr>
      <w:r>
        <w:rPr>
          <w:rFonts w:ascii="Arial" w:cs="Arial" w:eastAsia="Arial" w:hAnsi="Arial"/>
          <w:sz w:val="15"/>
          <w:szCs w:val="15"/>
          <w:color w:val="auto"/>
        </w:rPr>
        <w:t>provisions of Section 8.01 with respect to each such representation and deemed representation). In respect of any notice of Default, such representation shall be deemed repeated at all times until the resulting Event of Default is cured or otherwise ceases to exist or the Loans are accelerated. For purposes of determining whether a Lender (alone or together with its Affiliates (other than Ethically Screened Affiliates), but subject to clause (vi) below)) has a “net short position” on any date of determination: (i) derivative contracts with respect to the Loans and/or Commitments and such contracts that are the functional equivalent thereof shall be counted at the notional amount thereof in dollars, (ii) notional amounts in other currencies shall be converted to the dollar equivalent thereof by such Lender in a commercially reasonable manner consistent with generally accepted financial practices and based on the prevailing conversion rate (determined on a mid-market basis) on the date of determination, (iii) derivative contracts in respect of an index that includes any of the Borrower or other Loan Parties or any instrument issued or guaranteed by any of the Borrower or other Loan Parties shall not be deemed to create a short position with respect to the Loans and/or Commitments, so long as (x) such index is not created, designed, administered or requested by such Lender or its Affiliates (other than its Excluded Affiliates or Ethically Screened Affiliates) and (y) the Borrower and other Loan Parties and any instrument issued or guaranteed by any of the Borrower or other Loan Parties, collectively, shall represent less than 5% of the components of such index, (iv) derivative transactions that are documented using the ISDA Definitions shall be deemed to create a short position with respect to the Loans and/or Commitments if such Lender (or any of its Affiliates (other than its Excluded Affiliates or Ethically Screened Affiliates) is a protection buyer or the equivalent thereof for such derivative transaction and (x) the Loans and/or the Commitments are a “Reference Obligation” under the terms of such derivative transaction (whether specified by name in the related documentation, included as a “Standard Reference Obligation” on the most recent list published by Markit, if “Standard Reference Obligation” is specified as applicable in the relevant documentation or in any other manner), (y) the Loans and/or the Commitments would be a “Deliverable Obligation” under the terms of such derivative transaction or (z) any of the Borrower or other Loan Parties (or any of their successors) is designated as a “Reference Entity” under the terms of such derivative transactions, (v) credit derivative transactions or other derivatives transactions not documented using the ISDA Definitions shall be deemed to create a short position with respect to the Loans and/or Commitments if such transactions are functionally equivalent to a transaction that offers the Lender or its Affiliates (other than Ethically Screened Affiliates) protection in respect of either (1) the Loans and/or the Commitments, or as to the credit quality of any of the Borrower or other Loan Parties other than, in each case, as part of an index so long as (x) such index is not created, designed, administered or requested by such Lender or its Affiliates (other than its Excluded Affiliates and Ethically Screened Affiliates) and (y) the Borrower and other Loan Parties and any instrument issued or guaranteed by any of the Borrower or other Loan Parties, collectively, shall represent less than 5% of the components of such index and (vi) in connection with any such determination, each Lender shall provide a certification or deemed certification to the Administrative Agent and the Borrower that such Lender is not coordinating or acting in concert with any of its Affiliates (other than any Ethically Screened Affiliates or any other Affiliates designated in writing by such Lender whose interests in the Loans and/or Commitments and/or any applicable total return swap, total rate of return swap, credit default swap or other derivative contract shall be included in determining whether such Lender is a Net Short Lender (each, a “</w:t>
      </w:r>
      <w:r>
        <w:rPr>
          <w:rFonts w:ascii="Arial" w:cs="Arial" w:eastAsia="Arial" w:hAnsi="Arial"/>
          <w:sz w:val="15"/>
          <w:szCs w:val="15"/>
          <w:b w:val="1"/>
          <w:bCs w:val="1"/>
          <w:color w:val="auto"/>
        </w:rPr>
        <w:t>Designated Affiliate</w:t>
      </w:r>
      <w:r>
        <w:rPr>
          <w:rFonts w:ascii="Arial" w:cs="Arial" w:eastAsia="Arial" w:hAnsi="Arial"/>
          <w:sz w:val="15"/>
          <w:szCs w:val="15"/>
          <w:color w:val="auto"/>
        </w:rPr>
        <w:t>”)) with respect to its interest in the Loans and/or Commitments and/or any applicable total return swap, total rate of return swap, credit default swap or other derivative contract, in which case the interests of the Affiliates (other than any Designated Affiliates) of such Lender in any Loans and/or Commitments and/or any applicable total return swap, total rate of return swap, credit default swap or other derivative contract shall not be included in determining whether such Lender is a Net Short Lender (any such Affiliate in clause (A) or (B) above (other than any Designated Affiliates) whose Loans and/or Commitments and/or any applicable total return swap,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173</w:t>
      </w:r>
    </w:p>
    <w:p>
      <w:pPr>
        <w:sectPr>
          <w:pgSz w:w="11900" w:h="16838" w:orient="portrait"/>
          <w:cols w:equalWidth="0" w:num="1">
            <w:col w:w="11260"/>
          </w:cols>
          <w:pgMar w:left="320" w:top="1440" w:right="319" w:bottom="1440" w:gutter="0" w:footer="0" w:header="0"/>
        </w:sectPr>
      </w:pPr>
    </w:p>
    <w:bookmarkStart w:id="347" w:name="page348"/>
    <w:bookmarkEnd w:id="347"/>
    <w:p>
      <w:pPr>
        <w:spacing w:after="0" w:line="389" w:lineRule="exact"/>
        <w:rPr>
          <w:sz w:val="20"/>
          <w:szCs w:val="20"/>
          <w:color w:val="auto"/>
        </w:rPr>
      </w:pPr>
    </w:p>
    <w:p>
      <w:pPr>
        <w:jc w:val="both"/>
        <w:ind w:left="5"/>
        <w:spacing w:after="0" w:line="214" w:lineRule="auto"/>
        <w:rPr>
          <w:sz w:val="20"/>
          <w:szCs w:val="20"/>
          <w:color w:val="auto"/>
        </w:rPr>
      </w:pPr>
      <w:r>
        <w:rPr>
          <w:rFonts w:ascii="Arial" w:cs="Arial" w:eastAsia="Arial" w:hAnsi="Arial"/>
          <w:sz w:val="17"/>
          <w:szCs w:val="17"/>
          <w:color w:val="auto"/>
        </w:rPr>
        <w:t>total rate of return swap, credit default swap or other derivative contract are not included in determining whether such Lender is a Net Short Lender, an “</w:t>
      </w:r>
      <w:r>
        <w:rPr>
          <w:rFonts w:ascii="Arial" w:cs="Arial" w:eastAsia="Arial" w:hAnsi="Arial"/>
          <w:sz w:val="17"/>
          <w:szCs w:val="17"/>
          <w:b w:val="1"/>
          <w:bCs w:val="1"/>
          <w:color w:val="auto"/>
        </w:rPr>
        <w:t>Excluded Affiliate</w:t>
      </w:r>
      <w:r>
        <w:rPr>
          <w:rFonts w:ascii="Arial" w:cs="Arial" w:eastAsia="Arial" w:hAnsi="Arial"/>
          <w:sz w:val="17"/>
          <w:szCs w:val="17"/>
          <w:color w:val="auto"/>
        </w:rPr>
        <w:t>”). In connection with any such determination, each Lender shall promptly notify the Administrative Agent in writing that it is a Net Short Lender, or shall otherwise be deemed to have represented and warranted to the Borrower and the Administrative Agent that it is not a Net Short Lender (it being understood and agreed that the Borrower and the Administrative Agent shall be entitled to rely on each such representation and deemed representation). Notwithstanding the foregoing, this Section 9.02(e) shall not apply to any Lender that is a Revolving Lender as of the Closing Date or any Lender that is a Regulated Bank or any of their respective Affiliates.</w:t>
      </w:r>
    </w:p>
    <w:p>
      <w:pPr>
        <w:spacing w:after="0" w:line="138" w:lineRule="exact"/>
        <w:rPr>
          <w:sz w:val="20"/>
          <w:szCs w:val="20"/>
          <w:color w:val="auto"/>
        </w:rPr>
      </w:pPr>
    </w:p>
    <w:p>
      <w:pPr>
        <w:ind w:left="565"/>
        <w:spacing w:after="0"/>
        <w:tabs>
          <w:tab w:leader="none" w:pos="1685" w:val="left"/>
        </w:tabs>
        <w:rPr>
          <w:sz w:val="20"/>
          <w:szCs w:val="20"/>
          <w:color w:val="auto"/>
        </w:rPr>
      </w:pPr>
      <w:r>
        <w:rPr>
          <w:rFonts w:ascii="Arial" w:cs="Arial" w:eastAsia="Arial" w:hAnsi="Arial"/>
          <w:sz w:val="17"/>
          <w:szCs w:val="17"/>
          <w:color w:val="auto"/>
        </w:rPr>
        <w:t>Section 1.03.</w:t>
      </w:r>
      <w:r>
        <w:rPr>
          <w:sz w:val="20"/>
          <w:szCs w:val="20"/>
          <w:color w:val="auto"/>
        </w:rPr>
        <w:tab/>
      </w:r>
      <w:r>
        <w:rPr>
          <w:rFonts w:ascii="Arial" w:cs="Arial" w:eastAsia="Arial" w:hAnsi="Arial"/>
          <w:sz w:val="16"/>
          <w:szCs w:val="16"/>
          <w:i w:val="1"/>
          <w:iCs w:val="1"/>
          <w:color w:val="auto"/>
        </w:rPr>
        <w:t>Expenses; Limitation of Liability; Indemnity, Etc</w:t>
      </w:r>
      <w:r>
        <w:rPr>
          <w:rFonts w:ascii="Arial" w:cs="Arial" w:eastAsia="Arial" w:hAnsi="Arial"/>
          <w:sz w:val="16"/>
          <w:szCs w:val="16"/>
          <w:color w:val="auto"/>
        </w:rPr>
        <w:t>.</w:t>
      </w:r>
    </w:p>
    <w:p>
      <w:pPr>
        <w:spacing w:after="0" w:line="160" w:lineRule="exact"/>
        <w:rPr>
          <w:sz w:val="20"/>
          <w:szCs w:val="20"/>
          <w:color w:val="auto"/>
        </w:rPr>
      </w:pPr>
    </w:p>
    <w:p>
      <w:pPr>
        <w:jc w:val="both"/>
        <w:ind w:left="5" w:firstLine="563"/>
        <w:spacing w:after="0" w:line="232" w:lineRule="auto"/>
        <w:tabs>
          <w:tab w:leader="none" w:pos="1133" w:val="left"/>
        </w:tabs>
        <w:numPr>
          <w:ilvl w:val="1"/>
          <w:numId w:val="268"/>
        </w:numPr>
        <w:rPr>
          <w:rFonts w:ascii="Arial" w:cs="Arial" w:eastAsia="Arial" w:hAnsi="Arial"/>
          <w:sz w:val="15"/>
          <w:szCs w:val="15"/>
          <w:color w:val="auto"/>
        </w:rPr>
      </w:pPr>
      <w:r>
        <w:rPr>
          <w:rFonts w:ascii="Arial" w:cs="Arial" w:eastAsia="Arial" w:hAnsi="Arial"/>
          <w:sz w:val="15"/>
          <w:szCs w:val="15"/>
          <w:color w:val="auto"/>
        </w:rPr>
        <w:t>The Borrower shall pay (i) all reasonable and documented or invoiced out-of-pocket costs and expenses incurred by the Administrative Agent, the Lead Arrangers, each Issuing Bank, the Swingline Lender, the Lenders and their respective Affiliates (without duplication), including the reasonable fees, charges and disbursements of Cahill Gordon &amp; Reindel llp and to the extent reasonably determined by the Administrative Agent to be necessary, one local counsel in each applicable jurisdiction (exclusive of any reasonably necessary special counsel) for the Administrative Agent and, in the case of an actual or reasonably perceived conflict of interest, one additional counsel per affected party, and any other counsel retained with the Borrower’s consent (such consent not to be unreasonably withheld or delayed), in connection with the syndication of the credit facilities provided for herein, and the preparation, execution, delivery and administration of the Loan Documents or any amendments, modifications or waivers of the provisions thereof (whether or not successful) (ii) all reasonable and documented or invoiced out-of-pocket costs and expenses incurred by each Issuing Bank in connection with the issuance, amendment, renewal or extension of any Letter of Credit or any demand for payment thereunder and (iii) all reasonable and documented or invoiced out-of-pocket expenses incurred by the Administrative Agent, each Issuing Bank or any Lender, including the fees, charges and disbursements of counsel for the Administrative Agent, the Issuing Banks and the Lenders, in connection with the enforcement or protection of any rights or remedies (A) in connection with the Loan Documents (including all such costs and expenses incurred during any legal proceeding, including any proceeding under any Debtor Relief Laws), including its rights under this Section or</w:t>
      </w:r>
    </w:p>
    <w:p>
      <w:pPr>
        <w:spacing w:after="0" w:line="2" w:lineRule="exact"/>
        <w:rPr>
          <w:rFonts w:ascii="Arial" w:cs="Arial" w:eastAsia="Arial" w:hAnsi="Arial"/>
          <w:sz w:val="15"/>
          <w:szCs w:val="15"/>
          <w:color w:val="auto"/>
        </w:rPr>
      </w:pPr>
    </w:p>
    <w:p>
      <w:pPr>
        <w:jc w:val="both"/>
        <w:ind w:left="5" w:hanging="5"/>
        <w:spacing w:after="0" w:line="213" w:lineRule="auto"/>
        <w:tabs>
          <w:tab w:leader="none" w:pos="290" w:val="left"/>
        </w:tabs>
        <w:numPr>
          <w:ilvl w:val="0"/>
          <w:numId w:val="269"/>
        </w:numPr>
        <w:rPr>
          <w:rFonts w:ascii="Arial" w:cs="Arial" w:eastAsia="Arial" w:hAnsi="Arial"/>
          <w:sz w:val="17"/>
          <w:szCs w:val="17"/>
          <w:color w:val="auto"/>
        </w:rPr>
      </w:pPr>
      <w:r>
        <w:rPr>
          <w:rFonts w:ascii="Arial" w:cs="Arial" w:eastAsia="Arial" w:hAnsi="Arial"/>
          <w:sz w:val="17"/>
          <w:szCs w:val="17"/>
          <w:color w:val="auto"/>
        </w:rPr>
        <w:t xml:space="preserve">in connection with the Loans made or Letters of Credit issued hereunder, including all such out-of-pocket costs and expenses incurred during any workout, restructuring or negotiations in respect of such Loans or Letters of Credit;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counsel shall be limited to one lead counsel and such local counsel (exclusive of any reasonably necessary special counsel) as may reasonably be deemed necessary by the Administrative Agent in each relevant jurisdiction and, in the case of an actual or reasonably perceived conflict of interest, one additional counsel per affected party, and any other counsel retained with the Borrower’s consent (such consent not to be unreasonably withheld or delayed).</w:t>
      </w:r>
    </w:p>
    <w:p>
      <w:pPr>
        <w:spacing w:after="0" w:line="136" w:lineRule="exact"/>
        <w:rPr>
          <w:rFonts w:ascii="Arial" w:cs="Arial" w:eastAsia="Arial" w:hAnsi="Arial"/>
          <w:sz w:val="17"/>
          <w:szCs w:val="17"/>
          <w:color w:val="auto"/>
        </w:rPr>
      </w:pPr>
    </w:p>
    <w:p>
      <w:pPr>
        <w:jc w:val="both"/>
        <w:ind w:left="5" w:firstLine="563"/>
        <w:spacing w:after="0" w:line="213" w:lineRule="auto"/>
        <w:tabs>
          <w:tab w:leader="none" w:pos="1131" w:val="left"/>
        </w:tabs>
        <w:numPr>
          <w:ilvl w:val="1"/>
          <w:numId w:val="269"/>
        </w:numPr>
        <w:rPr>
          <w:rFonts w:ascii="Arial" w:cs="Arial" w:eastAsia="Arial" w:hAnsi="Arial"/>
          <w:sz w:val="17"/>
          <w:szCs w:val="17"/>
          <w:color w:val="auto"/>
        </w:rPr>
      </w:pPr>
      <w:r>
        <w:rPr>
          <w:rFonts w:ascii="Arial" w:cs="Arial" w:eastAsia="Arial" w:hAnsi="Arial"/>
          <w:sz w:val="17"/>
          <w:szCs w:val="17"/>
          <w:color w:val="auto"/>
        </w:rPr>
        <w:t>To the extent permitted by applicable law (i) the Borrower and any Loan Party shall not assert, and the Borrower and each Loan Party hereby waives, any claim against the Administrative Agent, any Arranger, any Issuing Bank and any Lender, and any Related Party of any of the foregoing Persons (each such Person being called a “</w:t>
      </w:r>
      <w:r>
        <w:rPr>
          <w:rFonts w:ascii="Arial" w:cs="Arial" w:eastAsia="Arial" w:hAnsi="Arial"/>
          <w:sz w:val="17"/>
          <w:szCs w:val="17"/>
          <w:b w:val="1"/>
          <w:bCs w:val="1"/>
          <w:color w:val="auto"/>
        </w:rPr>
        <w:t>Lender-Related Person</w:t>
      </w:r>
      <w:r>
        <w:rPr>
          <w:rFonts w:ascii="Arial" w:cs="Arial" w:eastAsia="Arial" w:hAnsi="Arial"/>
          <w:sz w:val="17"/>
          <w:szCs w:val="17"/>
          <w:color w:val="auto"/>
        </w:rPr>
        <w:t>”) for any Liabilities arising from the use by unintended recipients of information or other materials (including, without limitation, any personal data) obtained through telecommunications, electronic or other information transmission systems (including the Internet), and (ii) no party hereto shall assert, and each such party hereby waives, any Liabilities against any other party hereto, on any theory of liability, for special, indirect, consequential or punitive damages (as opposed to direct or actual damages) arising out of, in connection with, or as a result of, this Agreement,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4"/>
        <w:spacing w:after="0"/>
        <w:rPr>
          <w:sz w:val="20"/>
          <w:szCs w:val="20"/>
          <w:color w:val="auto"/>
        </w:rPr>
      </w:pPr>
      <w:r>
        <w:rPr>
          <w:rFonts w:ascii="Arial" w:cs="Arial" w:eastAsia="Arial" w:hAnsi="Arial"/>
          <w:sz w:val="17"/>
          <w:szCs w:val="17"/>
          <w:color w:val="auto"/>
        </w:rPr>
        <w:t>174</w:t>
      </w:r>
    </w:p>
    <w:p>
      <w:pPr>
        <w:sectPr>
          <w:pgSz w:w="11900" w:h="16838" w:orient="portrait"/>
          <w:cols w:equalWidth="0" w:num="1">
            <w:col w:w="11265"/>
          </w:cols>
          <w:pgMar w:left="315" w:top="1440" w:right="319" w:bottom="1440" w:gutter="0" w:footer="0" w:header="0"/>
        </w:sectPr>
      </w:pPr>
    </w:p>
    <w:bookmarkStart w:id="348" w:name="page349"/>
    <w:bookmarkEnd w:id="348"/>
    <w:p>
      <w:pPr>
        <w:spacing w:after="0" w:line="390" w:lineRule="exact"/>
        <w:rPr>
          <w:sz w:val="20"/>
          <w:szCs w:val="20"/>
          <w:color w:val="auto"/>
        </w:rPr>
      </w:pPr>
    </w:p>
    <w:p>
      <w:pPr>
        <w:jc w:val="both"/>
        <w:spacing w:after="0"/>
        <w:rPr>
          <w:sz w:val="20"/>
          <w:szCs w:val="20"/>
          <w:color w:val="auto"/>
        </w:rPr>
      </w:pPr>
      <w:r>
        <w:rPr>
          <w:rFonts w:ascii="Arial" w:cs="Arial" w:eastAsia="Arial" w:hAnsi="Arial"/>
          <w:sz w:val="16"/>
          <w:szCs w:val="16"/>
          <w:color w:val="auto"/>
        </w:rPr>
        <w:t xml:space="preserve">Loan Document, or any agreement or instrument contemplated hereby or thereby, the Transactions, any Loan or Letter of Credit or the use of the proceeds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nothing in this Section 9.03(b) shall relieve the Borrower and each Loan Party of any obligation it may have to indemnify an Indemnitee, as provided in Section 9.03(c), against any special, indirect, consequential or punitive damages asserted against such Indemnitee by a third party.</w:t>
      </w:r>
    </w:p>
    <w:p>
      <w:pPr>
        <w:spacing w:after="0" w:line="135" w:lineRule="exact"/>
        <w:rPr>
          <w:sz w:val="20"/>
          <w:szCs w:val="20"/>
          <w:color w:val="auto"/>
        </w:rPr>
      </w:pPr>
    </w:p>
    <w:p>
      <w:pPr>
        <w:jc w:val="both"/>
        <w:ind w:firstLine="563"/>
        <w:spacing w:after="0"/>
        <w:tabs>
          <w:tab w:leader="none" w:pos="1128" w:val="left"/>
        </w:tabs>
        <w:numPr>
          <w:ilvl w:val="0"/>
          <w:numId w:val="270"/>
        </w:numPr>
        <w:rPr>
          <w:rFonts w:ascii="Arial" w:cs="Arial" w:eastAsia="Arial" w:hAnsi="Arial"/>
          <w:sz w:val="15"/>
          <w:szCs w:val="15"/>
          <w:color w:val="auto"/>
        </w:rPr>
      </w:pPr>
      <w:r>
        <w:rPr>
          <w:rFonts w:ascii="Arial" w:cs="Arial" w:eastAsia="Arial" w:hAnsi="Arial"/>
          <w:sz w:val="15"/>
          <w:szCs w:val="15"/>
          <w:color w:val="auto"/>
        </w:rPr>
        <w:t>The Borrower shall indemnify the Administrative Agent, each Issuing Bank, each Lender, the Lead Arrangers, and each Related Party of any of the foregoing Persons (each such Person being called an “</w:t>
      </w:r>
      <w:r>
        <w:rPr>
          <w:rFonts w:ascii="Arial" w:cs="Arial" w:eastAsia="Arial" w:hAnsi="Arial"/>
          <w:sz w:val="15"/>
          <w:szCs w:val="15"/>
          <w:b w:val="1"/>
          <w:bCs w:val="1"/>
          <w:color w:val="auto"/>
        </w:rPr>
        <w:t>Indemnitee</w:t>
      </w:r>
      <w:r>
        <w:rPr>
          <w:rFonts w:ascii="Arial" w:cs="Arial" w:eastAsia="Arial" w:hAnsi="Arial"/>
          <w:sz w:val="15"/>
          <w:szCs w:val="15"/>
          <w:color w:val="auto"/>
        </w:rPr>
        <w:t>”) against, and hold each Indemnitee harmless from, any and all Liabilities and reasonable and documented or invoiced out-of-pocket fees and expenses of any counsel for any Indemnitee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such counsel shall be limited to one lead counsel and such local counsel (exclusive of any reasonably necessary special counsel) as may reasonably be deemed necessary by the Indemnitees in each relevant jurisdiction and, in the case of an actual or perceived conflict of interest, one additional counsel per affected party), incurred by or asserted against any Indemnitee by any third party or by the Borrower, Holdings or any Subsidiary arising out of, in connection with, or as a result of (i) the execution or delivery of this Agreement, any Loan Document or any other agreement or instrument contemplated hereby or thereby, (ii) the performance by the parties to the Loan Documents of their respective obligations thereunder or the consummation of the Transactions or any other transactions contemplated thereby, (iii) any action taken in connection with this Agreement, including, but not limited to, the payment of principal, interest and fees, (iv) any Loan or Letter of Credit or the use of the proceeds therefrom (including any refusal by an Issuing Bank to honor a demand for payment under a Letter of Credit if the documents presented in connection with such demand do not strictly comply with the terms of such Letter of Credit), (v) any actual or alleged presence or Release of Hazardous Materials on, at, to or from any Mortgaged Property or any other property currently or formerly owned or operated by Holdings, the Borrower or any Subsidiary, or any other Environmental Liability related in any way to Holdings, the Borrower or any Subsidiary, or (vi) any actual or prospective Proceeding relating to any of the foregoing, whether based on contract, tort or any other theory, whether brought by a third party or by the Borrower, Holdings or any Subsidiary and regardless of whether any Indemnitee is a party thereto;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such indemnity shall not, as to any Indemnitee, be available to the extent that such Liabilities, costs or related expenses (x) resulted from the gross negligence, bad faith or willful misconduct of such Indemnitee or its Related Parties (as determined by a court of competent jurisdiction in a final and non-appealable judgment), (y) resulted from a material breach of the Loan Documents by such Indemnitee or its Related Parties (as determined by a court of competent jurisdiction in a final and non-appealable judgment) or (z) arise from disputes between or among Indemnitees that do not involve an act or omission by Holdings, the Borrower or any Restricted Subsidiary, except that the Administrative Agent and the Lead Arrangers, the Issuing Banks and the Swingline Lender shall be indemnified in their capacities as such with respect to any dispute under this clause (z).</w:t>
      </w:r>
    </w:p>
    <w:p>
      <w:pPr>
        <w:spacing w:after="0" w:line="227" w:lineRule="exact"/>
        <w:rPr>
          <w:rFonts w:ascii="Arial" w:cs="Arial" w:eastAsia="Arial" w:hAnsi="Arial"/>
          <w:sz w:val="15"/>
          <w:szCs w:val="15"/>
          <w:color w:val="auto"/>
        </w:rPr>
      </w:pPr>
    </w:p>
    <w:p>
      <w:pPr>
        <w:jc w:val="both"/>
        <w:ind w:right="20" w:firstLine="563"/>
        <w:spacing w:after="0" w:line="244" w:lineRule="auto"/>
        <w:tabs>
          <w:tab w:leader="none" w:pos="1126" w:val="left"/>
        </w:tabs>
        <w:numPr>
          <w:ilvl w:val="0"/>
          <w:numId w:val="270"/>
        </w:numPr>
        <w:rPr>
          <w:rFonts w:ascii="Arial" w:cs="Arial" w:eastAsia="Arial" w:hAnsi="Arial"/>
          <w:sz w:val="15"/>
          <w:szCs w:val="15"/>
          <w:color w:val="auto"/>
        </w:rPr>
      </w:pPr>
      <w:r>
        <w:rPr>
          <w:rFonts w:ascii="Arial" w:cs="Arial" w:eastAsia="Arial" w:hAnsi="Arial"/>
          <w:sz w:val="15"/>
          <w:szCs w:val="15"/>
          <w:color w:val="auto"/>
        </w:rPr>
        <w:t>Each Lender severally agrees to pay any amount required to be paid by the Borrower under paragraphs (a), (b) or (c) of this Section 9.03 to the Administrative Agent, each Issuing Bank and each Swingline Lender, and each Related Party of any of the foregoing Persons (each, an “</w:t>
      </w:r>
      <w:r>
        <w:rPr>
          <w:rFonts w:ascii="Arial" w:cs="Arial" w:eastAsia="Arial" w:hAnsi="Arial"/>
          <w:sz w:val="15"/>
          <w:szCs w:val="15"/>
          <w:b w:val="1"/>
          <w:bCs w:val="1"/>
          <w:color w:val="auto"/>
        </w:rPr>
        <w:t>Agent-Related Person</w:t>
      </w:r>
      <w:r>
        <w:rPr>
          <w:rFonts w:ascii="Arial" w:cs="Arial" w:eastAsia="Arial" w:hAnsi="Arial"/>
          <w:sz w:val="15"/>
          <w:szCs w:val="15"/>
          <w:color w:val="auto"/>
        </w:rPr>
        <w:t>”) (to the extent not reimbursed by the Borrower and without limiting the obligation of the Borrower to do so), ratably according to their respective Applicable Percentage in effect on the date on which such payment is sought under this Section (or, if such payment is sought after the date upon which the Commitments shall have terminated and the Loans shall have been paid in full, ratably in accordance with such Applicable Percentage immediately prior to such date), and agrees to indemnify and hold each Agent-Related Person harmless from and against any and all Liabilities and related expenses, including the fees, charges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175</w:t>
      </w:r>
    </w:p>
    <w:p>
      <w:pPr>
        <w:sectPr>
          <w:pgSz w:w="11900" w:h="16838" w:orient="portrait"/>
          <w:cols w:equalWidth="0" w:num="1">
            <w:col w:w="11260"/>
          </w:cols>
          <w:pgMar w:left="320" w:top="1440" w:right="319" w:bottom="1440" w:gutter="0" w:footer="0" w:header="0"/>
        </w:sectPr>
      </w:pPr>
    </w:p>
    <w:bookmarkStart w:id="349" w:name="page350"/>
    <w:bookmarkEnd w:id="349"/>
    <w:p>
      <w:pPr>
        <w:spacing w:after="0" w:line="390" w:lineRule="exact"/>
        <w:rPr>
          <w:sz w:val="20"/>
          <w:szCs w:val="20"/>
          <w:color w:val="auto"/>
        </w:rPr>
      </w:pPr>
    </w:p>
    <w:p>
      <w:pPr>
        <w:jc w:val="both"/>
        <w:spacing w:after="0" w:line="211" w:lineRule="auto"/>
        <w:rPr>
          <w:sz w:val="20"/>
          <w:szCs w:val="20"/>
          <w:color w:val="auto"/>
        </w:rPr>
      </w:pPr>
      <w:r>
        <w:rPr>
          <w:rFonts w:ascii="Arial" w:cs="Arial" w:eastAsia="Arial" w:hAnsi="Arial"/>
          <w:sz w:val="17"/>
          <w:szCs w:val="17"/>
          <w:color w:val="auto"/>
        </w:rPr>
        <w:t xml:space="preserve">disbursements of any kind whatsoever that may at any time (whether before or after the payment of the Loans) be imposed on, incurred by or asserted against such Agent-Related Person in any way relating to or arising out of the Commitments, this Agreement, any of the other Loan Documents or any documents contemplated by or referred to herein or therein or the transactions contemplated hereby or thereby or any action taken or omitted by such Agent-Related Person under or in connection with any of the foregoing;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unreimbursed expense or Liability or related expense, as the case may be, was incurred by or asserted against such Agent-Related Person in its capacity as such;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no Lender shall be liable for the payment of any portion of such Liabilities, costs, expenses or disbursements that are found by a final and nonappealable decision of a court of competent jurisdiction to have resulted primarily from such Agent-Related Party’s gross negligence or willful misconduct. The agreements in this Section shall survive the termination of this Agreement and the payment of the Loans and all other amounts payable hereunder.</w:t>
      </w:r>
    </w:p>
    <w:p>
      <w:pPr>
        <w:spacing w:after="0" w:line="141" w:lineRule="exact"/>
        <w:rPr>
          <w:sz w:val="20"/>
          <w:szCs w:val="20"/>
          <w:color w:val="auto"/>
        </w:rPr>
      </w:pPr>
    </w:p>
    <w:p>
      <w:pPr>
        <w:jc w:val="both"/>
        <w:ind w:firstLine="563"/>
        <w:spacing w:after="0" w:line="225" w:lineRule="auto"/>
        <w:tabs>
          <w:tab w:leader="none" w:pos="1128" w:val="left"/>
        </w:tabs>
        <w:numPr>
          <w:ilvl w:val="0"/>
          <w:numId w:val="271"/>
        </w:numPr>
        <w:rPr>
          <w:rFonts w:ascii="Arial" w:cs="Arial" w:eastAsia="Arial" w:hAnsi="Arial"/>
          <w:sz w:val="17"/>
          <w:szCs w:val="17"/>
          <w:color w:val="auto"/>
        </w:rPr>
      </w:pPr>
      <w:r>
        <w:rPr>
          <w:rFonts w:ascii="Arial" w:cs="Arial" w:eastAsia="Arial" w:hAnsi="Arial"/>
          <w:sz w:val="17"/>
          <w:szCs w:val="17"/>
          <w:color w:val="auto"/>
        </w:rPr>
        <w:t xml:space="preserve">All amounts due under this Section shall be payable not later than ten (10) Business Days after written demand therefor;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any Indemnitee shall promptly refund an indemnification payment received hereunder to the extent that there is a final judicial determination that such Indemnitee was not entitled to indemnification with respect to such payment pursuant to this Section 9.03.</w:t>
      </w:r>
    </w:p>
    <w:p>
      <w:pPr>
        <w:spacing w:after="0" w:line="137" w:lineRule="exact"/>
        <w:rPr>
          <w:sz w:val="20"/>
          <w:szCs w:val="20"/>
          <w:color w:val="auto"/>
        </w:rPr>
      </w:pPr>
    </w:p>
    <w:p>
      <w:pPr>
        <w:ind w:left="560"/>
        <w:spacing w:after="0"/>
        <w:tabs>
          <w:tab w:leader="none" w:pos="1680" w:val="left"/>
        </w:tabs>
        <w:rPr>
          <w:sz w:val="20"/>
          <w:szCs w:val="20"/>
          <w:color w:val="auto"/>
        </w:rPr>
      </w:pPr>
      <w:r>
        <w:rPr>
          <w:rFonts w:ascii="Arial" w:cs="Arial" w:eastAsia="Arial" w:hAnsi="Arial"/>
          <w:sz w:val="17"/>
          <w:szCs w:val="17"/>
          <w:color w:val="auto"/>
        </w:rPr>
        <w:t>Section 1.04.</w:t>
      </w:r>
      <w:r>
        <w:rPr>
          <w:sz w:val="20"/>
          <w:szCs w:val="20"/>
          <w:color w:val="auto"/>
        </w:rPr>
        <w:tab/>
      </w:r>
      <w:r>
        <w:rPr>
          <w:rFonts w:ascii="Arial" w:cs="Arial" w:eastAsia="Arial" w:hAnsi="Arial"/>
          <w:sz w:val="15"/>
          <w:szCs w:val="15"/>
          <w:i w:val="1"/>
          <w:iCs w:val="1"/>
          <w:color w:val="auto"/>
        </w:rPr>
        <w:t>Successors and Assigns</w:t>
      </w:r>
      <w:r>
        <w:rPr>
          <w:rFonts w:ascii="Arial" w:cs="Arial" w:eastAsia="Arial" w:hAnsi="Arial"/>
          <w:sz w:val="15"/>
          <w:szCs w:val="15"/>
          <w:color w:val="auto"/>
        </w:rPr>
        <w:t>.</w:t>
      </w:r>
    </w:p>
    <w:p>
      <w:pPr>
        <w:spacing w:after="0" w:line="160" w:lineRule="exact"/>
        <w:rPr>
          <w:sz w:val="20"/>
          <w:szCs w:val="20"/>
          <w:color w:val="auto"/>
        </w:rPr>
      </w:pPr>
    </w:p>
    <w:p>
      <w:pPr>
        <w:jc w:val="both"/>
        <w:ind w:firstLine="563"/>
        <w:spacing w:after="0" w:line="210" w:lineRule="auto"/>
        <w:tabs>
          <w:tab w:leader="none" w:pos="1128" w:val="left"/>
        </w:tabs>
        <w:numPr>
          <w:ilvl w:val="0"/>
          <w:numId w:val="272"/>
        </w:numPr>
        <w:rPr>
          <w:rFonts w:ascii="Arial" w:cs="Arial" w:eastAsia="Arial" w:hAnsi="Arial"/>
          <w:sz w:val="17"/>
          <w:szCs w:val="17"/>
          <w:color w:val="auto"/>
        </w:rPr>
      </w:pPr>
      <w:r>
        <w:rPr>
          <w:rFonts w:ascii="Arial" w:cs="Arial" w:eastAsia="Arial" w:hAnsi="Arial"/>
          <w:sz w:val="17"/>
          <w:szCs w:val="17"/>
          <w:color w:val="auto"/>
        </w:rPr>
        <w:t>The provisions of this Agreement shall be binding upon and inure to the benefit of the parties hereto and their respective successors and assigns permitted hereby (including any Affiliate of any Issuing Bank that issues any Letter of Credit), except that, (i) the Borrower may not assign or otherwise transfer any of its rights or obligations hereunder without the prior written consent of each Lender (and any attempted assignment or transfer by the Borrower without such consent shall be null and void), (ii) no assignment shall be made to any Defaulting Lender or any of its Subsidiaries, or any Persons who, upon becoming a Lender hereunder, would constitute any of the foregoing Persons described in this clause (ii) and (iii)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any Issuing Bank that issues any Letter of Credit), Participants (to the extent provided in paragraph (c) of this Section), the Indemnitees and, to the extent expressly contemplated hereby, the Related Parties of each of the Administrative Agent, the Swingline Lender, the Issuing Banks and the Lenders) any legal or equitable right, remedy or claim under or by reason of this Agreement.</w:t>
      </w:r>
    </w:p>
    <w:p>
      <w:pPr>
        <w:spacing w:after="0" w:line="136" w:lineRule="exact"/>
        <w:rPr>
          <w:rFonts w:ascii="Arial" w:cs="Arial" w:eastAsia="Arial" w:hAnsi="Arial"/>
          <w:sz w:val="17"/>
          <w:szCs w:val="17"/>
          <w:color w:val="auto"/>
        </w:rPr>
      </w:pPr>
    </w:p>
    <w:p>
      <w:pPr>
        <w:jc w:val="both"/>
        <w:ind w:firstLine="563"/>
        <w:spacing w:after="0" w:line="210" w:lineRule="auto"/>
        <w:tabs>
          <w:tab w:leader="none" w:pos="1126" w:val="left"/>
        </w:tabs>
        <w:numPr>
          <w:ilvl w:val="0"/>
          <w:numId w:val="272"/>
        </w:numPr>
        <w:rPr>
          <w:rFonts w:ascii="Arial" w:cs="Arial" w:eastAsia="Arial" w:hAnsi="Arial"/>
          <w:sz w:val="17"/>
          <w:szCs w:val="17"/>
          <w:color w:val="auto"/>
        </w:rPr>
      </w:pPr>
      <w:r>
        <w:rPr>
          <w:rFonts w:ascii="Arial" w:cs="Arial" w:eastAsia="Arial" w:hAnsi="Arial"/>
          <w:sz w:val="17"/>
          <w:szCs w:val="17"/>
          <w:color w:val="auto"/>
        </w:rPr>
        <w:t xml:space="preserve">(i) Subject to the conditions set forth in paragraphs (b)(ii) and (f) below, any Lender may assign to one or more Eligible Assignees all or a portion of its rights and obligations under this Agreement (including all or a portion of its Commitment and the Loans at the time owing to it) with the prior written consent (such consent not to be unreasonably withheld or delayed) of (A) the Borrower;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the Borrower shall be deemed to have consented to any assignment unless it has objected thereto by written notice to the Administrative Agent within 10 calendar days after receipt of a written request for such consent and (B) no consent of the Borrower shall be required for an assignment (w) solely in the case of Term Loans, to any Lender, an Affiliate of any Lender or an Approved Fund, (x) solely in the case of Revolving Loans and Revolving Commitments, to any Revolving Lender, an Affiliate of any Revolving Lender or an Approved Fund, (y) if an Event of Default under Section 7.01(a), (b), (h) or (i) has occurred and is continuing, or (z) for an assignment by Goldman Sachs to Goldman Sachs Lending Partners LLC at any time;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if any such purported assignment is to a Competitor (other than any such assignment to a Lead Arranger (or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176</w:t>
      </w:r>
    </w:p>
    <w:p>
      <w:pPr>
        <w:sectPr>
          <w:pgSz w:w="11900" w:h="16838" w:orient="portrait"/>
          <w:cols w:equalWidth="0" w:num="1">
            <w:col w:w="11260"/>
          </w:cols>
          <w:pgMar w:left="320" w:top="1440" w:right="319" w:bottom="1440" w:gutter="0" w:footer="0" w:header="0"/>
        </w:sectPr>
      </w:pPr>
    </w:p>
    <w:bookmarkStart w:id="350" w:name="page351"/>
    <w:bookmarkEnd w:id="350"/>
    <w:p>
      <w:pPr>
        <w:spacing w:after="0" w:line="390" w:lineRule="exact"/>
        <w:rPr>
          <w:sz w:val="20"/>
          <w:szCs w:val="20"/>
          <w:color w:val="auto"/>
        </w:rPr>
      </w:pPr>
    </w:p>
    <w:p>
      <w:pPr>
        <w:jc w:val="both"/>
        <w:spacing w:after="0" w:line="223" w:lineRule="auto"/>
        <w:rPr>
          <w:sz w:val="20"/>
          <w:szCs w:val="20"/>
          <w:color w:val="auto"/>
        </w:rPr>
      </w:pPr>
      <w:r>
        <w:rPr>
          <w:rFonts w:ascii="Arial" w:cs="Arial" w:eastAsia="Arial" w:hAnsi="Arial"/>
          <w:sz w:val="16"/>
          <w:szCs w:val="16"/>
          <w:color w:val="auto"/>
        </w:rPr>
        <w:t xml:space="preserve">any Affiliate of a Lead Arranger) for the purpose of facilitating bona fide trades of Term Loans to entities that are not Disqualified Lenders), the Borrower may unreasonably withhold its consent;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the Borrower shall have the right to withhold its consent to any assignment if in order for such assignment to comply with applicable law, the Borrower would be required to obtain the consent of, or make any filing or registration with, any Governmental Authority, (B) the Administrative Agent;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consent of the Administrative Agent shall be required (x) for an assignment to any Lender, an Affiliate of any Lender or an Approved Fund and (y) for an assignment by Goldman Sachs to Goldman Sachs Lending Partners LLC at any time and (C) solely in the case of Revolving Loans and Revolving Commitments, each Issuing Bank and the Swingline Lender;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for the avoidance of doubt, no consent of any Issuing Bank or the Swingline Lender shall be required for an assignment of all or any portion of a Term Loan or Term Commitment. Notwithstanding anything in this Section 9.04 to the contrary, if the consent of the Borrower is required by this paragraph with respect to any assignment and the Borrower has not given the Administrative Agent written notice of its objection to such assignment within 10 calendar days after receipt of a written request for such consent, the Borrower shall be deemed to have consented to such assignment.</w:t>
      </w:r>
    </w:p>
    <w:p>
      <w:pPr>
        <w:spacing w:after="0" w:line="137" w:lineRule="exact"/>
        <w:rPr>
          <w:sz w:val="20"/>
          <w:szCs w:val="20"/>
          <w:color w:val="auto"/>
        </w:rPr>
      </w:pPr>
    </w:p>
    <w:p>
      <w:pPr>
        <w:jc w:val="both"/>
        <w:ind w:left="340" w:firstLine="791"/>
        <w:spacing w:after="0" w:line="219" w:lineRule="auto"/>
        <w:tabs>
          <w:tab w:leader="none" w:pos="1702" w:val="left"/>
        </w:tabs>
        <w:numPr>
          <w:ilvl w:val="0"/>
          <w:numId w:val="273"/>
        </w:numPr>
        <w:rPr>
          <w:rFonts w:ascii="Arial" w:cs="Arial" w:eastAsia="Arial" w:hAnsi="Arial"/>
          <w:sz w:val="16"/>
          <w:szCs w:val="16"/>
          <w:color w:val="auto"/>
        </w:rPr>
      </w:pPr>
      <w:r>
        <w:rPr>
          <w:rFonts w:ascii="Arial" w:cs="Arial" w:eastAsia="Arial" w:hAnsi="Arial"/>
          <w:sz w:val="16"/>
          <w:szCs w:val="16"/>
          <w:color w:val="auto"/>
        </w:rPr>
        <w:t xml:space="preserve">Assignments shall be subject to the following additional conditions: (A) except in the case of an assignment to a Lender, an Affiliate of a Lender or an Approved Fund or an assignment of the entire remaining amount of the assigning Lender’s Commitment or Loans of any Class, the amount of the Commitment or Loans of the assigning Lender subject to each such assignment (determined as of the trade date specified in the Assignment and Assumption with respect to such assignment or, if no trade date is so specified, as of the date the Assignment and Assumption with respect to such assignment is delivered to the Administrative Agent) shall in the case of Revolving Loans not be less than $5,000,000 or, in the case of a Term Loan $1,000,000, such amounts to be aggregated in respect of each Lender and its Affiliates or Approved Funds, if any, unless the Borrower and the Administrative Agent otherwise consent (such consent not to be unreasonably withheld or delayed);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consent of the Borrower shall be required if an Event of Default under Section 7.01(a), (b), (h) or (i) has occurred and is continuing, (B) each partial assignment shall be made as an assignment of a proportionate part of all the assigning Lender’s rights and obligations under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this clause (B) shall not be construed to prohibit assignment of a proportionate part of all the assigning Lender’s rights and obligations in respect of one Class of Commitments or Loans, (C) the parties to each assignment shall execute and deliver to the Administrative Agent an Assignment and Assumption via an electronic settlement system acceptable to the Administrative Agent or, if previously agreed by the Administrative Agent, manually, in each case together (unless waived by the Administrative Agent) with a processing and recordation fee of $3,500;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Administrative Agent, in its sole discretion, may elect to waive such processing and recordation fee;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assignments made pursuant to Section 2.17(b) or Section 9.02(c) shall not require the signature of the assigning Lender to become effective, (D) the assignee, if it shall not be a Lender, shall deliver to the Administrative Agent any tax forms required by Section 2.15(e) and an Administrative Questionnaire in which the assignee designates one or more credit contacts to whom all syndicate-level information (which may contain material non-public information about the Borrower, the Loan Parties and their Related Parties or their respective securities) will be made available and who may receive such information in accordance with the assignee’s compliance procedures and applicable laws, including Federal and state securities laws and (E) unless the Borrower otherwise consents, no assignment of all or any portion of the Revolving Commitment of a Lender that is also the Swingline Lender or an Issuing Bank may be made unless (1) the assignee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177</w:t>
      </w:r>
    </w:p>
    <w:p>
      <w:pPr>
        <w:sectPr>
          <w:pgSz w:w="11900" w:h="16838" w:orient="portrait"/>
          <w:cols w:equalWidth="0" w:num="1">
            <w:col w:w="11260"/>
          </w:cols>
          <w:pgMar w:left="320" w:top="1440" w:right="319" w:bottom="1440" w:gutter="0" w:footer="0" w:header="0"/>
        </w:sectPr>
      </w:pPr>
    </w:p>
    <w:bookmarkStart w:id="351" w:name="page352"/>
    <w:bookmarkEnd w:id="351"/>
    <w:p>
      <w:pPr>
        <w:spacing w:after="0" w:line="389" w:lineRule="exact"/>
        <w:rPr>
          <w:sz w:val="20"/>
          <w:szCs w:val="20"/>
          <w:color w:val="auto"/>
        </w:rPr>
      </w:pPr>
    </w:p>
    <w:p>
      <w:pPr>
        <w:jc w:val="both"/>
        <w:spacing w:after="0" w:line="228" w:lineRule="auto"/>
        <w:rPr>
          <w:sz w:val="20"/>
          <w:szCs w:val="20"/>
          <w:color w:val="auto"/>
        </w:rPr>
      </w:pPr>
      <w:r>
        <w:rPr>
          <w:rFonts w:ascii="Arial" w:cs="Arial" w:eastAsia="Arial" w:hAnsi="Arial"/>
          <w:sz w:val="16"/>
          <w:szCs w:val="16"/>
          <w:color w:val="auto"/>
        </w:rPr>
        <w:t xml:space="preserve">or become a Swingline Lender and/or an Issuing Bank, as applicable, and assume a ratable portion of the rights and obligations of such assignor in its capacity as Swingline Lender and/or Issuing Bank, as applicable, or (2) the assignor agrees, in its discretion, to retain all of its rights with respect to and obligations to make or issue Swingline Loans and Letters of Credit, as applicable, hereunder in which case the Applicable Fronting Exposure of such assignor may exceed such assignor’s Revolving Commitment for purposes of Section 2.22(a) by an amount not to exceed the difference between the assignor’s Revolving Commitment prior to such assignment and the assignor’s Revolving Commitment following such assignment;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consent of the Borrower shall be required if an Event of Default under Section 7.01(a), (b), (h) or (i) has occurred and is continuing.</w:t>
      </w:r>
    </w:p>
    <w:p>
      <w:pPr>
        <w:spacing w:after="0" w:line="135" w:lineRule="exact"/>
        <w:rPr>
          <w:sz w:val="20"/>
          <w:szCs w:val="20"/>
          <w:color w:val="auto"/>
        </w:rPr>
      </w:pPr>
    </w:p>
    <w:p>
      <w:pPr>
        <w:jc w:val="both"/>
        <w:ind w:firstLine="791"/>
        <w:spacing w:after="0" w:line="210" w:lineRule="auto"/>
        <w:tabs>
          <w:tab w:leader="none" w:pos="1363" w:val="left"/>
        </w:tabs>
        <w:numPr>
          <w:ilvl w:val="0"/>
          <w:numId w:val="274"/>
        </w:numPr>
        <w:rPr>
          <w:rFonts w:ascii="Arial" w:cs="Arial" w:eastAsia="Arial" w:hAnsi="Arial"/>
          <w:sz w:val="17"/>
          <w:szCs w:val="17"/>
          <w:color w:val="auto"/>
        </w:rPr>
      </w:pPr>
      <w:r>
        <w:rPr>
          <w:rFonts w:ascii="Arial" w:cs="Arial" w:eastAsia="Arial" w:hAnsi="Arial"/>
          <w:sz w:val="17"/>
          <w:szCs w:val="17"/>
          <w:color w:val="auto"/>
        </w:rPr>
        <w:t>Subject to acceptance and recording thereof pursuant to paragraph (b)(v)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(and subject to the obligations and limitations of) Sections 2.13, 2.14, 2.15 and 9.03 and to any fees payable hereunder that have accrued for such Lender’s account but have not yet been paid). Any assignment or transfer by a Lender of rights or obligations under this Agreement that does not comply with this Section 9.04 shall be treated for purposes of this Agreement as a sale by such Lender of a participation in such rights and obligations in accordance with paragraph (c)(i) of this Section 9.04.</w:t>
      </w:r>
    </w:p>
    <w:p>
      <w:pPr>
        <w:spacing w:after="0" w:line="141" w:lineRule="exact"/>
        <w:rPr>
          <w:rFonts w:ascii="Arial" w:cs="Arial" w:eastAsia="Arial" w:hAnsi="Arial"/>
          <w:sz w:val="17"/>
          <w:szCs w:val="17"/>
          <w:color w:val="auto"/>
        </w:rPr>
      </w:pPr>
    </w:p>
    <w:p>
      <w:pPr>
        <w:jc w:val="both"/>
        <w:ind w:firstLine="791"/>
        <w:spacing w:after="0" w:line="225" w:lineRule="auto"/>
        <w:tabs>
          <w:tab w:leader="none" w:pos="1354" w:val="left"/>
        </w:tabs>
        <w:numPr>
          <w:ilvl w:val="0"/>
          <w:numId w:val="274"/>
        </w:numPr>
        <w:rPr>
          <w:rFonts w:ascii="Arial" w:cs="Arial" w:eastAsia="Arial" w:hAnsi="Arial"/>
          <w:sz w:val="16"/>
          <w:szCs w:val="16"/>
          <w:color w:val="auto"/>
        </w:rPr>
      </w:pPr>
      <w:r>
        <w:rPr>
          <w:rFonts w:ascii="Arial" w:cs="Arial" w:eastAsia="Arial" w:hAnsi="Arial"/>
          <w:sz w:val="16"/>
          <w:szCs w:val="16"/>
          <w:color w:val="auto"/>
        </w:rPr>
        <w:t>The Administrative Agent, acting for this purpose as an agent of the Borrower, shall maintain at one of its offices a copy of each Assignment and Assumption delivered to it and a register for the recordation of the names and addresses of the Lenders, and the Commitment of, and principal and interest amounts of the Loans and LC Disbursements owing to, each Lender pursuant to the terms hereof from time to time (the “</w:t>
      </w:r>
      <w:r>
        <w:rPr>
          <w:rFonts w:ascii="Arial" w:cs="Arial" w:eastAsia="Arial" w:hAnsi="Arial"/>
          <w:sz w:val="16"/>
          <w:szCs w:val="16"/>
          <w:b w:val="1"/>
          <w:bCs w:val="1"/>
          <w:color w:val="auto"/>
        </w:rPr>
        <w:t>Register</w:t>
      </w:r>
      <w:r>
        <w:rPr>
          <w:rFonts w:ascii="Arial" w:cs="Arial" w:eastAsia="Arial" w:hAnsi="Arial"/>
          <w:sz w:val="16"/>
          <w:szCs w:val="16"/>
          <w:color w:val="auto"/>
        </w:rPr>
        <w:t>”). The entries in the Register shall be conclusive absent manifest error, and Holdings, the Borrower, the Administrative Agent, the Issuing Banks and the Lenders shall treat each Person whose name is recorded in the Register pursuant to the terms hereof as a Lender hereunder for all purposes of this Agreement, notwithstanding notice to the contrary. In addition, the Administrative Agent shall maintain on the Register information regarding the designation, and revocation of designation, of any Lender as a Defaulting Lender. The Register shall be available for inspection by the Borrower, the Issuing Banks and any Lender, at any reasonable time and from time to time upon reasonable prior notice.</w:t>
      </w:r>
    </w:p>
    <w:p>
      <w:pPr>
        <w:spacing w:after="0" w:line="135" w:lineRule="exact"/>
        <w:rPr>
          <w:rFonts w:ascii="Arial" w:cs="Arial" w:eastAsia="Arial" w:hAnsi="Arial"/>
          <w:sz w:val="16"/>
          <w:szCs w:val="16"/>
          <w:color w:val="auto"/>
        </w:rPr>
      </w:pPr>
    </w:p>
    <w:p>
      <w:pPr>
        <w:jc w:val="both"/>
        <w:ind w:firstLine="791"/>
        <w:spacing w:after="0" w:line="230" w:lineRule="auto"/>
        <w:tabs>
          <w:tab w:leader="none" w:pos="1353" w:val="left"/>
        </w:tabs>
        <w:numPr>
          <w:ilvl w:val="0"/>
          <w:numId w:val="274"/>
        </w:numPr>
        <w:rPr>
          <w:rFonts w:ascii="Arial" w:cs="Arial" w:eastAsia="Arial" w:hAnsi="Arial"/>
          <w:sz w:val="16"/>
          <w:szCs w:val="16"/>
          <w:color w:val="auto"/>
        </w:rPr>
      </w:pPr>
      <w:r>
        <w:rPr>
          <w:rFonts w:ascii="Arial" w:cs="Arial" w:eastAsia="Arial" w:hAnsi="Arial"/>
          <w:sz w:val="16"/>
          <w:szCs w:val="16"/>
          <w:color w:val="auto"/>
        </w:rPr>
        <w:t>Upon its receipt of a duly completed Assignment and Assumption executed by an assigning Lender and an assignee, the assignee’s completed Administrative Questionnaire and any tax forms required by Section 2.15(e) (unless the assignee shall already be a Lender hereunder), the processing and recordation fee referred to in paragraph (b) of this Section 9.04 and any written consent to such assignment required by paragraph (b) of this Section 9.04, the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40"/>
        <w:spacing w:after="0"/>
        <w:rPr>
          <w:sz w:val="20"/>
          <w:szCs w:val="20"/>
          <w:color w:val="auto"/>
        </w:rPr>
      </w:pPr>
      <w:r>
        <w:rPr>
          <w:rFonts w:ascii="Arial" w:cs="Arial" w:eastAsia="Arial" w:hAnsi="Arial"/>
          <w:sz w:val="17"/>
          <w:szCs w:val="17"/>
          <w:color w:val="auto"/>
        </w:rPr>
        <w:t>178</w:t>
      </w:r>
    </w:p>
    <w:p>
      <w:pPr>
        <w:sectPr>
          <w:pgSz w:w="11900" w:h="16838" w:orient="portrait"/>
          <w:cols w:equalWidth="0" w:num="1">
            <w:col w:w="10920"/>
          </w:cols>
          <w:pgMar w:left="660" w:top="1440" w:right="319" w:bottom="1440" w:gutter="0" w:footer="0" w:header="0"/>
        </w:sectPr>
      </w:pPr>
    </w:p>
    <w:bookmarkStart w:id="352" w:name="page353"/>
    <w:bookmarkEnd w:id="352"/>
    <w:p>
      <w:pPr>
        <w:spacing w:after="0" w:line="389" w:lineRule="exact"/>
        <w:rPr>
          <w:sz w:val="20"/>
          <w:szCs w:val="20"/>
          <w:color w:val="auto"/>
        </w:rPr>
      </w:pPr>
    </w:p>
    <w:p>
      <w:pPr>
        <w:jc w:val="both"/>
        <w:ind w:left="340" w:right="20" w:firstLine="791"/>
        <w:spacing w:after="0" w:line="216" w:lineRule="auto"/>
        <w:tabs>
          <w:tab w:leader="none" w:pos="1694" w:val="left"/>
        </w:tabs>
        <w:numPr>
          <w:ilvl w:val="1"/>
          <w:numId w:val="275"/>
        </w:numPr>
        <w:rPr>
          <w:rFonts w:ascii="Arial" w:cs="Arial" w:eastAsia="Arial" w:hAnsi="Arial"/>
          <w:sz w:val="17"/>
          <w:szCs w:val="17"/>
          <w:color w:val="auto"/>
        </w:rPr>
      </w:pPr>
      <w:r>
        <w:rPr>
          <w:rFonts w:ascii="Arial" w:cs="Arial" w:eastAsia="Arial" w:hAnsi="Arial"/>
          <w:sz w:val="17"/>
          <w:szCs w:val="17"/>
          <w:color w:val="auto"/>
        </w:rPr>
        <w:t>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38" w:lineRule="exact"/>
        <w:rPr>
          <w:rFonts w:ascii="Arial" w:cs="Arial" w:eastAsia="Arial" w:hAnsi="Arial"/>
          <w:sz w:val="17"/>
          <w:szCs w:val="17"/>
          <w:color w:val="auto"/>
        </w:rPr>
      </w:pPr>
    </w:p>
    <w:p>
      <w:pPr>
        <w:jc w:val="both"/>
        <w:ind w:firstLine="563"/>
        <w:spacing w:after="0" w:line="220" w:lineRule="auto"/>
        <w:tabs>
          <w:tab w:leader="none" w:pos="1179" w:val="left"/>
        </w:tabs>
        <w:numPr>
          <w:ilvl w:val="0"/>
          <w:numId w:val="276"/>
        </w:numPr>
        <w:rPr>
          <w:rFonts w:ascii="Arial" w:cs="Arial" w:eastAsia="Arial" w:hAnsi="Arial"/>
          <w:sz w:val="16"/>
          <w:szCs w:val="16"/>
          <w:color w:val="auto"/>
        </w:rPr>
      </w:pPr>
      <w:r>
        <w:rPr>
          <w:rFonts w:ascii="Arial" w:cs="Arial" w:eastAsia="Arial" w:hAnsi="Arial"/>
          <w:sz w:val="16"/>
          <w:szCs w:val="16"/>
          <w:color w:val="auto"/>
        </w:rPr>
        <w:t>Any Lender may, without the consent of, or notice to, the Borrower, the Administrative Agent, the Issuing Banks or the Swingline Lender, sell participations to one or more banks or other Persons other than a natural person, any VV Holder, any Affiliate of Vincent Viola (including any trust established for the benefit of his spouse or children), a Disqualified Lender, Holdings, any Intermediate Parent, the Borrower or any of the Borrower’s Subsidiaries (a “</w:t>
      </w:r>
      <w:r>
        <w:rPr>
          <w:rFonts w:ascii="Arial" w:cs="Arial" w:eastAsia="Arial" w:hAnsi="Arial"/>
          <w:sz w:val="16"/>
          <w:szCs w:val="16"/>
          <w:b w:val="1"/>
          <w:bCs w:val="1"/>
          <w:color w:val="auto"/>
        </w:rPr>
        <w:t>Participant</w:t>
      </w:r>
      <w:r>
        <w:rPr>
          <w:rFonts w:ascii="Arial" w:cs="Arial" w:eastAsia="Arial" w:hAnsi="Arial"/>
          <w:sz w:val="16"/>
          <w:szCs w:val="16"/>
          <w:color w:val="auto"/>
        </w:rPr>
        <w:t xml:space="preserve">”) in all or a portion of such Lender’s rights and obligations under this Agreement (including all or a portion of its Commitment and the Loans owing to it);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such Lender’s obligations under this Agreement shall remain unchanged, (B) such Lender shall remain solely responsible to the other parties hereto for the performance of such obligations and (C) Holdings, the Borrower, the Administrative Agent, the Issuing Banks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any other Loan Documents and to approve any amendment, modification or waiver of any provision of this Agreement and any other Loan Documents;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agreement or instrument may provide that such Lender will not, without the consent of the Participant, agree to any amendment, modification or waiver described in clauses (i), (ii), (iii), (vii) and (viii) of the first proviso to Section 9.02(b) that directly and adversely affects such Participant. Subject to paragraph (c)(iii) of this Section, the Borrower agrees that each Participant shall be entitled to the benefits of Sections 2.13, 2.14 and 2.15 (subject to the obligations and limitations of such Sections, including Section 2.15(e),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forms required to be delivered by any Participant pursuant to Section 2.15(e) shall be provided solely to the participating Lender)) to the same extent as if it were a Lender and had acquired its interest by assignment pursuant to paragraph (b) of this Section. To the extent permitted by law, each Participant also shall be entitled to the benefits of Section 9.08 as though it were a Lender;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Participant agrees to be subject to Section 2.16(c) as though it were a Lender.</w:t>
      </w:r>
    </w:p>
    <w:p>
      <w:pPr>
        <w:spacing w:after="0" w:line="142" w:lineRule="exact"/>
        <w:rPr>
          <w:rFonts w:ascii="Arial" w:cs="Arial" w:eastAsia="Arial" w:hAnsi="Arial"/>
          <w:sz w:val="16"/>
          <w:szCs w:val="16"/>
          <w:color w:val="auto"/>
        </w:rPr>
      </w:pPr>
    </w:p>
    <w:p>
      <w:pPr>
        <w:jc w:val="both"/>
        <w:ind w:left="340" w:firstLine="791"/>
        <w:spacing w:after="0"/>
        <w:tabs>
          <w:tab w:leader="none" w:pos="1702" w:val="left"/>
        </w:tabs>
        <w:numPr>
          <w:ilvl w:val="1"/>
          <w:numId w:val="276"/>
        </w:numPr>
        <w:rPr>
          <w:rFonts w:ascii="Arial" w:cs="Arial" w:eastAsia="Arial" w:hAnsi="Arial"/>
          <w:sz w:val="15"/>
          <w:szCs w:val="15"/>
          <w:color w:val="auto"/>
        </w:rPr>
      </w:pPr>
      <w:r>
        <w:rPr>
          <w:rFonts w:ascii="Arial" w:cs="Arial" w:eastAsia="Arial" w:hAnsi="Arial"/>
          <w:sz w:val="15"/>
          <w:szCs w:val="15"/>
          <w:color w:val="auto"/>
        </w:rPr>
        <w:t>Each Lender that sells a participation shall, acting solely for this purpose as a non-fiduciary agent of the Borrower, maintain a register on which it enters the name and address of each Participant and the principal amounts (and related interest amounts) of each participant’s interest in the Loans or other obligations under this Agreement (the “</w:t>
      </w:r>
      <w:r>
        <w:rPr>
          <w:rFonts w:ascii="Arial" w:cs="Arial" w:eastAsia="Arial" w:hAnsi="Arial"/>
          <w:sz w:val="15"/>
          <w:szCs w:val="15"/>
          <w:b w:val="1"/>
          <w:bCs w:val="1"/>
          <w:color w:val="auto"/>
        </w:rPr>
        <w:t>Participant Register</w:t>
      </w:r>
      <w:r>
        <w:rPr>
          <w:rFonts w:ascii="Arial" w:cs="Arial" w:eastAsia="Arial" w:hAnsi="Arial"/>
          <w:sz w:val="15"/>
          <w:szCs w:val="15"/>
          <w:color w:val="auto"/>
        </w:rPr>
        <w:t xml:space="preserv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no Lender shall have any obligation to disclose all or any portion of the Participant Register to any Person (including the identity of any Participant or any information relating to a Participant’s interest in any Commitment, Loan, Letter of Credit or other obligation under any Loan Document) except to the extent such disclosure is necessary in connection with an audit or other proceeding to establish that such Commitment, Loan, Letter of Credit or other obligation is in registered form under Section 5f.103-1(c) of the U.S.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179</w:t>
      </w:r>
    </w:p>
    <w:p>
      <w:pPr>
        <w:sectPr>
          <w:pgSz w:w="11900" w:h="16838" w:orient="portrait"/>
          <w:cols w:equalWidth="0" w:num="1">
            <w:col w:w="11260"/>
          </w:cols>
          <w:pgMar w:left="320" w:top="1440" w:right="319" w:bottom="1440" w:gutter="0" w:footer="0" w:header="0"/>
        </w:sectPr>
      </w:pPr>
    </w:p>
    <w:bookmarkStart w:id="353" w:name="page354"/>
    <w:bookmarkEnd w:id="353"/>
    <w:p>
      <w:pPr>
        <w:spacing w:after="0" w:line="389" w:lineRule="exact"/>
        <w:rPr>
          <w:sz w:val="20"/>
          <w:szCs w:val="20"/>
          <w:color w:val="auto"/>
        </w:rPr>
      </w:pPr>
    </w:p>
    <w:p>
      <w:pPr>
        <w:jc w:val="both"/>
        <w:ind w:left="340" w:right="20" w:firstLine="791"/>
        <w:spacing w:after="0" w:line="225" w:lineRule="auto"/>
        <w:tabs>
          <w:tab w:leader="none" w:pos="1703" w:val="left"/>
        </w:tabs>
        <w:numPr>
          <w:ilvl w:val="1"/>
          <w:numId w:val="277"/>
        </w:numPr>
        <w:rPr>
          <w:rFonts w:ascii="Arial" w:cs="Arial" w:eastAsia="Arial" w:hAnsi="Arial"/>
          <w:sz w:val="17"/>
          <w:szCs w:val="17"/>
          <w:color w:val="auto"/>
        </w:rPr>
      </w:pPr>
      <w:r>
        <w:rPr>
          <w:rFonts w:ascii="Arial" w:cs="Arial" w:eastAsia="Arial" w:hAnsi="Arial"/>
          <w:sz w:val="17"/>
          <w:szCs w:val="17"/>
          <w:color w:val="auto"/>
        </w:rPr>
        <w:t>A Participant shall not be entitled to receive any greater payment under Section 2.13 or Section 2.15 than the applicable Lender would have been entitled to receive with respect to the participation sold to such Participant, unless the sale of the participation to such Participant is made with the Borrower’s prior written consent.</w:t>
      </w:r>
    </w:p>
    <w:p>
      <w:pPr>
        <w:spacing w:after="0" w:line="136" w:lineRule="exact"/>
        <w:rPr>
          <w:rFonts w:ascii="Arial" w:cs="Arial" w:eastAsia="Arial" w:hAnsi="Arial"/>
          <w:sz w:val="17"/>
          <w:szCs w:val="17"/>
          <w:color w:val="auto"/>
        </w:rPr>
      </w:pPr>
    </w:p>
    <w:p>
      <w:pPr>
        <w:jc w:val="both"/>
        <w:ind w:firstLine="563"/>
        <w:spacing w:after="0" w:line="252" w:lineRule="auto"/>
        <w:tabs>
          <w:tab w:leader="none" w:pos="1126" w:val="left"/>
        </w:tabs>
        <w:numPr>
          <w:ilvl w:val="0"/>
          <w:numId w:val="278"/>
        </w:numPr>
        <w:rPr>
          <w:rFonts w:ascii="Arial" w:cs="Arial" w:eastAsia="Arial" w:hAnsi="Arial"/>
          <w:sz w:val="15"/>
          <w:szCs w:val="15"/>
          <w:color w:val="auto"/>
        </w:rPr>
      </w:pPr>
      <w:r>
        <w:rPr>
          <w:rFonts w:ascii="Arial" w:cs="Arial" w:eastAsia="Arial" w:hAnsi="Arial"/>
          <w:sz w:val="15"/>
          <w:szCs w:val="15"/>
          <w:color w:val="auto"/>
        </w:rPr>
        <w:t xml:space="preserve">Any Lender may, without the consent of the Borrower or the Administrative Agent, at any time pledge or assign a security interest in all or any portion of its rights under this Agreement to secure obligations of such Lender, including any pledge or assignment to secure obligations to a Federal Reserve Bank or other “central” bank, and this Section shall not apply to any such pledge or assignment of a security interest,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no such pledge or assignment of a security interest shall release a Lender from any of its obligations hereunder or substitute any such pledgee or assignee for such Lender as a party hereto.</w:t>
      </w:r>
    </w:p>
    <w:p>
      <w:pPr>
        <w:spacing w:after="0" w:line="127" w:lineRule="exact"/>
        <w:rPr>
          <w:rFonts w:ascii="Arial" w:cs="Arial" w:eastAsia="Arial" w:hAnsi="Arial"/>
          <w:sz w:val="15"/>
          <w:szCs w:val="15"/>
          <w:color w:val="auto"/>
        </w:rPr>
      </w:pPr>
    </w:p>
    <w:p>
      <w:pPr>
        <w:jc w:val="both"/>
        <w:ind w:firstLine="563"/>
        <w:spacing w:after="0" w:line="223" w:lineRule="auto"/>
        <w:tabs>
          <w:tab w:leader="none" w:pos="1128" w:val="left"/>
        </w:tabs>
        <w:numPr>
          <w:ilvl w:val="0"/>
          <w:numId w:val="278"/>
        </w:numPr>
        <w:rPr>
          <w:rFonts w:ascii="Arial" w:cs="Arial" w:eastAsia="Arial" w:hAnsi="Arial"/>
          <w:sz w:val="16"/>
          <w:szCs w:val="16"/>
          <w:color w:val="auto"/>
        </w:rPr>
      </w:pPr>
      <w:r>
        <w:rPr>
          <w:rFonts w:ascii="Arial" w:cs="Arial" w:eastAsia="Arial" w:hAnsi="Arial"/>
          <w:sz w:val="16"/>
          <w:szCs w:val="16"/>
          <w:color w:val="auto"/>
        </w:rPr>
        <w:t>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or any Lender hereunder (and interest accrued thereon) and (y) acquire (and fund as appropriate) its full pro rata share of all Loans and participations in Letters of Credit and Swingline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37" w:lineRule="exact"/>
        <w:rPr>
          <w:rFonts w:ascii="Arial" w:cs="Arial" w:eastAsia="Arial" w:hAnsi="Arial"/>
          <w:sz w:val="16"/>
          <w:szCs w:val="16"/>
          <w:color w:val="auto"/>
        </w:rPr>
      </w:pPr>
    </w:p>
    <w:p>
      <w:pPr>
        <w:jc w:val="both"/>
        <w:ind w:firstLine="563"/>
        <w:spacing w:after="0" w:line="224" w:lineRule="auto"/>
        <w:tabs>
          <w:tab w:leader="none" w:pos="1132" w:val="left"/>
        </w:tabs>
        <w:numPr>
          <w:ilvl w:val="0"/>
          <w:numId w:val="278"/>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in this Section 9.04 or any other provision of this Agreement each Lender shall have the right at any time to sell, assign or transfer all or a portion of its Term Commitments or Term Loans to Holdings or one of its Subsidiaries on a non pro rata basis through one or more open market purchases;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the assigning Lender and the purchaser shall execute and deliver to the Administrative Agent a Borrower Assignment and Assumption (and shall not be required to execute and deliver an Assignment and Assumption pursuant to Section 9.04(b)(v)) which shall include a representation to the assigning Lender at the time of assignment that the it does not possess material non-public information (or, if Holdings or a parent company of Holdings is not at the time a public reporting company, material information of a type that would not reasonably be expected to be publicly available if Holdings or such parent company was a public reporting company) with respect to Holdings and its Subsidiaries that has not been disclosed to the assigning Lender or the Lenders generally (other than the Lenders that have elected not to receive material non-public information), (ii) any Loans so repurchased shall be immediately canceled, and (iii) no proceeds of Revolving Loans shall be utilized to make such purchases.</w:t>
      </w:r>
    </w:p>
    <w:p>
      <w:pPr>
        <w:spacing w:after="0" w:line="135" w:lineRule="exact"/>
        <w:rPr>
          <w:rFonts w:ascii="Arial" w:cs="Arial" w:eastAsia="Arial" w:hAnsi="Arial"/>
          <w:sz w:val="16"/>
          <w:szCs w:val="16"/>
          <w:color w:val="auto"/>
        </w:rPr>
      </w:pPr>
    </w:p>
    <w:p>
      <w:pPr>
        <w:jc w:val="both"/>
        <w:ind w:right="20" w:firstLine="563"/>
        <w:spacing w:after="0" w:line="225" w:lineRule="auto"/>
        <w:tabs>
          <w:tab w:leader="none" w:pos="1126" w:val="left"/>
        </w:tabs>
        <w:numPr>
          <w:ilvl w:val="0"/>
          <w:numId w:val="278"/>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herein, if any Loans or Commitments are assigned or participated to (or held by) (x) a Disqualified Lender or (y) a Person without complying with the Borrower consent requirements of this Section 9.04, then: (i) the Borrower may (x) terminate any Commitment of such Person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180</w:t>
      </w:r>
    </w:p>
    <w:p>
      <w:pPr>
        <w:sectPr>
          <w:pgSz w:w="11900" w:h="16838" w:orient="portrait"/>
          <w:cols w:equalWidth="0" w:num="1">
            <w:col w:w="11260"/>
          </w:cols>
          <w:pgMar w:left="320" w:top="1440" w:right="319" w:bottom="1440" w:gutter="0" w:footer="0" w:header="0"/>
        </w:sectPr>
      </w:pPr>
    </w:p>
    <w:bookmarkStart w:id="354" w:name="page355"/>
    <w:bookmarkEnd w:id="354"/>
    <w:p>
      <w:pPr>
        <w:spacing w:after="0" w:line="389" w:lineRule="exact"/>
        <w:rPr>
          <w:sz w:val="20"/>
          <w:szCs w:val="20"/>
          <w:color w:val="auto"/>
        </w:rPr>
      </w:pPr>
    </w:p>
    <w:p>
      <w:pPr>
        <w:jc w:val="both"/>
        <w:spacing w:after="0" w:line="221" w:lineRule="auto"/>
        <w:rPr>
          <w:sz w:val="20"/>
          <w:szCs w:val="20"/>
          <w:color w:val="auto"/>
        </w:rPr>
      </w:pPr>
      <w:r>
        <w:rPr>
          <w:rFonts w:ascii="Arial" w:cs="Arial" w:eastAsia="Arial" w:hAnsi="Arial"/>
          <w:sz w:val="16"/>
          <w:szCs w:val="16"/>
          <w:color w:val="auto"/>
        </w:rPr>
        <w:t>prepay any applicable outstanding Loans at a price equal to the lesser of (I) par and (II) the amount such Person paid to acquire such Loans or Commitments, in each case, without premium, penalty, prepayment fee or breakage, and/or (y) require such person to assign its rights and obligations to one or more assignees permitted under this Agreement at the price indicated above (which assignment shall not be subject to any processing and recordation fee) and if such person does not execute and deliver to the Administrative Agent a duly executed Assignment and Assumption reflecting such assignment within three (3) Business Days of the date on which the assignee Lender executes and delivers such Assignment and Assumption to such person, then such person shall be deemed to have executed and delivered such Assignment and Assumption without any action on its part, (ii) no such Person shall receive any information or reporting provided by the Borrower, the Administrative Agent or any Lender, (iii) for purposes of voting, any Loans or Commitments held by such person shall be deemed not to be outstanding, and such person shall have no voting or consent rights with respect to “Required Lender” or Class votes or consents, (iv) for purposes of any matter requiring the vote or consent of each Lender affected by any amendment or waiver, such person shall be deemed to have voted or consented to approve such amendment or waiver if a majority of the affected Class (giving effect to clause (iii) above) so approves, and (v) such person shall not be entitled to any expense reimbursement or indemnification rights under any Loan Documents (including Section 9.03) and the Borrower expressly reserves all rights against such person under contract, tort or any other theory and such person shall be treated in all other respects as a Defaulting Lender; it being understood and agreed that the foregoing provisions shall not apply to any assignee of a Disqualified Lender that becomes a Lender so long as such assignee is not a Disqualified Lender or an Affiliate thereof.</w:t>
      </w:r>
    </w:p>
    <w:p>
      <w:pPr>
        <w:spacing w:after="0" w:line="138" w:lineRule="exact"/>
        <w:rPr>
          <w:sz w:val="20"/>
          <w:szCs w:val="20"/>
          <w:color w:val="auto"/>
        </w:rPr>
      </w:pPr>
    </w:p>
    <w:p>
      <w:pPr>
        <w:jc w:val="both"/>
        <w:ind w:right="20" w:firstLine="568"/>
        <w:spacing w:after="0" w:line="226" w:lineRule="auto"/>
        <w:rPr>
          <w:sz w:val="20"/>
          <w:szCs w:val="20"/>
          <w:color w:val="auto"/>
        </w:rPr>
      </w:pPr>
      <w:r>
        <w:rPr>
          <w:rFonts w:ascii="Arial" w:cs="Arial" w:eastAsia="Arial" w:hAnsi="Arial"/>
          <w:sz w:val="16"/>
          <w:szCs w:val="16"/>
          <w:color w:val="auto"/>
        </w:rPr>
        <w:t xml:space="preserve">Section 1.05. </w:t>
      </w:r>
      <w:r>
        <w:rPr>
          <w:rFonts w:ascii="Arial" w:cs="Arial" w:eastAsia="Arial" w:hAnsi="Arial"/>
          <w:sz w:val="16"/>
          <w:szCs w:val="16"/>
          <w:i w:val="1"/>
          <w:iCs w:val="1"/>
          <w:color w:val="auto"/>
        </w:rPr>
        <w:t>Survival.</w:t>
      </w:r>
      <w:r>
        <w:rPr>
          <w:rFonts w:ascii="Arial" w:cs="Arial" w:eastAsia="Arial" w:hAnsi="Arial"/>
          <w:sz w:val="16"/>
          <w:szCs w:val="16"/>
          <w:color w:val="auto"/>
        </w:rPr>
        <w:t xml:space="preserve"> All covenants, agreements, representations and warranties made by the Loan Parties in the Loan Documents and in the certificates or other instruments delivered in connection with or pursuant to any Loan Document shall be considered to have been relied upon by the other parties hereto and shall survive the execution and delivery of the Loan Documents and the making of any Loans and issuance of an Letters of Credit, regardless of any investigation made by any such other party or on its behalf and notwithstanding that the Administrative Agent, any Issuing Bank or any Lender may have had notice or knowledge of any Default or incorrect representation or warranty at the time any credit is extended hereunder, and shall continue in full force and effect until the Termination Date. The provisions of Sections 2.13, 2.14, 2.15, 9.03, 9.08 and Article 8 shall survive and remain in full force and effect regardless of the consummation of the transactions contemplated hereby and the occurrence of the Termination Date.</w:t>
      </w:r>
    </w:p>
    <w:p>
      <w:pPr>
        <w:spacing w:after="0" w:line="137" w:lineRule="exact"/>
        <w:rPr>
          <w:sz w:val="20"/>
          <w:szCs w:val="20"/>
          <w:color w:val="auto"/>
        </w:rPr>
      </w:pPr>
    </w:p>
    <w:p>
      <w:pPr>
        <w:ind w:left="560"/>
        <w:spacing w:after="0"/>
        <w:tabs>
          <w:tab w:leader="none" w:pos="1680" w:val="left"/>
        </w:tabs>
        <w:rPr>
          <w:sz w:val="20"/>
          <w:szCs w:val="20"/>
          <w:color w:val="auto"/>
        </w:rPr>
      </w:pPr>
      <w:r>
        <w:rPr>
          <w:rFonts w:ascii="Arial" w:cs="Arial" w:eastAsia="Arial" w:hAnsi="Arial"/>
          <w:sz w:val="17"/>
          <w:szCs w:val="17"/>
          <w:color w:val="auto"/>
        </w:rPr>
        <w:t>Section 1.06.</w:t>
      </w:r>
      <w:r>
        <w:rPr>
          <w:sz w:val="20"/>
          <w:szCs w:val="20"/>
          <w:color w:val="auto"/>
        </w:rPr>
        <w:tab/>
      </w:r>
      <w:r>
        <w:rPr>
          <w:rFonts w:ascii="Arial" w:cs="Arial" w:eastAsia="Arial" w:hAnsi="Arial"/>
          <w:sz w:val="15"/>
          <w:szCs w:val="15"/>
          <w:i w:val="1"/>
          <w:iCs w:val="1"/>
          <w:color w:val="auto"/>
        </w:rPr>
        <w:t>Counterparts; Integration; Effectiveness; Electronic Execution of Assignments and Certain Other Documents</w:t>
      </w:r>
      <w:r>
        <w:rPr>
          <w:rFonts w:ascii="Arial" w:cs="Arial" w:eastAsia="Arial" w:hAnsi="Arial"/>
          <w:sz w:val="15"/>
          <w:szCs w:val="15"/>
          <w:color w:val="auto"/>
        </w:rPr>
        <w:t>.</w:t>
      </w:r>
    </w:p>
    <w:p>
      <w:pPr>
        <w:spacing w:after="0" w:line="160" w:lineRule="exact"/>
        <w:rPr>
          <w:sz w:val="20"/>
          <w:szCs w:val="20"/>
          <w:color w:val="auto"/>
        </w:rPr>
      </w:pPr>
    </w:p>
    <w:p>
      <w:pPr>
        <w:jc w:val="both"/>
        <w:ind w:firstLine="563"/>
        <w:spacing w:after="0" w:line="211" w:lineRule="auto"/>
        <w:tabs>
          <w:tab w:leader="none" w:pos="1128" w:val="left"/>
        </w:tabs>
        <w:numPr>
          <w:ilvl w:val="0"/>
          <w:numId w:val="279"/>
        </w:numPr>
        <w:rPr>
          <w:rFonts w:ascii="Arial" w:cs="Arial" w:eastAsia="Arial" w:hAnsi="Arial"/>
          <w:sz w:val="17"/>
          <w:szCs w:val="17"/>
          <w:color w:val="auto"/>
        </w:rPr>
      </w:pPr>
      <w:r>
        <w:rPr>
          <w:rFonts w:ascii="Arial" w:cs="Arial" w:eastAsia="Arial" w:hAnsi="Arial"/>
          <w:sz w:val="17"/>
          <w:szCs w:val="17"/>
          <w:color w:val="auto"/>
        </w:rPr>
        <w:t>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or the syndication of the Loans and Commitments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that,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181</w:t>
      </w:r>
    </w:p>
    <w:p>
      <w:pPr>
        <w:sectPr>
          <w:pgSz w:w="11900" w:h="16838" w:orient="portrait"/>
          <w:cols w:equalWidth="0" w:num="1">
            <w:col w:w="11260"/>
          </w:cols>
          <w:pgMar w:left="320" w:top="1440" w:right="319" w:bottom="1440" w:gutter="0" w:footer="0" w:header="0"/>
        </w:sectPr>
      </w:pPr>
    </w:p>
    <w:bookmarkStart w:id="355" w:name="page356"/>
    <w:bookmarkEnd w:id="355"/>
    <w:p>
      <w:pPr>
        <w:spacing w:after="0" w:line="390" w:lineRule="exact"/>
        <w:rPr>
          <w:sz w:val="20"/>
          <w:szCs w:val="20"/>
          <w:color w:val="auto"/>
        </w:rPr>
      </w:pPr>
    </w:p>
    <w:p>
      <w:pPr>
        <w:spacing w:after="0"/>
        <w:rPr>
          <w:sz w:val="20"/>
          <w:szCs w:val="20"/>
          <w:color w:val="auto"/>
        </w:rPr>
      </w:pPr>
      <w:r>
        <w:rPr>
          <w:rFonts w:ascii="Arial" w:cs="Arial" w:eastAsia="Arial" w:hAnsi="Arial"/>
          <w:sz w:val="17"/>
          <w:szCs w:val="17"/>
          <w:color w:val="auto"/>
        </w:rPr>
        <w:t>facsimile or other electronic means shall be effective as delivery of an original executed counterpart of this Agreement.</w:t>
      </w:r>
    </w:p>
    <w:p>
      <w:pPr>
        <w:spacing w:after="0" w:line="160" w:lineRule="exact"/>
        <w:rPr>
          <w:sz w:val="20"/>
          <w:szCs w:val="20"/>
          <w:color w:val="auto"/>
        </w:rPr>
      </w:pPr>
    </w:p>
    <w:p>
      <w:pPr>
        <w:jc w:val="both"/>
        <w:ind w:firstLine="563"/>
        <w:spacing w:after="0" w:line="218" w:lineRule="auto"/>
        <w:tabs>
          <w:tab w:leader="none" w:pos="1126" w:val="left"/>
        </w:tabs>
        <w:numPr>
          <w:ilvl w:val="0"/>
          <w:numId w:val="280"/>
        </w:numPr>
        <w:rPr>
          <w:rFonts w:ascii="Arial" w:cs="Arial" w:eastAsia="Arial" w:hAnsi="Arial"/>
          <w:sz w:val="16"/>
          <w:szCs w:val="16"/>
          <w:color w:val="auto"/>
        </w:rPr>
      </w:pPr>
      <w:r>
        <w:rPr>
          <w:rFonts w:ascii="Arial" w:cs="Arial" w:eastAsia="Arial" w:hAnsi="Arial"/>
          <w:sz w:val="16"/>
          <w:szCs w:val="16"/>
          <w:color w:val="auto"/>
        </w:rPr>
        <w:t>Delivery of an executed counterpart of a signature page of (x) this Agreement, (y) any other Loan Document and/or (z) any document, amendment, approval, consent, information, notice (including, for the avoidance of doubt, any notice delivered pursuant to Section 9.01), certificate, request, statement, disclosure or authorization related to this Agreement, any other Loan Document and/or the transactions contemplated hereby and/or thereby (each an “</w:t>
      </w:r>
      <w:r>
        <w:rPr>
          <w:rFonts w:ascii="Arial" w:cs="Arial" w:eastAsia="Arial" w:hAnsi="Arial"/>
          <w:sz w:val="16"/>
          <w:szCs w:val="16"/>
          <w:b w:val="1"/>
          <w:bCs w:val="1"/>
          <w:color w:val="auto"/>
        </w:rPr>
        <w:t>Ancillary Document</w:t>
      </w:r>
      <w:r>
        <w:rPr>
          <w:rFonts w:ascii="Arial" w:cs="Arial" w:eastAsia="Arial" w:hAnsi="Arial"/>
          <w:sz w:val="16"/>
          <w:szCs w:val="16"/>
          <w:color w:val="auto"/>
        </w:rPr>
        <w:t xml:space="preserve">”) that is an Electronic Signature transmitted by telecopy,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nothing herein shall require the Administrative Agent to accept Electronic Signatures in any form or format without its prior written consent and pursuant to procedures approved by it;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without limiting the foregoing, (i) to the extent the Administrative Agent has agreed to accept any Electronic Signature, the Administrative Agent and each of the Lenders shall be entitled to rely on such Electronic Signature purportedly given by or on behalf of the Borrower or any other Loan Party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the Borrower and each Loan Party hereby (i) agrees that, for all purposes, including without limitation, in connection with any workout, restructuring, enforcement of remedies, bankruptcy proceedings or litigation among the Administrative Agent, the Lenders, the Borrower and the Loan Parties, Electronic Signatures transmitted by telecopy,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(ii) the Administrative Agent and each of the Lenders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(iii) waives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(iv) waives any claim against any Lender-Related Person for any Liabilities arising solely from the Administrative Agent’s and/or any Lender’s reliance on or use of Electronic Signatures and/or transmissions by telecopy, emailed pdf. or any other electronic means that reproduces an image of an actual executed signature page, including any Liabilities arising as a result of the failure of the Borrower and/or any Loan Party to use any available security measures in connection with the execution, delivery or transmission of any Electronic 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182</w:t>
      </w:r>
    </w:p>
    <w:p>
      <w:pPr>
        <w:sectPr>
          <w:pgSz w:w="11900" w:h="16838" w:orient="portrait"/>
          <w:cols w:equalWidth="0" w:num="1">
            <w:col w:w="11260"/>
          </w:cols>
          <w:pgMar w:left="320" w:top="1440" w:right="319" w:bottom="1440" w:gutter="0" w:footer="0" w:header="0"/>
        </w:sectPr>
      </w:pPr>
    </w:p>
    <w:bookmarkStart w:id="356" w:name="page357"/>
    <w:bookmarkEnd w:id="356"/>
    <w:p>
      <w:pPr>
        <w:spacing w:after="0" w:line="390" w:lineRule="exact"/>
        <w:rPr>
          <w:sz w:val="20"/>
          <w:szCs w:val="20"/>
          <w:color w:val="auto"/>
        </w:rPr>
      </w:pPr>
    </w:p>
    <w:p>
      <w:pPr>
        <w:jc w:val="both"/>
        <w:ind w:firstLine="568"/>
        <w:spacing w:after="0" w:line="211" w:lineRule="auto"/>
        <w:rPr>
          <w:sz w:val="20"/>
          <w:szCs w:val="20"/>
          <w:color w:val="auto"/>
        </w:rPr>
      </w:pPr>
      <w:r>
        <w:rPr>
          <w:rFonts w:ascii="Arial" w:cs="Arial" w:eastAsia="Arial" w:hAnsi="Arial"/>
          <w:sz w:val="17"/>
          <w:szCs w:val="17"/>
          <w:color w:val="auto"/>
        </w:rPr>
        <w:t xml:space="preserve">Section 1.07. </w:t>
      </w:r>
      <w:r>
        <w:rPr>
          <w:rFonts w:ascii="Arial" w:cs="Arial" w:eastAsia="Arial" w:hAnsi="Arial"/>
          <w:sz w:val="17"/>
          <w:szCs w:val="17"/>
          <w:i w:val="1"/>
          <w:iCs w:val="1"/>
          <w:color w:val="auto"/>
        </w:rPr>
        <w:t>Severability.</w:t>
      </w:r>
      <w:r>
        <w:rPr>
          <w:rFonts w:ascii="Arial" w:cs="Arial" w:eastAsia="Arial" w:hAnsi="Arial"/>
          <w:sz w:val="17"/>
          <w:szCs w:val="17"/>
          <w:color w:val="auto"/>
        </w:rPr>
        <w:t xml:space="preserve">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Without limiting the foregoing provisions of this Section 9.07, if and to the extent that the enforceability of any provisions in this Agreement relating to Defaulting Lenders shall be limited by Debtor Relief Laws, as determined in good faith by the Administrative Agent, the Issuing Banks or the Swingline Lender, as applicable, then such provisions shall be deemed to be in effect only to the extent not so limited. The parties hereto shall endeavor in good faith negotiations to replace any invalid, illegal or unenforceable provisions with valid, legal and enforceable provisions the economic effect of which comes as close as reasonably possible to that of the invalid, illegal or unenforceable provisions.</w:t>
      </w:r>
    </w:p>
    <w:p>
      <w:pPr>
        <w:spacing w:after="0" w:line="141" w:lineRule="exact"/>
        <w:rPr>
          <w:sz w:val="20"/>
          <w:szCs w:val="20"/>
          <w:color w:val="auto"/>
        </w:rPr>
      </w:pPr>
    </w:p>
    <w:p>
      <w:pPr>
        <w:jc w:val="both"/>
        <w:ind w:firstLine="568"/>
        <w:spacing w:after="0" w:line="220" w:lineRule="auto"/>
        <w:rPr>
          <w:sz w:val="20"/>
          <w:szCs w:val="20"/>
          <w:color w:val="auto"/>
        </w:rPr>
      </w:pPr>
      <w:r>
        <w:rPr>
          <w:rFonts w:ascii="Arial" w:cs="Arial" w:eastAsia="Arial" w:hAnsi="Arial"/>
          <w:sz w:val="16"/>
          <w:szCs w:val="16"/>
          <w:color w:val="auto"/>
        </w:rPr>
        <w:t xml:space="preserve">Section 1.08. </w:t>
      </w:r>
      <w:r>
        <w:rPr>
          <w:rFonts w:ascii="Arial" w:cs="Arial" w:eastAsia="Arial" w:hAnsi="Arial"/>
          <w:sz w:val="16"/>
          <w:szCs w:val="16"/>
          <w:i w:val="1"/>
          <w:iCs w:val="1"/>
          <w:color w:val="auto"/>
        </w:rPr>
        <w:t>Right of Setoff.</w:t>
      </w:r>
      <w:r>
        <w:rPr>
          <w:rFonts w:ascii="Arial" w:cs="Arial" w:eastAsia="Arial" w:hAnsi="Arial"/>
          <w:sz w:val="16"/>
          <w:szCs w:val="16"/>
          <w:color w:val="auto"/>
        </w:rPr>
        <w:t xml:space="preserve"> If an Event of Default shall have occurred and be continuing, each Lender, each Issuing Bank and each of their respective Affiliates is hereby authorized at any time and from time to time, to the fullest extent permitted by law, to set off and apply any and all deposits (general or special, time or demand, provisional or final, in whatever currency) at any time held and other obligations (in whatever currency) at any time owing by such Lender, any such Issuing Bank or any such Affiliate to or for the credit or the account of the Borrower against any of and all the obligations of the Borrower then due and owing under this Agreement held by such Lender or Issuing Bank, irrespective of whether or not such Lender or Issuing Bank shall have made any demand under this Agreement and although (i) such obligations may be contingent or unmatured and (ii) such obligations are owed to a branch or office of such Lender or Issuing Bank different from the branch or office holding such deposit or obligated on such Indebtedness;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event that any Defaulting Lender shall exercise any such right of setoff, (x) all amounts so set off shall be paid over immediately to the Administrative Agent for further application in accordance with the provisions of Section 2.21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Secured Obligations owing to such Defaulting Lender as to which it exercised such right of setoff. The applicable Lender and applicable Issuing Bank shall notify the Borrower and the Administrative Agent of such setoff and application;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failure to give or any delay in giving such notice shall not affect the validity of any such setoff and application under this Section. The rights of each Lender, each Issuing Bank and their respective Affiliates under this Section are in addition to other rights and remedies (including other rights of setoff) that such Lender, such Issuing Bank and their respective Affiliates may have.</w:t>
      </w:r>
    </w:p>
    <w:p>
      <w:pPr>
        <w:spacing w:after="0" w:line="146" w:lineRule="exact"/>
        <w:rPr>
          <w:sz w:val="20"/>
          <w:szCs w:val="20"/>
          <w:color w:val="auto"/>
        </w:rPr>
      </w:pPr>
    </w:p>
    <w:p>
      <w:pPr>
        <w:ind w:left="560"/>
        <w:spacing w:after="0"/>
        <w:tabs>
          <w:tab w:leader="none" w:pos="1680" w:val="left"/>
        </w:tabs>
        <w:rPr>
          <w:sz w:val="20"/>
          <w:szCs w:val="20"/>
          <w:color w:val="auto"/>
        </w:rPr>
      </w:pPr>
      <w:r>
        <w:rPr>
          <w:rFonts w:ascii="Arial" w:cs="Arial" w:eastAsia="Arial" w:hAnsi="Arial"/>
          <w:sz w:val="17"/>
          <w:szCs w:val="17"/>
          <w:color w:val="auto"/>
        </w:rPr>
        <w:t>Section 1.09.</w:t>
      </w:r>
      <w:r>
        <w:rPr>
          <w:sz w:val="20"/>
          <w:szCs w:val="20"/>
          <w:color w:val="auto"/>
        </w:rPr>
        <w:tab/>
      </w:r>
      <w:r>
        <w:rPr>
          <w:rFonts w:ascii="Arial" w:cs="Arial" w:eastAsia="Arial" w:hAnsi="Arial"/>
          <w:sz w:val="15"/>
          <w:szCs w:val="15"/>
          <w:i w:val="1"/>
          <w:iCs w:val="1"/>
          <w:color w:val="auto"/>
        </w:rPr>
        <w:t>Governing Law; Jurisdiction; Consent to Service of Process</w:t>
      </w:r>
      <w:r>
        <w:rPr>
          <w:rFonts w:ascii="Arial" w:cs="Arial" w:eastAsia="Arial" w:hAnsi="Arial"/>
          <w:sz w:val="15"/>
          <w:szCs w:val="15"/>
          <w:color w:val="auto"/>
        </w:rPr>
        <w:t>.</w:t>
      </w:r>
    </w:p>
    <w:p>
      <w:pPr>
        <w:spacing w:after="0" w:line="160" w:lineRule="exact"/>
        <w:rPr>
          <w:sz w:val="20"/>
          <w:szCs w:val="20"/>
          <w:color w:val="auto"/>
        </w:rPr>
      </w:pPr>
    </w:p>
    <w:p>
      <w:pPr>
        <w:ind w:left="1120" w:hanging="557"/>
        <w:spacing w:after="0"/>
        <w:tabs>
          <w:tab w:leader="none" w:pos="1120" w:val="left"/>
        </w:tabs>
        <w:numPr>
          <w:ilvl w:val="0"/>
          <w:numId w:val="281"/>
        </w:numPr>
        <w:rPr>
          <w:rFonts w:ascii="Arial" w:cs="Arial" w:eastAsia="Arial" w:hAnsi="Arial"/>
          <w:sz w:val="17"/>
          <w:szCs w:val="17"/>
          <w:color w:val="auto"/>
        </w:rPr>
      </w:pPr>
      <w:r>
        <w:rPr>
          <w:rFonts w:ascii="Arial" w:cs="Arial" w:eastAsia="Arial" w:hAnsi="Arial"/>
          <w:sz w:val="17"/>
          <w:szCs w:val="17"/>
          <w:color w:val="auto"/>
        </w:rPr>
        <w:t>This Agreement shall be construed in accordance with and governed by the law of the State of New York.</w:t>
      </w:r>
    </w:p>
    <w:p>
      <w:pPr>
        <w:spacing w:after="0" w:line="159" w:lineRule="exact"/>
        <w:rPr>
          <w:rFonts w:ascii="Arial" w:cs="Arial" w:eastAsia="Arial" w:hAnsi="Arial"/>
          <w:sz w:val="17"/>
          <w:szCs w:val="17"/>
          <w:color w:val="auto"/>
        </w:rPr>
      </w:pPr>
    </w:p>
    <w:p>
      <w:pPr>
        <w:jc w:val="both"/>
        <w:ind w:firstLine="563"/>
        <w:spacing w:after="0" w:line="216" w:lineRule="auto"/>
        <w:tabs>
          <w:tab w:leader="none" w:pos="1126" w:val="left"/>
        </w:tabs>
        <w:numPr>
          <w:ilvl w:val="0"/>
          <w:numId w:val="281"/>
        </w:numPr>
        <w:rPr>
          <w:rFonts w:ascii="Arial" w:cs="Arial" w:eastAsia="Arial" w:hAnsi="Arial"/>
          <w:sz w:val="17"/>
          <w:szCs w:val="17"/>
          <w:color w:val="auto"/>
        </w:rPr>
      </w:pPr>
      <w:r>
        <w:rPr>
          <w:rFonts w:ascii="Arial" w:cs="Arial" w:eastAsia="Arial" w:hAnsi="Arial"/>
          <w:sz w:val="17"/>
          <w:szCs w:val="17"/>
          <w:color w:val="auto"/>
        </w:rPr>
        <w:t>Each party hereto hereby irrevocably and unconditionally submits, for itself and its property, to the exclusive jurisdiction of the Supreme Court of the State of New York sitting in New York County and of the United States District Court of the Southern District of New York, and any appellate court from any thereof, in any action or proceeding arising out of or relating to any Loan Document,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183</w:t>
      </w:r>
    </w:p>
    <w:p>
      <w:pPr>
        <w:sectPr>
          <w:pgSz w:w="11900" w:h="16838" w:orient="portrait"/>
          <w:cols w:equalWidth="0" w:num="1">
            <w:col w:w="11260"/>
          </w:cols>
          <w:pgMar w:left="320" w:top="1440" w:right="319" w:bottom="1440" w:gutter="0" w:footer="0" w:header="0"/>
        </w:sectPr>
      </w:pPr>
    </w:p>
    <w:bookmarkStart w:id="357" w:name="page358"/>
    <w:bookmarkEnd w:id="357"/>
    <w:p>
      <w:pPr>
        <w:spacing w:after="0" w:line="390" w:lineRule="exact"/>
        <w:rPr>
          <w:sz w:val="20"/>
          <w:szCs w:val="20"/>
          <w:color w:val="auto"/>
        </w:rPr>
      </w:pPr>
    </w:p>
    <w:p>
      <w:pPr>
        <w:jc w:val="both"/>
        <w:spacing w:after="0" w:line="220" w:lineRule="auto"/>
        <w:rPr>
          <w:sz w:val="20"/>
          <w:szCs w:val="20"/>
          <w:color w:val="auto"/>
        </w:rPr>
      </w:pPr>
      <w:r>
        <w:rPr>
          <w:rFonts w:ascii="Arial" w:cs="Arial" w:eastAsia="Arial" w:hAnsi="Arial"/>
          <w:sz w:val="17"/>
          <w:szCs w:val="17"/>
          <w:color w:val="auto"/>
        </w:rPr>
        <w:t>Federal court. Each of the parties hereto agrees that a final judgment in any such action or proceeding shall be conclusive and may be enforced in other jurisdictions by suit on the judgment or in any other manner provided by law. Nothing in any Loan Document shall affect any right that the Administrative Agent, any Issuing Bank or any Lender may otherwise have to bring any action or proceeding relating to any Loan Document against Holdings or the Borrower or their respective properties in the courts of any jurisdiction.</w:t>
      </w:r>
    </w:p>
    <w:p>
      <w:pPr>
        <w:spacing w:after="0" w:line="136" w:lineRule="exact"/>
        <w:rPr>
          <w:sz w:val="20"/>
          <w:szCs w:val="20"/>
          <w:color w:val="auto"/>
        </w:rPr>
      </w:pPr>
    </w:p>
    <w:p>
      <w:pPr>
        <w:jc w:val="both"/>
        <w:ind w:firstLine="563"/>
        <w:spacing w:after="0" w:line="220" w:lineRule="auto"/>
        <w:tabs>
          <w:tab w:leader="none" w:pos="1128" w:val="left"/>
        </w:tabs>
        <w:numPr>
          <w:ilvl w:val="0"/>
          <w:numId w:val="282"/>
        </w:numPr>
        <w:rPr>
          <w:rFonts w:ascii="Arial" w:cs="Arial" w:eastAsia="Arial" w:hAnsi="Arial"/>
          <w:sz w:val="17"/>
          <w:szCs w:val="17"/>
          <w:color w:val="auto"/>
        </w:rPr>
      </w:pPr>
      <w:r>
        <w:rPr>
          <w:rFonts w:ascii="Arial" w:cs="Arial" w:eastAsia="Arial" w:hAnsi="Arial"/>
          <w:sz w:val="17"/>
          <w:szCs w:val="17"/>
          <w:color w:val="auto"/>
        </w:rPr>
        <w:t>Each party hereto hereby irrevocably and unconditionally waives, to the fullest extent it may legally and effectively do so, any objection that it may now or hereafter have to the laying of venue of any suit, action or proceeding arising out of or relating to any Loan Document in any court referred to in paragraph (b) of this Section. Each of the parties hereto hereby irrevocably waives, to the fullest extent permitted by law, the defense of an inconvenient forum to the maintenance of such action or proceeding in any such court.</w:t>
      </w:r>
    </w:p>
    <w:p>
      <w:pPr>
        <w:spacing w:after="0" w:line="135" w:lineRule="exact"/>
        <w:rPr>
          <w:rFonts w:ascii="Arial" w:cs="Arial" w:eastAsia="Arial" w:hAnsi="Arial"/>
          <w:sz w:val="17"/>
          <w:szCs w:val="17"/>
          <w:color w:val="auto"/>
        </w:rPr>
      </w:pPr>
    </w:p>
    <w:p>
      <w:pPr>
        <w:ind w:right="20" w:firstLine="563"/>
        <w:spacing w:after="0" w:line="237" w:lineRule="auto"/>
        <w:tabs>
          <w:tab w:leader="none" w:pos="1126" w:val="left"/>
        </w:tabs>
        <w:numPr>
          <w:ilvl w:val="0"/>
          <w:numId w:val="282"/>
        </w:numPr>
        <w:rPr>
          <w:rFonts w:ascii="Arial" w:cs="Arial" w:eastAsia="Arial" w:hAnsi="Arial"/>
          <w:sz w:val="17"/>
          <w:szCs w:val="17"/>
          <w:color w:val="auto"/>
        </w:rPr>
      </w:pPr>
      <w:r>
        <w:rPr>
          <w:rFonts w:ascii="Arial" w:cs="Arial" w:eastAsia="Arial" w:hAnsi="Arial"/>
          <w:sz w:val="17"/>
          <w:szCs w:val="17"/>
          <w:color w:val="auto"/>
        </w:rPr>
        <w:t>Each party to this Agreement irrevocably consents to service of process in the manner provided for notices in Section 9.01. Nothing in any Loan Document will affect the right of any party to this Agreement to serve process in any other manner permitted by law.</w:t>
      </w:r>
    </w:p>
    <w:p>
      <w:pPr>
        <w:spacing w:after="0" w:line="135" w:lineRule="exact"/>
        <w:rPr>
          <w:sz w:val="20"/>
          <w:szCs w:val="20"/>
          <w:color w:val="auto"/>
        </w:rPr>
      </w:pPr>
    </w:p>
    <w:p>
      <w:pPr>
        <w:jc w:val="both"/>
        <w:ind w:right="20" w:firstLine="568"/>
        <w:spacing w:after="0" w:line="213" w:lineRule="auto"/>
        <w:rPr>
          <w:sz w:val="20"/>
          <w:szCs w:val="20"/>
          <w:color w:val="auto"/>
        </w:rPr>
      </w:pPr>
      <w:r>
        <w:rPr>
          <w:rFonts w:ascii="Arial" w:cs="Arial" w:eastAsia="Arial" w:hAnsi="Arial"/>
          <w:sz w:val="17"/>
          <w:szCs w:val="17"/>
          <w:color w:val="auto"/>
        </w:rPr>
        <w:t xml:space="preserve">Section 1.10. </w:t>
      </w:r>
      <w:r>
        <w:rPr>
          <w:rFonts w:ascii="Arial" w:cs="Arial" w:eastAsia="Arial" w:hAnsi="Arial"/>
          <w:sz w:val="17"/>
          <w:szCs w:val="17"/>
          <w:i w:val="1"/>
          <w:iCs w:val="1"/>
          <w:color w:val="auto"/>
        </w:rPr>
        <w:t>Waiver of Jury Trial.</w:t>
      </w:r>
      <w:r>
        <w:rPr>
          <w:rFonts w:ascii="Arial" w:cs="Arial" w:eastAsia="Arial" w:hAnsi="Arial"/>
          <w:sz w:val="17"/>
          <w:szCs w:val="17"/>
          <w:color w:val="auto"/>
        </w:rPr>
        <w:t xml:space="preserve"> EACH PARTY HERETO HEREBY WAIVES, TO THE FULLEST EXTENT PERMITTED BY APPLICABLE LAW, ANY RIGHT IT MAY HAVE TO A TRIAL BY JURY IN ANY LEGAL PROCEEDING DIRECTLY OR INDIRECTLY ARISING OUT OF OR RELATING TO ANY LOAN DOCUMENT OR THE TRANSACTIONS CONTEMPLATED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35" w:lineRule="exact"/>
        <w:rPr>
          <w:sz w:val="20"/>
          <w:szCs w:val="20"/>
          <w:color w:val="auto"/>
        </w:rPr>
      </w:pPr>
    </w:p>
    <w:p>
      <w:pPr>
        <w:jc w:val="both"/>
        <w:ind w:right="20" w:firstLine="568"/>
        <w:spacing w:after="0" w:line="237" w:lineRule="auto"/>
        <w:rPr>
          <w:sz w:val="20"/>
          <w:szCs w:val="20"/>
          <w:color w:val="auto"/>
        </w:rPr>
      </w:pPr>
      <w:r>
        <w:rPr>
          <w:rFonts w:ascii="Arial" w:cs="Arial" w:eastAsia="Arial" w:hAnsi="Arial"/>
          <w:sz w:val="17"/>
          <w:szCs w:val="17"/>
          <w:color w:val="auto"/>
        </w:rPr>
        <w:t xml:space="preserve">Section 1.11. </w:t>
      </w:r>
      <w:r>
        <w:rPr>
          <w:rFonts w:ascii="Arial" w:cs="Arial" w:eastAsia="Arial" w:hAnsi="Arial"/>
          <w:sz w:val="17"/>
          <w:szCs w:val="17"/>
          <w:i w:val="1"/>
          <w:iCs w:val="1"/>
          <w:color w:val="auto"/>
        </w:rPr>
        <w:t>Headings.</w:t>
      </w:r>
      <w:r>
        <w:rPr>
          <w:rFonts w:ascii="Arial" w:cs="Arial" w:eastAsia="Arial" w:hAnsi="Arial"/>
          <w:sz w:val="17"/>
          <w:szCs w:val="17"/>
          <w:color w:val="auto"/>
        </w:rPr>
        <w:t xml:space="preserve"> Article and Section headings and the Table of Contents used herein are for convenience of reference only, are not part of this Agreement and shall not affect the construction of, or be taken into consideration in interpreting, this Agreement.</w:t>
      </w:r>
    </w:p>
    <w:p>
      <w:pPr>
        <w:spacing w:after="0" w:line="135" w:lineRule="exact"/>
        <w:rPr>
          <w:sz w:val="20"/>
          <w:szCs w:val="20"/>
          <w:color w:val="auto"/>
        </w:rPr>
      </w:pPr>
    </w:p>
    <w:p>
      <w:pPr>
        <w:ind w:left="560"/>
        <w:spacing w:after="0"/>
        <w:tabs>
          <w:tab w:leader="none" w:pos="1680" w:val="left"/>
        </w:tabs>
        <w:rPr>
          <w:sz w:val="20"/>
          <w:szCs w:val="20"/>
          <w:color w:val="auto"/>
        </w:rPr>
      </w:pPr>
      <w:r>
        <w:rPr>
          <w:rFonts w:ascii="Arial" w:cs="Arial" w:eastAsia="Arial" w:hAnsi="Arial"/>
          <w:sz w:val="17"/>
          <w:szCs w:val="17"/>
          <w:color w:val="auto"/>
        </w:rPr>
        <w:t>Section 1.12.</w:t>
      </w:r>
      <w:r>
        <w:rPr>
          <w:sz w:val="20"/>
          <w:szCs w:val="20"/>
          <w:color w:val="auto"/>
        </w:rPr>
        <w:tab/>
      </w:r>
      <w:r>
        <w:rPr>
          <w:rFonts w:ascii="Arial" w:cs="Arial" w:eastAsia="Arial" w:hAnsi="Arial"/>
          <w:sz w:val="16"/>
          <w:szCs w:val="16"/>
          <w:i w:val="1"/>
          <w:iCs w:val="1"/>
          <w:color w:val="auto"/>
        </w:rPr>
        <w:t>Confidentiality</w:t>
      </w:r>
      <w:r>
        <w:rPr>
          <w:rFonts w:ascii="Arial" w:cs="Arial" w:eastAsia="Arial" w:hAnsi="Arial"/>
          <w:sz w:val="16"/>
          <w:szCs w:val="16"/>
          <w:color w:val="auto"/>
        </w:rPr>
        <w:t>.</w:t>
      </w:r>
    </w:p>
    <w:p>
      <w:pPr>
        <w:spacing w:after="0" w:line="160" w:lineRule="exact"/>
        <w:rPr>
          <w:sz w:val="20"/>
          <w:szCs w:val="20"/>
          <w:color w:val="auto"/>
        </w:rPr>
      </w:pPr>
    </w:p>
    <w:p>
      <w:pPr>
        <w:jc w:val="both"/>
        <w:ind w:firstLine="563"/>
        <w:spacing w:after="0" w:line="210" w:lineRule="auto"/>
        <w:tabs>
          <w:tab w:leader="none" w:pos="1128" w:val="left"/>
        </w:tabs>
        <w:numPr>
          <w:ilvl w:val="0"/>
          <w:numId w:val="283"/>
        </w:numPr>
        <w:rPr>
          <w:rFonts w:ascii="Arial" w:cs="Arial" w:eastAsia="Arial" w:hAnsi="Arial"/>
          <w:sz w:val="17"/>
          <w:szCs w:val="17"/>
          <w:color w:val="auto"/>
        </w:rPr>
      </w:pPr>
      <w:r>
        <w:rPr>
          <w:rFonts w:ascii="Arial" w:cs="Arial" w:eastAsia="Arial" w:hAnsi="Arial"/>
          <w:sz w:val="17"/>
          <w:szCs w:val="17"/>
          <w:color w:val="auto"/>
        </w:rPr>
        <w:t xml:space="preserve">Each of the Administrative Agent, the Issuing Banks and the Lenders agrees to maintain the confidentiality of the Information (as defined below), except that Information may be disclosed (i) to its and its Affiliates’ directors, officers, employees, trustees and agents, including accountants, legal counsel and other agents and advisors and numbering, administration and settlement service providers (it being understood that the Persons to whom such disclosure is made will be informed of the confidential nature of such Information and instructed to keep such Information confidential and any failure of such Persons acting on behalf of the Administrative Agent, any Issuing Bank or the relevant Lender to comply with this Section 9.12 shall constitute a breach of this Section 9.12 by the Administrative Agent, such Issuing Bank or the relevant Lender, as applicable), (ii) to the extent requested by any regulatory authority or self-regulatory authority, required by applicable law or by any subpoena or similar legal process;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solely to the extent permitted by law and other than in connection with routine audits and reviews by regulatory and self-regulatory authorities, each Lender and the Administrative Agent shall notify the Borrower as promptly as practicable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184</w:t>
      </w:r>
    </w:p>
    <w:p>
      <w:pPr>
        <w:sectPr>
          <w:pgSz w:w="11900" w:h="16838" w:orient="portrait"/>
          <w:cols w:equalWidth="0" w:num="1">
            <w:col w:w="11260"/>
          </w:cols>
          <w:pgMar w:left="320" w:top="1440" w:right="319" w:bottom="1440" w:gutter="0" w:footer="0" w:header="0"/>
        </w:sectPr>
      </w:pPr>
    </w:p>
    <w:bookmarkStart w:id="358" w:name="page359"/>
    <w:bookmarkEnd w:id="358"/>
    <w:p>
      <w:pPr>
        <w:spacing w:after="0" w:line="389" w:lineRule="exact"/>
        <w:rPr>
          <w:sz w:val="20"/>
          <w:szCs w:val="20"/>
          <w:color w:val="auto"/>
        </w:rPr>
      </w:pPr>
    </w:p>
    <w:p>
      <w:pPr>
        <w:jc w:val="both"/>
        <w:ind w:left="5"/>
        <w:spacing w:after="0" w:line="219" w:lineRule="auto"/>
        <w:rPr>
          <w:sz w:val="20"/>
          <w:szCs w:val="20"/>
          <w:color w:val="auto"/>
        </w:rPr>
      </w:pPr>
      <w:r>
        <w:rPr>
          <w:rFonts w:ascii="Arial" w:cs="Arial" w:eastAsia="Arial" w:hAnsi="Arial"/>
          <w:sz w:val="16"/>
          <w:szCs w:val="16"/>
          <w:color w:val="auto"/>
        </w:rPr>
        <w:t xml:space="preserve">such requested or required disclosure in connection with any legal or regulatory proceeding;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in no event shall any Lender or the Administrative Agent be obligated or required to return any materials furnished by the Borrower or any Subsidiary of Holdings, (iii) to any other party to this Agreement, (iv) in connection with the exercise of any remedies hereunder or any suit, action or proceeding relating to this Agreement or the enforcement of rights hereunder, (v) subject to an agreement containing confidentiality undertakings substantially similar to those of this Section, to (A) any assignee of or Participant in, or any prospective assignee of or Participant in, any of its rights or obligations under this Agreement, (B) any actual or prospective counterparty (or its advisors) to any Swap Agreement or derivative transaction relating to any Loan Party or its Subsidiaries and its obligations under the Loan Documents or</w:t>
      </w:r>
    </w:p>
    <w:p>
      <w:pPr>
        <w:spacing w:after="0" w:line="1" w:lineRule="exact"/>
        <w:rPr>
          <w:sz w:val="20"/>
          <w:szCs w:val="20"/>
          <w:color w:val="auto"/>
        </w:rPr>
      </w:pPr>
    </w:p>
    <w:p>
      <w:pPr>
        <w:jc w:val="both"/>
        <w:ind w:left="5" w:hanging="5"/>
        <w:spacing w:after="0" w:line="219" w:lineRule="auto"/>
        <w:tabs>
          <w:tab w:leader="none" w:pos="280" w:val="left"/>
        </w:tabs>
        <w:numPr>
          <w:ilvl w:val="0"/>
          <w:numId w:val="284"/>
        </w:numPr>
        <w:rPr>
          <w:rFonts w:ascii="Arial" w:cs="Arial" w:eastAsia="Arial" w:hAnsi="Arial"/>
          <w:sz w:val="16"/>
          <w:szCs w:val="16"/>
          <w:color w:val="auto"/>
        </w:rPr>
      </w:pPr>
      <w:r>
        <w:rPr>
          <w:rFonts w:ascii="Arial" w:cs="Arial" w:eastAsia="Arial" w:hAnsi="Arial"/>
          <w:sz w:val="16"/>
          <w:szCs w:val="16"/>
          <w:color w:val="auto"/>
        </w:rPr>
        <w:t xml:space="preserve">any pledgee referred to in Section 9.04(d) (it being understood that each Person identified as a “Disqualified Lender” on Schedule 1.01(a) may be disclosed to any assignee or Participant, or prospective assignee or Participant, in reliance on this clause (v)), (vi) if required by any rating agency;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prior to any such disclosure, such rating agency shall have agreed in writing to maintain the confidentiality of such Information or (vii) to the extent such Information (x) becomes publicly available other than as a result of a breach of this Section or (y) becomes available to the Administrative Agent, any Issuing Bank, any Lender or any of their respective Affiliates on a nonconfidential basis from a source other than Holdings or the Borrower. In addition, the Administrative Agent and the Lead Arrangers may disclose the existence of this Agreement and information about this Agreement (other than any Information) to market data collectors and similar services providers to the lending industry to the extent reasonably required by such market data collectors or service providers to enable such party to receive league table credit for such party’s role in connection with this Agreement and the Transactions. For the purposes hereof, “</w:t>
      </w:r>
      <w:r>
        <w:rPr>
          <w:rFonts w:ascii="Arial" w:cs="Arial" w:eastAsia="Arial" w:hAnsi="Arial"/>
          <w:sz w:val="16"/>
          <w:szCs w:val="16"/>
          <w:b w:val="1"/>
          <w:bCs w:val="1"/>
          <w:color w:val="auto"/>
        </w:rPr>
        <w:t>Information</w:t>
      </w:r>
      <w:r>
        <w:rPr>
          <w:rFonts w:ascii="Arial" w:cs="Arial" w:eastAsia="Arial" w:hAnsi="Arial"/>
          <w:sz w:val="16"/>
          <w:szCs w:val="16"/>
          <w:color w:val="auto"/>
        </w:rPr>
        <w:t xml:space="preserve">” means all information received from Holdings or the Borrower relating to Holdings, the Borrower, any other Subsidiary or their business, other than any such information that is available to the Administrative Agent, any Issuing Bank or any Lender on a nonconfidential basis prior to disclosure by Holdings, the Borrower or any Subsidiary and other than information pertaining to this Agreement routinely provided by arrangers to data service providers, including league table providers, that serve the lending industry;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information received from Holdings, the Borrower or any Subsidiary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43" w:lineRule="exact"/>
        <w:rPr>
          <w:rFonts w:ascii="Arial" w:cs="Arial" w:eastAsia="Arial" w:hAnsi="Arial"/>
          <w:sz w:val="16"/>
          <w:szCs w:val="16"/>
          <w:color w:val="auto"/>
        </w:rPr>
      </w:pPr>
    </w:p>
    <w:p>
      <w:pPr>
        <w:jc w:val="both"/>
        <w:ind w:left="5" w:firstLine="563"/>
        <w:spacing w:after="0" w:line="214" w:lineRule="auto"/>
        <w:tabs>
          <w:tab w:leader="none" w:pos="1131" w:val="left"/>
        </w:tabs>
        <w:numPr>
          <w:ilvl w:val="1"/>
          <w:numId w:val="284"/>
        </w:numPr>
        <w:rPr>
          <w:rFonts w:ascii="Arial" w:cs="Arial" w:eastAsia="Arial" w:hAnsi="Arial"/>
          <w:sz w:val="17"/>
          <w:szCs w:val="17"/>
          <w:color w:val="auto"/>
        </w:rPr>
      </w:pPr>
      <w:r>
        <w:rPr>
          <w:rFonts w:ascii="Arial" w:cs="Arial" w:eastAsia="Arial" w:hAnsi="Arial"/>
          <w:sz w:val="17"/>
          <w:szCs w:val="17"/>
          <w:color w:val="auto"/>
        </w:rPr>
        <w:t>EACH LENDER ACKNOWLEDGES THAT INFORMATION AS DEFINED IN SECTION 9.12(a) FURNISHED TO IT PURSUANT TO THIS AGREEMENT MAY INCLUDE MATERIAL NON-PUBLIC INFORMATION CONCERNING HOLDINGS, THE BORROWER, THE LOAN PARTIES AND THEIR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138" w:lineRule="exact"/>
        <w:rPr>
          <w:rFonts w:ascii="Arial" w:cs="Arial" w:eastAsia="Arial" w:hAnsi="Arial"/>
          <w:sz w:val="17"/>
          <w:szCs w:val="17"/>
          <w:color w:val="auto"/>
        </w:rPr>
      </w:pPr>
    </w:p>
    <w:p>
      <w:pPr>
        <w:jc w:val="both"/>
        <w:ind w:left="5" w:right="20" w:firstLine="563"/>
        <w:spacing w:after="0" w:line="225" w:lineRule="auto"/>
        <w:tabs>
          <w:tab w:leader="none" w:pos="1133" w:val="left"/>
        </w:tabs>
        <w:numPr>
          <w:ilvl w:val="1"/>
          <w:numId w:val="284"/>
        </w:numPr>
        <w:rPr>
          <w:rFonts w:ascii="Arial" w:cs="Arial" w:eastAsia="Arial" w:hAnsi="Arial"/>
          <w:sz w:val="17"/>
          <w:szCs w:val="17"/>
          <w:color w:val="auto"/>
        </w:rPr>
      </w:pPr>
      <w:r>
        <w:rPr>
          <w:rFonts w:ascii="Arial" w:cs="Arial" w:eastAsia="Arial" w:hAnsi="Arial"/>
          <w:sz w:val="17"/>
          <w:szCs w:val="17"/>
          <w:color w:val="auto"/>
        </w:rPr>
        <w:t>ALL INFORMATION, INCLUDING REQUESTS FOR WAIVERS AND AMENDMENTS FURNISHED BY THE BORROWER OR THE ADMINISTRATIVE AGENT PURSUANT TO, OR IN THE COURSE OF ADMINISTERING, THIS AGREEMENT, WILL BE SYNDICATE-LEVEL INFORMATION, WHICH MAY CONTAIN MATERIAL NON-PUBLIC INFORMATION ABOUT HOLDINGS, THE BORROWER, THE LOAN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4"/>
        <w:spacing w:after="0"/>
        <w:rPr>
          <w:sz w:val="20"/>
          <w:szCs w:val="20"/>
          <w:color w:val="auto"/>
        </w:rPr>
      </w:pPr>
      <w:r>
        <w:rPr>
          <w:rFonts w:ascii="Arial" w:cs="Arial" w:eastAsia="Arial" w:hAnsi="Arial"/>
          <w:sz w:val="17"/>
          <w:szCs w:val="17"/>
          <w:color w:val="auto"/>
        </w:rPr>
        <w:t>185</w:t>
      </w:r>
    </w:p>
    <w:p>
      <w:pPr>
        <w:sectPr>
          <w:pgSz w:w="11900" w:h="16838" w:orient="portrait"/>
          <w:cols w:equalWidth="0" w:num="1">
            <w:col w:w="11265"/>
          </w:cols>
          <w:pgMar w:left="315" w:top="1440" w:right="319" w:bottom="1440" w:gutter="0" w:footer="0" w:header="0"/>
        </w:sectPr>
      </w:pPr>
    </w:p>
    <w:bookmarkStart w:id="359" w:name="page360"/>
    <w:bookmarkEnd w:id="359"/>
    <w:p>
      <w:pPr>
        <w:spacing w:after="0" w:line="389" w:lineRule="exact"/>
        <w:rPr>
          <w:sz w:val="20"/>
          <w:szCs w:val="20"/>
          <w:color w:val="auto"/>
        </w:rPr>
      </w:pPr>
    </w:p>
    <w:p>
      <w:pPr>
        <w:jc w:val="both"/>
        <w:ind w:right="20"/>
        <w:spacing w:after="0" w:line="220" w:lineRule="auto"/>
        <w:rPr>
          <w:sz w:val="20"/>
          <w:szCs w:val="20"/>
          <w:color w:val="auto"/>
        </w:rPr>
      </w:pPr>
      <w:r>
        <w:rPr>
          <w:rFonts w:ascii="Arial" w:cs="Arial" w:eastAsia="Arial" w:hAnsi="Arial"/>
          <w:sz w:val="17"/>
          <w:szCs w:val="17"/>
          <w:color w:val="auto"/>
        </w:rPr>
        <w:t>AND THEIR RELATED PARTIES OR THEIR RESPECTIVE SECURITIES. ACCORDINGLY, EACH LENDER REPRESENTS TO THE BORROWER AND THE ADMINISTRATIVE AGENT THAT IT HAS IDENTIFIED IN ITS ADMINISTRATIVE QUESTIONNAIRE A CREDIT CONTACT WHO MAY RECEIVE INFORMATION THAT MAY CONTAIN MATERIAL NON-PUBLIC INFORMATION IN ACCORDANCE WITH ITS COMPLIANCE PROCEDURES AND APPLICABLE LAW, INCLUDING FEDERAL AND STATE SECURITIES LAWS.</w:t>
      </w:r>
    </w:p>
    <w:p>
      <w:pPr>
        <w:spacing w:after="0" w:line="136" w:lineRule="exact"/>
        <w:rPr>
          <w:sz w:val="20"/>
          <w:szCs w:val="20"/>
          <w:color w:val="auto"/>
        </w:rPr>
      </w:pPr>
    </w:p>
    <w:p>
      <w:pPr>
        <w:jc w:val="both"/>
        <w:ind w:firstLine="568"/>
        <w:spacing w:after="0" w:line="220" w:lineRule="auto"/>
        <w:rPr>
          <w:sz w:val="20"/>
          <w:szCs w:val="20"/>
          <w:color w:val="auto"/>
        </w:rPr>
      </w:pPr>
      <w:r>
        <w:rPr>
          <w:rFonts w:ascii="Arial" w:cs="Arial" w:eastAsia="Arial" w:hAnsi="Arial"/>
          <w:sz w:val="17"/>
          <w:szCs w:val="17"/>
          <w:color w:val="auto"/>
        </w:rPr>
        <w:t xml:space="preserve">Section 1.13. </w:t>
      </w:r>
      <w:r>
        <w:rPr>
          <w:rFonts w:ascii="Arial" w:cs="Arial" w:eastAsia="Arial" w:hAnsi="Arial"/>
          <w:sz w:val="17"/>
          <w:szCs w:val="17"/>
          <w:i w:val="1"/>
          <w:iCs w:val="1"/>
          <w:color w:val="auto"/>
        </w:rPr>
        <w:t>USA Patriot Act.</w:t>
      </w:r>
      <w:r>
        <w:rPr>
          <w:rFonts w:ascii="Arial" w:cs="Arial" w:eastAsia="Arial" w:hAnsi="Arial"/>
          <w:sz w:val="17"/>
          <w:szCs w:val="17"/>
          <w:color w:val="auto"/>
        </w:rPr>
        <w:t xml:space="preserve"> Each Lender that is subject to the USA Patriot Act and the Administrative Agent (for itself and not on behalf of any Lender) hereby notifies the Borrower that pursuant to the requirements of the USA Patriot Act, it is required to obtain, verify and record information that identifies each Loan Party, which information includes the name and address of each Loan Party and other information that will allow such Lender or the Administrative Agent, as applicable, to identify each Loan Party in accordance with the USA Patriot Act.</w:t>
      </w:r>
    </w:p>
    <w:p>
      <w:pPr>
        <w:spacing w:after="0" w:line="136" w:lineRule="exact"/>
        <w:rPr>
          <w:sz w:val="20"/>
          <w:szCs w:val="20"/>
          <w:color w:val="auto"/>
        </w:rPr>
      </w:pPr>
    </w:p>
    <w:p>
      <w:pPr>
        <w:ind w:left="560"/>
        <w:spacing w:after="0"/>
        <w:tabs>
          <w:tab w:leader="none" w:pos="1680" w:val="left"/>
        </w:tabs>
        <w:rPr>
          <w:sz w:val="20"/>
          <w:szCs w:val="20"/>
          <w:color w:val="auto"/>
        </w:rPr>
      </w:pPr>
      <w:r>
        <w:rPr>
          <w:rFonts w:ascii="Arial" w:cs="Arial" w:eastAsia="Arial" w:hAnsi="Arial"/>
          <w:sz w:val="17"/>
          <w:szCs w:val="17"/>
          <w:color w:val="auto"/>
        </w:rPr>
        <w:t>Section 1.14.</w:t>
      </w:r>
      <w:r>
        <w:rPr>
          <w:sz w:val="20"/>
          <w:szCs w:val="20"/>
          <w:color w:val="auto"/>
        </w:rPr>
        <w:tab/>
      </w:r>
      <w:r>
        <w:rPr>
          <w:rFonts w:ascii="Arial" w:cs="Arial" w:eastAsia="Arial" w:hAnsi="Arial"/>
          <w:sz w:val="15"/>
          <w:szCs w:val="15"/>
          <w:i w:val="1"/>
          <w:iCs w:val="1"/>
          <w:color w:val="auto"/>
        </w:rPr>
        <w:t>Release of Liens and Guarantees</w:t>
      </w:r>
      <w:r>
        <w:rPr>
          <w:rFonts w:ascii="Arial" w:cs="Arial" w:eastAsia="Arial" w:hAnsi="Arial"/>
          <w:sz w:val="15"/>
          <w:szCs w:val="15"/>
          <w:color w:val="auto"/>
        </w:rPr>
        <w:t>.</w:t>
      </w:r>
    </w:p>
    <w:p>
      <w:pPr>
        <w:spacing w:after="0" w:line="160" w:lineRule="exact"/>
        <w:rPr>
          <w:sz w:val="20"/>
          <w:szCs w:val="20"/>
          <w:color w:val="auto"/>
        </w:rPr>
      </w:pPr>
    </w:p>
    <w:p>
      <w:pPr>
        <w:jc w:val="both"/>
        <w:ind w:firstLine="563"/>
        <w:spacing w:after="0"/>
        <w:tabs>
          <w:tab w:leader="none" w:pos="1128" w:val="left"/>
        </w:tabs>
        <w:numPr>
          <w:ilvl w:val="0"/>
          <w:numId w:val="285"/>
        </w:numPr>
        <w:rPr>
          <w:rFonts w:ascii="Arial" w:cs="Arial" w:eastAsia="Arial" w:hAnsi="Arial"/>
          <w:sz w:val="15"/>
          <w:szCs w:val="15"/>
          <w:color w:val="auto"/>
        </w:rPr>
      </w:pPr>
      <w:r>
        <w:rPr>
          <w:rFonts w:ascii="Arial" w:cs="Arial" w:eastAsia="Arial" w:hAnsi="Arial"/>
          <w:sz w:val="15"/>
          <w:szCs w:val="15"/>
          <w:color w:val="auto"/>
        </w:rPr>
        <w:t>A Subsidiary Loan Party shall automatically be released from its obligations under the Loan Documents, and all security interests created by the Security Documents in Collateral owned by such Subsidiary Loan Party shall be automatically released, (1) upon the consummation of any transaction permitted by this Agreement as a result of which such Subsidiary Loan Party ceases to be a Restricted Subsidiary (including pursuant to a merger with a Subsidiary that is not a Loan Party or designation as an Unrestricted Subsidiary), (2) upon the request of the Borrower in connection with a transaction permitted by this Agreement, as a result of which such Subsidiary Loan Party ceases to be a Wholly Owned Subsidiary (it being understood that, without duplication of any other utilization of Investment capacity in connection therewith, if Holdings or any Restricted Subsidiary shall continue to hold any Investment by a Loan Party in a Restricted Subsidiary that is not a Loan Party in an amount equal to the fair market value of such retained Investment), (3) upon the request of the Borrower, if such Subsidiary Loan Party becomes a Regulated Subsidiary or an Excluded Subsidiary (other than (i) any Subsidiary Loan Party that becomes an Excluded Subsidiary solely as a result of ceasing to be a Wholly Owned Subsidiary and (ii) any Excluded Subsidiary that the Borrower, in its sole discretion, elects to maintain as a Guarantor) or (4) upon the written request of the Borrower to the Administrative Agent, if the Borrower elects to cause any Excluded Subsidiary (other than any Subsidiary Loan Party that is not required to be a Subsidiary Loan Party solely as a result of (i) being a Foreign Subsidiary and/or (ii) not being a Wholly Owned Subsidiary) that the Borrower previously elected to cause to become or remain a Subsidiary Loan Party to no longer be designated as a Subsidiary Loan Party; provided that, for the avoidance of doubt, (i) any such release shall constitute an Investment in such Subsidiary by the Borrower as of the date of such release and (ii) any Indebtedness or Liens of any such Subsidiary existing at the time of such release shall be deemed to be incurred by a Restricted Subsidiary that is not a Subsidiary Loan Party as of the date of such release. Upon any sale or other transfer by any Loan Party (other than to Holdings, the Borrower or any Subsidiary Loan Party) of any Collateral in a transaction permitted under this Agreement, or upon the effectiveness of any written consent to the release of the security interest created under any Security Document in any Collateral or the release of Holdings or any Subsidiary Loan Party from its Guarantee under the Guarantee Agreement pursuant to Section 9.02, the security interests in such Collateral created by the Security Documents or such guarantee shall be automatically released. Upon the occurrence of the Termination Date, all obligations under the Loan Documents and all security interests created by the Security Documents shall be automatically released. In connection with any termination or release pursuant to this Section or if a Loan Party requests the Administrative Agent to confirm that its Lien granted under the Security Documents does not attach to specified Excluded Assets,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186</w:t>
      </w:r>
    </w:p>
    <w:p>
      <w:pPr>
        <w:sectPr>
          <w:pgSz w:w="11900" w:h="16838" w:orient="portrait"/>
          <w:cols w:equalWidth="0" w:num="1">
            <w:col w:w="11260"/>
          </w:cols>
          <w:pgMar w:left="320" w:top="1440" w:right="319" w:bottom="1440" w:gutter="0" w:footer="0" w:header="0"/>
        </w:sectPr>
      </w:pPr>
    </w:p>
    <w:bookmarkStart w:id="360" w:name="page361"/>
    <w:bookmarkEnd w:id="360"/>
    <w:p>
      <w:pPr>
        <w:spacing w:after="0" w:line="390" w:lineRule="exact"/>
        <w:rPr>
          <w:sz w:val="20"/>
          <w:szCs w:val="20"/>
          <w:color w:val="auto"/>
        </w:rPr>
      </w:pPr>
    </w:p>
    <w:p>
      <w:pPr>
        <w:jc w:val="both"/>
        <w:ind w:left="5"/>
        <w:spacing w:after="0" w:line="234" w:lineRule="auto"/>
        <w:rPr>
          <w:sz w:val="20"/>
          <w:szCs w:val="20"/>
          <w:color w:val="auto"/>
        </w:rPr>
      </w:pPr>
      <w:r>
        <w:rPr>
          <w:rFonts w:ascii="Arial" w:cs="Arial" w:eastAsia="Arial" w:hAnsi="Arial"/>
          <w:sz w:val="16"/>
          <w:szCs w:val="16"/>
          <w:color w:val="auto"/>
        </w:rPr>
        <w:t>Administrative Agent shall, at such Loan Party’s expense, return any possessory collateral held by it in respect of any Collateral so released, and execute and deliver to any Loan Party all documents and take such other actions that such Loan Party shall reasonably request, to evidence such termination, release or confirmation so long as the Borrower or applicable Loan Party shall have provided the Administrative Agent such certifications or documents as the Administrative Agent shall reasonably request in order to demonstrate compliance with this Agreement or that such assets constitute Excluded Assets.</w:t>
      </w:r>
    </w:p>
    <w:p>
      <w:pPr>
        <w:spacing w:after="0" w:line="135" w:lineRule="exact"/>
        <w:rPr>
          <w:sz w:val="20"/>
          <w:szCs w:val="20"/>
          <w:color w:val="auto"/>
        </w:rPr>
      </w:pPr>
    </w:p>
    <w:p>
      <w:pPr>
        <w:jc w:val="both"/>
        <w:ind w:left="5" w:firstLine="563"/>
        <w:spacing w:after="0" w:line="221" w:lineRule="auto"/>
        <w:tabs>
          <w:tab w:leader="none" w:pos="1131" w:val="left"/>
        </w:tabs>
        <w:numPr>
          <w:ilvl w:val="0"/>
          <w:numId w:val="286"/>
        </w:numPr>
        <w:rPr>
          <w:rFonts w:ascii="Arial" w:cs="Arial" w:eastAsia="Arial" w:hAnsi="Arial"/>
          <w:sz w:val="16"/>
          <w:szCs w:val="16"/>
          <w:color w:val="auto"/>
        </w:rPr>
      </w:pPr>
      <w:r>
        <w:rPr>
          <w:rFonts w:ascii="Arial" w:cs="Arial" w:eastAsia="Arial" w:hAnsi="Arial"/>
          <w:sz w:val="16"/>
          <w:szCs w:val="16"/>
          <w:color w:val="auto"/>
        </w:rPr>
        <w:t>Holdings may notify the Administrative Agent that it wishes to obtain the release of the Guarantee of, and grants of Liens by, any Subsidiary Loan Party under the Security Documents (any Subsidiary in respect of which such a release is given, a “</w:t>
      </w:r>
      <w:r>
        <w:rPr>
          <w:rFonts w:ascii="Arial" w:cs="Arial" w:eastAsia="Arial" w:hAnsi="Arial"/>
          <w:sz w:val="16"/>
          <w:szCs w:val="16"/>
          <w:b w:val="1"/>
          <w:bCs w:val="1"/>
          <w:color w:val="auto"/>
        </w:rPr>
        <w:t>Released Subsidiary</w:t>
      </w:r>
      <w:r>
        <w:rPr>
          <w:rFonts w:ascii="Arial" w:cs="Arial" w:eastAsia="Arial" w:hAnsi="Arial"/>
          <w:sz w:val="16"/>
          <w:szCs w:val="16"/>
          <w:color w:val="auto"/>
        </w:rPr>
        <w:t>”), and the Administrative Agent will, and is hereby authorized to, promptly release such Guarantee and grants of Liens of such Subsidiary Loan Party pursuant to a written notification thereof given to Holdings; provided that (i) no Default has occurred or is continuing on the date of such request or would result immediately after giving effect to such release, and the Administrative Agent has been furnished with a certificate of a Financial Officer confirming satisfaction of such condition, (ii) after such release is effected, such Restricted Subsidiary shall thereafter be treated as a Restricted Subsidiary that is not a Loan Party for purposes of this Agreement, (iii) the fair market value of such Released Subsidiary immediately after the release of such Guarantee, as reasonably determined by a Financial Officer, is deemed to be an Investment by a Loan Party on the date of such release in a Subsidiary that is not a Loan Party for purposes of Section 6.04(c) or Section 6.04(m), as designated by Holdings to the Administrative Agent prior to such release, (iv) such Investment is permitted under Section 6.04(c) or Section 6.04(m), (v) after giving effect to such transaction on a Pro Forma Basis, not more than 10% of Consolidated EBITDA for the most recently ended Test Period shall be attributable to such Restricted Subsidiary together with all other Restricted Subsidiaries (or any successors thereto) that were released from being Loan Parties pursuant to the provisions of this Section 9.14 and (vi) the Borrower shall have provided the Administrative Agent such certifications or documents as the Administrative Agent shall reasonably request in order to demonstrate compliance with this Agreement.</w:t>
      </w:r>
    </w:p>
    <w:p>
      <w:pPr>
        <w:spacing w:after="0" w:line="141" w:lineRule="exact"/>
        <w:rPr>
          <w:rFonts w:ascii="Arial" w:cs="Arial" w:eastAsia="Arial" w:hAnsi="Arial"/>
          <w:sz w:val="16"/>
          <w:szCs w:val="16"/>
          <w:color w:val="auto"/>
        </w:rPr>
      </w:pPr>
    </w:p>
    <w:p>
      <w:pPr>
        <w:jc w:val="both"/>
        <w:ind w:left="5" w:right="20" w:firstLine="563"/>
        <w:spacing w:after="0" w:line="225" w:lineRule="auto"/>
        <w:tabs>
          <w:tab w:leader="none" w:pos="1133" w:val="left"/>
        </w:tabs>
        <w:numPr>
          <w:ilvl w:val="0"/>
          <w:numId w:val="286"/>
        </w:numPr>
        <w:rPr>
          <w:rFonts w:ascii="Arial" w:cs="Arial" w:eastAsia="Arial" w:hAnsi="Arial"/>
          <w:sz w:val="17"/>
          <w:szCs w:val="17"/>
          <w:color w:val="auto"/>
        </w:rPr>
      </w:pPr>
      <w:r>
        <w:rPr>
          <w:rFonts w:ascii="Arial" w:cs="Arial" w:eastAsia="Arial" w:hAnsi="Arial"/>
          <w:sz w:val="17"/>
          <w:szCs w:val="17"/>
          <w:color w:val="auto"/>
        </w:rPr>
        <w:t>The Administrative Agent will, at the Borrower’s expense, execute and deliver to the applicable Loan Party such documents as such Loan Party may reasonably request to subordinate its Lien on any property granted to or held by the Administrative Agent under any Loan Document to the holder of any Lien on such property that is of the type permitted by Section 6.02(iv).</w:t>
      </w:r>
    </w:p>
    <w:p>
      <w:pPr>
        <w:spacing w:after="0" w:line="136" w:lineRule="exact"/>
        <w:rPr>
          <w:rFonts w:ascii="Arial" w:cs="Arial" w:eastAsia="Arial" w:hAnsi="Arial"/>
          <w:sz w:val="17"/>
          <w:szCs w:val="17"/>
          <w:color w:val="auto"/>
        </w:rPr>
      </w:pPr>
    </w:p>
    <w:p>
      <w:pPr>
        <w:jc w:val="both"/>
        <w:ind w:left="5" w:firstLine="563"/>
        <w:spacing w:after="0" w:line="234" w:lineRule="auto"/>
        <w:tabs>
          <w:tab w:leader="none" w:pos="1131" w:val="left"/>
        </w:tabs>
        <w:numPr>
          <w:ilvl w:val="0"/>
          <w:numId w:val="286"/>
        </w:numPr>
        <w:rPr>
          <w:rFonts w:ascii="Arial" w:cs="Arial" w:eastAsia="Arial" w:hAnsi="Arial"/>
          <w:sz w:val="16"/>
          <w:szCs w:val="16"/>
          <w:color w:val="auto"/>
        </w:rPr>
      </w:pPr>
      <w:r>
        <w:rPr>
          <w:rFonts w:ascii="Arial" w:cs="Arial" w:eastAsia="Arial" w:hAnsi="Arial"/>
          <w:sz w:val="16"/>
          <w:szCs w:val="16"/>
          <w:color w:val="auto"/>
        </w:rPr>
        <w:t>Each of the Lenders and the Issuing Banks irrevocably authorizes the Administrative Agent to provide any release or evidence of release, termination or subordination contemplated by this Section 9.14. Upon request by the Administrative Agent at any time, the Required Lenders will confirm in writing the Administrative Agent’s authority to release or subordinate its interest in particular types or items of property, or to release any Loan Party from its obligations under any Loan Document, in each case in accordance with the terms of the Loan Document and this Section 9.14.</w:t>
      </w:r>
    </w:p>
    <w:p>
      <w:pPr>
        <w:spacing w:after="0" w:line="135" w:lineRule="exact"/>
        <w:rPr>
          <w:sz w:val="20"/>
          <w:szCs w:val="20"/>
          <w:color w:val="auto"/>
        </w:rPr>
      </w:pPr>
    </w:p>
    <w:p>
      <w:pPr>
        <w:jc w:val="both"/>
        <w:ind w:left="5" w:firstLine="568"/>
        <w:spacing w:after="0"/>
        <w:rPr>
          <w:sz w:val="20"/>
          <w:szCs w:val="20"/>
          <w:color w:val="auto"/>
        </w:rPr>
      </w:pPr>
      <w:r>
        <w:rPr>
          <w:rFonts w:ascii="Arial" w:cs="Arial" w:eastAsia="Arial" w:hAnsi="Arial"/>
          <w:sz w:val="15"/>
          <w:szCs w:val="15"/>
          <w:color w:val="auto"/>
        </w:rPr>
        <w:t xml:space="preserve">Section 1.15. </w:t>
      </w:r>
      <w:r>
        <w:rPr>
          <w:rFonts w:ascii="Arial" w:cs="Arial" w:eastAsia="Arial" w:hAnsi="Arial"/>
          <w:sz w:val="15"/>
          <w:szCs w:val="15"/>
          <w:i w:val="1"/>
          <w:iCs w:val="1"/>
          <w:color w:val="auto"/>
        </w:rPr>
        <w:t>No Advisory or Fiduciary Responsibility.</w:t>
      </w:r>
      <w:r>
        <w:rPr>
          <w:rFonts w:ascii="Arial" w:cs="Arial" w:eastAsia="Arial" w:hAnsi="Arial"/>
          <w:sz w:val="15"/>
          <w:szCs w:val="15"/>
          <w:color w:val="auto"/>
        </w:rPr>
        <w:t xml:space="preserve"> In connection with all aspects of each transaction contemplated hereby (including in connection with any amendment, waiver or other modification hereof or of any other Loan Document), each of the Borrower and Holdings acknowledges and agrees that (i)</w:t>
      </w:r>
    </w:p>
    <w:p>
      <w:pPr>
        <w:spacing w:after="0" w:line="1" w:lineRule="exact"/>
        <w:rPr>
          <w:sz w:val="20"/>
          <w:szCs w:val="20"/>
          <w:color w:val="auto"/>
        </w:rPr>
      </w:pPr>
    </w:p>
    <w:p>
      <w:pPr>
        <w:jc w:val="both"/>
        <w:ind w:left="5" w:right="20" w:hanging="5"/>
        <w:spacing w:after="0" w:line="233" w:lineRule="auto"/>
        <w:tabs>
          <w:tab w:leader="none" w:pos="313" w:val="left"/>
        </w:tabs>
        <w:numPr>
          <w:ilvl w:val="0"/>
          <w:numId w:val="287"/>
        </w:numPr>
        <w:rPr>
          <w:rFonts w:ascii="Arial" w:cs="Arial" w:eastAsia="Arial" w:hAnsi="Arial"/>
          <w:sz w:val="16"/>
          <w:szCs w:val="16"/>
          <w:color w:val="auto"/>
        </w:rPr>
      </w:pPr>
      <w:r>
        <w:rPr>
          <w:rFonts w:ascii="Arial" w:cs="Arial" w:eastAsia="Arial" w:hAnsi="Arial"/>
          <w:sz w:val="16"/>
          <w:szCs w:val="16"/>
          <w:color w:val="auto"/>
        </w:rPr>
        <w:t>the arranging and other services regarding this Agreement provided by the Administrative Agent, the Lenders and the Lead Arrangers are arm’s-length commercial transactions between the Borrower, Holdings and their respective Affiliates, on the one hand, and the Administrative Agent, the Lenders and the Lead Arrangers, on the other hand, (B) each of the Borrower and Holdings has consulted its own legal, accounting, regulatory and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4"/>
        <w:spacing w:after="0"/>
        <w:rPr>
          <w:sz w:val="20"/>
          <w:szCs w:val="20"/>
          <w:color w:val="auto"/>
        </w:rPr>
      </w:pPr>
      <w:r>
        <w:rPr>
          <w:rFonts w:ascii="Arial" w:cs="Arial" w:eastAsia="Arial" w:hAnsi="Arial"/>
          <w:sz w:val="17"/>
          <w:szCs w:val="17"/>
          <w:color w:val="auto"/>
        </w:rPr>
        <w:t>187</w:t>
      </w:r>
    </w:p>
    <w:p>
      <w:pPr>
        <w:sectPr>
          <w:pgSz w:w="11900" w:h="16838" w:orient="portrait"/>
          <w:cols w:equalWidth="0" w:num="1">
            <w:col w:w="11265"/>
          </w:cols>
          <w:pgMar w:left="315" w:top="1440" w:right="319" w:bottom="1440" w:gutter="0" w:footer="0" w:header="0"/>
        </w:sectPr>
      </w:pPr>
    </w:p>
    <w:bookmarkStart w:id="361" w:name="page362"/>
    <w:bookmarkEnd w:id="361"/>
    <w:p>
      <w:pPr>
        <w:spacing w:after="0" w:line="390" w:lineRule="exact"/>
        <w:rPr>
          <w:sz w:val="20"/>
          <w:szCs w:val="20"/>
          <w:color w:val="auto"/>
        </w:rPr>
      </w:pPr>
    </w:p>
    <w:p>
      <w:pPr>
        <w:jc w:val="both"/>
        <w:ind w:right="20"/>
        <w:spacing w:after="0" w:line="222" w:lineRule="auto"/>
        <w:rPr>
          <w:sz w:val="20"/>
          <w:szCs w:val="20"/>
          <w:color w:val="auto"/>
        </w:rPr>
      </w:pPr>
      <w:r>
        <w:rPr>
          <w:rFonts w:ascii="Arial" w:cs="Arial" w:eastAsia="Arial" w:hAnsi="Arial"/>
          <w:sz w:val="16"/>
          <w:szCs w:val="16"/>
          <w:color w:val="auto"/>
        </w:rPr>
        <w:t>advisors to the extent it has deemed appropriate, and (C) each of the Borrower and Holdings is capable of evaluating, and understands and accepts, the terms, risks and conditions of the transactions contemplated hereby and by the other Loan Documents; (ii) (A) each of the Administrative Agent, the Lenders and the Lead Arrangers is and has been acting solely as a principal and, except as expressly agreed in writing by the relevant parties, has not been, is not and will not be acting as an advisor, agent or fiduciary for the Borrower, Holdings, any of their respective Affiliates or any other Person and (B) none of the Administrative Agent, the Lenders and the Lead Arrangers has any obligation to the Borrower, Holdings or any of their respective Affiliates with respect to the transactions contemplated hereby except those obligations expressly set forth herein and in the other Loan Documents; and (iii) the Administrative Agent, the Lenders and the Lead Arrangers and their respective Affiliates may be engaged in a broad range of transactions that involve interests that differ from those of the Borrower, Holdings and their respective Affiliates, and none of the Administrative Agent, the Lenders and the Lead Arrangers has any obligation to disclose any of such interests to the Borrower, Holdings or any of their respective Affiliates. To the fullest extent permitted by law, each of the Borrower and Holdings hereby waives and releases any claims that it may have against the Administrative Agent, the Lenders and the Lead Arrangers with respect to any breach or alleged breach of agency or fiduciary duty in connection with any aspect of any transaction contemplated hereby.</w:t>
      </w:r>
    </w:p>
    <w:p>
      <w:pPr>
        <w:spacing w:after="0" w:line="141" w:lineRule="exact"/>
        <w:rPr>
          <w:sz w:val="20"/>
          <w:szCs w:val="20"/>
          <w:color w:val="auto"/>
        </w:rPr>
      </w:pPr>
    </w:p>
    <w:p>
      <w:pPr>
        <w:jc w:val="both"/>
        <w:ind w:firstLine="568"/>
        <w:spacing w:after="0" w:line="226" w:lineRule="auto"/>
        <w:rPr>
          <w:sz w:val="20"/>
          <w:szCs w:val="20"/>
          <w:color w:val="auto"/>
        </w:rPr>
      </w:pPr>
      <w:r>
        <w:rPr>
          <w:rFonts w:ascii="Arial" w:cs="Arial" w:eastAsia="Arial" w:hAnsi="Arial"/>
          <w:sz w:val="16"/>
          <w:szCs w:val="16"/>
          <w:color w:val="auto"/>
        </w:rPr>
        <w:t xml:space="preserve">Section 1.16. </w:t>
      </w:r>
      <w:r>
        <w:rPr>
          <w:rFonts w:ascii="Arial" w:cs="Arial" w:eastAsia="Arial" w:hAnsi="Arial"/>
          <w:sz w:val="16"/>
          <w:szCs w:val="16"/>
          <w:i w:val="1"/>
          <w:iCs w:val="1"/>
          <w:color w:val="auto"/>
        </w:rPr>
        <w:t>Interest Rate Limitation.</w:t>
      </w:r>
      <w:r>
        <w:rPr>
          <w:rFonts w:ascii="Arial" w:cs="Arial" w:eastAsia="Arial" w:hAnsi="Arial"/>
          <w:sz w:val="16"/>
          <w:szCs w:val="16"/>
          <w:color w:val="auto"/>
        </w:rPr>
        <w:t xml:space="preserve"> Notwithstanding anything to the contrary contained in any Loan Document, the interest paid or agreed to be paid under the Loan Documents shall not exceed the maximum rate of non-usurious interest permitted by applicable law (the “</w:t>
      </w:r>
      <w:r>
        <w:rPr>
          <w:rFonts w:ascii="Arial" w:cs="Arial" w:eastAsia="Arial" w:hAnsi="Arial"/>
          <w:sz w:val="16"/>
          <w:szCs w:val="16"/>
          <w:b w:val="1"/>
          <w:bCs w:val="1"/>
          <w:color w:val="auto"/>
        </w:rPr>
        <w:t>Maximum Rate</w:t>
      </w:r>
      <w:r>
        <w:rPr>
          <w:rFonts w:ascii="Arial" w:cs="Arial" w:eastAsia="Arial" w:hAnsi="Arial"/>
          <w:sz w:val="16"/>
          <w:szCs w:val="16"/>
          <w:color w:val="auto"/>
        </w:rPr>
        <w:t>”). If the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37" w:lineRule="exact"/>
        <w:rPr>
          <w:sz w:val="20"/>
          <w:szCs w:val="20"/>
          <w:color w:val="auto"/>
        </w:rPr>
      </w:pPr>
    </w:p>
    <w:p>
      <w:pPr>
        <w:jc w:val="both"/>
        <w:ind w:firstLine="568"/>
        <w:spacing w:after="0" w:line="214" w:lineRule="auto"/>
        <w:rPr>
          <w:sz w:val="20"/>
          <w:szCs w:val="20"/>
          <w:color w:val="auto"/>
        </w:rPr>
      </w:pPr>
      <w:r>
        <w:rPr>
          <w:rFonts w:ascii="Arial" w:cs="Arial" w:eastAsia="Arial" w:hAnsi="Arial"/>
          <w:sz w:val="17"/>
          <w:szCs w:val="17"/>
          <w:color w:val="auto"/>
        </w:rPr>
        <w:t xml:space="preserve">Section 1.17. </w:t>
      </w:r>
      <w:r>
        <w:rPr>
          <w:rFonts w:ascii="Arial" w:cs="Arial" w:eastAsia="Arial" w:hAnsi="Arial"/>
          <w:sz w:val="17"/>
          <w:szCs w:val="17"/>
          <w:i w:val="1"/>
          <w:iCs w:val="1"/>
          <w:color w:val="auto"/>
        </w:rPr>
        <w:t>Lender Action.</w:t>
      </w:r>
      <w:r>
        <w:rPr>
          <w:rFonts w:ascii="Arial" w:cs="Arial" w:eastAsia="Arial" w:hAnsi="Arial"/>
          <w:sz w:val="17"/>
          <w:szCs w:val="17"/>
          <w:color w:val="auto"/>
        </w:rPr>
        <w:t xml:space="preserve"> Each Lender and Issuing Bank agrees that it shall not take or institute any actions or proceedings, judicial or otherwise, for any right or remedy against any Loan Party or any other obligor under any of the Loan Documents (including the exercise of any right of setoff, rights on account of any banker’s lien or similar claim or other rights of self-help), or institute any actions or proceedings, or otherwise commence any remedial procedures, with respect to any Collateral or any other property of any such Loan Party, unless expressly provided for herein or in any other Loan Document, without the prior written consent of the Administrative Agent. The provisions of this Section 9.17 are for the sole benefit of the Lenders and the Issuing Banks and shall not afford any right to, or constitute a defense available to, any Loan Party.</w:t>
      </w:r>
    </w:p>
    <w:p>
      <w:pPr>
        <w:spacing w:after="0" w:line="138" w:lineRule="exact"/>
        <w:rPr>
          <w:sz w:val="20"/>
          <w:szCs w:val="20"/>
          <w:color w:val="auto"/>
        </w:rPr>
      </w:pPr>
    </w:p>
    <w:p>
      <w:pPr>
        <w:jc w:val="both"/>
        <w:ind w:firstLine="568"/>
        <w:spacing w:after="0" w:line="230" w:lineRule="auto"/>
        <w:rPr>
          <w:sz w:val="20"/>
          <w:szCs w:val="20"/>
          <w:color w:val="auto"/>
        </w:rPr>
      </w:pPr>
      <w:r>
        <w:rPr>
          <w:rFonts w:ascii="Arial" w:cs="Arial" w:eastAsia="Arial" w:hAnsi="Arial"/>
          <w:sz w:val="16"/>
          <w:szCs w:val="16"/>
          <w:color w:val="auto"/>
        </w:rPr>
        <w:t xml:space="preserve">Section 1.18. </w:t>
      </w:r>
      <w:r>
        <w:rPr>
          <w:rFonts w:ascii="Arial" w:cs="Arial" w:eastAsia="Arial" w:hAnsi="Arial"/>
          <w:sz w:val="16"/>
          <w:szCs w:val="16"/>
          <w:i w:val="1"/>
          <w:iCs w:val="1"/>
          <w:color w:val="auto"/>
        </w:rPr>
        <w:t>Marshalling; Payments Set Aside.</w:t>
      </w:r>
      <w:r>
        <w:rPr>
          <w:rFonts w:ascii="Arial" w:cs="Arial" w:eastAsia="Arial" w:hAnsi="Arial"/>
          <w:sz w:val="16"/>
          <w:szCs w:val="16"/>
          <w:color w:val="auto"/>
        </w:rPr>
        <w:t xml:space="preserve"> Neither the Administrative Agent nor any Lender shall be under any obligation to marshal any assets in favor of any Loan Party or any other Person or against or in payment of any or all of the Secured Obligations. To the extent that any Loan Party makes a payment or payments to the Administrative Agent or Lenders (or to the Administrative Agent, on behalf of Lenders), or the Administrative Agent or Lenders enforce any security interests or exercise their rights of setoff, and such payment or payments or the proceeds of such enforcement or setoff or any part thereof are subsequently invalidated, declared to be fraudulent or preferential, set aside and/or required to be repaid to a trustee, receiver or any other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188</w:t>
      </w:r>
    </w:p>
    <w:p>
      <w:pPr>
        <w:sectPr>
          <w:pgSz w:w="11900" w:h="16838" w:orient="portrait"/>
          <w:cols w:equalWidth="0" w:num="1">
            <w:col w:w="11260"/>
          </w:cols>
          <w:pgMar w:left="320" w:top="1440" w:right="319" w:bottom="1440" w:gutter="0" w:footer="0" w:header="0"/>
        </w:sectPr>
      </w:pPr>
    </w:p>
    <w:bookmarkStart w:id="362" w:name="page363"/>
    <w:bookmarkEnd w:id="362"/>
    <w:p>
      <w:pPr>
        <w:spacing w:after="0" w:line="390" w:lineRule="exact"/>
        <w:rPr>
          <w:sz w:val="20"/>
          <w:szCs w:val="20"/>
          <w:color w:val="auto"/>
        </w:rPr>
      </w:pPr>
    </w:p>
    <w:p>
      <w:pPr>
        <w:jc w:val="both"/>
        <w:spacing w:after="0" w:line="225" w:lineRule="auto"/>
        <w:rPr>
          <w:sz w:val="20"/>
          <w:szCs w:val="20"/>
          <w:color w:val="auto"/>
        </w:rPr>
      </w:pPr>
      <w:r>
        <w:rPr>
          <w:rFonts w:ascii="Arial" w:cs="Arial" w:eastAsia="Arial" w:hAnsi="Arial"/>
          <w:sz w:val="17"/>
          <w:szCs w:val="17"/>
          <w:color w:val="auto"/>
        </w:rPr>
        <w:t>under any bankruptcy law, any other state or federal law, common law or any equitable cause, then, to the extent of such recovery, the obligation or part thereof originally intended to be satisfied, and all Liens, rights and remedies therefor or related thereto, shall be revived and continued in full force and effect as if such payment or payments had not been made or such enforcement or setoff had not occurred.</w:t>
      </w:r>
    </w:p>
    <w:p>
      <w:pPr>
        <w:spacing w:after="0" w:line="137" w:lineRule="exact"/>
        <w:rPr>
          <w:sz w:val="20"/>
          <w:szCs w:val="20"/>
          <w:color w:val="auto"/>
        </w:rPr>
      </w:pPr>
    </w:p>
    <w:p>
      <w:pPr>
        <w:jc w:val="both"/>
        <w:ind w:right="20" w:firstLine="568"/>
        <w:spacing w:after="0" w:line="225" w:lineRule="auto"/>
        <w:rPr>
          <w:sz w:val="20"/>
          <w:szCs w:val="20"/>
          <w:color w:val="auto"/>
        </w:rPr>
      </w:pPr>
      <w:r>
        <w:rPr>
          <w:rFonts w:ascii="Arial" w:cs="Arial" w:eastAsia="Arial" w:hAnsi="Arial"/>
          <w:sz w:val="17"/>
          <w:szCs w:val="17"/>
          <w:color w:val="auto"/>
        </w:rPr>
        <w:t xml:space="preserve">Section 1.19. </w:t>
      </w:r>
      <w:r>
        <w:rPr>
          <w:rFonts w:ascii="Arial" w:cs="Arial" w:eastAsia="Arial" w:hAnsi="Arial"/>
          <w:sz w:val="17"/>
          <w:szCs w:val="17"/>
          <w:i w:val="1"/>
          <w:iCs w:val="1"/>
          <w:color w:val="auto"/>
        </w:rPr>
        <w:t>Margin Stock; Collateral</w:t>
      </w:r>
      <w:r>
        <w:rPr>
          <w:rFonts w:ascii="Arial" w:cs="Arial" w:eastAsia="Arial" w:hAnsi="Arial"/>
          <w:sz w:val="17"/>
          <w:szCs w:val="17"/>
          <w:color w:val="auto"/>
        </w:rPr>
        <w:t>. Each of the Lenders represents to the Administrative Agent and each of the other Lenders that it in good faith is not relying upon any margin stock (within the meaning of Regulation U of the Board of Governors) as collateral in the extension or maintenance of the credit provided in this Agreement.</w:t>
      </w:r>
    </w:p>
    <w:p>
      <w:pPr>
        <w:spacing w:after="0" w:line="137" w:lineRule="exact"/>
        <w:rPr>
          <w:sz w:val="20"/>
          <w:szCs w:val="20"/>
          <w:color w:val="auto"/>
        </w:rPr>
      </w:pPr>
    </w:p>
    <w:p>
      <w:pPr>
        <w:jc w:val="both"/>
        <w:ind w:right="20" w:firstLine="568"/>
        <w:spacing w:after="0" w:line="220" w:lineRule="auto"/>
        <w:rPr>
          <w:sz w:val="20"/>
          <w:szCs w:val="20"/>
          <w:color w:val="auto"/>
        </w:rPr>
      </w:pPr>
      <w:r>
        <w:rPr>
          <w:rFonts w:ascii="Arial" w:cs="Arial" w:eastAsia="Arial" w:hAnsi="Arial"/>
          <w:sz w:val="17"/>
          <w:szCs w:val="17"/>
          <w:color w:val="auto"/>
        </w:rPr>
        <w:t xml:space="preserve">Section 1.20. </w:t>
      </w:r>
      <w:r>
        <w:rPr>
          <w:rFonts w:ascii="Arial" w:cs="Arial" w:eastAsia="Arial" w:hAnsi="Arial"/>
          <w:sz w:val="17"/>
          <w:szCs w:val="17"/>
          <w:i w:val="1"/>
          <w:iCs w:val="1"/>
          <w:color w:val="auto"/>
        </w:rPr>
        <w:t>Acknowledgement and Consent to Bail-in of Affected Financial Institutions</w:t>
      </w:r>
      <w:r>
        <w:rPr>
          <w:rFonts w:ascii="Arial" w:cs="Arial" w:eastAsia="Arial" w:hAnsi="Arial"/>
          <w:sz w:val="17"/>
          <w:szCs w:val="17"/>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spacing w:after="0" w:line="136" w:lineRule="exact"/>
        <w:rPr>
          <w:sz w:val="20"/>
          <w:szCs w:val="20"/>
          <w:color w:val="auto"/>
        </w:rPr>
      </w:pPr>
    </w:p>
    <w:p>
      <w:pPr>
        <w:ind w:right="20" w:firstLine="563"/>
        <w:spacing w:after="0" w:line="237" w:lineRule="auto"/>
        <w:tabs>
          <w:tab w:leader="none" w:pos="1128" w:val="left"/>
        </w:tabs>
        <w:numPr>
          <w:ilvl w:val="0"/>
          <w:numId w:val="288"/>
        </w:numPr>
        <w:rPr>
          <w:rFonts w:ascii="Arial" w:cs="Arial" w:eastAsia="Arial" w:hAnsi="Arial"/>
          <w:sz w:val="17"/>
          <w:szCs w:val="17"/>
          <w:color w:val="auto"/>
        </w:rPr>
      </w:pPr>
      <w:r>
        <w:rPr>
          <w:rFonts w:ascii="Arial" w:cs="Arial" w:eastAsia="Arial" w:hAnsi="Arial"/>
          <w:sz w:val="17"/>
          <w:szCs w:val="17"/>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34" w:lineRule="exact"/>
        <w:rPr>
          <w:rFonts w:ascii="Arial" w:cs="Arial" w:eastAsia="Arial" w:hAnsi="Arial"/>
          <w:sz w:val="17"/>
          <w:szCs w:val="17"/>
          <w:color w:val="auto"/>
        </w:rPr>
      </w:pPr>
    </w:p>
    <w:p>
      <w:pPr>
        <w:ind w:left="1120" w:hanging="557"/>
        <w:spacing w:after="0"/>
        <w:tabs>
          <w:tab w:leader="none" w:pos="1120" w:val="left"/>
        </w:tabs>
        <w:numPr>
          <w:ilvl w:val="0"/>
          <w:numId w:val="288"/>
        </w:numPr>
        <w:rPr>
          <w:rFonts w:ascii="Arial" w:cs="Arial" w:eastAsia="Arial" w:hAnsi="Arial"/>
          <w:sz w:val="17"/>
          <w:szCs w:val="17"/>
          <w:color w:val="auto"/>
        </w:rPr>
      </w:pPr>
      <w:r>
        <w:rPr>
          <w:rFonts w:ascii="Arial" w:cs="Arial" w:eastAsia="Arial" w:hAnsi="Arial"/>
          <w:sz w:val="17"/>
          <w:szCs w:val="17"/>
          <w:color w:val="auto"/>
        </w:rPr>
        <w:t>the effects of any Bail-In Action on any such liability, including, to the extent applicable:</w:t>
      </w:r>
    </w:p>
    <w:p>
      <w:pPr>
        <w:spacing w:after="0" w:line="159" w:lineRule="exact"/>
        <w:rPr>
          <w:rFonts w:ascii="Arial" w:cs="Arial" w:eastAsia="Arial" w:hAnsi="Arial"/>
          <w:sz w:val="17"/>
          <w:szCs w:val="17"/>
          <w:color w:val="auto"/>
        </w:rPr>
      </w:pPr>
    </w:p>
    <w:p>
      <w:pPr>
        <w:ind w:left="1700" w:hanging="569"/>
        <w:spacing w:after="0"/>
        <w:tabs>
          <w:tab w:leader="none" w:pos="1700" w:val="left"/>
        </w:tabs>
        <w:numPr>
          <w:ilvl w:val="1"/>
          <w:numId w:val="288"/>
        </w:numPr>
        <w:rPr>
          <w:rFonts w:ascii="Arial" w:cs="Arial" w:eastAsia="Arial" w:hAnsi="Arial"/>
          <w:sz w:val="17"/>
          <w:szCs w:val="17"/>
          <w:color w:val="auto"/>
        </w:rPr>
      </w:pPr>
      <w:r>
        <w:rPr>
          <w:rFonts w:ascii="Arial" w:cs="Arial" w:eastAsia="Arial" w:hAnsi="Arial"/>
          <w:sz w:val="17"/>
          <w:szCs w:val="17"/>
          <w:color w:val="auto"/>
        </w:rPr>
        <w:t>reduction in full or in part or cancellation of any such liability;</w:t>
      </w:r>
    </w:p>
    <w:p>
      <w:pPr>
        <w:spacing w:after="0" w:line="159" w:lineRule="exact"/>
        <w:rPr>
          <w:rFonts w:ascii="Arial" w:cs="Arial" w:eastAsia="Arial" w:hAnsi="Arial"/>
          <w:sz w:val="17"/>
          <w:szCs w:val="17"/>
          <w:color w:val="auto"/>
        </w:rPr>
      </w:pPr>
    </w:p>
    <w:p>
      <w:pPr>
        <w:jc w:val="both"/>
        <w:ind w:left="340" w:right="20" w:firstLine="791"/>
        <w:spacing w:after="0" w:line="225" w:lineRule="auto"/>
        <w:tabs>
          <w:tab w:leader="none" w:pos="1702" w:val="left"/>
        </w:tabs>
        <w:numPr>
          <w:ilvl w:val="1"/>
          <w:numId w:val="288"/>
        </w:numPr>
        <w:rPr>
          <w:rFonts w:ascii="Arial" w:cs="Arial" w:eastAsia="Arial" w:hAnsi="Arial"/>
          <w:sz w:val="17"/>
          <w:szCs w:val="17"/>
          <w:color w:val="auto"/>
        </w:rPr>
      </w:pPr>
      <w:r>
        <w:rPr>
          <w:rFonts w:ascii="Arial" w:cs="Arial" w:eastAsia="Arial" w:hAnsi="Arial"/>
          <w:sz w:val="17"/>
          <w:szCs w:val="17"/>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36" w:lineRule="exact"/>
        <w:rPr>
          <w:rFonts w:ascii="Arial" w:cs="Arial" w:eastAsia="Arial" w:hAnsi="Arial"/>
          <w:sz w:val="17"/>
          <w:szCs w:val="17"/>
          <w:color w:val="auto"/>
        </w:rPr>
      </w:pPr>
    </w:p>
    <w:p>
      <w:pPr>
        <w:ind w:left="340" w:firstLine="791"/>
        <w:spacing w:after="0" w:line="237" w:lineRule="auto"/>
        <w:tabs>
          <w:tab w:leader="none" w:pos="1703" w:val="left"/>
        </w:tabs>
        <w:numPr>
          <w:ilvl w:val="1"/>
          <w:numId w:val="288"/>
        </w:numPr>
        <w:rPr>
          <w:rFonts w:ascii="Arial" w:cs="Arial" w:eastAsia="Arial" w:hAnsi="Arial"/>
          <w:sz w:val="17"/>
          <w:szCs w:val="17"/>
          <w:color w:val="auto"/>
        </w:rPr>
      </w:pPr>
      <w:r>
        <w:rPr>
          <w:rFonts w:ascii="Arial" w:cs="Arial" w:eastAsia="Arial" w:hAnsi="Arial"/>
          <w:sz w:val="17"/>
          <w:szCs w:val="17"/>
          <w:color w:val="auto"/>
        </w:rPr>
        <w:t>the variation of the terms of such liability in connection with the exercise of the write-down and conversion powers of the applicable Resolution Authority.</w:t>
      </w:r>
    </w:p>
    <w:p>
      <w:pPr>
        <w:spacing w:after="0" w:line="135" w:lineRule="exact"/>
        <w:rPr>
          <w:sz w:val="20"/>
          <w:szCs w:val="20"/>
          <w:color w:val="auto"/>
        </w:rPr>
      </w:pPr>
    </w:p>
    <w:p>
      <w:pPr>
        <w:jc w:val="both"/>
        <w:ind w:firstLine="568"/>
        <w:spacing w:after="0" w:line="213" w:lineRule="auto"/>
        <w:rPr>
          <w:sz w:val="20"/>
          <w:szCs w:val="20"/>
          <w:color w:val="auto"/>
        </w:rPr>
      </w:pPr>
      <w:r>
        <w:rPr>
          <w:rFonts w:ascii="Arial" w:cs="Arial" w:eastAsia="Arial" w:hAnsi="Arial"/>
          <w:sz w:val="17"/>
          <w:szCs w:val="17"/>
          <w:color w:val="auto"/>
        </w:rPr>
        <w:t xml:space="preserve">Section 1.21. </w:t>
      </w:r>
      <w:r>
        <w:rPr>
          <w:rFonts w:ascii="Arial" w:cs="Arial" w:eastAsia="Arial" w:hAnsi="Arial"/>
          <w:sz w:val="17"/>
          <w:szCs w:val="17"/>
          <w:i w:val="1"/>
          <w:iCs w:val="1"/>
          <w:color w:val="auto"/>
        </w:rPr>
        <w:t>Acknowledgement Regarding Any Supported QFCs</w:t>
      </w:r>
      <w:r>
        <w:rPr>
          <w:rFonts w:ascii="Arial" w:cs="Arial" w:eastAsia="Arial" w:hAnsi="Arial"/>
          <w:sz w:val="17"/>
          <w:szCs w:val="17"/>
          <w:color w:val="auto"/>
        </w:rPr>
        <w:t>. To the extent that the Loan Documents provide support, through a guarantee or otherwise, for any Swap Agreement or any other agreement or instrument that is a QFC (such support, “</w:t>
      </w:r>
      <w:r>
        <w:rPr>
          <w:rFonts w:ascii="Arial" w:cs="Arial" w:eastAsia="Arial" w:hAnsi="Arial"/>
          <w:sz w:val="17"/>
          <w:szCs w:val="17"/>
          <w:b w:val="1"/>
          <w:bCs w:val="1"/>
          <w:color w:val="auto"/>
        </w:rPr>
        <w:t>QFC Credit Support</w:t>
      </w:r>
      <w:r>
        <w:rPr>
          <w:rFonts w:ascii="Arial" w:cs="Arial" w:eastAsia="Arial" w:hAnsi="Arial"/>
          <w:sz w:val="17"/>
          <w:szCs w:val="17"/>
          <w:color w:val="auto"/>
        </w:rPr>
        <w:t>”, and each such QFC, a “</w:t>
      </w:r>
      <w:r>
        <w:rPr>
          <w:rFonts w:ascii="Arial" w:cs="Arial" w:eastAsia="Arial" w:hAnsi="Arial"/>
          <w:sz w:val="17"/>
          <w:szCs w:val="17"/>
          <w:b w:val="1"/>
          <w:bCs w:val="1"/>
          <w:color w:val="auto"/>
        </w:rPr>
        <w:t>Supported QFC</w:t>
      </w:r>
      <w:r>
        <w:rPr>
          <w:rFonts w:ascii="Arial" w:cs="Arial" w:eastAsia="Arial" w:hAnsi="Arial"/>
          <w:sz w:val="17"/>
          <w:szCs w:val="17"/>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7"/>
          <w:szCs w:val="17"/>
          <w:b w:val="1"/>
          <w:bCs w:val="1"/>
          <w:color w:val="auto"/>
        </w:rPr>
        <w:t>U.S. Special Resolution Regimes</w:t>
      </w:r>
      <w:r>
        <w:rPr>
          <w:rFonts w:ascii="Arial" w:cs="Arial" w:eastAsia="Arial" w:hAnsi="Arial"/>
          <w:sz w:val="17"/>
          <w:szCs w:val="17"/>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29" w:lineRule="exact"/>
        <w:rPr>
          <w:sz w:val="20"/>
          <w:szCs w:val="20"/>
          <w:color w:val="auto"/>
        </w:rPr>
      </w:pPr>
    </w:p>
    <w:p>
      <w:pPr>
        <w:ind w:right="20" w:firstLine="563"/>
        <w:spacing w:after="0" w:line="241" w:lineRule="auto"/>
        <w:tabs>
          <w:tab w:leader="none" w:pos="1128" w:val="left"/>
        </w:tabs>
        <w:numPr>
          <w:ilvl w:val="0"/>
          <w:numId w:val="289"/>
        </w:numPr>
        <w:rPr>
          <w:rFonts w:ascii="Arial" w:cs="Arial" w:eastAsia="Arial" w:hAnsi="Arial"/>
          <w:sz w:val="17"/>
          <w:szCs w:val="17"/>
          <w:color w:val="auto"/>
        </w:rPr>
      </w:pPr>
      <w:r>
        <w:rPr>
          <w:rFonts w:ascii="Arial" w:cs="Arial" w:eastAsia="Arial" w:hAnsi="Arial"/>
          <w:sz w:val="17"/>
          <w:szCs w:val="17"/>
          <w:color w:val="auto"/>
        </w:rPr>
        <w:t>In the event a Covered Entity that is party to a Supported QFC (each, a “</w:t>
      </w:r>
      <w:r>
        <w:rPr>
          <w:rFonts w:ascii="Arial" w:cs="Arial" w:eastAsia="Arial" w:hAnsi="Arial"/>
          <w:sz w:val="17"/>
          <w:szCs w:val="17"/>
          <w:b w:val="1"/>
          <w:bCs w:val="1"/>
          <w:color w:val="auto"/>
        </w:rPr>
        <w:t>Covered Party</w:t>
      </w:r>
      <w:r>
        <w:rPr>
          <w:rFonts w:ascii="Arial" w:cs="Arial" w:eastAsia="Arial" w:hAnsi="Arial"/>
          <w:sz w:val="17"/>
          <w:szCs w:val="17"/>
          <w:color w:val="auto"/>
        </w:rPr>
        <w:t>”) becomes subject to a proceeding under a U.S. Special Resolution Regime, the transfer of such Supported QFC and the benefit of such QFC Credit Support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189</w:t>
      </w:r>
    </w:p>
    <w:p>
      <w:pPr>
        <w:sectPr>
          <w:pgSz w:w="11900" w:h="16838" w:orient="portrait"/>
          <w:cols w:equalWidth="0" w:num="1">
            <w:col w:w="11260"/>
          </w:cols>
          <w:pgMar w:left="320" w:top="1440" w:right="319" w:bottom="1440" w:gutter="0" w:footer="0" w:header="0"/>
        </w:sectPr>
      </w:pPr>
    </w:p>
    <w:bookmarkStart w:id="363" w:name="page364"/>
    <w:bookmarkEnd w:id="363"/>
    <w:p>
      <w:pPr>
        <w:spacing w:after="0" w:line="390" w:lineRule="exact"/>
        <w:rPr>
          <w:sz w:val="20"/>
          <w:szCs w:val="20"/>
          <w:color w:val="auto"/>
        </w:rPr>
      </w:pPr>
    </w:p>
    <w:p>
      <w:pPr>
        <w:jc w:val="both"/>
        <w:spacing w:after="0" w:line="224" w:lineRule="auto"/>
        <w:rPr>
          <w:sz w:val="20"/>
          <w:szCs w:val="20"/>
          <w:color w:val="auto"/>
        </w:rPr>
      </w:pPr>
      <w:r>
        <w:rPr>
          <w:rFonts w:ascii="Arial" w:cs="Arial" w:eastAsia="Arial" w:hAnsi="Arial"/>
          <w:sz w:val="16"/>
          <w:szCs w:val="16"/>
          <w:color w:val="auto"/>
        </w:rPr>
        <w:t>(and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36" w:lineRule="exact"/>
        <w:rPr>
          <w:sz w:val="20"/>
          <w:szCs w:val="20"/>
          <w:color w:val="auto"/>
        </w:rPr>
      </w:pPr>
    </w:p>
    <w:p>
      <w:pPr>
        <w:ind w:left="1120" w:hanging="557"/>
        <w:spacing w:after="0"/>
        <w:tabs>
          <w:tab w:leader="none" w:pos="1120" w:val="left"/>
        </w:tabs>
        <w:numPr>
          <w:ilvl w:val="0"/>
          <w:numId w:val="290"/>
        </w:numPr>
        <w:rPr>
          <w:rFonts w:ascii="Arial" w:cs="Arial" w:eastAsia="Arial" w:hAnsi="Arial"/>
          <w:sz w:val="17"/>
          <w:szCs w:val="17"/>
          <w:color w:val="auto"/>
        </w:rPr>
      </w:pPr>
      <w:r>
        <w:rPr>
          <w:rFonts w:ascii="Arial" w:cs="Arial" w:eastAsia="Arial" w:hAnsi="Arial"/>
          <w:sz w:val="17"/>
          <w:szCs w:val="17"/>
          <w:color w:val="auto"/>
        </w:rPr>
        <w:t>As used in this Section 9.21, the following terms have the following meanings:</w:t>
      </w:r>
    </w:p>
    <w:p>
      <w:pPr>
        <w:spacing w:after="0" w:line="15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BHC Act Affiliate</w:t>
      </w:r>
      <w:r>
        <w:rPr>
          <w:rFonts w:ascii="Arial" w:cs="Arial" w:eastAsia="Arial" w:hAnsi="Arial"/>
          <w:sz w:val="16"/>
          <w:szCs w:val="16"/>
          <w:color w:val="auto"/>
        </w:rPr>
        <w:t>” of a party means an “affiliate” (as such term is defined under, and interpreted in accordance with, 12 U.S.C. 1841(k)) of such party.</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Covered Entity</w:t>
      </w:r>
      <w:r>
        <w:rPr>
          <w:rFonts w:ascii="Arial" w:cs="Arial" w:eastAsia="Arial" w:hAnsi="Arial"/>
          <w:sz w:val="16"/>
          <w:szCs w:val="16"/>
          <w:color w:val="auto"/>
        </w:rPr>
        <w:t>” means any of the following: (i) a “covered entity” as that term is defined in, and interpreted in accordance with, 12 C.F.R. § 252.82(b);</w:t>
      </w:r>
    </w:p>
    <w:p>
      <w:pPr>
        <w:spacing w:after="0" w:line="2" w:lineRule="exact"/>
        <w:rPr>
          <w:sz w:val="20"/>
          <w:szCs w:val="20"/>
          <w:color w:val="auto"/>
        </w:rPr>
      </w:pPr>
    </w:p>
    <w:p>
      <w:pPr>
        <w:ind w:left="560" w:right="20" w:firstLine="3"/>
        <w:spacing w:after="0" w:line="228" w:lineRule="auto"/>
        <w:tabs>
          <w:tab w:leader="none" w:pos="817" w:val="left"/>
        </w:tabs>
        <w:numPr>
          <w:ilvl w:val="0"/>
          <w:numId w:val="291"/>
        </w:numPr>
        <w:rPr>
          <w:rFonts w:ascii="Arial" w:cs="Arial" w:eastAsia="Arial" w:hAnsi="Arial"/>
          <w:sz w:val="17"/>
          <w:szCs w:val="17"/>
          <w:color w:val="auto"/>
        </w:rPr>
      </w:pPr>
      <w:r>
        <w:rPr>
          <w:rFonts w:ascii="Arial" w:cs="Arial" w:eastAsia="Arial" w:hAnsi="Arial"/>
          <w:sz w:val="17"/>
          <w:szCs w:val="17"/>
          <w:color w:val="auto"/>
        </w:rPr>
        <w:t>a “covered bank” as that term is defined in, and interpreted in accordance with, 12 C.F.R. § 47.3(b); or (iii) a “covered FSI” as that term is defined in, and interpreted in accordance with, 12 C.F.R. § 382.2(b).</w:t>
      </w:r>
    </w:p>
    <w:p>
      <w:pPr>
        <w:spacing w:after="0" w:line="130" w:lineRule="exact"/>
        <w:rPr>
          <w:sz w:val="20"/>
          <w:szCs w:val="20"/>
          <w:color w:val="auto"/>
        </w:rPr>
      </w:pPr>
    </w:p>
    <w:p>
      <w:pPr>
        <w:ind w:left="5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Default Right</w:t>
      </w:r>
      <w:r>
        <w:rPr>
          <w:rFonts w:ascii="Arial" w:cs="Arial" w:eastAsia="Arial" w:hAnsi="Arial"/>
          <w:sz w:val="15"/>
          <w:szCs w:val="15"/>
          <w:color w:val="auto"/>
        </w:rPr>
        <w:t>” has the meaning assigned to that term in, and shall be interpreted in accordance with, 12 C.F.R. §§ 252.81, 47.2 or 382.1, as applicable.</w:t>
      </w:r>
    </w:p>
    <w:p>
      <w:pPr>
        <w:spacing w:after="0" w:line="18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QFC</w:t>
      </w:r>
      <w:r>
        <w:rPr>
          <w:rFonts w:ascii="Arial" w:cs="Arial" w:eastAsia="Arial" w:hAnsi="Arial"/>
          <w:sz w:val="16"/>
          <w:szCs w:val="16"/>
          <w:color w:val="auto"/>
        </w:rPr>
        <w:t>” has the meaning assigned to the term “qualified financial contract” in, and shall be interpreted in accordance with, 12 U.S.C. 5390(c)(8)(D).</w:t>
      </w:r>
    </w:p>
    <w:p>
      <w:pPr>
        <w:spacing w:after="0" w:line="177"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190</w:t>
      </w:r>
    </w:p>
    <w:p>
      <w:pPr>
        <w:sectPr>
          <w:pgSz w:w="11900" w:h="16838" w:orient="portrait"/>
          <w:cols w:equalWidth="0" w:num="1">
            <w:col w:w="11260"/>
          </w:cols>
          <w:pgMar w:left="320" w:top="1440" w:right="319" w:bottom="1440" w:gutter="0" w:footer="0" w:header="0"/>
        </w:sectPr>
      </w:pPr>
    </w:p>
    <w:bookmarkStart w:id="364" w:name="page365"/>
    <w:bookmarkEnd w:id="364"/>
    <w:p>
      <w:pPr>
        <w:spacing w:after="0" w:line="390" w:lineRule="exact"/>
        <w:rPr>
          <w:sz w:val="20"/>
          <w:szCs w:val="20"/>
          <w:color w:val="auto"/>
        </w:rPr>
      </w:pPr>
    </w:p>
    <w:p>
      <w:pPr>
        <w:spacing w:after="0"/>
        <w:rPr>
          <w:sz w:val="20"/>
          <w:szCs w:val="20"/>
          <w:color w:val="auto"/>
        </w:rPr>
      </w:pPr>
      <w:r>
        <w:rPr>
          <w:rFonts w:ascii="Arial" w:cs="Arial" w:eastAsia="Arial" w:hAnsi="Arial"/>
          <w:sz w:val="17"/>
          <w:szCs w:val="17"/>
          <w:color w:val="auto"/>
        </w:rPr>
        <w:t>VIRTU FINANCIAL LLC</w:t>
      </w:r>
    </w:p>
    <w:p>
      <w:pPr>
        <w:spacing w:after="0" w:line="381" w:lineRule="exact"/>
        <w:rPr>
          <w:sz w:val="20"/>
          <w:szCs w:val="20"/>
          <w:color w:val="auto"/>
        </w:rPr>
      </w:pPr>
    </w:p>
    <w:p>
      <w:pPr>
        <w:spacing w:after="0"/>
        <w:rPr>
          <w:sz w:val="20"/>
          <w:szCs w:val="20"/>
          <w:color w:val="auto"/>
        </w:rPr>
      </w:pPr>
      <w:r>
        <w:rPr>
          <w:rFonts w:ascii="Arial" w:cs="Arial" w:eastAsia="Arial" w:hAnsi="Arial"/>
          <w:sz w:val="17"/>
          <w:szCs w:val="17"/>
          <w:color w:val="auto"/>
        </w:rPr>
        <w:t>By: /s/ Joseph Molluso</w:t>
      </w:r>
    </w:p>
    <w:p>
      <w:pPr>
        <w:ind w:left="40"/>
        <w:spacing w:after="0" w:line="203" w:lineRule="auto"/>
        <w:rPr>
          <w:sz w:val="20"/>
          <w:szCs w:val="20"/>
          <w:color w:val="auto"/>
        </w:rPr>
      </w:pPr>
      <w:r>
        <w:rPr>
          <w:rFonts w:ascii="Arial" w:cs="Arial" w:eastAsia="Arial" w:hAnsi="Arial"/>
          <w:sz w:val="17"/>
          <w:szCs w:val="17"/>
          <w:color w:val="auto"/>
        </w:rPr>
        <w:t>Name: Joseph Molluso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wp:posOffset>
            </wp:positionH>
            <wp:positionV relativeFrom="paragraph">
              <wp:posOffset>-104140</wp:posOffset>
            </wp:positionV>
            <wp:extent cx="1046480" cy="76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9">
                      <a:extLst>
                        <a:ext uri="{28A0092B-C50C-407E-A947-70E740481C1C}"/>
                      </a:extLst>
                    </a:blip>
                    <a:srcRect/>
                    <a:stretch>
                      <a:fillRect/>
                    </a:stretch>
                  </pic:blipFill>
                  <pic:spPr bwMode="auto">
                    <a:xfrm>
                      <a:off x="0" y="0"/>
                      <a:ext cx="1046480" cy="7620"/>
                    </a:xfrm>
                    <a:prstGeom prst="rect">
                      <a:avLst/>
                    </a:prstGeom>
                    <a:noFill/>
                  </pic:spPr>
                </pic:pic>
              </a:graphicData>
            </a:graphic>
          </wp:anchor>
        </w:drawing>
      </w:r>
    </w:p>
    <w:p>
      <w:pPr>
        <w:ind w:left="40"/>
        <w:spacing w:after="0" w:line="231" w:lineRule="auto"/>
        <w:rPr>
          <w:sz w:val="20"/>
          <w:szCs w:val="20"/>
          <w:color w:val="auto"/>
        </w:rPr>
      </w:pPr>
      <w:r>
        <w:rPr>
          <w:rFonts w:ascii="Arial" w:cs="Arial" w:eastAsia="Arial" w:hAnsi="Arial"/>
          <w:sz w:val="15"/>
          <w:szCs w:val="15"/>
          <w:color w:val="auto"/>
        </w:rPr>
        <w:t>Title: Co-President and Co-Chief</w:t>
      </w:r>
    </w:p>
    <w:p>
      <w:pPr>
        <w:ind w:left="220"/>
        <w:spacing w:after="0"/>
        <w:rPr>
          <w:sz w:val="20"/>
          <w:szCs w:val="20"/>
          <w:color w:val="auto"/>
        </w:rPr>
      </w:pPr>
      <w:r>
        <w:rPr>
          <w:rFonts w:ascii="Arial" w:cs="Arial" w:eastAsia="Arial" w:hAnsi="Arial"/>
          <w:sz w:val="17"/>
          <w:szCs w:val="17"/>
          <w:color w:val="auto"/>
        </w:rPr>
        <w:t>Operating Officer</w:t>
      </w:r>
    </w:p>
    <w:p>
      <w:pPr>
        <w:spacing w:after="0" w:line="382" w:lineRule="exact"/>
        <w:rPr>
          <w:sz w:val="20"/>
          <w:szCs w:val="20"/>
          <w:color w:val="auto"/>
        </w:rPr>
      </w:pPr>
    </w:p>
    <w:p>
      <w:pPr>
        <w:spacing w:after="0"/>
        <w:rPr>
          <w:sz w:val="20"/>
          <w:szCs w:val="20"/>
          <w:color w:val="auto"/>
        </w:rPr>
      </w:pPr>
      <w:r>
        <w:rPr>
          <w:rFonts w:ascii="Arial" w:cs="Arial" w:eastAsia="Arial" w:hAnsi="Arial"/>
          <w:sz w:val="17"/>
          <w:szCs w:val="17"/>
          <w:color w:val="auto"/>
        </w:rPr>
        <w:t>VFH PARENT LLC</w:t>
      </w:r>
    </w:p>
    <w:p>
      <w:pPr>
        <w:spacing w:after="0" w:line="381" w:lineRule="exact"/>
        <w:rPr>
          <w:sz w:val="20"/>
          <w:szCs w:val="20"/>
          <w:color w:val="auto"/>
        </w:rPr>
      </w:pPr>
    </w:p>
    <w:p>
      <w:pPr>
        <w:spacing w:after="0"/>
        <w:rPr>
          <w:sz w:val="20"/>
          <w:szCs w:val="20"/>
          <w:color w:val="auto"/>
        </w:rPr>
      </w:pPr>
      <w:r>
        <w:rPr>
          <w:rFonts w:ascii="Arial" w:cs="Arial" w:eastAsia="Arial" w:hAnsi="Arial"/>
          <w:sz w:val="17"/>
          <w:szCs w:val="17"/>
          <w:color w:val="auto"/>
        </w:rPr>
        <w:t>By: /s/ Joseph Molluso</w:t>
      </w:r>
    </w:p>
    <w:p>
      <w:pPr>
        <w:ind w:left="40"/>
        <w:spacing w:after="0" w:line="203" w:lineRule="auto"/>
        <w:rPr>
          <w:sz w:val="20"/>
          <w:szCs w:val="20"/>
          <w:color w:val="auto"/>
        </w:rPr>
      </w:pPr>
      <w:r>
        <w:rPr>
          <w:rFonts w:ascii="Arial" w:cs="Arial" w:eastAsia="Arial" w:hAnsi="Arial"/>
          <w:sz w:val="17"/>
          <w:szCs w:val="17"/>
          <w:color w:val="auto"/>
        </w:rPr>
        <w:t>Name: Joseph Molluso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wp:posOffset>
            </wp:positionH>
            <wp:positionV relativeFrom="paragraph">
              <wp:posOffset>-104140</wp:posOffset>
            </wp:positionV>
            <wp:extent cx="1046480" cy="76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0">
                      <a:extLst>
                        <a:ext uri="{28A0092B-C50C-407E-A947-70E740481C1C}"/>
                      </a:extLst>
                    </a:blip>
                    <a:srcRect/>
                    <a:stretch>
                      <a:fillRect/>
                    </a:stretch>
                  </pic:blipFill>
                  <pic:spPr bwMode="auto">
                    <a:xfrm>
                      <a:off x="0" y="0"/>
                      <a:ext cx="1046480" cy="7620"/>
                    </a:xfrm>
                    <a:prstGeom prst="rect">
                      <a:avLst/>
                    </a:prstGeom>
                    <a:noFill/>
                  </pic:spPr>
                </pic:pic>
              </a:graphicData>
            </a:graphic>
          </wp:anchor>
        </w:drawing>
      </w:r>
    </w:p>
    <w:p>
      <w:pPr>
        <w:ind w:left="40"/>
        <w:spacing w:after="0" w:line="231" w:lineRule="auto"/>
        <w:rPr>
          <w:sz w:val="20"/>
          <w:szCs w:val="20"/>
          <w:color w:val="auto"/>
        </w:rPr>
      </w:pPr>
      <w:r>
        <w:rPr>
          <w:rFonts w:ascii="Arial" w:cs="Arial" w:eastAsia="Arial" w:hAnsi="Arial"/>
          <w:sz w:val="15"/>
          <w:szCs w:val="15"/>
          <w:color w:val="auto"/>
        </w:rPr>
        <w:t>Title: Co-President and Co-Chief</w:t>
      </w:r>
    </w:p>
    <w:p>
      <w:pPr>
        <w:ind w:left="220"/>
        <w:spacing w:after="0"/>
        <w:rPr>
          <w:sz w:val="20"/>
          <w:szCs w:val="20"/>
          <w:color w:val="auto"/>
        </w:rPr>
      </w:pPr>
      <w:r>
        <w:rPr>
          <w:rFonts w:ascii="Arial" w:cs="Arial" w:eastAsia="Arial" w:hAnsi="Arial"/>
          <w:sz w:val="17"/>
          <w:szCs w:val="17"/>
          <w:color w:val="auto"/>
        </w:rPr>
        <w:t>Operating Officer</w:t>
      </w:r>
    </w:p>
    <w:p>
      <w:pPr>
        <w:sectPr>
          <w:pgSz w:w="11900" w:h="16838" w:orient="portrait"/>
          <w:cols w:equalWidth="0" w:num="1">
            <w:col w:w="9279"/>
          </w:cols>
          <w:pgMar w:left="1180" w:top="1440" w:right="1440" w:bottom="1440" w:gutter="0" w:footer="0" w:header="0"/>
        </w:sectPr>
      </w:pPr>
    </w:p>
    <w:bookmarkStart w:id="365" w:name="page366"/>
    <w:bookmarkEnd w:id="365"/>
    <w:p>
      <w:pPr>
        <w:spacing w:after="0" w:line="373" w:lineRule="exact"/>
        <w:rPr>
          <w:sz w:val="20"/>
          <w:szCs w:val="20"/>
          <w:color w:val="auto"/>
        </w:rPr>
      </w:pPr>
    </w:p>
    <w:p>
      <w:pPr>
        <w:spacing w:after="0"/>
        <w:rPr>
          <w:sz w:val="20"/>
          <w:szCs w:val="20"/>
          <w:color w:val="auto"/>
        </w:rPr>
      </w:pPr>
      <w:r>
        <w:rPr>
          <w:rFonts w:ascii="Arial" w:cs="Arial" w:eastAsia="Arial" w:hAnsi="Arial"/>
          <w:sz w:val="17"/>
          <w:szCs w:val="17"/>
          <w:color w:val="auto"/>
        </w:rPr>
        <w:t>JPMORGAN CHASE BANK, N.A., as</w:t>
      </w:r>
    </w:p>
    <w:p>
      <w:pPr>
        <w:spacing w:after="0"/>
        <w:rPr>
          <w:sz w:val="20"/>
          <w:szCs w:val="20"/>
          <w:color w:val="auto"/>
        </w:rPr>
      </w:pPr>
      <w:r>
        <w:rPr>
          <w:rFonts w:ascii="Arial" w:cs="Arial" w:eastAsia="Arial" w:hAnsi="Arial"/>
          <w:sz w:val="17"/>
          <w:szCs w:val="17"/>
          <w:color w:val="auto"/>
        </w:rPr>
        <w:t>Administrative Agent</w:t>
      </w:r>
    </w:p>
    <w:p>
      <w:pPr>
        <w:spacing w:after="0" w:line="367" w:lineRule="exact"/>
        <w:rPr>
          <w:sz w:val="20"/>
          <w:szCs w:val="20"/>
          <w:color w:val="auto"/>
        </w:rPr>
      </w:pPr>
    </w:p>
    <w:p>
      <w:pPr>
        <w:spacing w:after="0"/>
        <w:rPr>
          <w:sz w:val="20"/>
          <w:szCs w:val="20"/>
          <w:color w:val="auto"/>
        </w:rPr>
      </w:pPr>
      <w:r>
        <w:rPr>
          <w:rFonts w:ascii="Arial" w:cs="Arial" w:eastAsia="Arial" w:hAnsi="Arial"/>
          <w:sz w:val="17"/>
          <w:szCs w:val="17"/>
          <w:color w:val="auto"/>
        </w:rPr>
        <w:t>By: /s/ Evelyn Crisci</w:t>
      </w:r>
    </w:p>
    <w:p>
      <w:pPr>
        <w:ind w:left="40"/>
        <w:spacing w:after="0" w:line="203" w:lineRule="auto"/>
        <w:rPr>
          <w:sz w:val="20"/>
          <w:szCs w:val="20"/>
          <w:color w:val="auto"/>
        </w:rPr>
      </w:pPr>
      <w:r>
        <w:rPr>
          <w:rFonts w:ascii="Arial" w:cs="Arial" w:eastAsia="Arial" w:hAnsi="Arial"/>
          <w:sz w:val="17"/>
          <w:szCs w:val="17"/>
          <w:color w:val="auto"/>
        </w:rPr>
        <w:t>Name: Evelyn Crisci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wp:posOffset>
            </wp:positionH>
            <wp:positionV relativeFrom="paragraph">
              <wp:posOffset>-104140</wp:posOffset>
            </wp:positionV>
            <wp:extent cx="1064895" cy="76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1">
                      <a:extLst>
                        <a:ext uri="{28A0092B-C50C-407E-A947-70E740481C1C}"/>
                      </a:extLst>
                    </a:blip>
                    <a:srcRect/>
                    <a:stretch>
                      <a:fillRect/>
                    </a:stretch>
                  </pic:blipFill>
                  <pic:spPr bwMode="auto">
                    <a:xfrm>
                      <a:off x="0" y="0"/>
                      <a:ext cx="1064895" cy="7620"/>
                    </a:xfrm>
                    <a:prstGeom prst="rect">
                      <a:avLst/>
                    </a:prstGeom>
                    <a:noFill/>
                  </pic:spPr>
                </pic:pic>
              </a:graphicData>
            </a:graphic>
          </wp:anchor>
        </w:drawing>
      </w:r>
    </w:p>
    <w:p>
      <w:pPr>
        <w:ind w:left="40"/>
        <w:spacing w:after="0"/>
        <w:rPr>
          <w:sz w:val="20"/>
          <w:szCs w:val="20"/>
          <w:color w:val="auto"/>
        </w:rPr>
      </w:pPr>
      <w:r>
        <w:rPr>
          <w:rFonts w:ascii="Arial" w:cs="Arial" w:eastAsia="Arial" w:hAnsi="Arial"/>
          <w:sz w:val="17"/>
          <w:szCs w:val="17"/>
          <w:color w:val="auto"/>
        </w:rPr>
        <w:t>Title: Executive Director</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7"/>
          <w:szCs w:val="17"/>
          <w:color w:val="auto"/>
        </w:rPr>
        <w:t>JPMORGAN CHASE BANK, N.A., as a</w:t>
      </w:r>
    </w:p>
    <w:p>
      <w:pPr>
        <w:spacing w:after="0" w:line="203" w:lineRule="auto"/>
        <w:rPr>
          <w:sz w:val="20"/>
          <w:szCs w:val="20"/>
          <w:color w:val="auto"/>
        </w:rPr>
      </w:pPr>
      <w:r>
        <w:rPr>
          <w:rFonts w:ascii="Arial" w:cs="Arial" w:eastAsia="Arial" w:hAnsi="Arial"/>
          <w:sz w:val="17"/>
          <w:szCs w:val="17"/>
          <w:color w:val="auto"/>
        </w:rPr>
        <w:t>Lender, and Issuing Bank and the Swingline</w:t>
      </w:r>
    </w:p>
    <w:p>
      <w:pPr>
        <w:spacing w:after="0"/>
        <w:rPr>
          <w:sz w:val="20"/>
          <w:szCs w:val="20"/>
          <w:color w:val="auto"/>
        </w:rPr>
      </w:pPr>
      <w:r>
        <w:rPr>
          <w:rFonts w:ascii="Arial" w:cs="Arial" w:eastAsia="Arial" w:hAnsi="Arial"/>
          <w:sz w:val="17"/>
          <w:szCs w:val="17"/>
          <w:color w:val="auto"/>
        </w:rPr>
        <w:t>Lender</w:t>
      </w:r>
    </w:p>
    <w:p>
      <w:pPr>
        <w:spacing w:after="0" w:line="367" w:lineRule="exact"/>
        <w:rPr>
          <w:sz w:val="20"/>
          <w:szCs w:val="20"/>
          <w:color w:val="auto"/>
        </w:rPr>
      </w:pPr>
    </w:p>
    <w:p>
      <w:pPr>
        <w:spacing w:after="0"/>
        <w:rPr>
          <w:sz w:val="20"/>
          <w:szCs w:val="20"/>
          <w:color w:val="auto"/>
        </w:rPr>
      </w:pPr>
      <w:r>
        <w:rPr>
          <w:rFonts w:ascii="Arial" w:cs="Arial" w:eastAsia="Arial" w:hAnsi="Arial"/>
          <w:sz w:val="17"/>
          <w:szCs w:val="17"/>
          <w:color w:val="auto"/>
        </w:rPr>
        <w:t>By: /s/ Evelyn Crisci</w:t>
      </w:r>
    </w:p>
    <w:p>
      <w:pPr>
        <w:ind w:left="40"/>
        <w:spacing w:after="0" w:line="203" w:lineRule="auto"/>
        <w:rPr>
          <w:sz w:val="20"/>
          <w:szCs w:val="20"/>
          <w:color w:val="auto"/>
        </w:rPr>
      </w:pPr>
      <w:r>
        <w:rPr>
          <w:rFonts w:ascii="Arial" w:cs="Arial" w:eastAsia="Arial" w:hAnsi="Arial"/>
          <w:sz w:val="17"/>
          <w:szCs w:val="17"/>
          <w:color w:val="auto"/>
        </w:rPr>
        <w:t>Name: Evelyn Crisci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wp:posOffset>
            </wp:positionH>
            <wp:positionV relativeFrom="paragraph">
              <wp:posOffset>-104140</wp:posOffset>
            </wp:positionV>
            <wp:extent cx="1064895" cy="76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2">
                      <a:extLst>
                        <a:ext uri="{28A0092B-C50C-407E-A947-70E740481C1C}"/>
                      </a:extLst>
                    </a:blip>
                    <a:srcRect/>
                    <a:stretch>
                      <a:fillRect/>
                    </a:stretch>
                  </pic:blipFill>
                  <pic:spPr bwMode="auto">
                    <a:xfrm>
                      <a:off x="0" y="0"/>
                      <a:ext cx="1064895" cy="7620"/>
                    </a:xfrm>
                    <a:prstGeom prst="rect">
                      <a:avLst/>
                    </a:prstGeom>
                    <a:noFill/>
                  </pic:spPr>
                </pic:pic>
              </a:graphicData>
            </a:graphic>
          </wp:anchor>
        </w:drawing>
      </w:r>
    </w:p>
    <w:p>
      <w:pPr>
        <w:ind w:left="40"/>
        <w:spacing w:after="0"/>
        <w:rPr>
          <w:sz w:val="20"/>
          <w:szCs w:val="20"/>
          <w:color w:val="auto"/>
        </w:rPr>
      </w:pPr>
      <w:r>
        <w:rPr>
          <w:rFonts w:ascii="Arial" w:cs="Arial" w:eastAsia="Arial" w:hAnsi="Arial"/>
          <w:sz w:val="17"/>
          <w:szCs w:val="17"/>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40"/>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9279"/>
          </w:cols>
          <w:pgMar w:left="1180" w:top="1440" w:right="1440" w:bottom="1440" w:gutter="0" w:footer="0" w:header="0"/>
        </w:sectPr>
      </w:pPr>
    </w:p>
    <w:bookmarkStart w:id="366" w:name="page367"/>
    <w:bookmarkEnd w:id="366"/>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7"/>
          <w:szCs w:val="17"/>
          <w:color w:val="auto"/>
        </w:rPr>
        <w:t>GOLDMAN SACHS BANK USA, as a Lender</w:t>
      </w:r>
    </w:p>
    <w:p>
      <w:pPr>
        <w:spacing w:after="0"/>
        <w:rPr>
          <w:sz w:val="20"/>
          <w:szCs w:val="20"/>
          <w:color w:val="auto"/>
        </w:rPr>
      </w:pPr>
      <w:r>
        <w:rPr>
          <w:rFonts w:ascii="Arial" w:cs="Arial" w:eastAsia="Arial" w:hAnsi="Arial"/>
          <w:sz w:val="17"/>
          <w:szCs w:val="17"/>
          <w:color w:val="auto"/>
        </w:rPr>
        <w:t>and Issuing Bank</w:t>
      </w:r>
    </w:p>
    <w:p>
      <w:pPr>
        <w:spacing w:after="0" w:line="367" w:lineRule="exact"/>
        <w:rPr>
          <w:sz w:val="20"/>
          <w:szCs w:val="20"/>
          <w:color w:val="auto"/>
        </w:rPr>
      </w:pPr>
    </w:p>
    <w:p>
      <w:pPr>
        <w:spacing w:after="0"/>
        <w:rPr>
          <w:sz w:val="20"/>
          <w:szCs w:val="20"/>
          <w:color w:val="auto"/>
        </w:rPr>
      </w:pPr>
      <w:r>
        <w:rPr>
          <w:rFonts w:ascii="Arial" w:cs="Arial" w:eastAsia="Arial" w:hAnsi="Arial"/>
          <w:sz w:val="17"/>
          <w:szCs w:val="17"/>
          <w:color w:val="auto"/>
        </w:rPr>
        <w:t>By: /s/ Thomas M. Manning</w:t>
      </w:r>
    </w:p>
    <w:p>
      <w:pPr>
        <w:ind w:left="40"/>
        <w:spacing w:after="0" w:line="203" w:lineRule="auto"/>
        <w:rPr>
          <w:sz w:val="20"/>
          <w:szCs w:val="20"/>
          <w:color w:val="auto"/>
        </w:rPr>
      </w:pPr>
      <w:r>
        <w:rPr>
          <w:rFonts w:ascii="Arial" w:cs="Arial" w:eastAsia="Arial" w:hAnsi="Arial"/>
          <w:sz w:val="17"/>
          <w:szCs w:val="17"/>
          <w:color w:val="auto"/>
        </w:rPr>
        <w:t>Name: Thomas M. Manning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wp:posOffset>
            </wp:positionH>
            <wp:positionV relativeFrom="paragraph">
              <wp:posOffset>-104140</wp:posOffset>
            </wp:positionV>
            <wp:extent cx="1395730" cy="76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3">
                      <a:extLst>
                        <a:ext uri="{28A0092B-C50C-407E-A947-70E740481C1C}"/>
                      </a:extLst>
                    </a:blip>
                    <a:srcRect/>
                    <a:stretch>
                      <a:fillRect/>
                    </a:stretch>
                  </pic:blipFill>
                  <pic:spPr bwMode="auto">
                    <a:xfrm>
                      <a:off x="0" y="0"/>
                      <a:ext cx="1395730" cy="7620"/>
                    </a:xfrm>
                    <a:prstGeom prst="rect">
                      <a:avLst/>
                    </a:prstGeom>
                    <a:noFill/>
                  </pic:spPr>
                </pic:pic>
              </a:graphicData>
            </a:graphic>
          </wp:anchor>
        </w:drawing>
      </w:r>
    </w:p>
    <w:p>
      <w:pPr>
        <w:ind w:left="40"/>
        <w:spacing w:after="0"/>
        <w:rPr>
          <w:sz w:val="20"/>
          <w:szCs w:val="20"/>
          <w:color w:val="auto"/>
        </w:rPr>
      </w:pPr>
      <w:r>
        <w:rPr>
          <w:rFonts w:ascii="Arial" w:cs="Arial" w:eastAsia="Arial" w:hAnsi="Arial"/>
          <w:sz w:val="17"/>
          <w:szCs w:val="17"/>
          <w:color w:val="auto"/>
        </w:rPr>
        <w:t>Title: VP, Chief Underwriting Office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40"/>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9279"/>
          </w:cols>
          <w:pgMar w:left="1180" w:top="1440" w:right="1440" w:bottom="1440" w:gutter="0" w:footer="0" w:header="0"/>
        </w:sectPr>
      </w:pPr>
    </w:p>
    <w:bookmarkStart w:id="367" w:name="page368"/>
    <w:bookmarkEnd w:id="367"/>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7"/>
          <w:szCs w:val="17"/>
          <w:color w:val="auto"/>
        </w:rPr>
        <w:t>ROYAL BANK OF CANADA, as a Lender and</w:t>
      </w:r>
    </w:p>
    <w:p>
      <w:pPr>
        <w:spacing w:after="0"/>
        <w:rPr>
          <w:sz w:val="20"/>
          <w:szCs w:val="20"/>
          <w:color w:val="auto"/>
        </w:rPr>
      </w:pPr>
      <w:r>
        <w:rPr>
          <w:rFonts w:ascii="Arial" w:cs="Arial" w:eastAsia="Arial" w:hAnsi="Arial"/>
          <w:sz w:val="17"/>
          <w:szCs w:val="17"/>
          <w:color w:val="auto"/>
        </w:rPr>
        <w:t>Issuing Bank</w:t>
      </w:r>
    </w:p>
    <w:p>
      <w:pPr>
        <w:spacing w:after="0" w:line="367" w:lineRule="exact"/>
        <w:rPr>
          <w:sz w:val="20"/>
          <w:szCs w:val="20"/>
          <w:color w:val="auto"/>
        </w:rPr>
      </w:pPr>
    </w:p>
    <w:p>
      <w:pPr>
        <w:spacing w:after="0"/>
        <w:rPr>
          <w:sz w:val="20"/>
          <w:szCs w:val="20"/>
          <w:color w:val="auto"/>
        </w:rPr>
      </w:pPr>
      <w:r>
        <w:rPr>
          <w:rFonts w:ascii="Arial" w:cs="Arial" w:eastAsia="Arial" w:hAnsi="Arial"/>
          <w:sz w:val="17"/>
          <w:szCs w:val="17"/>
          <w:color w:val="auto"/>
        </w:rPr>
        <w:t>By: /s/ Allan Kortan</w:t>
      </w:r>
    </w:p>
    <w:p>
      <w:pPr>
        <w:ind w:left="40"/>
        <w:spacing w:after="0" w:line="203" w:lineRule="auto"/>
        <w:rPr>
          <w:sz w:val="20"/>
          <w:szCs w:val="20"/>
          <w:color w:val="auto"/>
        </w:rPr>
      </w:pPr>
      <w:r>
        <w:rPr>
          <w:rFonts w:ascii="Arial" w:cs="Arial" w:eastAsia="Arial" w:hAnsi="Arial"/>
          <w:sz w:val="17"/>
          <w:szCs w:val="17"/>
          <w:color w:val="auto"/>
        </w:rPr>
        <w:t>Name: Allan Kortan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wp:posOffset>
            </wp:positionH>
            <wp:positionV relativeFrom="paragraph">
              <wp:posOffset>-104140</wp:posOffset>
            </wp:positionV>
            <wp:extent cx="1040130" cy="76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4">
                      <a:extLst>
                        <a:ext uri="{28A0092B-C50C-407E-A947-70E740481C1C}"/>
                      </a:extLst>
                    </a:blip>
                    <a:srcRect/>
                    <a:stretch>
                      <a:fillRect/>
                    </a:stretch>
                  </pic:blipFill>
                  <pic:spPr bwMode="auto">
                    <a:xfrm>
                      <a:off x="0" y="0"/>
                      <a:ext cx="1040130" cy="7620"/>
                    </a:xfrm>
                    <a:prstGeom prst="rect">
                      <a:avLst/>
                    </a:prstGeom>
                    <a:noFill/>
                  </pic:spPr>
                </pic:pic>
              </a:graphicData>
            </a:graphic>
          </wp:anchor>
        </w:drawing>
      </w:r>
    </w:p>
    <w:p>
      <w:pPr>
        <w:ind w:left="40"/>
        <w:spacing w:after="0"/>
        <w:rPr>
          <w:sz w:val="20"/>
          <w:szCs w:val="20"/>
          <w:color w:val="auto"/>
        </w:rPr>
      </w:pPr>
      <w:r>
        <w:rPr>
          <w:rFonts w:ascii="Arial" w:cs="Arial" w:eastAsia="Arial" w:hAnsi="Arial"/>
          <w:sz w:val="17"/>
          <w:szCs w:val="17"/>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40"/>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9279"/>
          </w:cols>
          <w:pgMar w:left="1180" w:top="1440" w:right="1440" w:bottom="1440" w:gutter="0" w:footer="0" w:header="0"/>
        </w:sectPr>
      </w:pPr>
    </w:p>
    <w:bookmarkStart w:id="368" w:name="page369"/>
    <w:bookmarkEnd w:id="368"/>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7"/>
          <w:szCs w:val="17"/>
          <w:color w:val="auto"/>
        </w:rPr>
        <w:t>BARCLAYS BANK PLC, as a Lender and</w:t>
      </w:r>
    </w:p>
    <w:p>
      <w:pPr>
        <w:spacing w:after="0"/>
        <w:rPr>
          <w:sz w:val="20"/>
          <w:szCs w:val="20"/>
          <w:color w:val="auto"/>
        </w:rPr>
      </w:pPr>
      <w:r>
        <w:rPr>
          <w:rFonts w:ascii="Arial" w:cs="Arial" w:eastAsia="Arial" w:hAnsi="Arial"/>
          <w:sz w:val="17"/>
          <w:szCs w:val="17"/>
          <w:color w:val="auto"/>
        </w:rPr>
        <w:t>Issuing Bank</w:t>
      </w:r>
    </w:p>
    <w:p>
      <w:pPr>
        <w:spacing w:after="0" w:line="367" w:lineRule="exact"/>
        <w:rPr>
          <w:sz w:val="20"/>
          <w:szCs w:val="20"/>
          <w:color w:val="auto"/>
        </w:rPr>
      </w:pPr>
    </w:p>
    <w:p>
      <w:pPr>
        <w:spacing w:after="0"/>
        <w:rPr>
          <w:sz w:val="20"/>
          <w:szCs w:val="20"/>
          <w:color w:val="auto"/>
        </w:rPr>
      </w:pPr>
      <w:r>
        <w:rPr>
          <w:rFonts w:ascii="Arial" w:cs="Arial" w:eastAsia="Arial" w:hAnsi="Arial"/>
          <w:sz w:val="17"/>
          <w:szCs w:val="17"/>
          <w:color w:val="auto"/>
        </w:rPr>
        <w:t>By: /s/ Ronnie Glenn</w:t>
      </w:r>
    </w:p>
    <w:p>
      <w:pPr>
        <w:ind w:left="40"/>
        <w:spacing w:after="0" w:line="203" w:lineRule="auto"/>
        <w:rPr>
          <w:sz w:val="20"/>
          <w:szCs w:val="20"/>
          <w:color w:val="auto"/>
        </w:rPr>
      </w:pPr>
      <w:r>
        <w:rPr>
          <w:rFonts w:ascii="Arial" w:cs="Arial" w:eastAsia="Arial" w:hAnsi="Arial"/>
          <w:sz w:val="17"/>
          <w:szCs w:val="17"/>
          <w:color w:val="auto"/>
        </w:rPr>
        <w:t>Name: Ronnie Glenn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wp:posOffset>
            </wp:positionH>
            <wp:positionV relativeFrom="paragraph">
              <wp:posOffset>-104140</wp:posOffset>
            </wp:positionV>
            <wp:extent cx="1076960" cy="76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5">
                      <a:extLst>
                        <a:ext uri="{28A0092B-C50C-407E-A947-70E740481C1C}"/>
                      </a:extLst>
                    </a:blip>
                    <a:srcRect/>
                    <a:stretch>
                      <a:fillRect/>
                    </a:stretch>
                  </pic:blipFill>
                  <pic:spPr bwMode="auto">
                    <a:xfrm>
                      <a:off x="0" y="0"/>
                      <a:ext cx="1076960" cy="7620"/>
                    </a:xfrm>
                    <a:prstGeom prst="rect">
                      <a:avLst/>
                    </a:prstGeom>
                    <a:noFill/>
                  </pic:spPr>
                </pic:pic>
              </a:graphicData>
            </a:graphic>
          </wp:anchor>
        </w:drawing>
      </w:r>
    </w:p>
    <w:p>
      <w:pPr>
        <w:ind w:left="40"/>
        <w:spacing w:after="0"/>
        <w:rPr>
          <w:sz w:val="20"/>
          <w:szCs w:val="20"/>
          <w:color w:val="auto"/>
        </w:rPr>
      </w:pPr>
      <w:r>
        <w:rPr>
          <w:rFonts w:ascii="Arial" w:cs="Arial" w:eastAsia="Arial" w:hAnsi="Arial"/>
          <w:sz w:val="17"/>
          <w:szCs w:val="17"/>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40"/>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9279"/>
          </w:cols>
          <w:pgMar w:left="1180" w:top="1440" w:right="1440" w:bottom="1440" w:gutter="0" w:footer="0" w:header="0"/>
        </w:sectPr>
      </w:pPr>
    </w:p>
    <w:bookmarkStart w:id="369" w:name="page370"/>
    <w:bookmarkEnd w:id="369"/>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7"/>
          <w:szCs w:val="17"/>
          <w:color w:val="auto"/>
        </w:rPr>
        <w:t>JEFFERIES FINANCE LLC, as a Lender and</w:t>
      </w:r>
    </w:p>
    <w:p>
      <w:pPr>
        <w:spacing w:after="0"/>
        <w:rPr>
          <w:sz w:val="20"/>
          <w:szCs w:val="20"/>
          <w:color w:val="auto"/>
        </w:rPr>
      </w:pPr>
      <w:r>
        <w:rPr>
          <w:rFonts w:ascii="Arial" w:cs="Arial" w:eastAsia="Arial" w:hAnsi="Arial"/>
          <w:sz w:val="17"/>
          <w:szCs w:val="17"/>
          <w:color w:val="auto"/>
        </w:rPr>
        <w:t>Issuing Bank</w:t>
      </w:r>
    </w:p>
    <w:p>
      <w:pPr>
        <w:spacing w:after="0" w:line="367" w:lineRule="exact"/>
        <w:rPr>
          <w:sz w:val="20"/>
          <w:szCs w:val="20"/>
          <w:color w:val="auto"/>
        </w:rPr>
      </w:pPr>
    </w:p>
    <w:p>
      <w:pPr>
        <w:spacing w:after="0"/>
        <w:rPr>
          <w:sz w:val="20"/>
          <w:szCs w:val="20"/>
          <w:color w:val="auto"/>
        </w:rPr>
      </w:pPr>
      <w:r>
        <w:rPr>
          <w:rFonts w:ascii="Arial" w:cs="Arial" w:eastAsia="Arial" w:hAnsi="Arial"/>
          <w:sz w:val="17"/>
          <w:szCs w:val="17"/>
          <w:color w:val="auto"/>
        </w:rPr>
        <w:t>By: /s/ John Koehler</w:t>
      </w:r>
    </w:p>
    <w:p>
      <w:pPr>
        <w:ind w:left="40"/>
        <w:spacing w:after="0" w:line="203" w:lineRule="auto"/>
        <w:rPr>
          <w:sz w:val="20"/>
          <w:szCs w:val="20"/>
          <w:color w:val="auto"/>
        </w:rPr>
      </w:pPr>
      <w:r>
        <w:rPr>
          <w:rFonts w:ascii="Arial" w:cs="Arial" w:eastAsia="Arial" w:hAnsi="Arial"/>
          <w:sz w:val="17"/>
          <w:szCs w:val="17"/>
          <w:color w:val="auto"/>
        </w:rPr>
        <w:t>Name: John Koehler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wp:posOffset>
            </wp:positionH>
            <wp:positionV relativeFrom="paragraph">
              <wp:posOffset>-104140</wp:posOffset>
            </wp:positionV>
            <wp:extent cx="1052830" cy="76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6">
                      <a:extLst>
                        <a:ext uri="{28A0092B-C50C-407E-A947-70E740481C1C}"/>
                      </a:extLst>
                    </a:blip>
                    <a:srcRect/>
                    <a:stretch>
                      <a:fillRect/>
                    </a:stretch>
                  </pic:blipFill>
                  <pic:spPr bwMode="auto">
                    <a:xfrm>
                      <a:off x="0" y="0"/>
                      <a:ext cx="1052830" cy="7620"/>
                    </a:xfrm>
                    <a:prstGeom prst="rect">
                      <a:avLst/>
                    </a:prstGeom>
                    <a:noFill/>
                  </pic:spPr>
                </pic:pic>
              </a:graphicData>
            </a:graphic>
          </wp:anchor>
        </w:drawing>
      </w:r>
    </w:p>
    <w:p>
      <w:pPr>
        <w:ind w:left="40"/>
        <w:spacing w:after="0"/>
        <w:rPr>
          <w:sz w:val="20"/>
          <w:szCs w:val="20"/>
          <w:color w:val="auto"/>
        </w:rPr>
      </w:pPr>
      <w:r>
        <w:rPr>
          <w:rFonts w:ascii="Arial" w:cs="Arial" w:eastAsia="Arial" w:hAnsi="Arial"/>
          <w:sz w:val="17"/>
          <w:szCs w:val="17"/>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40"/>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9279"/>
          </w:cols>
          <w:pgMar w:left="1180" w:top="1440" w:right="1440" w:bottom="1440" w:gutter="0" w:footer="0" w:header="0"/>
        </w:sectPr>
      </w:pPr>
    </w:p>
    <w:bookmarkStart w:id="370" w:name="page371"/>
    <w:bookmarkEnd w:id="370"/>
    <w:p>
      <w:pPr>
        <w:ind w:left="4625"/>
        <w:spacing w:after="0"/>
        <w:rPr>
          <w:sz w:val="20"/>
          <w:szCs w:val="20"/>
          <w:color w:val="auto"/>
        </w:rPr>
      </w:pPr>
      <w:r>
        <w:rPr>
          <w:rFonts w:ascii="Arial" w:cs="Arial" w:eastAsia="Arial" w:hAnsi="Arial"/>
          <w:sz w:val="17"/>
          <w:szCs w:val="17"/>
          <w:b w:val="1"/>
          <w:bCs w:val="1"/>
          <w:color w:val="auto"/>
        </w:rPr>
        <w:t>VIRTU FINANCIAL, INC.</w:t>
      </w:r>
    </w:p>
    <w:p>
      <w:pPr>
        <w:ind w:left="4465"/>
        <w:spacing w:after="0" w:line="203" w:lineRule="auto"/>
        <w:rPr>
          <w:sz w:val="20"/>
          <w:szCs w:val="20"/>
          <w:color w:val="auto"/>
        </w:rPr>
      </w:pPr>
      <w:r>
        <w:rPr>
          <w:rFonts w:ascii="Arial" w:cs="Arial" w:eastAsia="Arial" w:hAnsi="Arial"/>
          <w:sz w:val="17"/>
          <w:szCs w:val="17"/>
          <w:b w:val="1"/>
          <w:bCs w:val="1"/>
          <w:color w:val="auto"/>
        </w:rPr>
        <w:t>AMENDED AND RESTATED</w:t>
      </w:r>
    </w:p>
    <w:p>
      <w:pPr>
        <w:ind w:left="4005"/>
        <w:spacing w:after="0" w:line="203" w:lineRule="auto"/>
        <w:rPr>
          <w:sz w:val="20"/>
          <w:szCs w:val="20"/>
          <w:color w:val="auto"/>
        </w:rPr>
      </w:pPr>
      <w:r>
        <w:rPr>
          <w:rFonts w:ascii="Arial" w:cs="Arial" w:eastAsia="Arial" w:hAnsi="Arial"/>
          <w:sz w:val="17"/>
          <w:szCs w:val="17"/>
          <w:b w:val="1"/>
          <w:bCs w:val="1"/>
          <w:color w:val="auto"/>
        </w:rPr>
        <w:t>2015 MANAGEMENT INCENTIVE PLAN</w:t>
      </w:r>
    </w:p>
    <w:p>
      <w:pPr>
        <w:ind w:left="5125"/>
        <w:spacing w:after="0" w:line="204" w:lineRule="auto"/>
        <w:rPr>
          <w:sz w:val="20"/>
          <w:szCs w:val="20"/>
          <w:color w:val="auto"/>
        </w:rPr>
      </w:pPr>
      <w:r>
        <w:rPr>
          <w:rFonts w:ascii="Arial" w:cs="Arial" w:eastAsia="Arial" w:hAnsi="Arial"/>
          <w:sz w:val="17"/>
          <w:szCs w:val="17"/>
          <w:b w:val="1"/>
          <w:bCs w:val="1"/>
          <w:color w:val="auto"/>
        </w:rPr>
        <w:t>EMPLOYEE</w:t>
      </w:r>
    </w:p>
    <w:p>
      <w:pPr>
        <w:ind w:left="3565"/>
        <w:spacing w:after="0"/>
        <w:rPr>
          <w:sz w:val="20"/>
          <w:szCs w:val="20"/>
          <w:color w:val="auto"/>
        </w:rPr>
      </w:pPr>
      <w:r>
        <w:rPr>
          <w:rFonts w:ascii="Arial" w:cs="Arial" w:eastAsia="Arial" w:hAnsi="Arial"/>
          <w:sz w:val="17"/>
          <w:szCs w:val="17"/>
          <w:b w:val="1"/>
          <w:bCs w:val="1"/>
          <w:u w:val="single" w:color="auto"/>
          <w:color w:val="auto"/>
        </w:rPr>
        <w:t>RESTRICTED STOCK UNIT AWARD AGREEMENT</w:t>
      </w:r>
    </w:p>
    <w:p>
      <w:pPr>
        <w:spacing w:after="0" w:line="98" w:lineRule="exact"/>
        <w:rPr>
          <w:sz w:val="20"/>
          <w:szCs w:val="20"/>
          <w:color w:val="auto"/>
        </w:rPr>
      </w:pPr>
    </w:p>
    <w:p>
      <w:pPr>
        <w:ind w:left="5" w:right="80" w:firstLine="568"/>
        <w:spacing w:after="0" w:line="237" w:lineRule="auto"/>
        <w:rPr>
          <w:sz w:val="20"/>
          <w:szCs w:val="20"/>
          <w:color w:val="auto"/>
        </w:rPr>
      </w:pPr>
      <w:r>
        <w:rPr>
          <w:rFonts w:ascii="Arial" w:cs="Arial" w:eastAsia="Arial" w:hAnsi="Arial"/>
          <w:sz w:val="17"/>
          <w:szCs w:val="17"/>
          <w:color w:val="auto"/>
        </w:rPr>
        <w:t>THIS RESTRICTED STOCK UNIT AWARD AGREEMENT (the “</w:t>
      </w:r>
      <w:r>
        <w:rPr>
          <w:rFonts w:ascii="Arial" w:cs="Arial" w:eastAsia="Arial" w:hAnsi="Arial"/>
          <w:sz w:val="17"/>
          <w:szCs w:val="17"/>
          <w:u w:val="single" w:color="auto"/>
          <w:color w:val="auto"/>
        </w:rPr>
        <w:t>Agreement</w:t>
      </w:r>
      <w:r>
        <w:rPr>
          <w:rFonts w:ascii="Arial" w:cs="Arial" w:eastAsia="Arial" w:hAnsi="Arial"/>
          <w:sz w:val="17"/>
          <w:szCs w:val="17"/>
          <w:color w:val="auto"/>
        </w:rPr>
        <w:t>”), is entered into as of December 24, 2021 (the “</w:t>
      </w:r>
      <w:r>
        <w:rPr>
          <w:rFonts w:ascii="Arial" w:cs="Arial" w:eastAsia="Arial" w:hAnsi="Arial"/>
          <w:sz w:val="17"/>
          <w:szCs w:val="17"/>
          <w:u w:val="single" w:color="auto"/>
          <w:color w:val="auto"/>
        </w:rPr>
        <w:t>Date of Grant</w:t>
      </w:r>
      <w:r>
        <w:rPr>
          <w:rFonts w:ascii="Arial" w:cs="Arial" w:eastAsia="Arial" w:hAnsi="Arial"/>
          <w:sz w:val="17"/>
          <w:szCs w:val="17"/>
          <w:color w:val="auto"/>
        </w:rPr>
        <w:t>”), by and between Virtu Financial,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and Douglas A. Cifu (the “</w:t>
      </w:r>
      <w:r>
        <w:rPr>
          <w:rFonts w:ascii="Arial" w:cs="Arial" w:eastAsia="Arial" w:hAnsi="Arial"/>
          <w:sz w:val="17"/>
          <w:szCs w:val="17"/>
          <w:u w:val="single" w:color="auto"/>
          <w:color w:val="auto"/>
        </w:rPr>
        <w:t>Participant</w:t>
      </w:r>
      <w:r>
        <w:rPr>
          <w:rFonts w:ascii="Arial" w:cs="Arial" w:eastAsia="Arial" w:hAnsi="Arial"/>
          <w:sz w:val="17"/>
          <w:szCs w:val="17"/>
          <w:color w:val="auto"/>
        </w:rPr>
        <w:t>”).</w:t>
      </w:r>
    </w:p>
    <w:p>
      <w:pPr>
        <w:spacing w:after="0" w:line="87" w:lineRule="exact"/>
        <w:rPr>
          <w:sz w:val="20"/>
          <w:szCs w:val="20"/>
          <w:color w:val="auto"/>
        </w:rPr>
      </w:pPr>
    </w:p>
    <w:p>
      <w:pPr>
        <w:ind w:left="5" w:right="20" w:firstLine="568"/>
        <w:spacing w:after="0" w:line="237" w:lineRule="auto"/>
        <w:rPr>
          <w:sz w:val="20"/>
          <w:szCs w:val="20"/>
          <w:color w:val="auto"/>
        </w:rPr>
      </w:pPr>
      <w:r>
        <w:rPr>
          <w:rFonts w:ascii="Arial" w:cs="Arial" w:eastAsia="Arial" w:hAnsi="Arial"/>
          <w:sz w:val="17"/>
          <w:szCs w:val="17"/>
          <w:color w:val="auto"/>
        </w:rPr>
        <w:t>WHEREAS, the Company has adopted the Virtu Financial, Inc. Amended and Restated 2015 Management Incentive Plan (the “</w:t>
      </w:r>
      <w:r>
        <w:rPr>
          <w:rFonts w:ascii="Arial" w:cs="Arial" w:eastAsia="Arial" w:hAnsi="Arial"/>
          <w:sz w:val="17"/>
          <w:szCs w:val="17"/>
          <w:u w:val="single" w:color="auto"/>
          <w:color w:val="auto"/>
        </w:rPr>
        <w:t>Plan</w:t>
      </w:r>
      <w:r>
        <w:rPr>
          <w:rFonts w:ascii="Arial" w:cs="Arial" w:eastAsia="Arial" w:hAnsi="Arial"/>
          <w:sz w:val="17"/>
          <w:szCs w:val="17"/>
          <w:color w:val="auto"/>
        </w:rPr>
        <w:t>”), pursuant to which Restricted Stock Units (the “</w:t>
      </w:r>
      <w:r>
        <w:rPr>
          <w:rFonts w:ascii="Arial" w:cs="Arial" w:eastAsia="Arial" w:hAnsi="Arial"/>
          <w:sz w:val="17"/>
          <w:szCs w:val="17"/>
          <w:u w:val="single" w:color="auto"/>
          <w:color w:val="auto"/>
        </w:rPr>
        <w:t>RSUs</w:t>
      </w:r>
      <w:r>
        <w:rPr>
          <w:rFonts w:ascii="Arial" w:cs="Arial" w:eastAsia="Arial" w:hAnsi="Arial"/>
          <w:sz w:val="17"/>
          <w:szCs w:val="17"/>
          <w:color w:val="auto"/>
        </w:rPr>
        <w:t>”) may be granted;</w:t>
      </w:r>
    </w:p>
    <w:p>
      <w:pPr>
        <w:spacing w:after="0" w:line="87" w:lineRule="exact"/>
        <w:rPr>
          <w:sz w:val="20"/>
          <w:szCs w:val="20"/>
          <w:color w:val="auto"/>
        </w:rPr>
      </w:pPr>
    </w:p>
    <w:p>
      <w:pPr>
        <w:jc w:val="both"/>
        <w:ind w:left="5" w:right="120" w:firstLine="568"/>
        <w:spacing w:after="0" w:line="225" w:lineRule="auto"/>
        <w:rPr>
          <w:sz w:val="20"/>
          <w:szCs w:val="20"/>
          <w:color w:val="auto"/>
        </w:rPr>
      </w:pPr>
      <w:r>
        <w:rPr>
          <w:rFonts w:ascii="Arial" w:cs="Arial" w:eastAsia="Arial" w:hAnsi="Arial"/>
          <w:sz w:val="17"/>
          <w:szCs w:val="17"/>
          <w:color w:val="auto"/>
        </w:rPr>
        <w:t>WHEREAS, the Company and the Participant entered into that certain Amended and Restated Employment Agreement, dated as of November 15, 2017 (the “</w:t>
      </w:r>
      <w:r>
        <w:rPr>
          <w:rFonts w:ascii="Arial" w:cs="Arial" w:eastAsia="Arial" w:hAnsi="Arial"/>
          <w:sz w:val="17"/>
          <w:szCs w:val="17"/>
          <w:u w:val="single" w:color="auto"/>
          <w:color w:val="auto"/>
        </w:rPr>
        <w:t>Employment Agreement</w:t>
      </w:r>
      <w:r>
        <w:rPr>
          <w:rFonts w:ascii="Arial" w:cs="Arial" w:eastAsia="Arial" w:hAnsi="Arial"/>
          <w:sz w:val="17"/>
          <w:szCs w:val="17"/>
          <w:color w:val="auto"/>
        </w:rPr>
        <w:t>”), pursuant to which the Participant is eligible to receive an equity award at the beginning of each calendar year during the Term (as defined in the Employment Agreement);</w:t>
      </w:r>
    </w:p>
    <w:p>
      <w:pPr>
        <w:spacing w:after="0" w:line="85" w:lineRule="exact"/>
        <w:rPr>
          <w:sz w:val="20"/>
          <w:szCs w:val="20"/>
          <w:color w:val="auto"/>
        </w:rPr>
      </w:pPr>
    </w:p>
    <w:p>
      <w:pPr>
        <w:ind w:left="565"/>
        <w:spacing w:after="0"/>
        <w:rPr>
          <w:sz w:val="20"/>
          <w:szCs w:val="20"/>
          <w:color w:val="auto"/>
        </w:rPr>
      </w:pPr>
      <w:r>
        <w:rPr>
          <w:rFonts w:ascii="Arial" w:cs="Arial" w:eastAsia="Arial" w:hAnsi="Arial"/>
          <w:sz w:val="16"/>
          <w:szCs w:val="16"/>
          <w:color w:val="auto"/>
        </w:rPr>
        <w:t>WHEREAS, the Company has adopted that certain Deferred Compensation Plan, effective November 13, 2020 and as amended from time to time (the</w:t>
      </w:r>
    </w:p>
    <w:p>
      <w:pPr>
        <w:ind w:left="5"/>
        <w:spacing w:after="0" w:line="23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Deferred Compensation Plan</w:t>
      </w:r>
      <w:r>
        <w:rPr>
          <w:rFonts w:ascii="Arial" w:cs="Arial" w:eastAsia="Arial" w:hAnsi="Arial"/>
          <w:sz w:val="15"/>
          <w:szCs w:val="15"/>
          <w:color w:val="auto"/>
        </w:rPr>
        <w:t>”) pursuant to which eligible employees may elect to defer certain compensation in accordance with the terms thereof and any other</w:t>
      </w:r>
    </w:p>
    <w:p>
      <w:pPr>
        <w:ind w:left="5"/>
        <w:spacing w:after="0"/>
        <w:rPr>
          <w:sz w:val="20"/>
          <w:szCs w:val="20"/>
          <w:color w:val="auto"/>
        </w:rPr>
      </w:pPr>
      <w:r>
        <w:rPr>
          <w:rFonts w:ascii="Arial" w:cs="Arial" w:eastAsia="Arial" w:hAnsi="Arial"/>
          <w:sz w:val="17"/>
          <w:szCs w:val="17"/>
          <w:color w:val="auto"/>
        </w:rPr>
        <w:t>applicable requirements or conditions;</w:t>
      </w:r>
    </w:p>
    <w:p>
      <w:pPr>
        <w:spacing w:after="0" w:line="98" w:lineRule="exact"/>
        <w:rPr>
          <w:sz w:val="20"/>
          <w:szCs w:val="20"/>
          <w:color w:val="auto"/>
        </w:rPr>
      </w:pPr>
    </w:p>
    <w:p>
      <w:pPr>
        <w:ind w:left="5" w:right="180" w:firstLine="568"/>
        <w:spacing w:after="0" w:line="225" w:lineRule="auto"/>
        <w:rPr>
          <w:sz w:val="20"/>
          <w:szCs w:val="20"/>
          <w:color w:val="auto"/>
        </w:rPr>
      </w:pPr>
      <w:r>
        <w:rPr>
          <w:rFonts w:ascii="Arial" w:cs="Arial" w:eastAsia="Arial" w:hAnsi="Arial"/>
          <w:sz w:val="17"/>
          <w:szCs w:val="17"/>
          <w:color w:val="auto"/>
        </w:rPr>
        <w:t>WHEREAS, the Participant made a deferral election in accordance with the Deferred Compensation Plan on or prior to December 31, 2020 pursuant to which the Participant elected to defer all equity compensation awarded in consideration of services rendered in the fiscal year ended December 31, 2021 (the “</w:t>
      </w:r>
      <w:r>
        <w:rPr>
          <w:rFonts w:ascii="Arial" w:cs="Arial" w:eastAsia="Arial" w:hAnsi="Arial"/>
          <w:sz w:val="17"/>
          <w:szCs w:val="17"/>
          <w:u w:val="single" w:color="auto"/>
          <w:color w:val="auto"/>
        </w:rPr>
        <w:t>Cifu 2021 Deferral Election</w:t>
      </w:r>
      <w:r>
        <w:rPr>
          <w:rFonts w:ascii="Arial" w:cs="Arial" w:eastAsia="Arial" w:hAnsi="Arial"/>
          <w:sz w:val="17"/>
          <w:szCs w:val="17"/>
          <w:color w:val="auto"/>
        </w:rPr>
        <w:t>”);</w:t>
      </w:r>
    </w:p>
    <w:p>
      <w:pPr>
        <w:spacing w:after="0" w:line="90" w:lineRule="exact"/>
        <w:rPr>
          <w:sz w:val="20"/>
          <w:szCs w:val="20"/>
          <w:color w:val="auto"/>
        </w:rPr>
      </w:pPr>
    </w:p>
    <w:p>
      <w:pPr>
        <w:ind w:left="5" w:right="140" w:firstLine="568"/>
        <w:spacing w:after="0" w:line="264" w:lineRule="auto"/>
        <w:rPr>
          <w:sz w:val="20"/>
          <w:szCs w:val="20"/>
          <w:color w:val="auto"/>
        </w:rPr>
      </w:pPr>
      <w:r>
        <w:rPr>
          <w:rFonts w:ascii="Arial" w:cs="Arial" w:eastAsia="Arial" w:hAnsi="Arial"/>
          <w:sz w:val="16"/>
          <w:szCs w:val="16"/>
          <w:color w:val="auto"/>
        </w:rPr>
        <w:t>WHEREAS, on February 26, 2021 the Company issued to the Participant a Restricted Stock Award for the grant of 150,000 shares of restricted Class A common stock of the Company (the “</w:t>
      </w:r>
      <w:r>
        <w:rPr>
          <w:rFonts w:ascii="Arial" w:cs="Arial" w:eastAsia="Arial" w:hAnsi="Arial"/>
          <w:sz w:val="16"/>
          <w:szCs w:val="16"/>
          <w:u w:val="single" w:color="auto"/>
          <w:color w:val="auto"/>
        </w:rPr>
        <w:t>2021 Restricted Stock Award</w:t>
      </w:r>
      <w:r>
        <w:rPr>
          <w:rFonts w:ascii="Arial" w:cs="Arial" w:eastAsia="Arial" w:hAnsi="Arial"/>
          <w:sz w:val="16"/>
          <w:szCs w:val="16"/>
          <w:color w:val="auto"/>
        </w:rPr>
        <w:t>”), subject to certain terms and conditions reflected in such award;</w:t>
      </w:r>
    </w:p>
    <w:p>
      <w:pPr>
        <w:spacing w:after="0" w:line="69" w:lineRule="exact"/>
        <w:rPr>
          <w:sz w:val="20"/>
          <w:szCs w:val="20"/>
          <w:color w:val="auto"/>
        </w:rPr>
      </w:pPr>
    </w:p>
    <w:p>
      <w:pPr>
        <w:jc w:val="both"/>
        <w:ind w:left="5" w:right="80" w:firstLine="568"/>
        <w:spacing w:after="0" w:line="225" w:lineRule="auto"/>
        <w:rPr>
          <w:sz w:val="20"/>
          <w:szCs w:val="20"/>
          <w:color w:val="auto"/>
        </w:rPr>
      </w:pPr>
      <w:r>
        <w:rPr>
          <w:rFonts w:ascii="Arial" w:cs="Arial" w:eastAsia="Arial" w:hAnsi="Arial"/>
          <w:sz w:val="17"/>
          <w:szCs w:val="17"/>
          <w:color w:val="auto"/>
        </w:rPr>
        <w:t>WHEREAS, in light of the Cifu 2021 Deferral Election, the annual equity award to Participant for the year ended December 31, 2021 must be issued in the form of RSUs rather than restricted stock and the Company desires to issue an award of RSUs Agreement which rescinds and supersedes the 2021 Restricted Stock Award;</w:t>
      </w:r>
    </w:p>
    <w:p>
      <w:pPr>
        <w:spacing w:after="0" w:line="90" w:lineRule="exact"/>
        <w:rPr>
          <w:sz w:val="20"/>
          <w:szCs w:val="20"/>
          <w:color w:val="auto"/>
        </w:rPr>
      </w:pPr>
    </w:p>
    <w:p>
      <w:pPr>
        <w:ind w:left="5" w:right="440" w:firstLine="568"/>
        <w:spacing w:after="0" w:line="237" w:lineRule="auto"/>
        <w:rPr>
          <w:sz w:val="20"/>
          <w:szCs w:val="20"/>
          <w:color w:val="auto"/>
        </w:rPr>
      </w:pPr>
      <w:r>
        <w:rPr>
          <w:rFonts w:ascii="Arial" w:cs="Arial" w:eastAsia="Arial" w:hAnsi="Arial"/>
          <w:sz w:val="17"/>
          <w:szCs w:val="17"/>
          <w:color w:val="auto"/>
        </w:rPr>
        <w:t>WHEREAS, the Compensation Committee of the Board of Directors of the Company has previously determined that it is in the best interests of the Company and its stockholders to grant the annual award in accordance with the terms of Participant’s Employment Agreement;.</w:t>
      </w:r>
    </w:p>
    <w:p>
      <w:pPr>
        <w:spacing w:after="0" w:line="87" w:lineRule="exact"/>
        <w:rPr>
          <w:sz w:val="20"/>
          <w:szCs w:val="20"/>
          <w:color w:val="auto"/>
        </w:rPr>
      </w:pPr>
    </w:p>
    <w:p>
      <w:pPr>
        <w:ind w:left="5" w:right="300" w:firstLine="568"/>
        <w:spacing w:after="0" w:line="297" w:lineRule="auto"/>
        <w:rPr>
          <w:sz w:val="20"/>
          <w:szCs w:val="20"/>
          <w:color w:val="auto"/>
        </w:rPr>
      </w:pPr>
      <w:r>
        <w:rPr>
          <w:rFonts w:ascii="Arial" w:cs="Arial" w:eastAsia="Arial" w:hAnsi="Arial"/>
          <w:sz w:val="15"/>
          <w:szCs w:val="15"/>
          <w:color w:val="auto"/>
        </w:rPr>
        <w:t>NOW, THEREFORE, for and in consideration of the premises and the covenants of the parties contained in this Agreement, and for other good and valuable consideration, the receipt of which is hereby acknowledged, the parties hereto, for themselves, their successors and assigns, hereby agree as follows:</w:t>
      </w:r>
    </w:p>
    <w:p>
      <w:pPr>
        <w:spacing w:after="0" w:line="88" w:lineRule="exact"/>
        <w:rPr>
          <w:sz w:val="20"/>
          <w:szCs w:val="20"/>
          <w:color w:val="auto"/>
        </w:rPr>
      </w:pPr>
    </w:p>
    <w:p>
      <w:pPr>
        <w:ind w:left="565" w:hanging="565"/>
        <w:spacing w:after="0"/>
        <w:tabs>
          <w:tab w:leader="none" w:pos="565" w:val="left"/>
        </w:tabs>
        <w:numPr>
          <w:ilvl w:val="0"/>
          <w:numId w:val="292"/>
        </w:numPr>
        <w:rPr>
          <w:rFonts w:ascii="Arial" w:cs="Arial" w:eastAsia="Arial" w:hAnsi="Arial"/>
          <w:sz w:val="17"/>
          <w:szCs w:val="17"/>
          <w:b w:val="1"/>
          <w:bCs w:val="1"/>
          <w:color w:val="auto"/>
        </w:rPr>
      </w:pPr>
      <w:r>
        <w:rPr>
          <w:rFonts w:ascii="Arial" w:cs="Arial" w:eastAsia="Arial" w:hAnsi="Arial"/>
          <w:sz w:val="17"/>
          <w:szCs w:val="17"/>
          <w:b w:val="1"/>
          <w:bCs w:val="1"/>
          <w:color w:val="auto"/>
        </w:rPr>
        <w:t>Grant of Restricted Stock Units.</w:t>
      </w:r>
    </w:p>
    <w:p>
      <w:pPr>
        <w:spacing w:after="0" w:line="165" w:lineRule="exact"/>
        <w:rPr>
          <w:rFonts w:ascii="Arial" w:cs="Arial" w:eastAsia="Arial" w:hAnsi="Arial"/>
          <w:sz w:val="17"/>
          <w:szCs w:val="17"/>
          <w:b w:val="1"/>
          <w:bCs w:val="1"/>
          <w:color w:val="auto"/>
        </w:rPr>
      </w:pPr>
    </w:p>
    <w:p>
      <w:pPr>
        <w:jc w:val="both"/>
        <w:ind w:left="5" w:right="300" w:firstLine="563"/>
        <w:spacing w:after="0" w:line="225" w:lineRule="auto"/>
        <w:tabs>
          <w:tab w:leader="none" w:pos="1133" w:val="left"/>
        </w:tabs>
        <w:numPr>
          <w:ilvl w:val="1"/>
          <w:numId w:val="292"/>
        </w:numPr>
        <w:rPr>
          <w:rFonts w:ascii="Arial" w:cs="Arial" w:eastAsia="Arial" w:hAnsi="Arial"/>
          <w:sz w:val="17"/>
          <w:szCs w:val="17"/>
          <w:color w:val="auto"/>
        </w:rPr>
      </w:pPr>
      <w:r>
        <w:rPr>
          <w:rFonts w:ascii="Arial" w:cs="Arial" w:eastAsia="Arial" w:hAnsi="Arial"/>
          <w:sz w:val="17"/>
          <w:szCs w:val="17"/>
          <w:u w:val="single" w:color="auto"/>
          <w:color w:val="auto"/>
        </w:rPr>
        <w:t>Grant</w:t>
      </w:r>
      <w:r>
        <w:rPr>
          <w:rFonts w:ascii="Arial" w:cs="Arial" w:eastAsia="Arial" w:hAnsi="Arial"/>
          <w:sz w:val="17"/>
          <w:szCs w:val="17"/>
          <w:color w:val="auto"/>
        </w:rPr>
        <w:t>. The Company hereby grants to the Participant 150,000 RSUs on the terms and conditions set forth in this Agreement and as otherwise provided in the Plan. The RSUs shall be credited to a separate book-entry account maintained for the Participant on the books of the Company, which may be maintained by a third party.</w:t>
      </w:r>
    </w:p>
    <w:p>
      <w:pPr>
        <w:spacing w:after="0" w:line="136" w:lineRule="exact"/>
        <w:rPr>
          <w:rFonts w:ascii="Arial" w:cs="Arial" w:eastAsia="Arial" w:hAnsi="Arial"/>
          <w:sz w:val="17"/>
          <w:szCs w:val="17"/>
          <w:color w:val="auto"/>
        </w:rPr>
      </w:pPr>
    </w:p>
    <w:p>
      <w:pPr>
        <w:ind w:left="5" w:right="120" w:firstLine="563"/>
        <w:spacing w:after="0" w:line="216" w:lineRule="auto"/>
        <w:tabs>
          <w:tab w:leader="none" w:pos="1131" w:val="left"/>
        </w:tabs>
        <w:numPr>
          <w:ilvl w:val="1"/>
          <w:numId w:val="292"/>
        </w:numPr>
        <w:rPr>
          <w:rFonts w:ascii="Arial" w:cs="Arial" w:eastAsia="Arial" w:hAnsi="Arial"/>
          <w:sz w:val="17"/>
          <w:szCs w:val="17"/>
          <w:color w:val="auto"/>
        </w:rPr>
      </w:pPr>
      <w:r>
        <w:rPr>
          <w:rFonts w:ascii="Arial" w:cs="Arial" w:eastAsia="Arial" w:hAnsi="Arial"/>
          <w:sz w:val="17"/>
          <w:szCs w:val="17"/>
          <w:u w:val="single" w:color="auto"/>
          <w:color w:val="auto"/>
        </w:rPr>
        <w:t>Incorporation by Reference</w:t>
      </w:r>
      <w:r>
        <w:rPr>
          <w:rFonts w:ascii="Arial" w:cs="Arial" w:eastAsia="Arial" w:hAnsi="Arial"/>
          <w:sz w:val="17"/>
          <w:szCs w:val="17"/>
          <w:color w:val="auto"/>
        </w:rPr>
        <w:t>. The provisions of the Plan are incorporated herein by reference. Except as otherwise expressly set forth herein, this Agreement shall be construed in accordance with the provisions of the Plan and any interpretations, amendments, rules and regulations promulgated by the Committee from time to time pursuant to the Plan. Any capitalized terms not otherwise defined in this Agreement shall have the definitions set forth in the Plan. The Committee shall have final authority to interpret and construe the Plan and this Agreement and to make any and all determinations under them, and its decision shall be binding and conclusive upon the Participant and his</w:t>
      </w:r>
    </w:p>
    <w:p>
      <w:pPr>
        <w:sectPr>
          <w:pgSz w:w="11900" w:h="16838" w:orient="portrait"/>
          <w:cols w:equalWidth="0" w:num="1">
            <w:col w:w="11245"/>
          </w:cols>
          <w:pgMar w:left="315" w:top="1233" w:right="339" w:bottom="1440" w:gutter="0" w:footer="0" w:header="0"/>
        </w:sectPr>
      </w:pPr>
    </w:p>
    <w:bookmarkStart w:id="371" w:name="page372"/>
    <w:bookmarkEnd w:id="371"/>
    <w:p>
      <w:pPr>
        <w:ind w:left="5" w:right="240"/>
        <w:spacing w:after="0" w:line="237" w:lineRule="auto"/>
        <w:rPr>
          <w:sz w:val="20"/>
          <w:szCs w:val="20"/>
          <w:color w:val="auto"/>
        </w:rPr>
      </w:pPr>
      <w:r>
        <w:rPr>
          <w:rFonts w:ascii="Arial" w:cs="Arial" w:eastAsia="Arial" w:hAnsi="Arial"/>
          <w:sz w:val="17"/>
          <w:szCs w:val="17"/>
          <w:color w:val="auto"/>
        </w:rPr>
        <w:t>legal representative in respect of any questions arising under the Plan or this Agreement. The Participant acknowledges that he has received a copy of the Plan and has had an opportunity to review the Plan and agrees to be bound by all the terms and provisions of the Plan.</w:t>
      </w:r>
    </w:p>
    <w:p>
      <w:pPr>
        <w:spacing w:after="0" w:line="129" w:lineRule="exact"/>
        <w:rPr>
          <w:sz w:val="20"/>
          <w:szCs w:val="20"/>
          <w:color w:val="auto"/>
        </w:rPr>
      </w:pPr>
    </w:p>
    <w:p>
      <w:pPr>
        <w:ind w:left="565" w:hanging="565"/>
        <w:spacing w:after="0"/>
        <w:tabs>
          <w:tab w:leader="none" w:pos="565" w:val="left"/>
        </w:tabs>
        <w:numPr>
          <w:ilvl w:val="0"/>
          <w:numId w:val="293"/>
        </w:numPr>
        <w:rPr>
          <w:rFonts w:ascii="Arial" w:cs="Arial" w:eastAsia="Arial" w:hAnsi="Arial"/>
          <w:sz w:val="17"/>
          <w:szCs w:val="17"/>
          <w:b w:val="1"/>
          <w:bCs w:val="1"/>
          <w:color w:val="auto"/>
        </w:rPr>
      </w:pPr>
      <w:r>
        <w:rPr>
          <w:rFonts w:ascii="Arial" w:cs="Arial" w:eastAsia="Arial" w:hAnsi="Arial"/>
          <w:sz w:val="17"/>
          <w:szCs w:val="17"/>
          <w:b w:val="1"/>
          <w:bCs w:val="1"/>
          <w:color w:val="auto"/>
        </w:rPr>
        <w:t>Vesting; Settlement of Restricted Stock Units.</w:t>
      </w:r>
    </w:p>
    <w:p>
      <w:pPr>
        <w:spacing w:after="0" w:line="165" w:lineRule="exact"/>
        <w:rPr>
          <w:rFonts w:ascii="Arial" w:cs="Arial" w:eastAsia="Arial" w:hAnsi="Arial"/>
          <w:sz w:val="17"/>
          <w:szCs w:val="17"/>
          <w:b w:val="1"/>
          <w:bCs w:val="1"/>
          <w:color w:val="auto"/>
        </w:rPr>
      </w:pPr>
    </w:p>
    <w:p>
      <w:pPr>
        <w:ind w:left="5" w:firstLine="563"/>
        <w:spacing w:after="0" w:line="230" w:lineRule="auto"/>
        <w:tabs>
          <w:tab w:leader="none" w:pos="1133" w:val="left"/>
        </w:tabs>
        <w:numPr>
          <w:ilvl w:val="1"/>
          <w:numId w:val="293"/>
        </w:numPr>
        <w:rPr>
          <w:rFonts w:ascii="Arial" w:cs="Arial" w:eastAsia="Arial" w:hAnsi="Arial"/>
          <w:sz w:val="16"/>
          <w:szCs w:val="16"/>
          <w:color w:val="auto"/>
        </w:rPr>
      </w:pPr>
      <w:r>
        <w:rPr>
          <w:rFonts w:ascii="Arial" w:cs="Arial" w:eastAsia="Arial" w:hAnsi="Arial"/>
          <w:sz w:val="16"/>
          <w:szCs w:val="16"/>
          <w:color w:val="auto"/>
        </w:rPr>
        <w:t>Subject to the Participant’s continued employment or service with the Company or an Affiliate, except as may otherwise be provided herein or in the Employment Agreement, the number of RSUs earned pursuant to Section 2(b) hereof shall vest in two (2) equal installments on each of December 31, 2021 and December 31, 2022 (each such date, a “</w:t>
      </w:r>
      <w:r>
        <w:rPr>
          <w:rFonts w:ascii="Arial" w:cs="Arial" w:eastAsia="Arial" w:hAnsi="Arial"/>
          <w:sz w:val="16"/>
          <w:szCs w:val="16"/>
          <w:u w:val="single" w:color="auto"/>
          <w:color w:val="auto"/>
        </w:rPr>
        <w:t>Vesting Date</w:t>
      </w:r>
      <w:r>
        <w:rPr>
          <w:rFonts w:ascii="Arial" w:cs="Arial" w:eastAsia="Arial" w:hAnsi="Arial"/>
          <w:sz w:val="16"/>
          <w:szCs w:val="16"/>
          <w:color w:val="auto"/>
        </w:rPr>
        <w:t>”). Upon each Vesting Date, such portion of the RSUs that vest on such date shall no longer be subject to the transfer restrictions pursuant to Section 8(a) hereof or cancellation pursuant to Section 4 hereof. Any fractional RSUs resulting from the application of the vesting schedule shall be aggregated and the RSUs resulting from such aggregation shall vest on the final Vesting Date.</w:t>
      </w:r>
    </w:p>
    <w:p>
      <w:pPr>
        <w:spacing w:after="0" w:line="136" w:lineRule="exact"/>
        <w:rPr>
          <w:rFonts w:ascii="Arial" w:cs="Arial" w:eastAsia="Arial" w:hAnsi="Arial"/>
          <w:sz w:val="16"/>
          <w:szCs w:val="16"/>
          <w:color w:val="auto"/>
        </w:rPr>
      </w:pPr>
    </w:p>
    <w:p>
      <w:pPr>
        <w:ind w:left="5" w:right="220" w:firstLine="563"/>
        <w:spacing w:after="0" w:line="264" w:lineRule="auto"/>
        <w:tabs>
          <w:tab w:leader="none" w:pos="1131" w:val="left"/>
        </w:tabs>
        <w:numPr>
          <w:ilvl w:val="1"/>
          <w:numId w:val="293"/>
        </w:numPr>
        <w:rPr>
          <w:rFonts w:ascii="Arial" w:cs="Arial" w:eastAsia="Arial" w:hAnsi="Arial"/>
          <w:sz w:val="16"/>
          <w:szCs w:val="16"/>
          <w:color w:val="auto"/>
        </w:rPr>
      </w:pPr>
      <w:r>
        <w:rPr>
          <w:rFonts w:ascii="Arial" w:cs="Arial" w:eastAsia="Arial" w:hAnsi="Arial"/>
          <w:sz w:val="16"/>
          <w:szCs w:val="16"/>
          <w:color w:val="auto"/>
        </w:rPr>
        <w:t>The number of RSUs earned under this Agreement shall be determined based on the percentage of the Company’s Adjusted EBITDA target as set forth in the Company’s approved annual budget (“</w:t>
      </w:r>
      <w:r>
        <w:rPr>
          <w:rFonts w:ascii="Arial" w:cs="Arial" w:eastAsia="Arial" w:hAnsi="Arial"/>
          <w:sz w:val="16"/>
          <w:szCs w:val="16"/>
          <w:u w:val="single" w:color="auto"/>
          <w:color w:val="auto"/>
        </w:rPr>
        <w:t>Budgeted EBITDA</w:t>
      </w:r>
      <w:r>
        <w:rPr>
          <w:rFonts w:ascii="Arial" w:cs="Arial" w:eastAsia="Arial" w:hAnsi="Arial"/>
          <w:sz w:val="16"/>
          <w:szCs w:val="16"/>
          <w:color w:val="auto"/>
        </w:rPr>
        <w:t>”) achieved in calendar year 2021 in accordance with the table below.</w:t>
      </w:r>
    </w:p>
    <w:p>
      <w:pPr>
        <w:spacing w:after="0" w:line="146" w:lineRule="exact"/>
        <w:rPr>
          <w:sz w:val="20"/>
          <w:szCs w:val="20"/>
          <w:color w:val="auto"/>
        </w:rPr>
      </w:pPr>
    </w:p>
    <w:tbl>
      <w:tblPr>
        <w:tblLayout w:type="fixed"/>
        <w:tblInd w:w="1655" w:type="dxa"/>
        <w:tblCellMar>
          <w:top w:w="0" w:type="dxa"/>
          <w:left w:w="0" w:type="dxa"/>
          <w:bottom w:w="0" w:type="dxa"/>
          <w:right w:w="0" w:type="dxa"/>
        </w:tblCellMar>
      </w:tblPr>
      <w:tr>
        <w:trPr>
          <w:trHeight w:val="178"/>
        </w:trPr>
        <w:tc>
          <w:tcPr>
            <w:tcW w:w="3140" w:type="dxa"/>
            <w:vAlign w:val="bottom"/>
            <w:tcBorders>
              <w:top w:val="single" w:sz="8" w:color="auto"/>
              <w:left w:val="single" w:sz="8" w:color="auto"/>
              <w:right w:val="single" w:sz="8" w:color="auto"/>
            </w:tcBorders>
          </w:tcPr>
          <w:p>
            <w:pPr>
              <w:jc w:val="center"/>
              <w:spacing w:after="0" w:line="178" w:lineRule="exact"/>
              <w:rPr>
                <w:sz w:val="20"/>
                <w:szCs w:val="20"/>
                <w:color w:val="auto"/>
              </w:rPr>
            </w:pPr>
            <w:r>
              <w:rPr>
                <w:rFonts w:ascii="Arial" w:cs="Arial" w:eastAsia="Arial" w:hAnsi="Arial"/>
                <w:sz w:val="17"/>
                <w:szCs w:val="17"/>
                <w:b w:val="1"/>
                <w:bCs w:val="1"/>
                <w:color w:val="auto"/>
                <w:w w:val="93"/>
              </w:rPr>
              <w:t>Percentage of Budgeted EBITDA</w:t>
            </w:r>
          </w:p>
        </w:tc>
        <w:tc>
          <w:tcPr>
            <w:tcW w:w="2980" w:type="dxa"/>
            <w:vAlign w:val="bottom"/>
            <w:tcBorders>
              <w:top w:val="single" w:sz="8" w:color="auto"/>
              <w:right w:val="single" w:sz="8" w:color="auto"/>
            </w:tcBorders>
          </w:tcPr>
          <w:p>
            <w:pPr>
              <w:ind w:left="560"/>
              <w:spacing w:after="0" w:line="178" w:lineRule="exact"/>
              <w:rPr>
                <w:sz w:val="20"/>
                <w:szCs w:val="20"/>
                <w:color w:val="auto"/>
              </w:rPr>
            </w:pPr>
            <w:r>
              <w:rPr>
                <w:rFonts w:ascii="Arial" w:cs="Arial" w:eastAsia="Arial" w:hAnsi="Arial"/>
                <w:sz w:val="17"/>
                <w:szCs w:val="17"/>
                <w:b w:val="1"/>
                <w:bCs w:val="1"/>
                <w:color w:val="auto"/>
              </w:rPr>
              <w:t>Number of RSUs Earned</w:t>
            </w:r>
          </w:p>
        </w:tc>
      </w:tr>
      <w:tr>
        <w:trPr>
          <w:trHeight w:val="213"/>
        </w:trPr>
        <w:tc>
          <w:tcPr>
            <w:tcW w:w="31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Achieved</w:t>
            </w:r>
          </w:p>
        </w:tc>
        <w:tc>
          <w:tcPr>
            <w:tcW w:w="2980" w:type="dxa"/>
            <w:vAlign w:val="bottom"/>
            <w:tcBorders>
              <w:bottom w:val="single" w:sz="8" w:color="auto"/>
              <w:right w:val="single" w:sz="8" w:color="auto"/>
            </w:tcBorders>
          </w:tcPr>
          <w:p>
            <w:pPr>
              <w:spacing w:after="0"/>
              <w:rPr>
                <w:sz w:val="18"/>
                <w:szCs w:val="18"/>
                <w:color w:val="auto"/>
              </w:rPr>
            </w:pPr>
          </w:p>
        </w:tc>
      </w:tr>
      <w:tr>
        <w:trPr>
          <w:trHeight w:val="205"/>
        </w:trPr>
        <w:tc>
          <w:tcPr>
            <w:tcW w:w="31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75% or more</w:t>
            </w:r>
          </w:p>
        </w:tc>
        <w:tc>
          <w:tcPr>
            <w:tcW w:w="2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150,000</w:t>
            </w:r>
          </w:p>
        </w:tc>
      </w:tr>
      <w:tr>
        <w:trPr>
          <w:trHeight w:val="205"/>
        </w:trPr>
        <w:tc>
          <w:tcPr>
            <w:tcW w:w="31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3"/>
              </w:rPr>
              <w:t>74%</w:t>
            </w:r>
          </w:p>
        </w:tc>
        <w:tc>
          <w:tcPr>
            <w:tcW w:w="2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135,000</w:t>
            </w:r>
          </w:p>
        </w:tc>
      </w:tr>
      <w:tr>
        <w:trPr>
          <w:trHeight w:val="205"/>
        </w:trPr>
        <w:tc>
          <w:tcPr>
            <w:tcW w:w="31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3"/>
              </w:rPr>
              <w:t>73%</w:t>
            </w:r>
          </w:p>
        </w:tc>
        <w:tc>
          <w:tcPr>
            <w:tcW w:w="2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120,000</w:t>
            </w:r>
          </w:p>
        </w:tc>
      </w:tr>
      <w:tr>
        <w:trPr>
          <w:trHeight w:val="205"/>
        </w:trPr>
        <w:tc>
          <w:tcPr>
            <w:tcW w:w="31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3"/>
              </w:rPr>
              <w:t>72%</w:t>
            </w:r>
          </w:p>
        </w:tc>
        <w:tc>
          <w:tcPr>
            <w:tcW w:w="2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105,000</w:t>
            </w:r>
          </w:p>
        </w:tc>
      </w:tr>
      <w:tr>
        <w:trPr>
          <w:trHeight w:val="205"/>
        </w:trPr>
        <w:tc>
          <w:tcPr>
            <w:tcW w:w="31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3"/>
              </w:rPr>
              <w:t>71%</w:t>
            </w:r>
          </w:p>
        </w:tc>
        <w:tc>
          <w:tcPr>
            <w:tcW w:w="2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90,000</w:t>
            </w:r>
          </w:p>
        </w:tc>
      </w:tr>
      <w:tr>
        <w:trPr>
          <w:trHeight w:val="205"/>
        </w:trPr>
        <w:tc>
          <w:tcPr>
            <w:tcW w:w="31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3"/>
              </w:rPr>
              <w:t>70%</w:t>
            </w:r>
          </w:p>
        </w:tc>
        <w:tc>
          <w:tcPr>
            <w:tcW w:w="2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75,000</w:t>
            </w:r>
          </w:p>
        </w:tc>
      </w:tr>
      <w:tr>
        <w:trPr>
          <w:trHeight w:val="205"/>
        </w:trPr>
        <w:tc>
          <w:tcPr>
            <w:tcW w:w="31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0"/>
              </w:rPr>
              <w:t>Less than 70%</w:t>
            </w:r>
          </w:p>
        </w:tc>
        <w:tc>
          <w:tcPr>
            <w:tcW w:w="2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4"/>
              </w:rPr>
              <w:t>0</w:t>
            </w:r>
          </w:p>
        </w:tc>
      </w:tr>
    </w:tbl>
    <w:p>
      <w:pPr>
        <w:spacing w:after="0" w:line="200" w:lineRule="exact"/>
        <w:rPr>
          <w:sz w:val="20"/>
          <w:szCs w:val="20"/>
          <w:color w:val="auto"/>
        </w:rPr>
      </w:pPr>
    </w:p>
    <w:p>
      <w:pPr>
        <w:spacing w:after="0" w:line="259" w:lineRule="exact"/>
        <w:rPr>
          <w:sz w:val="20"/>
          <w:szCs w:val="20"/>
          <w:color w:val="auto"/>
        </w:rPr>
      </w:pPr>
    </w:p>
    <w:p>
      <w:pPr>
        <w:ind w:left="5" w:right="160" w:firstLine="1136"/>
        <w:spacing w:after="0" w:line="237" w:lineRule="auto"/>
        <w:rPr>
          <w:sz w:val="20"/>
          <w:szCs w:val="20"/>
          <w:color w:val="auto"/>
        </w:rPr>
      </w:pPr>
      <w:r>
        <w:rPr>
          <w:rFonts w:ascii="Arial" w:cs="Arial" w:eastAsia="Arial" w:hAnsi="Arial"/>
          <w:sz w:val="17"/>
          <w:szCs w:val="17"/>
          <w:color w:val="auto"/>
        </w:rPr>
        <w:t>If the percentage of the Company’s Budgeted EBITDA achieved is greater than 70% but less than 75%, then the amount of earned RSUs in the table above will be determined based on linear interpolation.</w:t>
      </w:r>
    </w:p>
    <w:p>
      <w:pPr>
        <w:spacing w:after="0" w:line="147" w:lineRule="exact"/>
        <w:rPr>
          <w:sz w:val="20"/>
          <w:szCs w:val="20"/>
          <w:color w:val="auto"/>
        </w:rPr>
      </w:pPr>
    </w:p>
    <w:p>
      <w:pPr>
        <w:ind w:left="5" w:right="180" w:firstLine="563"/>
        <w:spacing w:after="0" w:line="230" w:lineRule="auto"/>
        <w:tabs>
          <w:tab w:leader="none" w:pos="1139" w:val="left"/>
        </w:tabs>
        <w:numPr>
          <w:ilvl w:val="1"/>
          <w:numId w:val="294"/>
        </w:numPr>
        <w:rPr>
          <w:rFonts w:ascii="Arial" w:cs="Arial" w:eastAsia="Arial" w:hAnsi="Arial"/>
          <w:sz w:val="19"/>
          <w:szCs w:val="19"/>
          <w:color w:val="auto"/>
        </w:rPr>
      </w:pPr>
      <w:r>
        <w:rPr>
          <w:rFonts w:ascii="Arial" w:cs="Arial" w:eastAsia="Arial" w:hAnsi="Arial"/>
          <w:sz w:val="17"/>
          <w:szCs w:val="17"/>
          <w:color w:val="auto"/>
        </w:rPr>
        <w:t>Vested RSUs shall be settled in shares of Class A Common Stock, or cash, as determined by the Committee in its sole discretion, at the time(s) specified pursuant to the Cifu 2021 Deferral Election, a copy of which is attached and incorporated herein.</w:t>
      </w:r>
    </w:p>
    <w:p>
      <w:pPr>
        <w:spacing w:after="0" w:line="153" w:lineRule="exact"/>
        <w:rPr>
          <w:rFonts w:ascii="Arial" w:cs="Arial" w:eastAsia="Arial" w:hAnsi="Arial"/>
          <w:sz w:val="19"/>
          <w:szCs w:val="19"/>
          <w:color w:val="auto"/>
        </w:rPr>
      </w:pPr>
    </w:p>
    <w:p>
      <w:pPr>
        <w:jc w:val="both"/>
        <w:ind w:left="5" w:right="60" w:hanging="5"/>
        <w:spacing w:after="0" w:line="244" w:lineRule="auto"/>
        <w:tabs>
          <w:tab w:leader="none" w:pos="573" w:val="left"/>
        </w:tabs>
        <w:numPr>
          <w:ilvl w:val="0"/>
          <w:numId w:val="29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Dividends Equivalents. </w:t>
      </w:r>
      <w:r>
        <w:rPr>
          <w:rFonts w:ascii="Arial" w:cs="Arial" w:eastAsia="Arial" w:hAnsi="Arial"/>
          <w:sz w:val="16"/>
          <w:szCs w:val="16"/>
          <w:color w:val="auto"/>
        </w:rPr>
        <w:t>In the event of any issuance of a cash dividend on the shares of Class A Common Stock (a “</w:t>
      </w:r>
      <w:r>
        <w:rPr>
          <w:rFonts w:ascii="Arial" w:cs="Arial" w:eastAsia="Arial" w:hAnsi="Arial"/>
          <w:sz w:val="16"/>
          <w:szCs w:val="16"/>
          <w:u w:val="single" w:color="auto"/>
          <w:color w:val="auto"/>
        </w:rPr>
        <w:t>Dividend</w:t>
      </w:r>
      <w:r>
        <w:rPr>
          <w:rFonts w:ascii="Arial" w:cs="Arial" w:eastAsia="Arial" w:hAnsi="Arial"/>
          <w:sz w:val="16"/>
          <w:szCs w:val="16"/>
          <w:color w:val="auto"/>
        </w:rPr>
        <w:t>”), the Participant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entitled to receive, with respect to each RSU granted pursuant to this Agreement and outstanding as of the record date for such Dividend, payment of an amount equal to the Dividend at the same time as the Dividend is paid to holders of shares of Class A Common Stock generally.</w:t>
      </w:r>
    </w:p>
    <w:p>
      <w:pPr>
        <w:spacing w:after="0" w:line="125" w:lineRule="exact"/>
        <w:rPr>
          <w:rFonts w:ascii="Arial" w:cs="Arial" w:eastAsia="Arial" w:hAnsi="Arial"/>
          <w:sz w:val="16"/>
          <w:szCs w:val="16"/>
          <w:b w:val="1"/>
          <w:bCs w:val="1"/>
          <w:color w:val="auto"/>
        </w:rPr>
      </w:pPr>
    </w:p>
    <w:p>
      <w:pPr>
        <w:ind w:left="5" w:right="100" w:hanging="5"/>
        <w:spacing w:after="0" w:line="305" w:lineRule="auto"/>
        <w:tabs>
          <w:tab w:leader="none" w:pos="573" w:val="left"/>
        </w:tabs>
        <w:numPr>
          <w:ilvl w:val="0"/>
          <w:numId w:val="29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Termination of Employment or Service. </w:t>
      </w:r>
      <w:r>
        <w:rPr>
          <w:rFonts w:ascii="Arial" w:cs="Arial" w:eastAsia="Arial" w:hAnsi="Arial"/>
          <w:sz w:val="15"/>
          <w:szCs w:val="15"/>
          <w:color w:val="auto"/>
        </w:rPr>
        <w:t>If the Participant’s employment or service with the Company and its Affiliates terminates for any reason, any</w:t>
      </w:r>
      <w:r>
        <w:rPr>
          <w:rFonts w:ascii="Arial" w:cs="Arial" w:eastAsia="Arial" w:hAnsi="Arial"/>
          <w:sz w:val="15"/>
          <w:szCs w:val="15"/>
          <w:b w:val="1"/>
          <w:bCs w:val="1"/>
          <w:color w:val="auto"/>
        </w:rPr>
        <w:t xml:space="preserve"> </w:t>
      </w:r>
      <w:r>
        <w:rPr>
          <w:rFonts w:ascii="Arial" w:cs="Arial" w:eastAsia="Arial" w:hAnsi="Arial"/>
          <w:sz w:val="15"/>
          <w:szCs w:val="15"/>
          <w:color w:val="auto"/>
        </w:rPr>
        <w:t>unearned and unvested RSUs shall be accelerated, remain eligible to be earned or cancelled in accordance with the terms of the Employment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44"/>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1225"/>
          </w:cols>
          <w:pgMar w:left="315" w:top="1249" w:right="359" w:bottom="1440" w:gutter="0" w:footer="0" w:header="0"/>
        </w:sectPr>
      </w:pPr>
    </w:p>
    <w:bookmarkStart w:id="372" w:name="page373"/>
    <w:bookmarkEnd w:id="372"/>
    <w:p>
      <w:pPr>
        <w:jc w:val="both"/>
        <w:ind w:left="5" w:hanging="5"/>
        <w:spacing w:after="0" w:line="218" w:lineRule="auto"/>
        <w:tabs>
          <w:tab w:leader="none" w:pos="573" w:val="left"/>
        </w:tabs>
        <w:numPr>
          <w:ilvl w:val="0"/>
          <w:numId w:val="29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Rights as a Stockholder. </w:t>
      </w:r>
      <w:r>
        <w:rPr>
          <w:rFonts w:ascii="Arial" w:cs="Arial" w:eastAsia="Arial" w:hAnsi="Arial"/>
          <w:sz w:val="17"/>
          <w:szCs w:val="17"/>
          <w:color w:val="auto"/>
        </w:rPr>
        <w:t>The Participant shall not be deemed for any purpose to be the owner of any shares of Class A Common Stock underlying the</w:t>
      </w:r>
      <w:r>
        <w:rPr>
          <w:rFonts w:ascii="Arial" w:cs="Arial" w:eastAsia="Arial" w:hAnsi="Arial"/>
          <w:sz w:val="17"/>
          <w:szCs w:val="17"/>
          <w:b w:val="1"/>
          <w:bCs w:val="1"/>
          <w:color w:val="auto"/>
        </w:rPr>
        <w:t xml:space="preserve"> </w:t>
      </w:r>
      <w:r>
        <w:rPr>
          <w:rFonts w:ascii="Arial" w:cs="Arial" w:eastAsia="Arial" w:hAnsi="Arial"/>
          <w:sz w:val="17"/>
          <w:szCs w:val="17"/>
          <w:color w:val="auto"/>
        </w:rPr>
        <w:t>RSUs unless, until and to the extent that (i) the Company shall have issued and delivered to the Participant the shares of Class A Common Stock underlying the RSUs and (ii) the Participant’s name shall have been entered as a stockholder of record with respect to such shares of Class A Common Stock on the books of the Company. The Company shall cause the actions described in clauses (i) and (ii) of the preceding sentence to occur promptly following settlement as contemplated by this Agreement, subject to compliance with applicable laws.</w:t>
      </w:r>
    </w:p>
    <w:p>
      <w:pPr>
        <w:spacing w:after="0" w:line="130" w:lineRule="exact"/>
        <w:rPr>
          <w:rFonts w:ascii="Arial" w:cs="Arial" w:eastAsia="Arial" w:hAnsi="Arial"/>
          <w:sz w:val="17"/>
          <w:szCs w:val="17"/>
          <w:b w:val="1"/>
          <w:bCs w:val="1"/>
          <w:color w:val="auto"/>
        </w:rPr>
      </w:pPr>
    </w:p>
    <w:p>
      <w:pPr>
        <w:ind w:left="565" w:hanging="565"/>
        <w:spacing w:after="0"/>
        <w:tabs>
          <w:tab w:leader="none" w:pos="565" w:val="left"/>
        </w:tabs>
        <w:numPr>
          <w:ilvl w:val="0"/>
          <w:numId w:val="296"/>
        </w:numPr>
        <w:rPr>
          <w:rFonts w:ascii="Arial" w:cs="Arial" w:eastAsia="Arial" w:hAnsi="Arial"/>
          <w:sz w:val="17"/>
          <w:szCs w:val="17"/>
          <w:b w:val="1"/>
          <w:bCs w:val="1"/>
          <w:color w:val="auto"/>
        </w:rPr>
      </w:pPr>
      <w:r>
        <w:rPr>
          <w:rFonts w:ascii="Arial" w:cs="Arial" w:eastAsia="Arial" w:hAnsi="Arial"/>
          <w:sz w:val="17"/>
          <w:szCs w:val="17"/>
          <w:b w:val="1"/>
          <w:bCs w:val="1"/>
          <w:color w:val="auto"/>
        </w:rPr>
        <w:t>Compliance with Legal Requirements.</w:t>
      </w:r>
    </w:p>
    <w:p>
      <w:pPr>
        <w:spacing w:after="0" w:line="165" w:lineRule="exact"/>
        <w:rPr>
          <w:rFonts w:ascii="Arial" w:cs="Arial" w:eastAsia="Arial" w:hAnsi="Arial"/>
          <w:sz w:val="17"/>
          <w:szCs w:val="17"/>
          <w:b w:val="1"/>
          <w:bCs w:val="1"/>
          <w:color w:val="auto"/>
        </w:rPr>
      </w:pPr>
    </w:p>
    <w:p>
      <w:pPr>
        <w:ind w:left="5" w:right="100" w:firstLine="563"/>
        <w:spacing w:after="0" w:line="252" w:lineRule="auto"/>
        <w:tabs>
          <w:tab w:leader="none" w:pos="1133" w:val="left"/>
        </w:tabs>
        <w:numPr>
          <w:ilvl w:val="1"/>
          <w:numId w:val="296"/>
        </w:numPr>
        <w:rPr>
          <w:rFonts w:ascii="Arial" w:cs="Arial" w:eastAsia="Arial" w:hAnsi="Arial"/>
          <w:sz w:val="15"/>
          <w:szCs w:val="15"/>
          <w:color w:val="auto"/>
        </w:rPr>
      </w:pPr>
      <w:r>
        <w:rPr>
          <w:rFonts w:ascii="Arial" w:cs="Arial" w:eastAsia="Arial" w:hAnsi="Arial"/>
          <w:sz w:val="15"/>
          <w:szCs w:val="15"/>
          <w:u w:val="single" w:color="auto"/>
          <w:color w:val="auto"/>
        </w:rPr>
        <w:t>Generally</w:t>
      </w:r>
      <w:r>
        <w:rPr>
          <w:rFonts w:ascii="Arial" w:cs="Arial" w:eastAsia="Arial" w:hAnsi="Arial"/>
          <w:sz w:val="15"/>
          <w:szCs w:val="15"/>
          <w:color w:val="auto"/>
        </w:rPr>
        <w:t>. The granting and settlement of the RSUs, and any other obligations of the Company under this Agreement, shall be subject to all applicable U.S. federal, state and local laws, rules and regulations, all applicable non-U.S. laws, rules and regulations and to such approvals by any regulatory or governmental agency as may be required. The Participant agrees to take all steps the Committee or the Company determines are reasonably necessary to comply with all applicable provisions of U.S. federal and state securities law and non-U.S. securities law in exercising his rights under this Agreement.</w:t>
      </w:r>
    </w:p>
    <w:p>
      <w:pPr>
        <w:spacing w:after="0" w:line="127" w:lineRule="exact"/>
        <w:rPr>
          <w:rFonts w:ascii="Arial" w:cs="Arial" w:eastAsia="Arial" w:hAnsi="Arial"/>
          <w:sz w:val="15"/>
          <w:szCs w:val="15"/>
          <w:color w:val="auto"/>
        </w:rPr>
      </w:pPr>
    </w:p>
    <w:p>
      <w:pPr>
        <w:ind w:left="5" w:right="100" w:firstLine="563"/>
        <w:spacing w:after="0" w:line="225" w:lineRule="auto"/>
        <w:tabs>
          <w:tab w:leader="none" w:pos="1131" w:val="left"/>
        </w:tabs>
        <w:numPr>
          <w:ilvl w:val="1"/>
          <w:numId w:val="296"/>
        </w:numPr>
        <w:rPr>
          <w:rFonts w:ascii="Arial" w:cs="Arial" w:eastAsia="Arial" w:hAnsi="Arial"/>
          <w:sz w:val="16"/>
          <w:szCs w:val="16"/>
          <w:color w:val="auto"/>
        </w:rPr>
      </w:pPr>
      <w:r>
        <w:rPr>
          <w:rFonts w:ascii="Arial" w:cs="Arial" w:eastAsia="Arial" w:hAnsi="Arial"/>
          <w:sz w:val="16"/>
          <w:szCs w:val="16"/>
          <w:u w:val="single" w:color="auto"/>
          <w:color w:val="auto"/>
        </w:rPr>
        <w:t>Taxes and Withholding</w:t>
      </w:r>
      <w:r>
        <w:rPr>
          <w:rFonts w:ascii="Arial" w:cs="Arial" w:eastAsia="Arial" w:hAnsi="Arial"/>
          <w:sz w:val="16"/>
          <w:szCs w:val="16"/>
          <w:color w:val="auto"/>
        </w:rPr>
        <w:t>. The vesting and settlement of the RSUs shall be subject to the Participant satisfying any applicable U.S. federal, state and local tax withholding obligations and non-U.S. tax withholding obligations. The Participant shall be required to pay to the Company, and the Company shall have the right and is hereby authorized to withhold any cash, shares of Class A Common Stock, other securities or other property or from any compensation or other amounts owing to the Participant, the amount (in cash, Class A Common Stock, other securities or other property) of any required withholding taxes in respect of the RSUs, settlement of the RSUs, or any payment or transfer of the RSUs, and to take any such other action as the Committee or the Company deem necessary to satisfy all obligations for the payment of such withholding taxes. In its sole discretion, the Company may permit the Participant to satisfy, in whole or in part, the tax obligations by withholding shares of Class A Common Stock that would otherwise be deliverable to the Participant upon settlement of the RSUs with a Fair Market Value equal to such withholding liability.</w:t>
      </w:r>
    </w:p>
    <w:p>
      <w:pPr>
        <w:spacing w:after="0" w:line="129" w:lineRule="exact"/>
        <w:rPr>
          <w:rFonts w:ascii="Arial" w:cs="Arial" w:eastAsia="Arial" w:hAnsi="Arial"/>
          <w:sz w:val="16"/>
          <w:szCs w:val="16"/>
          <w:color w:val="auto"/>
        </w:rPr>
      </w:pPr>
    </w:p>
    <w:p>
      <w:pPr>
        <w:ind w:left="565" w:hanging="565"/>
        <w:spacing w:after="0"/>
        <w:tabs>
          <w:tab w:leader="none" w:pos="565" w:val="left"/>
        </w:tabs>
        <w:numPr>
          <w:ilvl w:val="0"/>
          <w:numId w:val="296"/>
        </w:numPr>
        <w:rPr>
          <w:rFonts w:ascii="Arial" w:cs="Arial" w:eastAsia="Arial" w:hAnsi="Arial"/>
          <w:sz w:val="17"/>
          <w:szCs w:val="17"/>
          <w:b w:val="1"/>
          <w:bCs w:val="1"/>
          <w:color w:val="auto"/>
        </w:rPr>
      </w:pPr>
      <w:r>
        <w:rPr>
          <w:rFonts w:ascii="Arial" w:cs="Arial" w:eastAsia="Arial" w:hAnsi="Arial"/>
          <w:sz w:val="17"/>
          <w:szCs w:val="17"/>
          <w:b w:val="1"/>
          <w:bCs w:val="1"/>
          <w:color w:val="auto"/>
        </w:rPr>
        <w:t>Restrictive Covenants.</w:t>
      </w:r>
    </w:p>
    <w:p>
      <w:pPr>
        <w:spacing w:after="0" w:line="165" w:lineRule="exact"/>
        <w:rPr>
          <w:rFonts w:ascii="Arial" w:cs="Arial" w:eastAsia="Arial" w:hAnsi="Arial"/>
          <w:sz w:val="17"/>
          <w:szCs w:val="17"/>
          <w:b w:val="1"/>
          <w:bCs w:val="1"/>
          <w:color w:val="auto"/>
        </w:rPr>
      </w:pPr>
    </w:p>
    <w:p>
      <w:pPr>
        <w:ind w:left="5" w:right="40" w:firstLine="563"/>
        <w:spacing w:after="0" w:line="225" w:lineRule="auto"/>
        <w:tabs>
          <w:tab w:leader="none" w:pos="1133" w:val="left"/>
        </w:tabs>
        <w:numPr>
          <w:ilvl w:val="1"/>
          <w:numId w:val="296"/>
        </w:numPr>
        <w:rPr>
          <w:rFonts w:ascii="Arial" w:cs="Arial" w:eastAsia="Arial" w:hAnsi="Arial"/>
          <w:sz w:val="17"/>
          <w:szCs w:val="17"/>
          <w:color w:val="auto"/>
        </w:rPr>
      </w:pPr>
      <w:r>
        <w:rPr>
          <w:rFonts w:ascii="Arial" w:cs="Arial" w:eastAsia="Arial" w:hAnsi="Arial"/>
          <w:sz w:val="17"/>
          <w:szCs w:val="17"/>
          <w:color w:val="auto"/>
        </w:rPr>
        <w:t>The Participant acknowledges and agrees that the Participant remains bound by the confidentiality and restrictive covenant provisions set forth in Sections 9.04 and 12.11 of the Third Amended and Restated Limited Liability Company Agreement of Virtu Financial, LLC, dated as of the Date of Grant (or any successor provisions) as a “Member” thereof.</w:t>
      </w:r>
    </w:p>
    <w:p>
      <w:pPr>
        <w:spacing w:after="0" w:line="136" w:lineRule="exact"/>
        <w:rPr>
          <w:rFonts w:ascii="Arial" w:cs="Arial" w:eastAsia="Arial" w:hAnsi="Arial"/>
          <w:sz w:val="17"/>
          <w:szCs w:val="17"/>
          <w:color w:val="auto"/>
        </w:rPr>
      </w:pPr>
    </w:p>
    <w:p>
      <w:pPr>
        <w:ind w:left="5" w:firstLine="563"/>
        <w:spacing w:after="0" w:line="216" w:lineRule="auto"/>
        <w:tabs>
          <w:tab w:leader="none" w:pos="1131" w:val="left"/>
        </w:tabs>
        <w:numPr>
          <w:ilvl w:val="1"/>
          <w:numId w:val="296"/>
        </w:numPr>
        <w:rPr>
          <w:rFonts w:ascii="Arial" w:cs="Arial" w:eastAsia="Arial" w:hAnsi="Arial"/>
          <w:sz w:val="17"/>
          <w:szCs w:val="17"/>
          <w:color w:val="auto"/>
        </w:rPr>
      </w:pPr>
      <w:r>
        <w:rPr>
          <w:rFonts w:ascii="Arial" w:cs="Arial" w:eastAsia="Arial" w:hAnsi="Arial"/>
          <w:sz w:val="17"/>
          <w:szCs w:val="17"/>
          <w:color w:val="auto"/>
        </w:rPr>
        <w:t>In the event that the Participant violates any of the restrictive covenants referred to in this Section 7, in addition to any other remedy which may be available at law or in equity, the RSUs shall be automatically forfeited effective as of the date on which such violation first occurs. The foregoing rights and remedies are in addition to any other rights and remedies that may be available to the Company and shall not prevent (and the Participant shall not assert that they shall prevent) the Company from bringing one or more actions in any applicable jurisdiction to recover damages as a result of the Participant’s breach of such restrictive covenants.</w:t>
      </w:r>
    </w:p>
    <w:p>
      <w:pPr>
        <w:spacing w:after="0" w:line="132" w:lineRule="exact"/>
        <w:rPr>
          <w:rFonts w:ascii="Arial" w:cs="Arial" w:eastAsia="Arial" w:hAnsi="Arial"/>
          <w:sz w:val="17"/>
          <w:szCs w:val="17"/>
          <w:color w:val="auto"/>
        </w:rPr>
      </w:pPr>
    </w:p>
    <w:p>
      <w:pPr>
        <w:ind w:left="565" w:hanging="565"/>
        <w:spacing w:after="0"/>
        <w:tabs>
          <w:tab w:leader="none" w:pos="565" w:val="left"/>
        </w:tabs>
        <w:numPr>
          <w:ilvl w:val="0"/>
          <w:numId w:val="296"/>
        </w:numPr>
        <w:rPr>
          <w:rFonts w:ascii="Arial" w:cs="Arial" w:eastAsia="Arial" w:hAnsi="Arial"/>
          <w:sz w:val="17"/>
          <w:szCs w:val="17"/>
          <w:b w:val="1"/>
          <w:bCs w:val="1"/>
          <w:color w:val="auto"/>
        </w:rPr>
      </w:pPr>
      <w:r>
        <w:rPr>
          <w:rFonts w:ascii="Arial" w:cs="Arial" w:eastAsia="Arial" w:hAnsi="Arial"/>
          <w:sz w:val="17"/>
          <w:szCs w:val="17"/>
          <w:b w:val="1"/>
          <w:bCs w:val="1"/>
          <w:color w:val="auto"/>
        </w:rPr>
        <w:t>Miscellaneous.</w:t>
      </w:r>
    </w:p>
    <w:p>
      <w:pPr>
        <w:spacing w:after="0" w:line="165" w:lineRule="exact"/>
        <w:rPr>
          <w:rFonts w:ascii="Arial" w:cs="Arial" w:eastAsia="Arial" w:hAnsi="Arial"/>
          <w:sz w:val="17"/>
          <w:szCs w:val="17"/>
          <w:b w:val="1"/>
          <w:bCs w:val="1"/>
          <w:color w:val="auto"/>
        </w:rPr>
      </w:pPr>
    </w:p>
    <w:p>
      <w:pPr>
        <w:ind w:left="5" w:right="180" w:firstLine="563"/>
        <w:spacing w:after="0" w:line="220" w:lineRule="auto"/>
        <w:tabs>
          <w:tab w:leader="none" w:pos="1133" w:val="left"/>
        </w:tabs>
        <w:numPr>
          <w:ilvl w:val="1"/>
          <w:numId w:val="296"/>
        </w:numPr>
        <w:rPr>
          <w:rFonts w:ascii="Arial" w:cs="Arial" w:eastAsia="Arial" w:hAnsi="Arial"/>
          <w:sz w:val="17"/>
          <w:szCs w:val="17"/>
          <w:color w:val="auto"/>
        </w:rPr>
      </w:pPr>
      <w:r>
        <w:rPr>
          <w:rFonts w:ascii="Arial" w:cs="Arial" w:eastAsia="Arial" w:hAnsi="Arial"/>
          <w:sz w:val="17"/>
          <w:szCs w:val="17"/>
          <w:u w:val="single" w:color="auto"/>
          <w:color w:val="auto"/>
        </w:rPr>
        <w:t>Transferability</w:t>
      </w:r>
      <w:r>
        <w:rPr>
          <w:rFonts w:ascii="Arial" w:cs="Arial" w:eastAsia="Arial" w:hAnsi="Arial"/>
          <w:sz w:val="17"/>
          <w:szCs w:val="17"/>
          <w:color w:val="auto"/>
        </w:rPr>
        <w:t>. The RSUs may not be assigned, alienated, pledged, attached, sold or otherwise transferred or encumbered (a “</w:t>
      </w:r>
      <w:r>
        <w:rPr>
          <w:rFonts w:ascii="Arial" w:cs="Arial" w:eastAsia="Arial" w:hAnsi="Arial"/>
          <w:sz w:val="17"/>
          <w:szCs w:val="17"/>
          <w:u w:val="single" w:color="auto"/>
          <w:color w:val="auto"/>
        </w:rPr>
        <w:t>Transfer</w:t>
      </w:r>
      <w:r>
        <w:rPr>
          <w:rFonts w:ascii="Arial" w:cs="Arial" w:eastAsia="Arial" w:hAnsi="Arial"/>
          <w:sz w:val="17"/>
          <w:szCs w:val="17"/>
          <w:color w:val="auto"/>
        </w:rPr>
        <w:t>”) by the Participant other than by will or by the laws of descent and distribution, pursuant to a qualified domestic relations order or as otherwise permitted under Section 15(b) of the Plan. Any attempted Transfer of the RSUs contrary to the provisions hereof, and the levy of any execution, attachment or similar process upon the RSUs, shall be null and void and without effect.</w:t>
      </w:r>
    </w:p>
    <w:p>
      <w:pPr>
        <w:spacing w:after="0" w:line="135" w:lineRule="exact"/>
        <w:rPr>
          <w:rFonts w:ascii="Arial" w:cs="Arial" w:eastAsia="Arial" w:hAnsi="Arial"/>
          <w:sz w:val="17"/>
          <w:szCs w:val="17"/>
          <w:color w:val="auto"/>
        </w:rPr>
      </w:pPr>
    </w:p>
    <w:p>
      <w:pPr>
        <w:ind w:left="5" w:right="200" w:firstLine="563"/>
        <w:spacing w:after="0" w:line="297" w:lineRule="auto"/>
        <w:tabs>
          <w:tab w:leader="none" w:pos="1131" w:val="left"/>
        </w:tabs>
        <w:numPr>
          <w:ilvl w:val="1"/>
          <w:numId w:val="296"/>
        </w:numPr>
        <w:rPr>
          <w:rFonts w:ascii="Arial" w:cs="Arial" w:eastAsia="Arial" w:hAnsi="Arial"/>
          <w:sz w:val="15"/>
          <w:szCs w:val="15"/>
          <w:color w:val="auto"/>
        </w:rPr>
      </w:pPr>
      <w:r>
        <w:rPr>
          <w:rFonts w:ascii="Arial" w:cs="Arial" w:eastAsia="Arial" w:hAnsi="Arial"/>
          <w:sz w:val="15"/>
          <w:szCs w:val="15"/>
          <w:u w:val="single" w:color="auto"/>
          <w:color w:val="auto"/>
        </w:rPr>
        <w:t>Waiver</w:t>
      </w:r>
      <w:r>
        <w:rPr>
          <w:rFonts w:ascii="Arial" w:cs="Arial" w:eastAsia="Arial" w:hAnsi="Arial"/>
          <w:sz w:val="15"/>
          <w:szCs w:val="15"/>
          <w:color w:val="auto"/>
        </w:rPr>
        <w:t>. Any right of the Company contained in this Agreement may be waived in writing by the Committee. No waiver of any right hereunder by any party shall operate as a waiver of any other right, or as a waiver of the same right with respect to any subsequent occasion for its exercise, or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4"/>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1245"/>
          </w:cols>
          <w:pgMar w:left="315" w:top="1243" w:right="339" w:bottom="1440" w:gutter="0" w:footer="0" w:header="0"/>
        </w:sectPr>
      </w:pPr>
    </w:p>
    <w:bookmarkStart w:id="373" w:name="page374"/>
    <w:bookmarkEnd w:id="373"/>
    <w:p>
      <w:pPr>
        <w:ind w:right="120"/>
        <w:spacing w:after="0" w:line="237" w:lineRule="auto"/>
        <w:rPr>
          <w:sz w:val="20"/>
          <w:szCs w:val="20"/>
          <w:color w:val="auto"/>
        </w:rPr>
      </w:pPr>
      <w:r>
        <w:rPr>
          <w:rFonts w:ascii="Arial" w:cs="Arial" w:eastAsia="Arial" w:hAnsi="Arial"/>
          <w:sz w:val="17"/>
          <w:szCs w:val="17"/>
          <w:color w:val="auto"/>
        </w:rPr>
        <w:t>a waiver of any right to damages. No waiver by any party of any breach of this Agreement shall be held to constitute a waiver of any other breach or a waiver of the continuation of the same breach.</w:t>
      </w:r>
    </w:p>
    <w:p>
      <w:pPr>
        <w:spacing w:after="0" w:line="135" w:lineRule="exact"/>
        <w:rPr>
          <w:sz w:val="20"/>
          <w:szCs w:val="20"/>
          <w:color w:val="auto"/>
        </w:rPr>
      </w:pPr>
    </w:p>
    <w:p>
      <w:pPr>
        <w:ind w:right="120" w:firstLine="563"/>
        <w:spacing w:after="0" w:line="211" w:lineRule="auto"/>
        <w:tabs>
          <w:tab w:leader="none" w:pos="1128" w:val="left"/>
        </w:tabs>
        <w:numPr>
          <w:ilvl w:val="0"/>
          <w:numId w:val="297"/>
        </w:numPr>
        <w:rPr>
          <w:rFonts w:ascii="Arial" w:cs="Arial" w:eastAsia="Arial" w:hAnsi="Arial"/>
          <w:sz w:val="17"/>
          <w:szCs w:val="17"/>
          <w:color w:val="auto"/>
        </w:rPr>
      </w:pPr>
      <w:r>
        <w:rPr>
          <w:rFonts w:ascii="Arial" w:cs="Arial" w:eastAsia="Arial" w:hAnsi="Arial"/>
          <w:sz w:val="17"/>
          <w:szCs w:val="17"/>
          <w:u w:val="single" w:color="auto"/>
          <w:color w:val="auto"/>
        </w:rPr>
        <w:t>Section 409A</w:t>
      </w:r>
      <w:r>
        <w:rPr>
          <w:rFonts w:ascii="Arial" w:cs="Arial" w:eastAsia="Arial" w:hAnsi="Arial"/>
          <w:sz w:val="17"/>
          <w:szCs w:val="17"/>
          <w:color w:val="auto"/>
        </w:rPr>
        <w:t>. The RSUs are intended to be exempt from, or compliant with, Section 409A of the Code. Notwithstanding the foregoing or any provision of the Plan or this Agreement, if any provision of the Plan or this Agreement contravenes Section 409A of the Code or could cause the Participant to incur any tax, interest or penalties under Section 409A of the Code, the Committee may, in its sole discretion and without the Participant’s consent, modify such provision to (i) comply with, or avoid being subject to, Section 409A of the Code, or to avoid the incurrence of taxes, interest and penalties under Section 409A of the Code, and/or (ii) maintain, to the maximum extent practicable, the original intent and economic benefit to the Participant of the applicable provision without materially increasing the cost to the Company or contravening the provisions of Section 409A of the Code. This Section 8(c) does not create an obligation on the part of the Company to modify the Plan or this Agreement and does not guarantee that the RSUs will not be subject to interest and penalties under Section 409A.</w:t>
      </w:r>
    </w:p>
    <w:p>
      <w:pPr>
        <w:spacing w:after="0" w:line="140" w:lineRule="exact"/>
        <w:rPr>
          <w:rFonts w:ascii="Arial" w:cs="Arial" w:eastAsia="Arial" w:hAnsi="Arial"/>
          <w:sz w:val="17"/>
          <w:szCs w:val="17"/>
          <w:color w:val="auto"/>
        </w:rPr>
      </w:pPr>
    </w:p>
    <w:p>
      <w:pPr>
        <w:ind w:right="40" w:firstLine="563"/>
        <w:spacing w:after="0" w:line="297" w:lineRule="auto"/>
        <w:tabs>
          <w:tab w:leader="none" w:pos="1126" w:val="left"/>
        </w:tabs>
        <w:numPr>
          <w:ilvl w:val="0"/>
          <w:numId w:val="297"/>
        </w:numPr>
        <w:rPr>
          <w:rFonts w:ascii="Arial" w:cs="Arial" w:eastAsia="Arial" w:hAnsi="Arial"/>
          <w:sz w:val="15"/>
          <w:szCs w:val="15"/>
          <w:color w:val="auto"/>
        </w:rPr>
      </w:pPr>
      <w:r>
        <w:rPr>
          <w:rFonts w:ascii="Arial" w:cs="Arial" w:eastAsia="Arial" w:hAnsi="Arial"/>
          <w:sz w:val="15"/>
          <w:szCs w:val="15"/>
          <w:u w:val="single" w:color="auto"/>
          <w:color w:val="auto"/>
        </w:rPr>
        <w:t>General Assets</w:t>
      </w:r>
      <w:r>
        <w:rPr>
          <w:rFonts w:ascii="Arial" w:cs="Arial" w:eastAsia="Arial" w:hAnsi="Arial"/>
          <w:sz w:val="15"/>
          <w:szCs w:val="15"/>
          <w:color w:val="auto"/>
        </w:rPr>
        <w:t>. All amounts credited in respect of the RSUs to the book-entry account under this Agreement shall continue for all purposes to be part of the general assets of the Company. The Executive’s interest in such account shall make the Executive only a general, unsecured creditor of the Company.</w:t>
      </w:r>
    </w:p>
    <w:p>
      <w:pPr>
        <w:spacing w:after="0" w:line="94" w:lineRule="exact"/>
        <w:rPr>
          <w:rFonts w:ascii="Arial" w:cs="Arial" w:eastAsia="Arial" w:hAnsi="Arial"/>
          <w:sz w:val="15"/>
          <w:szCs w:val="15"/>
          <w:color w:val="auto"/>
        </w:rPr>
      </w:pPr>
    </w:p>
    <w:p>
      <w:pPr>
        <w:ind w:firstLine="563"/>
        <w:spacing w:after="0" w:line="234" w:lineRule="auto"/>
        <w:tabs>
          <w:tab w:leader="none" w:pos="1128" w:val="left"/>
        </w:tabs>
        <w:numPr>
          <w:ilvl w:val="0"/>
          <w:numId w:val="297"/>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notices provided for in this Agreement or the Plan shall be in writing and shall be deemed sufficiently given if either hand delivered or if sent by fax, pdf/email or overnight courier, or by postage paid first class mail. Notices sent by mail shall be deemed received three business days after mailing but in no event later than the date of actual receipt. Notices shall be directed, if to the Participant, at the Participant’s address indicated by the Company’s records, or if to the Company, to the attention of the General Counsel at the Company’s principal executive office.</w:t>
      </w:r>
    </w:p>
    <w:p>
      <w:pPr>
        <w:spacing w:after="0" w:line="134" w:lineRule="exact"/>
        <w:rPr>
          <w:rFonts w:ascii="Arial" w:cs="Arial" w:eastAsia="Arial" w:hAnsi="Arial"/>
          <w:sz w:val="16"/>
          <w:szCs w:val="16"/>
          <w:color w:val="auto"/>
        </w:rPr>
      </w:pPr>
    </w:p>
    <w:p>
      <w:pPr>
        <w:ind w:right="380" w:firstLine="563"/>
        <w:spacing w:after="0" w:line="264" w:lineRule="auto"/>
        <w:tabs>
          <w:tab w:leader="none" w:pos="1132" w:val="left"/>
        </w:tabs>
        <w:numPr>
          <w:ilvl w:val="0"/>
          <w:numId w:val="297"/>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16" w:lineRule="exact"/>
        <w:rPr>
          <w:rFonts w:ascii="Arial" w:cs="Arial" w:eastAsia="Arial" w:hAnsi="Arial"/>
          <w:sz w:val="16"/>
          <w:szCs w:val="16"/>
          <w:color w:val="auto"/>
        </w:rPr>
      </w:pPr>
    </w:p>
    <w:p>
      <w:pPr>
        <w:jc w:val="both"/>
        <w:ind w:right="140" w:firstLine="563"/>
        <w:spacing w:after="0"/>
        <w:tabs>
          <w:tab w:leader="none" w:pos="1126" w:val="left"/>
        </w:tabs>
        <w:numPr>
          <w:ilvl w:val="0"/>
          <w:numId w:val="297"/>
        </w:numPr>
        <w:rPr>
          <w:rFonts w:ascii="Arial" w:cs="Arial" w:eastAsia="Arial" w:hAnsi="Arial"/>
          <w:sz w:val="16"/>
          <w:szCs w:val="16"/>
          <w:color w:val="auto"/>
        </w:rPr>
      </w:pPr>
      <w:r>
        <w:rPr>
          <w:rFonts w:ascii="Arial" w:cs="Arial" w:eastAsia="Arial" w:hAnsi="Arial"/>
          <w:sz w:val="16"/>
          <w:szCs w:val="16"/>
          <w:u w:val="single" w:color="auto"/>
          <w:color w:val="auto"/>
        </w:rPr>
        <w:t>No Rights to Employment or Service</w:t>
      </w:r>
      <w:r>
        <w:rPr>
          <w:rFonts w:ascii="Arial" w:cs="Arial" w:eastAsia="Arial" w:hAnsi="Arial"/>
          <w:sz w:val="16"/>
          <w:szCs w:val="16"/>
          <w:color w:val="auto"/>
        </w:rPr>
        <w:t>. Nothing contained in this Agreement shall be construed as giving the Participant any right to be retained, in any position, as an employee, consultant or director of the Company or its Affiliates or shall interfere with or restrict in any way the rights of the Company or its Affiliates, which are hereby expressly reserved, to remove, terminate or discharge the Participant at any time for any reason whatsoever.</w:t>
      </w:r>
    </w:p>
    <w:p>
      <w:pPr>
        <w:spacing w:after="0" w:line="134" w:lineRule="exact"/>
        <w:rPr>
          <w:rFonts w:ascii="Arial" w:cs="Arial" w:eastAsia="Arial" w:hAnsi="Arial"/>
          <w:sz w:val="16"/>
          <w:szCs w:val="16"/>
          <w:color w:val="auto"/>
        </w:rPr>
      </w:pPr>
    </w:p>
    <w:p>
      <w:pPr>
        <w:ind w:firstLine="563"/>
        <w:spacing w:after="0" w:line="264" w:lineRule="auto"/>
        <w:tabs>
          <w:tab w:leader="none" w:pos="1126" w:val="left"/>
        </w:tabs>
        <w:numPr>
          <w:ilvl w:val="0"/>
          <w:numId w:val="297"/>
        </w:numPr>
        <w:rPr>
          <w:rFonts w:ascii="Arial" w:cs="Arial" w:eastAsia="Arial" w:hAnsi="Arial"/>
          <w:sz w:val="16"/>
          <w:szCs w:val="16"/>
          <w:color w:val="auto"/>
        </w:rPr>
      </w:pPr>
      <w:r>
        <w:rPr>
          <w:rFonts w:ascii="Arial" w:cs="Arial" w:eastAsia="Arial" w:hAnsi="Arial"/>
          <w:sz w:val="16"/>
          <w:szCs w:val="16"/>
          <w:u w:val="single" w:color="auto"/>
          <w:color w:val="auto"/>
        </w:rPr>
        <w:t>Fractional Shares</w:t>
      </w:r>
      <w:r>
        <w:rPr>
          <w:rFonts w:ascii="Arial" w:cs="Arial" w:eastAsia="Arial" w:hAnsi="Arial"/>
          <w:sz w:val="16"/>
          <w:szCs w:val="16"/>
          <w:color w:val="auto"/>
        </w:rPr>
        <w:t>. In lieu of issuing a fraction of a share of Class A Common Stock resulting from adjustment of the RSUs pursuant to Section 12 of the Plan or otherwise, the Company shall be entitled to pay to the Participant an amount in cash equal to the Fair Market Value of such fractional share.</w:t>
      </w:r>
    </w:p>
    <w:p>
      <w:pPr>
        <w:spacing w:after="0" w:line="116" w:lineRule="exact"/>
        <w:rPr>
          <w:rFonts w:ascii="Arial" w:cs="Arial" w:eastAsia="Arial" w:hAnsi="Arial"/>
          <w:sz w:val="16"/>
          <w:szCs w:val="16"/>
          <w:color w:val="auto"/>
        </w:rPr>
      </w:pPr>
    </w:p>
    <w:p>
      <w:pPr>
        <w:ind w:right="540" w:firstLine="563"/>
        <w:spacing w:after="0" w:line="237" w:lineRule="auto"/>
        <w:tabs>
          <w:tab w:leader="none" w:pos="1134" w:val="left"/>
        </w:tabs>
        <w:numPr>
          <w:ilvl w:val="0"/>
          <w:numId w:val="297"/>
        </w:numPr>
        <w:rPr>
          <w:rFonts w:ascii="Arial" w:cs="Arial" w:eastAsia="Arial" w:hAnsi="Arial"/>
          <w:sz w:val="17"/>
          <w:szCs w:val="17"/>
          <w:color w:val="auto"/>
        </w:rPr>
      </w:pPr>
      <w:r>
        <w:rPr>
          <w:rFonts w:ascii="Arial" w:cs="Arial" w:eastAsia="Arial" w:hAnsi="Arial"/>
          <w:sz w:val="17"/>
          <w:szCs w:val="17"/>
          <w:u w:val="single" w:color="auto"/>
          <w:color w:val="auto"/>
        </w:rPr>
        <w:t>Beneficiary</w:t>
      </w:r>
      <w:r>
        <w:rPr>
          <w:rFonts w:ascii="Arial" w:cs="Arial" w:eastAsia="Arial" w:hAnsi="Arial"/>
          <w:sz w:val="17"/>
          <w:szCs w:val="17"/>
          <w:color w:val="auto"/>
        </w:rPr>
        <w:t>. The Participant may file with the Committee a written designation of a beneficiary on such form as may be prescribed by the Committee and may, from time to time, amend or revoke such designation.</w:t>
      </w:r>
    </w:p>
    <w:p>
      <w:pPr>
        <w:spacing w:after="0" w:line="134" w:lineRule="exact"/>
        <w:rPr>
          <w:rFonts w:ascii="Arial" w:cs="Arial" w:eastAsia="Arial" w:hAnsi="Arial"/>
          <w:sz w:val="17"/>
          <w:szCs w:val="17"/>
          <w:color w:val="auto"/>
        </w:rPr>
      </w:pPr>
    </w:p>
    <w:p>
      <w:pPr>
        <w:ind w:right="20" w:firstLine="563"/>
        <w:spacing w:after="0" w:line="237" w:lineRule="auto"/>
        <w:tabs>
          <w:tab w:leader="none" w:pos="1134" w:val="left"/>
        </w:tabs>
        <w:numPr>
          <w:ilvl w:val="0"/>
          <w:numId w:val="297"/>
        </w:numPr>
        <w:rPr>
          <w:rFonts w:ascii="Arial" w:cs="Arial" w:eastAsia="Arial" w:hAnsi="Arial"/>
          <w:sz w:val="17"/>
          <w:szCs w:val="17"/>
          <w:color w:val="auto"/>
        </w:rPr>
      </w:pPr>
      <w:r>
        <w:rPr>
          <w:rFonts w:ascii="Arial" w:cs="Arial" w:eastAsia="Arial" w:hAnsi="Arial"/>
          <w:sz w:val="17"/>
          <w:szCs w:val="17"/>
          <w:u w:val="single" w:color="auto"/>
          <w:color w:val="auto"/>
        </w:rPr>
        <w:t>Successors</w:t>
      </w:r>
      <w:r>
        <w:rPr>
          <w:rFonts w:ascii="Arial" w:cs="Arial" w:eastAsia="Arial" w:hAnsi="Arial"/>
          <w:sz w:val="17"/>
          <w:szCs w:val="17"/>
          <w:color w:val="auto"/>
        </w:rPr>
        <w:t>. The terms of this Agreement shall be binding upon and inure to the benefit of the Company and its successors and assigns, and of the Participant and the beneficiaries, executors, administrators, heirs and successors of the Participant.</w:t>
      </w:r>
    </w:p>
    <w:p>
      <w:pPr>
        <w:spacing w:after="0" w:line="134" w:lineRule="exact"/>
        <w:rPr>
          <w:rFonts w:ascii="Arial" w:cs="Arial" w:eastAsia="Arial" w:hAnsi="Arial"/>
          <w:sz w:val="17"/>
          <w:szCs w:val="17"/>
          <w:color w:val="auto"/>
        </w:rPr>
      </w:pPr>
    </w:p>
    <w:p>
      <w:pPr>
        <w:ind w:right="160" w:firstLine="563"/>
        <w:spacing w:after="0" w:line="216" w:lineRule="auto"/>
        <w:tabs>
          <w:tab w:leader="none" w:pos="1126" w:val="left"/>
        </w:tabs>
        <w:numPr>
          <w:ilvl w:val="0"/>
          <w:numId w:val="297"/>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and the Plan contain the entire agreement and understanding of the parties hereto with respect to the subject matter contained herein and supersede all prior communications, representations and negotiations in respect thereto, except as set forth in Section 7 hereof. No change, modification or waiver of any provision of this Agreement shall be valid unless the same be in writing and signed by the parties hereto, except for any changes permitted without consent under Section 12 or 14 of the Plan. Furthermore, this Agreement hereby rescinds and supersedes the 2021 Restricted Stock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ectPr>
          <w:pgSz w:w="11900" w:h="16838" w:orient="portrait"/>
          <w:cols w:equalWidth="0" w:num="1">
            <w:col w:w="11240"/>
          </w:cols>
          <w:pgMar w:left="320" w:top="1249" w:right="339" w:bottom="1440" w:gutter="0" w:footer="0" w:header="0"/>
        </w:sectPr>
      </w:pPr>
    </w:p>
    <w:bookmarkStart w:id="374" w:name="page375"/>
    <w:bookmarkEnd w:id="374"/>
    <w:p>
      <w:pPr>
        <w:ind w:right="240" w:firstLine="563"/>
        <w:spacing w:after="0" w:line="225" w:lineRule="auto"/>
        <w:tabs>
          <w:tab w:leader="none" w:pos="1134" w:val="left"/>
        </w:tabs>
        <w:numPr>
          <w:ilvl w:val="0"/>
          <w:numId w:val="298"/>
        </w:numPr>
        <w:rPr>
          <w:rFonts w:ascii="Arial" w:cs="Arial" w:eastAsia="Arial" w:hAnsi="Arial"/>
          <w:sz w:val="17"/>
          <w:szCs w:val="17"/>
          <w:color w:val="auto"/>
        </w:rPr>
      </w:pPr>
      <w:r>
        <w:rPr>
          <w:rFonts w:ascii="Arial" w:cs="Arial" w:eastAsia="Arial" w:hAnsi="Arial"/>
          <w:sz w:val="17"/>
          <w:szCs w:val="17"/>
          <w:u w:val="single" w:color="auto"/>
          <w:color w:val="auto"/>
        </w:rPr>
        <w:t>Governing Law and Venue</w:t>
      </w:r>
      <w:r>
        <w:rPr>
          <w:rFonts w:ascii="Arial" w:cs="Arial" w:eastAsia="Arial" w:hAnsi="Arial"/>
          <w:sz w:val="17"/>
          <w:szCs w:val="17"/>
          <w:color w:val="auto"/>
        </w:rPr>
        <w:t>. This Agreement shall be construed and interpreted in accordance with the laws of the State of Delaware, without regard to principles of conflicts of laws thereof, or principles of conflicts of laws of any other jurisdiction which could cause the application of the laws of any jurisdiction other than the State of Delaware.</w:t>
      </w:r>
    </w:p>
    <w:p>
      <w:pPr>
        <w:spacing w:after="0" w:line="136" w:lineRule="exact"/>
        <w:rPr>
          <w:rFonts w:ascii="Arial" w:cs="Arial" w:eastAsia="Arial" w:hAnsi="Arial"/>
          <w:sz w:val="17"/>
          <w:szCs w:val="17"/>
          <w:color w:val="auto"/>
        </w:rPr>
      </w:pPr>
    </w:p>
    <w:p>
      <w:pPr>
        <w:ind w:left="560" w:firstLine="571"/>
        <w:spacing w:after="0" w:line="225" w:lineRule="auto"/>
        <w:tabs>
          <w:tab w:leader="none" w:pos="1694" w:val="left"/>
        </w:tabs>
        <w:numPr>
          <w:ilvl w:val="1"/>
          <w:numId w:val="298"/>
        </w:numPr>
        <w:rPr>
          <w:rFonts w:ascii="Arial" w:cs="Arial" w:eastAsia="Arial" w:hAnsi="Arial"/>
          <w:sz w:val="16"/>
          <w:szCs w:val="16"/>
          <w:color w:val="auto"/>
        </w:rPr>
      </w:pPr>
      <w:r>
        <w:rPr>
          <w:rFonts w:ascii="Arial" w:cs="Arial" w:eastAsia="Arial" w:hAnsi="Arial"/>
          <w:sz w:val="16"/>
          <w:szCs w:val="16"/>
          <w:u w:val="single" w:color="auto"/>
          <w:color w:val="auto"/>
        </w:rPr>
        <w:t>Dispute Resolution; Consent to Jurisdiction</w:t>
      </w:r>
      <w:r>
        <w:rPr>
          <w:rFonts w:ascii="Arial" w:cs="Arial" w:eastAsia="Arial" w:hAnsi="Arial"/>
          <w:sz w:val="16"/>
          <w:szCs w:val="16"/>
          <w:color w:val="auto"/>
        </w:rPr>
        <w:t>. All disputes between or among any Persons arising out of or in any way connected with the Plan, this Agreement, the RSUs shall be solely and finally settled by the Committee, acting in good faith, the determination of which shall be final. Any matters not covered by the preceding sentence shall be solely and finally settled in accordance with the Plan, and the Participant and the Company consent to the personal jurisdiction of the United States Federal and state courts sitting in Wilmington, Delaware as the exclusive jurisdiction with respect to matters arising out of or related to the enforcement of the Committee’s determinations and resolution of matters, if any, related to the Plan or this Agreement not required to be resolved by the Committee. Each such Person hereby irrevocably consents to the service of process of any of the aforementioned courts in any such suit, action or proceeding by the mailing of copies thereof by registered or certified mail, postage prepaid, to the last known address of such Person, such service to become effective ten (10) days after such mailing.</w:t>
      </w:r>
    </w:p>
    <w:p>
      <w:pPr>
        <w:spacing w:after="0" w:line="135" w:lineRule="exact"/>
        <w:rPr>
          <w:rFonts w:ascii="Arial" w:cs="Arial" w:eastAsia="Arial" w:hAnsi="Arial"/>
          <w:sz w:val="16"/>
          <w:szCs w:val="16"/>
          <w:color w:val="auto"/>
        </w:rPr>
      </w:pPr>
    </w:p>
    <w:p>
      <w:pPr>
        <w:ind w:left="560" w:firstLine="571"/>
        <w:spacing w:after="0" w:line="230" w:lineRule="auto"/>
        <w:tabs>
          <w:tab w:leader="none" w:pos="1695" w:val="left"/>
        </w:tabs>
        <w:numPr>
          <w:ilvl w:val="1"/>
          <w:numId w:val="298"/>
        </w:numPr>
        <w:rPr>
          <w:rFonts w:ascii="Arial" w:cs="Arial" w:eastAsia="Arial" w:hAnsi="Arial"/>
          <w:sz w:val="16"/>
          <w:szCs w:val="16"/>
          <w:color w:val="auto"/>
        </w:rPr>
      </w:pPr>
      <w:r>
        <w:rPr>
          <w:rFonts w:ascii="Arial" w:cs="Arial" w:eastAsia="Arial" w:hAnsi="Arial"/>
          <w:sz w:val="16"/>
          <w:szCs w:val="16"/>
          <w:u w:val="single" w:color="auto"/>
          <w:color w:val="auto"/>
        </w:rPr>
        <w:t>Waiver of Jury Trial</w:t>
      </w:r>
      <w:r>
        <w:rPr>
          <w:rFonts w:ascii="Arial" w:cs="Arial" w:eastAsia="Arial" w:hAnsi="Arial"/>
          <w:sz w:val="16"/>
          <w:szCs w:val="16"/>
          <w:color w:val="auto"/>
        </w:rPr>
        <w:t>. Each party hereto hereby waives, to the fullest extent permitted by applicable law, any right it may have to a trial by jury in any legal proceeding directly or indirectly arising out of or relating to this Agreement or the transactions contemplated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36" w:lineRule="exact"/>
        <w:rPr>
          <w:rFonts w:ascii="Arial" w:cs="Arial" w:eastAsia="Arial" w:hAnsi="Arial"/>
          <w:sz w:val="16"/>
          <w:szCs w:val="16"/>
          <w:color w:val="auto"/>
        </w:rPr>
      </w:pPr>
    </w:p>
    <w:p>
      <w:pPr>
        <w:ind w:right="160" w:firstLine="563"/>
        <w:spacing w:after="0" w:line="225" w:lineRule="auto"/>
        <w:tabs>
          <w:tab w:leader="none" w:pos="1126" w:val="left"/>
        </w:tabs>
        <w:numPr>
          <w:ilvl w:val="0"/>
          <w:numId w:val="298"/>
        </w:numPr>
        <w:rPr>
          <w:rFonts w:ascii="Arial" w:cs="Arial" w:eastAsia="Arial" w:hAnsi="Arial"/>
          <w:sz w:val="17"/>
          <w:szCs w:val="17"/>
          <w:color w:val="auto"/>
        </w:rPr>
      </w:pPr>
      <w:r>
        <w:rPr>
          <w:rFonts w:ascii="Arial" w:cs="Arial" w:eastAsia="Arial" w:hAnsi="Arial"/>
          <w:sz w:val="17"/>
          <w:szCs w:val="17"/>
          <w:u w:val="single" w:color="auto"/>
          <w:color w:val="auto"/>
        </w:rPr>
        <w:t>Headings; Gender</w:t>
      </w:r>
      <w:r>
        <w:rPr>
          <w:rFonts w:ascii="Arial" w:cs="Arial" w:eastAsia="Arial" w:hAnsi="Arial"/>
          <w:sz w:val="17"/>
          <w:szCs w:val="17"/>
          <w:color w:val="auto"/>
        </w:rPr>
        <w:t>. The headings of the Sections hereof are provided for convenience only and are not to serve as a basis for interpretation or construction, and shall not constitute a part, of this Agreement. Masculine pronouns and other words of masculine gender shall refer to both men and women as appropriate.</w:t>
      </w:r>
    </w:p>
    <w:p>
      <w:pPr>
        <w:spacing w:after="0" w:line="136" w:lineRule="exact"/>
        <w:rPr>
          <w:rFonts w:ascii="Arial" w:cs="Arial" w:eastAsia="Arial" w:hAnsi="Arial"/>
          <w:sz w:val="17"/>
          <w:szCs w:val="17"/>
          <w:color w:val="auto"/>
        </w:rPr>
      </w:pPr>
    </w:p>
    <w:p>
      <w:pPr>
        <w:ind w:right="280" w:firstLine="563"/>
        <w:spacing w:after="0" w:line="225" w:lineRule="auto"/>
        <w:tabs>
          <w:tab w:leader="none" w:pos="1126" w:val="left"/>
        </w:tabs>
        <w:numPr>
          <w:ilvl w:val="0"/>
          <w:numId w:val="298"/>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one or more counterparts (including via facsimile and electronic image scan (pdf)), each of which shall be deemed to be an original, but all of which together shall constitute one and the same instrument and shall become effective when one or more counterparts have been signed by each of the parties and delivered to the other parties.</w:t>
      </w:r>
    </w:p>
    <w:p>
      <w:pPr>
        <w:spacing w:after="0" w:line="136" w:lineRule="exact"/>
        <w:rPr>
          <w:rFonts w:ascii="Arial" w:cs="Arial" w:eastAsia="Arial" w:hAnsi="Arial"/>
          <w:sz w:val="17"/>
          <w:szCs w:val="17"/>
          <w:color w:val="auto"/>
        </w:rPr>
      </w:pPr>
    </w:p>
    <w:p>
      <w:pPr>
        <w:ind w:right="220" w:firstLine="563"/>
        <w:spacing w:after="0" w:line="234" w:lineRule="auto"/>
        <w:tabs>
          <w:tab w:leader="none" w:pos="1126" w:val="left"/>
        </w:tabs>
        <w:numPr>
          <w:ilvl w:val="0"/>
          <w:numId w:val="298"/>
        </w:numPr>
        <w:rPr>
          <w:rFonts w:ascii="Arial" w:cs="Arial" w:eastAsia="Arial" w:hAnsi="Arial"/>
          <w:sz w:val="16"/>
          <w:szCs w:val="16"/>
          <w:color w:val="auto"/>
        </w:rPr>
      </w:pPr>
      <w:r>
        <w:rPr>
          <w:rFonts w:ascii="Arial" w:cs="Arial" w:eastAsia="Arial" w:hAnsi="Arial"/>
          <w:sz w:val="16"/>
          <w:szCs w:val="16"/>
          <w:u w:val="single" w:color="auto"/>
          <w:color w:val="auto"/>
        </w:rPr>
        <w:t>Electronic Signature and Delivery</w:t>
      </w:r>
      <w:r>
        <w:rPr>
          <w:rFonts w:ascii="Arial" w:cs="Arial" w:eastAsia="Arial" w:hAnsi="Arial"/>
          <w:sz w:val="16"/>
          <w:szCs w:val="16"/>
          <w:color w:val="auto"/>
        </w:rPr>
        <w:t>. This Agreement may be accepted by return signature or by electronic confirmation. By accepting this Agreement, the Participant consents to the electronic delivery of prospectuses, annual reports and other information required to be delivered by U.S. Securities and Exchange Commission rules (which consent may be revoked in writing by the Participant at any time upon three business days’ notice to the Company, in which case subsequent prospectuses, annual reports and other information will be delivered in hard copy to the Participant).</w:t>
      </w:r>
    </w:p>
    <w:p>
      <w:pPr>
        <w:spacing w:after="0" w:line="134" w:lineRule="exact"/>
        <w:rPr>
          <w:rFonts w:ascii="Arial" w:cs="Arial" w:eastAsia="Arial" w:hAnsi="Arial"/>
          <w:sz w:val="16"/>
          <w:szCs w:val="16"/>
          <w:color w:val="auto"/>
        </w:rPr>
      </w:pPr>
    </w:p>
    <w:p>
      <w:pPr>
        <w:ind w:right="240" w:firstLine="563"/>
        <w:spacing w:after="0"/>
        <w:tabs>
          <w:tab w:leader="none" w:pos="1126" w:val="left"/>
        </w:tabs>
        <w:numPr>
          <w:ilvl w:val="0"/>
          <w:numId w:val="298"/>
        </w:numPr>
        <w:rPr>
          <w:rFonts w:ascii="Arial" w:cs="Arial" w:eastAsia="Arial" w:hAnsi="Arial"/>
          <w:sz w:val="16"/>
          <w:szCs w:val="16"/>
          <w:color w:val="auto"/>
        </w:rPr>
      </w:pPr>
      <w:r>
        <w:rPr>
          <w:rFonts w:ascii="Arial" w:cs="Arial" w:eastAsia="Arial" w:hAnsi="Arial"/>
          <w:sz w:val="16"/>
          <w:szCs w:val="16"/>
          <w:u w:val="single" w:color="auto"/>
          <w:color w:val="auto"/>
        </w:rPr>
        <w:t>Electronic Participation in Plan</w:t>
      </w:r>
      <w:r>
        <w:rPr>
          <w:rFonts w:ascii="Arial" w:cs="Arial" w:eastAsia="Arial" w:hAnsi="Arial"/>
          <w:sz w:val="16"/>
          <w:szCs w:val="16"/>
          <w:color w:val="auto"/>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remainder of page intentionally left blank</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w:t>
      </w:r>
    </w:p>
    <w:p>
      <w:pPr>
        <w:sectPr>
          <w:pgSz w:w="11900" w:h="16838" w:orient="portrait"/>
          <w:cols w:equalWidth="0" w:num="1">
            <w:col w:w="11240"/>
          </w:cols>
          <w:pgMar w:left="320" w:top="1249" w:right="339" w:bottom="1440" w:gutter="0" w:footer="0" w:header="0"/>
        </w:sectPr>
      </w:pPr>
    </w:p>
    <w:bookmarkStart w:id="375" w:name="page376"/>
    <w:bookmarkEnd w:id="375"/>
    <w:p>
      <w:pPr>
        <w:spacing w:after="0"/>
        <w:rPr>
          <w:sz w:val="20"/>
          <w:szCs w:val="20"/>
          <w:color w:val="auto"/>
        </w:rPr>
      </w:pPr>
      <w:r>
        <w:rPr>
          <w:rFonts w:ascii="Arial" w:cs="Arial" w:eastAsia="Arial" w:hAnsi="Arial"/>
          <w:sz w:val="15"/>
          <w:szCs w:val="15"/>
          <w:color w:val="auto"/>
        </w:rPr>
        <w:t>IN WITNESS WHEREOF, this Agreement has been executed by the Company and the Participant as of the day first written above.</w:t>
      </w:r>
    </w:p>
    <w:p>
      <w:pPr>
        <w:sectPr>
          <w:pgSz w:w="11900" w:h="16838" w:orient="portrait"/>
          <w:cols w:equalWidth="0" w:num="1">
            <w:col w:w="9379"/>
          </w:cols>
          <w:pgMar w:left="1080" w:top="1249" w:right="1440" w:bottom="1440" w:gutter="0" w:footer="0" w:header="0"/>
        </w:sectPr>
      </w:pPr>
    </w:p>
    <w:p>
      <w:pPr>
        <w:spacing w:after="0" w:line="206" w:lineRule="exact"/>
        <w:rPr>
          <w:sz w:val="20"/>
          <w:szCs w:val="20"/>
          <w:color w:val="auto"/>
        </w:rPr>
      </w:pPr>
    </w:p>
    <w:p>
      <w:pPr>
        <w:ind w:left="2640"/>
        <w:spacing w:after="0"/>
        <w:rPr>
          <w:sz w:val="20"/>
          <w:szCs w:val="20"/>
          <w:color w:val="auto"/>
        </w:rPr>
      </w:pPr>
      <w:r>
        <w:rPr>
          <w:rFonts w:ascii="Arial" w:cs="Arial" w:eastAsia="Arial" w:hAnsi="Arial"/>
          <w:sz w:val="17"/>
          <w:szCs w:val="17"/>
          <w:color w:val="auto"/>
        </w:rPr>
        <w:t>VIRTU FINANCIAL, INC.</w:t>
      </w:r>
    </w:p>
    <w:p>
      <w:pPr>
        <w:spacing w:after="0" w:line="333" w:lineRule="exact"/>
        <w:rPr>
          <w:sz w:val="20"/>
          <w:szCs w:val="20"/>
          <w:color w:val="auto"/>
        </w:rPr>
      </w:pPr>
    </w:p>
    <w:p>
      <w:pPr>
        <w:ind w:left="264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Robert Greifeld</w:t>
      </w:r>
    </w:p>
    <w:p>
      <w:pPr>
        <w:ind w:left="2640"/>
        <w:spacing w:after="0" w:line="203" w:lineRule="auto"/>
        <w:rPr>
          <w:sz w:val="20"/>
          <w:szCs w:val="20"/>
          <w:color w:val="auto"/>
        </w:rPr>
      </w:pPr>
      <w:r>
        <w:rPr>
          <w:rFonts w:ascii="Arial" w:cs="Arial" w:eastAsia="Arial" w:hAnsi="Arial"/>
          <w:sz w:val="17"/>
          <w:szCs w:val="17"/>
          <w:color w:val="auto"/>
        </w:rPr>
        <w:t>Name: Robert Greifeld</w:t>
      </w:r>
    </w:p>
    <w:p>
      <w:pPr>
        <w:ind w:left="2640"/>
        <w:spacing w:after="0"/>
        <w:rPr>
          <w:sz w:val="20"/>
          <w:szCs w:val="20"/>
          <w:color w:val="auto"/>
        </w:rPr>
      </w:pPr>
      <w:r>
        <w:rPr>
          <w:rFonts w:ascii="Arial" w:cs="Arial" w:eastAsia="Arial" w:hAnsi="Arial"/>
          <w:sz w:val="17"/>
          <w:szCs w:val="17"/>
          <w:color w:val="auto"/>
        </w:rPr>
        <w:t>Title: Chairman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640"/>
        <w:spacing w:after="0"/>
        <w:rPr>
          <w:sz w:val="20"/>
          <w:szCs w:val="20"/>
          <w:color w:val="auto"/>
        </w:rPr>
      </w:pPr>
      <w:r>
        <w:rPr>
          <w:rFonts w:ascii="Arial" w:cs="Arial" w:eastAsia="Arial" w:hAnsi="Arial"/>
          <w:sz w:val="17"/>
          <w:szCs w:val="17"/>
          <w:u w:val="single" w:color="auto"/>
          <w:color w:val="auto"/>
        </w:rPr>
        <w:t>/s/ Douglas A. Cifu</w:t>
      </w:r>
    </w:p>
    <w:p>
      <w:pPr>
        <w:ind w:left="2640"/>
        <w:spacing w:after="0"/>
        <w:rPr>
          <w:sz w:val="20"/>
          <w:szCs w:val="20"/>
          <w:color w:val="auto"/>
        </w:rPr>
      </w:pPr>
      <w:r>
        <w:rPr>
          <w:rFonts w:ascii="Arial" w:cs="Arial" w:eastAsia="Arial" w:hAnsi="Arial"/>
          <w:sz w:val="17"/>
          <w:szCs w:val="17"/>
          <w:color w:val="auto"/>
        </w:rPr>
        <w:t>Douglas A. Cifu</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60"/>
        <w:spacing w:after="0"/>
        <w:rPr>
          <w:sz w:val="20"/>
          <w:szCs w:val="20"/>
          <w:color w:val="auto"/>
        </w:rPr>
      </w:pPr>
      <w:r>
        <w:rPr>
          <w:rFonts w:ascii="Arial" w:cs="Arial" w:eastAsia="Arial" w:hAnsi="Arial"/>
          <w:sz w:val="19"/>
          <w:szCs w:val="19"/>
          <w:color w:val="auto"/>
        </w:rPr>
        <w:t>A-1</w:t>
      </w:r>
    </w:p>
    <w:p>
      <w:pPr>
        <w:sectPr>
          <w:pgSz w:w="11900" w:h="16838" w:orient="portrait"/>
          <w:cols w:equalWidth="0" w:num="1">
            <w:col w:w="9379"/>
          </w:cols>
          <w:pgMar w:left="1080" w:top="1249" w:right="1440" w:bottom="1440" w:gutter="0" w:footer="0" w:header="0"/>
          <w:type w:val="continuous"/>
        </w:sectPr>
      </w:pPr>
    </w:p>
    <w:bookmarkStart w:id="376" w:name="page377"/>
    <w:bookmarkEnd w:id="376"/>
    <w:p>
      <w:pPr>
        <w:jc w:val="center"/>
        <w:ind w:right="-4"/>
        <w:spacing w:after="0"/>
        <w:rPr>
          <w:sz w:val="20"/>
          <w:szCs w:val="20"/>
          <w:color w:val="auto"/>
        </w:rPr>
      </w:pPr>
      <w:r>
        <w:rPr>
          <w:rFonts w:ascii="Arial" w:cs="Arial" w:eastAsia="Arial" w:hAnsi="Arial"/>
          <w:sz w:val="17"/>
          <w:szCs w:val="17"/>
          <w:b w:val="1"/>
          <w:bCs w:val="1"/>
          <w:color w:val="auto"/>
        </w:rPr>
        <w:t>VIRTU FINANCIAL, INC.</w:t>
      </w:r>
    </w:p>
    <w:p>
      <w:pPr>
        <w:jc w:val="center"/>
        <w:ind w:right="-4"/>
        <w:spacing w:after="0" w:line="203" w:lineRule="auto"/>
        <w:rPr>
          <w:sz w:val="20"/>
          <w:szCs w:val="20"/>
          <w:color w:val="auto"/>
        </w:rPr>
      </w:pPr>
      <w:r>
        <w:rPr>
          <w:rFonts w:ascii="Arial" w:cs="Arial" w:eastAsia="Arial" w:hAnsi="Arial"/>
          <w:sz w:val="17"/>
          <w:szCs w:val="17"/>
          <w:b w:val="1"/>
          <w:bCs w:val="1"/>
          <w:color w:val="auto"/>
        </w:rPr>
        <w:t>AMENDED AND RESTATED</w:t>
      </w:r>
    </w:p>
    <w:p>
      <w:pPr>
        <w:jc w:val="center"/>
        <w:ind w:right="-4"/>
        <w:spacing w:after="0" w:line="203" w:lineRule="auto"/>
        <w:rPr>
          <w:sz w:val="20"/>
          <w:szCs w:val="20"/>
          <w:color w:val="auto"/>
        </w:rPr>
      </w:pPr>
      <w:r>
        <w:rPr>
          <w:rFonts w:ascii="Arial" w:cs="Arial" w:eastAsia="Arial" w:hAnsi="Arial"/>
          <w:sz w:val="17"/>
          <w:szCs w:val="17"/>
          <w:b w:val="1"/>
          <w:bCs w:val="1"/>
          <w:color w:val="auto"/>
        </w:rPr>
        <w:t>2015 MANAGEMENT INCENTIVE PLAN</w:t>
      </w:r>
    </w:p>
    <w:p>
      <w:pPr>
        <w:spacing w:after="0" w:line="1" w:lineRule="exact"/>
        <w:rPr>
          <w:sz w:val="20"/>
          <w:szCs w:val="20"/>
          <w:color w:val="auto"/>
        </w:rPr>
      </w:pPr>
    </w:p>
    <w:p>
      <w:pPr>
        <w:jc w:val="center"/>
        <w:ind w:right="-4"/>
        <w:spacing w:after="0"/>
        <w:rPr>
          <w:sz w:val="20"/>
          <w:szCs w:val="20"/>
          <w:color w:val="auto"/>
        </w:rPr>
      </w:pPr>
      <w:r>
        <w:rPr>
          <w:rFonts w:ascii="Arial" w:cs="Arial" w:eastAsia="Arial" w:hAnsi="Arial"/>
          <w:sz w:val="17"/>
          <w:szCs w:val="17"/>
          <w:b w:val="1"/>
          <w:bCs w:val="1"/>
          <w:u w:val="single" w:color="auto"/>
          <w:color w:val="auto"/>
        </w:rPr>
        <w:t>RESTRICTED STOCK UNIT AWARD AGREEMENT</w:t>
      </w:r>
    </w:p>
    <w:p>
      <w:pPr>
        <w:spacing w:after="0" w:line="98" w:lineRule="exact"/>
        <w:rPr>
          <w:sz w:val="20"/>
          <w:szCs w:val="20"/>
          <w:color w:val="auto"/>
        </w:rPr>
      </w:pPr>
    </w:p>
    <w:p>
      <w:pPr>
        <w:ind w:left="5" w:right="160" w:firstLine="568"/>
        <w:spacing w:after="0" w:line="237" w:lineRule="auto"/>
        <w:rPr>
          <w:sz w:val="20"/>
          <w:szCs w:val="20"/>
          <w:color w:val="auto"/>
        </w:rPr>
      </w:pPr>
      <w:r>
        <w:rPr>
          <w:rFonts w:ascii="Arial" w:cs="Arial" w:eastAsia="Arial" w:hAnsi="Arial"/>
          <w:sz w:val="17"/>
          <w:szCs w:val="17"/>
          <w:color w:val="auto"/>
        </w:rPr>
        <w:t>THIS RESTRICTED STOCK UNIT AND COMMON STOCK AWARD AGREEMENT (the “</w:t>
      </w:r>
      <w:r>
        <w:rPr>
          <w:rFonts w:ascii="Arial" w:cs="Arial" w:eastAsia="Arial" w:hAnsi="Arial"/>
          <w:sz w:val="17"/>
          <w:szCs w:val="17"/>
          <w:u w:val="single" w:color="auto"/>
          <w:color w:val="auto"/>
        </w:rPr>
        <w:t>Agreement</w:t>
      </w:r>
      <w:r>
        <w:rPr>
          <w:rFonts w:ascii="Arial" w:cs="Arial" w:eastAsia="Arial" w:hAnsi="Arial"/>
          <w:sz w:val="17"/>
          <w:szCs w:val="17"/>
          <w:color w:val="auto"/>
        </w:rPr>
        <w:t>”), is entered into as of February 3, 2022 (the “</w:t>
      </w:r>
      <w:r>
        <w:rPr>
          <w:rFonts w:ascii="Arial" w:cs="Arial" w:eastAsia="Arial" w:hAnsi="Arial"/>
          <w:sz w:val="17"/>
          <w:szCs w:val="17"/>
          <w:u w:val="single" w:color="auto"/>
          <w:color w:val="auto"/>
        </w:rPr>
        <w:t>Date of Grant</w:t>
      </w:r>
      <w:r>
        <w:rPr>
          <w:rFonts w:ascii="Arial" w:cs="Arial" w:eastAsia="Arial" w:hAnsi="Arial"/>
          <w:sz w:val="17"/>
          <w:szCs w:val="17"/>
          <w:color w:val="auto"/>
        </w:rPr>
        <w:t>”), by and between Virtu Financial,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Douglas A. Cifu</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Participant</w:t>
      </w:r>
      <w:r>
        <w:rPr>
          <w:rFonts w:ascii="Arial" w:cs="Arial" w:eastAsia="Arial" w:hAnsi="Arial"/>
          <w:sz w:val="17"/>
          <w:szCs w:val="17"/>
          <w:color w:val="auto"/>
        </w:rPr>
        <w:t>”).</w:t>
      </w:r>
    </w:p>
    <w:p>
      <w:pPr>
        <w:spacing w:after="0" w:line="87" w:lineRule="exact"/>
        <w:rPr>
          <w:sz w:val="20"/>
          <w:szCs w:val="20"/>
          <w:color w:val="auto"/>
        </w:rPr>
      </w:pPr>
    </w:p>
    <w:p>
      <w:pPr>
        <w:ind w:left="5" w:right="40" w:firstLine="568"/>
        <w:spacing w:after="0" w:line="237" w:lineRule="auto"/>
        <w:rPr>
          <w:sz w:val="20"/>
          <w:szCs w:val="20"/>
          <w:color w:val="auto"/>
        </w:rPr>
      </w:pPr>
      <w:r>
        <w:rPr>
          <w:rFonts w:ascii="Arial" w:cs="Arial" w:eastAsia="Arial" w:hAnsi="Arial"/>
          <w:sz w:val="17"/>
          <w:szCs w:val="17"/>
          <w:color w:val="auto"/>
        </w:rPr>
        <w:t>WHEREAS, the Company has adopted the Virtu Financial, Inc. Amended and Restated 2015 Management Incentive Plan (the “</w:t>
      </w:r>
      <w:r>
        <w:rPr>
          <w:rFonts w:ascii="Arial" w:cs="Arial" w:eastAsia="Arial" w:hAnsi="Arial"/>
          <w:sz w:val="17"/>
          <w:szCs w:val="17"/>
          <w:u w:val="single" w:color="auto"/>
          <w:color w:val="auto"/>
        </w:rPr>
        <w:t>Plan</w:t>
      </w:r>
      <w:r>
        <w:rPr>
          <w:rFonts w:ascii="Arial" w:cs="Arial" w:eastAsia="Arial" w:hAnsi="Arial"/>
          <w:sz w:val="17"/>
          <w:szCs w:val="17"/>
          <w:color w:val="auto"/>
        </w:rPr>
        <w:t>”), pursuant to which Restricted Stock Units (“</w:t>
      </w:r>
      <w:r>
        <w:rPr>
          <w:rFonts w:ascii="Arial" w:cs="Arial" w:eastAsia="Arial" w:hAnsi="Arial"/>
          <w:sz w:val="17"/>
          <w:szCs w:val="17"/>
          <w:u w:val="single" w:color="auto"/>
          <w:color w:val="auto"/>
        </w:rPr>
        <w:t>RSUs</w:t>
      </w:r>
      <w:r>
        <w:rPr>
          <w:rFonts w:ascii="Arial" w:cs="Arial" w:eastAsia="Arial" w:hAnsi="Arial"/>
          <w:sz w:val="17"/>
          <w:szCs w:val="17"/>
          <w:color w:val="auto"/>
        </w:rPr>
        <w:t>”) may be granted;</w:t>
      </w:r>
    </w:p>
    <w:p>
      <w:pPr>
        <w:spacing w:after="0" w:line="83" w:lineRule="exact"/>
        <w:rPr>
          <w:sz w:val="20"/>
          <w:szCs w:val="20"/>
          <w:color w:val="auto"/>
        </w:rPr>
      </w:pPr>
    </w:p>
    <w:p>
      <w:pPr>
        <w:ind w:left="565"/>
        <w:spacing w:after="0"/>
        <w:rPr>
          <w:sz w:val="20"/>
          <w:szCs w:val="20"/>
          <w:color w:val="auto"/>
        </w:rPr>
      </w:pPr>
      <w:r>
        <w:rPr>
          <w:rFonts w:ascii="Arial" w:cs="Arial" w:eastAsia="Arial" w:hAnsi="Arial"/>
          <w:sz w:val="16"/>
          <w:szCs w:val="16"/>
          <w:color w:val="auto"/>
        </w:rPr>
        <w:t>WHEREAS, the Company has adopted that certain Deferred Compensation Plan, effective November 13, 2020 and as amended from time to time (the</w:t>
      </w:r>
    </w:p>
    <w:p>
      <w:pPr>
        <w:ind w:left="5"/>
        <w:spacing w:after="0" w:line="23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Deferred Compensation Plan</w:t>
      </w:r>
      <w:r>
        <w:rPr>
          <w:rFonts w:ascii="Arial" w:cs="Arial" w:eastAsia="Arial" w:hAnsi="Arial"/>
          <w:sz w:val="15"/>
          <w:szCs w:val="15"/>
          <w:color w:val="auto"/>
        </w:rPr>
        <w:t>”) pursuant to which eligible employees may elect to defer certain compensation in accordance with the terms thereof and any other</w:t>
      </w:r>
    </w:p>
    <w:p>
      <w:pPr>
        <w:ind w:left="5"/>
        <w:spacing w:after="0"/>
        <w:rPr>
          <w:sz w:val="20"/>
          <w:szCs w:val="20"/>
          <w:color w:val="auto"/>
        </w:rPr>
      </w:pPr>
      <w:r>
        <w:rPr>
          <w:rFonts w:ascii="Arial" w:cs="Arial" w:eastAsia="Arial" w:hAnsi="Arial"/>
          <w:sz w:val="17"/>
          <w:szCs w:val="17"/>
          <w:color w:val="auto"/>
        </w:rPr>
        <w:t>applicable requirements or conditions;</w:t>
      </w:r>
    </w:p>
    <w:p>
      <w:pPr>
        <w:spacing w:after="0" w:line="98" w:lineRule="exact"/>
        <w:rPr>
          <w:sz w:val="20"/>
          <w:szCs w:val="20"/>
          <w:color w:val="auto"/>
        </w:rPr>
      </w:pPr>
    </w:p>
    <w:p>
      <w:pPr>
        <w:ind w:left="5" w:right="200" w:firstLine="568"/>
        <w:spacing w:after="0" w:line="225" w:lineRule="auto"/>
        <w:rPr>
          <w:sz w:val="20"/>
          <w:szCs w:val="20"/>
          <w:color w:val="auto"/>
        </w:rPr>
      </w:pPr>
      <w:r>
        <w:rPr>
          <w:rFonts w:ascii="Arial" w:cs="Arial" w:eastAsia="Arial" w:hAnsi="Arial"/>
          <w:sz w:val="17"/>
          <w:szCs w:val="17"/>
          <w:color w:val="auto"/>
        </w:rPr>
        <w:t>WHEREAS, the Participant made a deferral election in accordance with the Deferred Compensation Plan on or prior to December 31, 2020 pursuant to which the Participant elected to defer all equity compensation awarded in consideration of services rendered in the fiscal year ended December 31, 2021 (the “</w:t>
      </w:r>
      <w:r>
        <w:rPr>
          <w:rFonts w:ascii="Arial" w:cs="Arial" w:eastAsia="Arial" w:hAnsi="Arial"/>
          <w:sz w:val="17"/>
          <w:szCs w:val="17"/>
          <w:u w:val="single" w:color="auto"/>
          <w:color w:val="auto"/>
        </w:rPr>
        <w:t>Cifu 2021 Deferral Election</w:t>
      </w:r>
      <w:r>
        <w:rPr>
          <w:rFonts w:ascii="Arial" w:cs="Arial" w:eastAsia="Arial" w:hAnsi="Arial"/>
          <w:sz w:val="17"/>
          <w:szCs w:val="17"/>
          <w:color w:val="auto"/>
        </w:rPr>
        <w:t>”);</w:t>
      </w:r>
    </w:p>
    <w:p>
      <w:pPr>
        <w:spacing w:after="0" w:line="90" w:lineRule="exact"/>
        <w:rPr>
          <w:sz w:val="20"/>
          <w:szCs w:val="20"/>
          <w:color w:val="auto"/>
        </w:rPr>
      </w:pPr>
    </w:p>
    <w:p>
      <w:pPr>
        <w:ind w:left="5" w:right="380" w:firstLine="568"/>
        <w:spacing w:after="0" w:line="237" w:lineRule="auto"/>
        <w:rPr>
          <w:sz w:val="20"/>
          <w:szCs w:val="20"/>
          <w:color w:val="auto"/>
        </w:rPr>
      </w:pPr>
      <w:r>
        <w:rPr>
          <w:rFonts w:ascii="Arial" w:cs="Arial" w:eastAsia="Arial" w:hAnsi="Arial"/>
          <w:sz w:val="17"/>
          <w:szCs w:val="17"/>
          <w:color w:val="auto"/>
        </w:rPr>
        <w:t>WHEREAS, in light of the Cifu 2021 Deferral Election, the annual bonus equity award to Participant for the year ended December 31, 2021 must be issued solely in the form of RSUs and not shares of Class A common stock;</w:t>
      </w:r>
    </w:p>
    <w:p>
      <w:pPr>
        <w:spacing w:after="0" w:line="87" w:lineRule="exact"/>
        <w:rPr>
          <w:sz w:val="20"/>
          <w:szCs w:val="20"/>
          <w:color w:val="auto"/>
        </w:rPr>
      </w:pPr>
    </w:p>
    <w:p>
      <w:pPr>
        <w:ind w:left="5" w:firstLine="568"/>
        <w:spacing w:after="0" w:line="237" w:lineRule="auto"/>
        <w:rPr>
          <w:sz w:val="20"/>
          <w:szCs w:val="20"/>
          <w:color w:val="auto"/>
        </w:rPr>
      </w:pPr>
      <w:r>
        <w:rPr>
          <w:rFonts w:ascii="Arial" w:cs="Arial" w:eastAsia="Arial" w:hAnsi="Arial"/>
          <w:sz w:val="17"/>
          <w:szCs w:val="17"/>
          <w:color w:val="auto"/>
        </w:rPr>
        <w:t>WHEREAS, the Compensation Committee of the Board of Directors of the Company has determined that it is in the best interests of the Company and its stockholders to grant the RSUs provided for herein to the Participant subject to the terms set forth herein.</w:t>
      </w:r>
    </w:p>
    <w:p>
      <w:pPr>
        <w:spacing w:after="0" w:line="87" w:lineRule="exact"/>
        <w:rPr>
          <w:sz w:val="20"/>
          <w:szCs w:val="20"/>
          <w:color w:val="auto"/>
        </w:rPr>
      </w:pPr>
    </w:p>
    <w:p>
      <w:pPr>
        <w:ind w:left="5" w:right="320" w:firstLine="568"/>
        <w:spacing w:after="0" w:line="297" w:lineRule="auto"/>
        <w:rPr>
          <w:sz w:val="20"/>
          <w:szCs w:val="20"/>
          <w:color w:val="auto"/>
        </w:rPr>
      </w:pPr>
      <w:r>
        <w:rPr>
          <w:rFonts w:ascii="Arial" w:cs="Arial" w:eastAsia="Arial" w:hAnsi="Arial"/>
          <w:sz w:val="15"/>
          <w:szCs w:val="15"/>
          <w:color w:val="auto"/>
        </w:rPr>
        <w:t>NOW, THEREFORE, for and in consideration of the premises and the covenants of the parties contained in this Agreement, and for other good and valuable consideration, the receipt of which is hereby acknowledged, the parties hereto, for themselves, their successors and assigns, hereby agree as follows:</w:t>
      </w:r>
    </w:p>
    <w:p>
      <w:pPr>
        <w:spacing w:after="0" w:line="88" w:lineRule="exact"/>
        <w:rPr>
          <w:sz w:val="20"/>
          <w:szCs w:val="20"/>
          <w:color w:val="auto"/>
        </w:rPr>
      </w:pPr>
    </w:p>
    <w:p>
      <w:pPr>
        <w:ind w:left="305" w:hanging="305"/>
        <w:spacing w:after="0"/>
        <w:tabs>
          <w:tab w:leader="none" w:pos="305" w:val="left"/>
        </w:tabs>
        <w:numPr>
          <w:ilvl w:val="0"/>
          <w:numId w:val="299"/>
        </w:numPr>
        <w:rPr>
          <w:rFonts w:ascii="Arial" w:cs="Arial" w:eastAsia="Arial" w:hAnsi="Arial"/>
          <w:sz w:val="17"/>
          <w:szCs w:val="17"/>
          <w:b w:val="1"/>
          <w:bCs w:val="1"/>
          <w:color w:val="auto"/>
        </w:rPr>
      </w:pPr>
      <w:r>
        <w:rPr>
          <w:rFonts w:ascii="Arial" w:cs="Arial" w:eastAsia="Arial" w:hAnsi="Arial"/>
          <w:sz w:val="17"/>
          <w:szCs w:val="17"/>
          <w:b w:val="1"/>
          <w:bCs w:val="1"/>
          <w:color w:val="auto"/>
        </w:rPr>
        <w:t>Grant of Common Stock and Restricted Stock Units.</w:t>
      </w:r>
    </w:p>
    <w:p>
      <w:pPr>
        <w:spacing w:after="0" w:line="165" w:lineRule="exact"/>
        <w:rPr>
          <w:rFonts w:ascii="Arial" w:cs="Arial" w:eastAsia="Arial" w:hAnsi="Arial"/>
          <w:sz w:val="17"/>
          <w:szCs w:val="17"/>
          <w:b w:val="1"/>
          <w:bCs w:val="1"/>
          <w:color w:val="auto"/>
        </w:rPr>
      </w:pPr>
    </w:p>
    <w:p>
      <w:pPr>
        <w:jc w:val="both"/>
        <w:ind w:left="5" w:right="160" w:firstLine="563"/>
        <w:spacing w:after="0" w:line="216" w:lineRule="auto"/>
        <w:tabs>
          <w:tab w:leader="none" w:pos="939" w:val="left"/>
        </w:tabs>
        <w:numPr>
          <w:ilvl w:val="1"/>
          <w:numId w:val="299"/>
        </w:numPr>
        <w:rPr>
          <w:rFonts w:ascii="Arial" w:cs="Arial" w:eastAsia="Arial" w:hAnsi="Arial"/>
          <w:sz w:val="17"/>
          <w:szCs w:val="17"/>
          <w:color w:val="auto"/>
        </w:rPr>
      </w:pPr>
      <w:r>
        <w:rPr>
          <w:rFonts w:ascii="Arial" w:cs="Arial" w:eastAsia="Arial" w:hAnsi="Arial"/>
          <w:sz w:val="17"/>
          <w:szCs w:val="17"/>
          <w:u w:val="single" w:color="auto"/>
          <w:color w:val="auto"/>
        </w:rPr>
        <w:t>Grant</w:t>
      </w:r>
      <w:r>
        <w:rPr>
          <w:rFonts w:ascii="Arial" w:cs="Arial" w:eastAsia="Arial" w:hAnsi="Arial"/>
          <w:sz w:val="17"/>
          <w:szCs w:val="17"/>
          <w:color w:val="auto"/>
        </w:rPr>
        <w:t>. The Company hereby grants to the Participant a total number of RSUs equal to $2,500,000 divided by the Issue Price with any fractional RSU rounded to the next whole RSU number, in each case on the terms and conditions set forth in this Agreement and as otherwise provided in the Plan. The RSUs shall be credited to a separate book-entry account maintained for the Participant on the books of the Company, which may be maintained by a third party. The “</w:t>
      </w:r>
      <w:r>
        <w:rPr>
          <w:rFonts w:ascii="Arial" w:cs="Arial" w:eastAsia="Arial" w:hAnsi="Arial"/>
          <w:sz w:val="17"/>
          <w:szCs w:val="17"/>
          <w:u w:val="single" w:color="auto"/>
          <w:color w:val="auto"/>
        </w:rPr>
        <w:t>Issue Price</w:t>
      </w:r>
      <w:r>
        <w:rPr>
          <w:rFonts w:ascii="Arial" w:cs="Arial" w:eastAsia="Arial" w:hAnsi="Arial"/>
          <w:sz w:val="17"/>
          <w:szCs w:val="17"/>
          <w:color w:val="auto"/>
        </w:rPr>
        <w:t>” shall mean the volume weighted average price of shares of the Company’s Class A Common Stock traded during the three days preceding the Date of Grant, as determined by the Company.</w:t>
      </w:r>
    </w:p>
    <w:p>
      <w:pPr>
        <w:spacing w:after="0" w:line="138" w:lineRule="exact"/>
        <w:rPr>
          <w:rFonts w:ascii="Arial" w:cs="Arial" w:eastAsia="Arial" w:hAnsi="Arial"/>
          <w:sz w:val="17"/>
          <w:szCs w:val="17"/>
          <w:color w:val="auto"/>
        </w:rPr>
      </w:pPr>
    </w:p>
    <w:p>
      <w:pPr>
        <w:ind w:left="5" w:right="140" w:firstLine="563"/>
        <w:spacing w:after="0" w:line="213" w:lineRule="auto"/>
        <w:tabs>
          <w:tab w:leader="none" w:pos="949" w:val="left"/>
        </w:tabs>
        <w:numPr>
          <w:ilvl w:val="1"/>
          <w:numId w:val="299"/>
        </w:numPr>
        <w:rPr>
          <w:rFonts w:ascii="Arial" w:cs="Arial" w:eastAsia="Arial" w:hAnsi="Arial"/>
          <w:sz w:val="17"/>
          <w:szCs w:val="17"/>
          <w:color w:val="auto"/>
        </w:rPr>
      </w:pPr>
      <w:r>
        <w:rPr>
          <w:rFonts w:ascii="Arial" w:cs="Arial" w:eastAsia="Arial" w:hAnsi="Arial"/>
          <w:sz w:val="17"/>
          <w:szCs w:val="17"/>
          <w:u w:val="single" w:color="auto"/>
          <w:color w:val="auto"/>
        </w:rPr>
        <w:t>Incorporation by Reference</w:t>
      </w:r>
      <w:r>
        <w:rPr>
          <w:rFonts w:ascii="Arial" w:cs="Arial" w:eastAsia="Arial" w:hAnsi="Arial"/>
          <w:sz w:val="17"/>
          <w:szCs w:val="17"/>
          <w:color w:val="auto"/>
        </w:rPr>
        <w:t>. The provisions of the Plan are incorporated herein by reference. Except as otherwise expressly set forth herein, this Agreement shall be construed in accordance with the provisions of the Plan and any interpretations, amendments, rules and regulations promulgated by the Committee from time to time pursuant to the Plan. Any capitalized terms not otherwise defined in this Agreement shall have the definitions set forth in the Plan. The Committee shall have final authority to interpret and construe the Plan and this Agreement and to make any and all determinations under them, and its decision shall be binding and conclusive upon the Participant and his legal representative in respect of any questions arising under the Plan or this Agreement. The Participant acknowledges that he has received a copy of the Plan and has had an opportunity to review the Plan and agrees to be bound by all the terms and provisions of the Plan.</w:t>
      </w:r>
    </w:p>
    <w:p>
      <w:pPr>
        <w:sectPr>
          <w:pgSz w:w="11900" w:h="16838" w:orient="portrait"/>
          <w:cols w:equalWidth="0" w:num="1">
            <w:col w:w="11265"/>
          </w:cols>
          <w:pgMar w:left="315" w:top="1234" w:right="319" w:bottom="1440" w:gutter="0" w:footer="0" w:header="0"/>
        </w:sectPr>
      </w:pPr>
    </w:p>
    <w:bookmarkStart w:id="377" w:name="page378"/>
    <w:bookmarkEnd w:id="377"/>
    <w:p>
      <w:pPr>
        <w:ind w:left="305" w:hanging="305"/>
        <w:spacing w:after="0"/>
        <w:tabs>
          <w:tab w:leader="none" w:pos="305" w:val="left"/>
        </w:tabs>
        <w:numPr>
          <w:ilvl w:val="0"/>
          <w:numId w:val="300"/>
        </w:numPr>
        <w:rPr>
          <w:rFonts w:ascii="Arial" w:cs="Arial" w:eastAsia="Arial" w:hAnsi="Arial"/>
          <w:sz w:val="17"/>
          <w:szCs w:val="17"/>
          <w:b w:val="1"/>
          <w:bCs w:val="1"/>
          <w:color w:val="auto"/>
        </w:rPr>
      </w:pPr>
      <w:r>
        <w:rPr>
          <w:rFonts w:ascii="Arial" w:cs="Arial" w:eastAsia="Arial" w:hAnsi="Arial"/>
          <w:sz w:val="17"/>
          <w:szCs w:val="17"/>
          <w:b w:val="1"/>
          <w:bCs w:val="1"/>
          <w:color w:val="auto"/>
        </w:rPr>
        <w:t>Vesting and Settlement.</w:t>
      </w:r>
    </w:p>
    <w:p>
      <w:pPr>
        <w:spacing w:after="0" w:line="165" w:lineRule="exact"/>
        <w:rPr>
          <w:rFonts w:ascii="Arial" w:cs="Arial" w:eastAsia="Arial" w:hAnsi="Arial"/>
          <w:sz w:val="17"/>
          <w:szCs w:val="17"/>
          <w:b w:val="1"/>
          <w:bCs w:val="1"/>
          <w:color w:val="auto"/>
        </w:rPr>
      </w:pPr>
    </w:p>
    <w:p>
      <w:pPr>
        <w:ind w:left="5" w:right="100" w:firstLine="563"/>
        <w:spacing w:after="0"/>
        <w:tabs>
          <w:tab w:leader="none" w:pos="939" w:val="left"/>
        </w:tabs>
        <w:numPr>
          <w:ilvl w:val="1"/>
          <w:numId w:val="300"/>
        </w:numPr>
        <w:rPr>
          <w:rFonts w:ascii="Arial" w:cs="Arial" w:eastAsia="Arial" w:hAnsi="Arial"/>
          <w:sz w:val="15"/>
          <w:szCs w:val="15"/>
          <w:color w:val="auto"/>
        </w:rPr>
      </w:pPr>
      <w:r>
        <w:rPr>
          <w:rFonts w:ascii="Arial" w:cs="Arial" w:eastAsia="Arial" w:hAnsi="Arial"/>
          <w:sz w:val="15"/>
          <w:szCs w:val="15"/>
          <w:color w:val="auto"/>
        </w:rPr>
        <w:t>Except as may otherwise be provided herein, subject to the Participant’s continued employment or service with the Company or an Affiliate, forty percent (40%) of the RSUs shall be vested as of the Date of Grant, with the remaining sixty percent (60%) vesting in equal installments on each of the first three</w:t>
      </w:r>
    </w:p>
    <w:p>
      <w:pPr>
        <w:ind w:left="5"/>
        <w:spacing w:after="0" w:line="233" w:lineRule="auto"/>
        <w:rPr>
          <w:rFonts w:ascii="Arial" w:cs="Arial" w:eastAsia="Arial" w:hAnsi="Arial"/>
          <w:sz w:val="15"/>
          <w:szCs w:val="15"/>
          <w:color w:val="auto"/>
        </w:rPr>
      </w:pPr>
      <w:r>
        <w:rPr>
          <w:rFonts w:ascii="Arial" w:cs="Arial" w:eastAsia="Arial" w:hAnsi="Arial"/>
          <w:sz w:val="16"/>
          <w:szCs w:val="16"/>
          <w:color w:val="auto"/>
        </w:rPr>
        <w:t>(3) anniversaries of the Date of Grant (each such date, a “</w:t>
      </w:r>
      <w:r>
        <w:rPr>
          <w:rFonts w:ascii="Arial" w:cs="Arial" w:eastAsia="Arial" w:hAnsi="Arial"/>
          <w:sz w:val="16"/>
          <w:szCs w:val="16"/>
          <w:u w:val="single" w:color="auto"/>
          <w:color w:val="auto"/>
        </w:rPr>
        <w:t>Vesting Date</w:t>
      </w:r>
      <w:r>
        <w:rPr>
          <w:rFonts w:ascii="Arial" w:cs="Arial" w:eastAsia="Arial" w:hAnsi="Arial"/>
          <w:sz w:val="16"/>
          <w:szCs w:val="16"/>
          <w:color w:val="auto"/>
        </w:rPr>
        <w:t>”). Upon each Vesting Date, such portion of the RSUs that vest on such date shall no longer be subject to the transfer restrictions pursuant to Section 9(a) hereof or cancellation pursuant to Section 4 hereof. Any fractional RSUs resulting from the application of the vesting schedule shall be aggregated and the RSUs resulting from such aggregation shall vest on the final Vesting Date.</w:t>
      </w:r>
    </w:p>
    <w:p>
      <w:pPr>
        <w:spacing w:after="0" w:line="137" w:lineRule="exact"/>
        <w:rPr>
          <w:sz w:val="20"/>
          <w:szCs w:val="20"/>
          <w:color w:val="auto"/>
        </w:rPr>
      </w:pPr>
    </w:p>
    <w:p>
      <w:pPr>
        <w:ind w:left="5" w:right="400" w:firstLine="563"/>
        <w:spacing w:after="0" w:line="237" w:lineRule="auto"/>
        <w:tabs>
          <w:tab w:leader="none" w:pos="936" w:val="left"/>
        </w:tabs>
        <w:numPr>
          <w:ilvl w:val="1"/>
          <w:numId w:val="301"/>
        </w:numPr>
        <w:rPr>
          <w:rFonts w:ascii="Arial" w:cs="Arial" w:eastAsia="Arial" w:hAnsi="Arial"/>
          <w:sz w:val="17"/>
          <w:szCs w:val="17"/>
          <w:color w:val="auto"/>
        </w:rPr>
      </w:pPr>
      <w:r>
        <w:rPr>
          <w:rFonts w:ascii="Arial" w:cs="Arial" w:eastAsia="Arial" w:hAnsi="Arial"/>
          <w:sz w:val="17"/>
          <w:szCs w:val="17"/>
          <w:color w:val="auto"/>
        </w:rPr>
        <w:t>Vested RSUs shall be settled in shares of Class A Common Stock, or cash, as determined by the Committee in its sole discretion, at the time(s) specified pursuant to the Cifu 2021 Deferral Election, a copy of which is attached and incorporated herein.</w:t>
      </w:r>
    </w:p>
    <w:p>
      <w:pPr>
        <w:spacing w:after="0" w:line="128" w:lineRule="exact"/>
        <w:rPr>
          <w:rFonts w:ascii="Arial" w:cs="Arial" w:eastAsia="Arial" w:hAnsi="Arial"/>
          <w:sz w:val="17"/>
          <w:szCs w:val="17"/>
          <w:color w:val="auto"/>
        </w:rPr>
      </w:pPr>
    </w:p>
    <w:p>
      <w:pPr>
        <w:ind w:left="5" w:right="40" w:hanging="5"/>
        <w:spacing w:after="0" w:line="215" w:lineRule="auto"/>
        <w:tabs>
          <w:tab w:leader="none" w:pos="309" w:val="left"/>
        </w:tabs>
        <w:numPr>
          <w:ilvl w:val="0"/>
          <w:numId w:val="30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Dividend Equivalents. </w:t>
      </w:r>
      <w:r>
        <w:rPr>
          <w:rFonts w:ascii="Arial" w:cs="Arial" w:eastAsia="Arial" w:hAnsi="Arial"/>
          <w:sz w:val="17"/>
          <w:szCs w:val="17"/>
          <w:color w:val="auto"/>
        </w:rPr>
        <w:t>In the event of any issuance of a cash dividend on the shares of Class A Common Stock (a “</w:t>
      </w:r>
      <w:r>
        <w:rPr>
          <w:rFonts w:ascii="Arial" w:cs="Arial" w:eastAsia="Arial" w:hAnsi="Arial"/>
          <w:sz w:val="17"/>
          <w:szCs w:val="17"/>
          <w:u w:val="single" w:color="auto"/>
          <w:color w:val="auto"/>
        </w:rPr>
        <w:t>Dividend</w:t>
      </w:r>
      <w:r>
        <w:rPr>
          <w:rFonts w:ascii="Arial" w:cs="Arial" w:eastAsia="Arial" w:hAnsi="Arial"/>
          <w:sz w:val="17"/>
          <w:szCs w:val="17"/>
          <w:color w:val="auto"/>
        </w:rPr>
        <w:t>”), the Participant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entitled to receive, with respect to each RSU granted pursuant to this Agreement and outstanding as of the record date for such Dividend, payment of an amount equal to the Dividend at the same time as the Dividend is paid to holders of shares of Class A Common Stock generally;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that to the extent any RSUs issued hereunder remain subject to the deferral as specified in the Cifu 2021 Deferral Election, any such Dividends otherwise payable thereon shall be credited to the Participant but not paid until such RSUs are settled in accordance with Section 2(c) herein and otherwise in accordance with the terms of the Cifu 2021 Deferral Election and the Deferred Compensation Plan.</w:t>
      </w:r>
    </w:p>
    <w:p>
      <w:pPr>
        <w:spacing w:after="0" w:line="133" w:lineRule="exact"/>
        <w:rPr>
          <w:rFonts w:ascii="Arial" w:cs="Arial" w:eastAsia="Arial" w:hAnsi="Arial"/>
          <w:sz w:val="17"/>
          <w:szCs w:val="17"/>
          <w:b w:val="1"/>
          <w:bCs w:val="1"/>
          <w:color w:val="auto"/>
        </w:rPr>
      </w:pPr>
    </w:p>
    <w:p>
      <w:pPr>
        <w:ind w:left="5" w:hanging="5"/>
        <w:spacing w:after="0" w:line="222" w:lineRule="auto"/>
        <w:tabs>
          <w:tab w:leader="none" w:pos="306" w:val="left"/>
        </w:tabs>
        <w:numPr>
          <w:ilvl w:val="0"/>
          <w:numId w:val="30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Termination of Employment or Service. </w:t>
      </w:r>
      <w:r>
        <w:rPr>
          <w:rFonts w:ascii="Arial" w:cs="Arial" w:eastAsia="Arial" w:hAnsi="Arial"/>
          <w:sz w:val="16"/>
          <w:szCs w:val="16"/>
          <w:color w:val="auto"/>
        </w:rPr>
        <w:t>If the Participant’s employment or service with the Company and its Affiliates terminates for any reason, all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unvested RSUs shall be cancelled immediately and the Participant shall not be entitled to receive any payments with respect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of the Participant’s Retirement (as defined below) and compliance with the terms thereof, the RSUs shall continue vesting in accordance with the terms of this Agreement as if the Participant remained employed through each Vesting Date (subject to the forfeiture provisions of the Plan and the clawback provisions set forth herein). For purposes of this Agreement, “</w:t>
      </w:r>
      <w:r>
        <w:rPr>
          <w:rFonts w:ascii="Arial" w:cs="Arial" w:eastAsia="Arial" w:hAnsi="Arial"/>
          <w:sz w:val="16"/>
          <w:szCs w:val="16"/>
          <w:u w:val="single" w:color="auto"/>
          <w:color w:val="auto"/>
        </w:rPr>
        <w:t>Retirement</w:t>
      </w:r>
      <w:r>
        <w:rPr>
          <w:rFonts w:ascii="Arial" w:cs="Arial" w:eastAsia="Arial" w:hAnsi="Arial"/>
          <w:sz w:val="16"/>
          <w:szCs w:val="16"/>
          <w:color w:val="auto"/>
        </w:rPr>
        <w:t>” means a determination by the Company, in its sole and absolute discretion, that the Participant has had a retirement from the Company and its Affiliates upon a voluntary resignation of employment by the Participant (i) after the Participant completed a minimum of five (5) full years of service as an employee of the Company and its Affiliates (regardless of whether such service is continuous), (ii) the Participant having attained the age of fifty (50) at the time of termination, (iii) the sum of the Participant’s years of service and age equals or exceeds sixty-five (65) at the time of termination, (iv) the Participant has entered into and complies with the terms of a non-compete agreement with a term equal to the greater of (x) two years and (y) the remaining period up to and including the Vesting Date in a form to be provided by the Company and (v) the Participant has duly executed, delivered and not revoked a customary release and waiver of all claims in a form acceptable to the Company. For the avoidance of doubt, any failure to comply with the terms of such non-compete agreement will result in the forfeiture of any unvested RSUs.</w:t>
      </w:r>
    </w:p>
    <w:p>
      <w:pPr>
        <w:spacing w:after="0" w:line="136" w:lineRule="exact"/>
        <w:rPr>
          <w:rFonts w:ascii="Arial" w:cs="Arial" w:eastAsia="Arial" w:hAnsi="Arial"/>
          <w:sz w:val="16"/>
          <w:szCs w:val="16"/>
          <w:b w:val="1"/>
          <w:bCs w:val="1"/>
          <w:color w:val="auto"/>
        </w:rPr>
      </w:pPr>
    </w:p>
    <w:p>
      <w:pPr>
        <w:ind w:left="5" w:hanging="5"/>
        <w:spacing w:after="0" w:line="218" w:lineRule="auto"/>
        <w:tabs>
          <w:tab w:leader="none" w:pos="309" w:val="left"/>
        </w:tabs>
        <w:numPr>
          <w:ilvl w:val="0"/>
          <w:numId w:val="30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Rights as a Stockholder. </w:t>
      </w:r>
      <w:r>
        <w:rPr>
          <w:rFonts w:ascii="Arial" w:cs="Arial" w:eastAsia="Arial" w:hAnsi="Arial"/>
          <w:sz w:val="17"/>
          <w:szCs w:val="17"/>
          <w:color w:val="auto"/>
        </w:rPr>
        <w:t>The Participant shall not be deemed for any purpose to be the owner of any shares of Class A Common Stock underlying the RSUs</w:t>
      </w:r>
      <w:r>
        <w:rPr>
          <w:rFonts w:ascii="Arial" w:cs="Arial" w:eastAsia="Arial" w:hAnsi="Arial"/>
          <w:sz w:val="17"/>
          <w:szCs w:val="17"/>
          <w:b w:val="1"/>
          <w:bCs w:val="1"/>
          <w:color w:val="auto"/>
        </w:rPr>
        <w:t xml:space="preserve"> </w:t>
      </w:r>
      <w:r>
        <w:rPr>
          <w:rFonts w:ascii="Arial" w:cs="Arial" w:eastAsia="Arial" w:hAnsi="Arial"/>
          <w:sz w:val="17"/>
          <w:szCs w:val="17"/>
          <w:color w:val="auto"/>
        </w:rPr>
        <w:t>unless, until and to the extent that (i) the Company shall have issued and delivered to the Participant the shares of Class A Common Stock underlying the RSUs and (ii) the Participant’s name shall have been entered as a stockholder of record with respect to such shares of Class A Common Stock on the books of the Company. The Company shall cause the actions described in clauses (i) and (ii) of the preceding sentence to occur promptly following settlement as contemplated by this Agreement, subject to compliance with applicable laws.</w:t>
      </w:r>
    </w:p>
    <w:p>
      <w:pPr>
        <w:spacing w:after="0" w:line="130" w:lineRule="exact"/>
        <w:rPr>
          <w:rFonts w:ascii="Arial" w:cs="Arial" w:eastAsia="Arial" w:hAnsi="Arial"/>
          <w:sz w:val="17"/>
          <w:szCs w:val="17"/>
          <w:b w:val="1"/>
          <w:bCs w:val="1"/>
          <w:color w:val="auto"/>
        </w:rPr>
      </w:pPr>
    </w:p>
    <w:p>
      <w:pPr>
        <w:ind w:left="305" w:hanging="305"/>
        <w:spacing w:after="0"/>
        <w:tabs>
          <w:tab w:leader="none" w:pos="305" w:val="left"/>
        </w:tabs>
        <w:numPr>
          <w:ilvl w:val="0"/>
          <w:numId w:val="302"/>
        </w:numPr>
        <w:rPr>
          <w:rFonts w:ascii="Arial" w:cs="Arial" w:eastAsia="Arial" w:hAnsi="Arial"/>
          <w:sz w:val="17"/>
          <w:szCs w:val="17"/>
          <w:b w:val="1"/>
          <w:bCs w:val="1"/>
          <w:color w:val="auto"/>
        </w:rPr>
      </w:pPr>
      <w:r>
        <w:rPr>
          <w:rFonts w:ascii="Arial" w:cs="Arial" w:eastAsia="Arial" w:hAnsi="Arial"/>
          <w:sz w:val="17"/>
          <w:szCs w:val="17"/>
          <w:b w:val="1"/>
          <w:bCs w:val="1"/>
          <w:color w:val="auto"/>
        </w:rPr>
        <w:t>Compliance with Legal Requirements.</w:t>
      </w:r>
    </w:p>
    <w:p>
      <w:pPr>
        <w:spacing w:after="0" w:line="165" w:lineRule="exact"/>
        <w:rPr>
          <w:rFonts w:ascii="Arial" w:cs="Arial" w:eastAsia="Arial" w:hAnsi="Arial"/>
          <w:sz w:val="17"/>
          <w:szCs w:val="17"/>
          <w:b w:val="1"/>
          <w:bCs w:val="1"/>
          <w:color w:val="auto"/>
        </w:rPr>
      </w:pPr>
    </w:p>
    <w:p>
      <w:pPr>
        <w:ind w:left="5" w:right="100" w:firstLine="563"/>
        <w:spacing w:after="0" w:line="225" w:lineRule="auto"/>
        <w:tabs>
          <w:tab w:leader="none" w:pos="939" w:val="left"/>
        </w:tabs>
        <w:numPr>
          <w:ilvl w:val="1"/>
          <w:numId w:val="302"/>
        </w:numPr>
        <w:rPr>
          <w:rFonts w:ascii="Arial" w:cs="Arial" w:eastAsia="Arial" w:hAnsi="Arial"/>
          <w:sz w:val="17"/>
          <w:szCs w:val="17"/>
          <w:color w:val="auto"/>
        </w:rPr>
      </w:pPr>
      <w:r>
        <w:rPr>
          <w:rFonts w:ascii="Arial" w:cs="Arial" w:eastAsia="Arial" w:hAnsi="Arial"/>
          <w:sz w:val="17"/>
          <w:szCs w:val="17"/>
          <w:u w:val="single" w:color="auto"/>
          <w:color w:val="auto"/>
        </w:rPr>
        <w:t>Generally</w:t>
      </w:r>
      <w:r>
        <w:rPr>
          <w:rFonts w:ascii="Arial" w:cs="Arial" w:eastAsia="Arial" w:hAnsi="Arial"/>
          <w:sz w:val="17"/>
          <w:szCs w:val="17"/>
          <w:color w:val="auto"/>
        </w:rPr>
        <w:t>. The granting and settlement of the RSUs, and any other obligations of the Company under this Agreement, shall be subject to all applicable U.S. federal, state and local laws, rules and regulations, all applicable non-U.S. laws, rules and regulations and to such approvals by any regulatory or governmental agency as may be required. The Participant agrees to take all steps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4"/>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45"/>
          </w:cols>
          <w:pgMar w:left="315" w:top="1243" w:right="339" w:bottom="1440" w:gutter="0" w:footer="0" w:header="0"/>
        </w:sectPr>
      </w:pPr>
    </w:p>
    <w:bookmarkStart w:id="378" w:name="page379"/>
    <w:bookmarkEnd w:id="378"/>
    <w:p>
      <w:pPr>
        <w:ind w:left="5"/>
        <w:spacing w:after="0"/>
        <w:rPr>
          <w:sz w:val="20"/>
          <w:szCs w:val="20"/>
          <w:color w:val="auto"/>
        </w:rPr>
      </w:pPr>
      <w:r>
        <w:rPr>
          <w:rFonts w:ascii="Arial" w:cs="Arial" w:eastAsia="Arial" w:hAnsi="Arial"/>
          <w:sz w:val="16"/>
          <w:szCs w:val="16"/>
          <w:color w:val="auto"/>
        </w:rPr>
        <w:t>Committee or the Company determines are reasonably necessary to comply with all applicable provisions of U.S. federal and state securities law and non-U.S.</w:t>
      </w:r>
    </w:p>
    <w:p>
      <w:pPr>
        <w:ind w:left="5"/>
        <w:spacing w:after="0"/>
        <w:rPr>
          <w:sz w:val="20"/>
          <w:szCs w:val="20"/>
          <w:color w:val="auto"/>
        </w:rPr>
      </w:pPr>
      <w:r>
        <w:rPr>
          <w:rFonts w:ascii="Arial" w:cs="Arial" w:eastAsia="Arial" w:hAnsi="Arial"/>
          <w:sz w:val="17"/>
          <w:szCs w:val="17"/>
          <w:color w:val="auto"/>
        </w:rPr>
        <w:t>securities law in exercising his rights under this Agreement.</w:t>
      </w:r>
    </w:p>
    <w:p>
      <w:pPr>
        <w:spacing w:after="0" w:line="146" w:lineRule="exact"/>
        <w:rPr>
          <w:sz w:val="20"/>
          <w:szCs w:val="20"/>
          <w:color w:val="auto"/>
        </w:rPr>
      </w:pPr>
    </w:p>
    <w:p>
      <w:pPr>
        <w:ind w:left="5" w:right="20" w:firstLine="563"/>
        <w:spacing w:after="0" w:line="211" w:lineRule="auto"/>
        <w:tabs>
          <w:tab w:leader="none" w:pos="949" w:val="left"/>
        </w:tabs>
        <w:numPr>
          <w:ilvl w:val="1"/>
          <w:numId w:val="303"/>
        </w:numPr>
        <w:rPr>
          <w:rFonts w:ascii="Arial" w:cs="Arial" w:eastAsia="Arial" w:hAnsi="Arial"/>
          <w:sz w:val="17"/>
          <w:szCs w:val="17"/>
          <w:color w:val="auto"/>
        </w:rPr>
      </w:pPr>
      <w:r>
        <w:rPr>
          <w:rFonts w:ascii="Arial" w:cs="Arial" w:eastAsia="Arial" w:hAnsi="Arial"/>
          <w:sz w:val="17"/>
          <w:szCs w:val="17"/>
          <w:u w:val="single" w:color="auto"/>
          <w:color w:val="auto"/>
        </w:rPr>
        <w:t>Taxes and Withholding</w:t>
      </w:r>
      <w:r>
        <w:rPr>
          <w:rFonts w:ascii="Arial" w:cs="Arial" w:eastAsia="Arial" w:hAnsi="Arial"/>
          <w:sz w:val="17"/>
          <w:szCs w:val="17"/>
          <w:color w:val="auto"/>
        </w:rPr>
        <w:t>. The vesting and settlement of the RSUs shall be subject to the Participant satisfying any applicable U.S. federal, state and local tax withholding obligations and non-U.S. tax withholding obligations. The Participant shall be required to pay to the Company, and the Company shall have the right and is hereby authorized to withhold any cash, shares of Class A Common Stock, other securities or other property or from any compensation or other amounts owing to the Participant, the amount (in cash, Class A Common Stock, other securities or other property) of any required withholding taxes in respect of the RSUs, settlement of the RSUs or any payment or transfer of the RSUs, and to take any such other action as the Committee or the Company deem necessary to satisfy all obligations for the payment of such withholding taxes. In its sole discretion, the Company may permit the Participant to satisfy, in whole or in part, the tax obligations by withholding shares of Class A Common Stock that would otherwise be deliverable to the Participant upon settlement of the RSUs with a Fair Market Value equal to such withholding liability.</w:t>
      </w:r>
    </w:p>
    <w:p>
      <w:pPr>
        <w:spacing w:after="0" w:line="134" w:lineRule="exact"/>
        <w:rPr>
          <w:rFonts w:ascii="Arial" w:cs="Arial" w:eastAsia="Arial" w:hAnsi="Arial"/>
          <w:sz w:val="17"/>
          <w:szCs w:val="17"/>
          <w:color w:val="auto"/>
        </w:rPr>
      </w:pPr>
    </w:p>
    <w:p>
      <w:pPr>
        <w:ind w:left="5" w:hanging="5"/>
        <w:spacing w:after="0" w:line="222" w:lineRule="auto"/>
        <w:tabs>
          <w:tab w:leader="none" w:pos="309" w:val="left"/>
        </w:tabs>
        <w:numPr>
          <w:ilvl w:val="0"/>
          <w:numId w:val="30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Clawback. </w:t>
      </w:r>
      <w:r>
        <w:rPr>
          <w:rFonts w:ascii="Arial" w:cs="Arial" w:eastAsia="Arial" w:hAnsi="Arial"/>
          <w:sz w:val="16"/>
          <w:szCs w:val="16"/>
          <w:color w:val="auto"/>
        </w:rPr>
        <w:t>Notwithstanding anything to the contrary contained herein, the Committee may cancel the RSU award if the Participant, without the consent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has engaged in or engages in activity that is in conflict with or adverse to the interest of the Company or any Affiliate while employed by or providing services to the Company or any Affiliate, including fraud or conduct contributing to any financial restatements or irregularities, or violates a non-competition, non-solicitation, non-disparagement, non-disclosure or confidentiality covenant or agreement with the Company or any Affiliate, as determined by the Committee. In such event, the Participant will forfeit any compensation, gain or other value realized previously or thereafter on the vesting or settlement of the RSUs, the sale or other transfer of the RSUs, or the sale of shares of Class A Common Stock acquired in respect of the RSUs, and must promptly repay such amounts to the Company. If the Participant receives any amount in excess of what the Participant should have received under the terms of the RSUs for any reason (including without limitation by reason of a financial restatement, mistake in calculations or other administrative error), all as determined by the Committee, then the Participant shall be required to promptly repay any such excess amount to the Company. To the extent required by applicable law and/or the rules and regulations of NASDAQ or any other securities exchange or inter-dealer quotation system on which the Class A Common Stock is listed or quoted, or if so required pursuant to a written policy adopted by the Company, and the RSUs shall be subject (including on a retroactive basis) to clawback, forfeiture or similar requirements (and such requirements shall be deemed incorporated by reference into this Agreement).</w:t>
      </w:r>
    </w:p>
    <w:p>
      <w:pPr>
        <w:spacing w:after="0" w:line="136" w:lineRule="exact"/>
        <w:rPr>
          <w:rFonts w:ascii="Arial" w:cs="Arial" w:eastAsia="Arial" w:hAnsi="Arial"/>
          <w:sz w:val="16"/>
          <w:szCs w:val="16"/>
          <w:b w:val="1"/>
          <w:bCs w:val="1"/>
          <w:color w:val="auto"/>
        </w:rPr>
      </w:pPr>
    </w:p>
    <w:p>
      <w:pPr>
        <w:ind w:left="305" w:hanging="305"/>
        <w:spacing w:after="0"/>
        <w:tabs>
          <w:tab w:leader="none" w:pos="305" w:val="left"/>
        </w:tabs>
        <w:numPr>
          <w:ilvl w:val="0"/>
          <w:numId w:val="304"/>
        </w:numPr>
        <w:rPr>
          <w:rFonts w:ascii="Arial" w:cs="Arial" w:eastAsia="Arial" w:hAnsi="Arial"/>
          <w:sz w:val="17"/>
          <w:szCs w:val="17"/>
          <w:b w:val="1"/>
          <w:bCs w:val="1"/>
          <w:color w:val="auto"/>
        </w:rPr>
      </w:pPr>
      <w:r>
        <w:rPr>
          <w:rFonts w:ascii="Arial" w:cs="Arial" w:eastAsia="Arial" w:hAnsi="Arial"/>
          <w:sz w:val="17"/>
          <w:szCs w:val="17"/>
          <w:b w:val="1"/>
          <w:bCs w:val="1"/>
          <w:color w:val="auto"/>
        </w:rPr>
        <w:t>Contractual Obligations.</w:t>
      </w:r>
    </w:p>
    <w:p>
      <w:pPr>
        <w:spacing w:after="0" w:line="165" w:lineRule="exact"/>
        <w:rPr>
          <w:rFonts w:ascii="Arial" w:cs="Arial" w:eastAsia="Arial" w:hAnsi="Arial"/>
          <w:sz w:val="17"/>
          <w:szCs w:val="17"/>
          <w:b w:val="1"/>
          <w:bCs w:val="1"/>
          <w:color w:val="auto"/>
        </w:rPr>
      </w:pPr>
    </w:p>
    <w:p>
      <w:pPr>
        <w:ind w:left="5" w:right="20" w:firstLine="563"/>
        <w:spacing w:after="0" w:line="225" w:lineRule="auto"/>
        <w:tabs>
          <w:tab w:leader="none" w:pos="939" w:val="left"/>
        </w:tabs>
        <w:numPr>
          <w:ilvl w:val="1"/>
          <w:numId w:val="304"/>
        </w:numPr>
        <w:rPr>
          <w:rFonts w:ascii="Arial" w:cs="Arial" w:eastAsia="Arial" w:hAnsi="Arial"/>
          <w:sz w:val="17"/>
          <w:szCs w:val="17"/>
          <w:color w:val="auto"/>
        </w:rPr>
      </w:pPr>
      <w:r>
        <w:rPr>
          <w:rFonts w:ascii="Arial" w:cs="Arial" w:eastAsia="Arial" w:hAnsi="Arial"/>
          <w:sz w:val="17"/>
          <w:szCs w:val="17"/>
          <w:color w:val="auto"/>
        </w:rPr>
        <w:t xml:space="preserve">Nothing in this Agreement shall supersede, modify, replace or cancel any existing contractual obligations, including but not limited to restrictive covenants, applicable to you in </w:t>
      </w:r>
      <w:r>
        <w:rPr>
          <w:rFonts w:ascii="Arial" w:cs="Arial" w:eastAsia="Arial" w:hAnsi="Arial"/>
          <w:sz w:val="17"/>
          <w:szCs w:val="17"/>
          <w:i w:val="1"/>
          <w:iCs w:val="1"/>
          <w:u w:val="single" w:color="auto"/>
          <w:color w:val="auto"/>
        </w:rPr>
        <w:t>any</w:t>
      </w:r>
      <w:r>
        <w:rPr>
          <w:rFonts w:ascii="Arial" w:cs="Arial" w:eastAsia="Arial" w:hAnsi="Arial"/>
          <w:sz w:val="17"/>
          <w:szCs w:val="17"/>
          <w:color w:val="auto"/>
        </w:rPr>
        <w:t xml:space="preserve"> employment agreement, offer letter, prior equity award agreement or any other agreement or contract with the Company or its Affiliates.</w:t>
      </w:r>
    </w:p>
    <w:p>
      <w:pPr>
        <w:spacing w:after="0" w:line="136" w:lineRule="exact"/>
        <w:rPr>
          <w:rFonts w:ascii="Arial" w:cs="Arial" w:eastAsia="Arial" w:hAnsi="Arial"/>
          <w:sz w:val="17"/>
          <w:szCs w:val="17"/>
          <w:color w:val="auto"/>
        </w:rPr>
      </w:pPr>
    </w:p>
    <w:p>
      <w:pPr>
        <w:ind w:left="5" w:firstLine="563"/>
        <w:spacing w:after="0" w:line="216" w:lineRule="auto"/>
        <w:tabs>
          <w:tab w:leader="none" w:pos="949" w:val="left"/>
        </w:tabs>
        <w:numPr>
          <w:ilvl w:val="1"/>
          <w:numId w:val="304"/>
        </w:numPr>
        <w:rPr>
          <w:rFonts w:ascii="Arial" w:cs="Arial" w:eastAsia="Arial" w:hAnsi="Arial"/>
          <w:sz w:val="17"/>
          <w:szCs w:val="17"/>
          <w:color w:val="auto"/>
        </w:rPr>
      </w:pPr>
      <w:r>
        <w:rPr>
          <w:rFonts w:ascii="Arial" w:cs="Arial" w:eastAsia="Arial" w:hAnsi="Arial"/>
          <w:sz w:val="17"/>
          <w:szCs w:val="17"/>
          <w:color w:val="auto"/>
        </w:rPr>
        <w:t>In the event that the Participant violates any of the contractual obligations referred to in this Section 8, in addition to any other remedy which may be available at law or in equity, the RSUs shall be automatically forfeited effective as of the date on which such violation first occurs. The foregoing rights and remedies are in addition to any other rights and remedies that may be available to the Company and shall not prevent (and the Participant shall not assert that they shall prevent) the Company from bringing one or more actions in any applicable jurisdiction to recover damages as a result of the Participant’s breach of such restrictive covenants.</w:t>
      </w:r>
    </w:p>
    <w:p>
      <w:pPr>
        <w:spacing w:after="0" w:line="132" w:lineRule="exact"/>
        <w:rPr>
          <w:rFonts w:ascii="Arial" w:cs="Arial" w:eastAsia="Arial" w:hAnsi="Arial"/>
          <w:sz w:val="17"/>
          <w:szCs w:val="17"/>
          <w:color w:val="auto"/>
        </w:rPr>
      </w:pPr>
    </w:p>
    <w:p>
      <w:pPr>
        <w:ind w:left="305" w:hanging="305"/>
        <w:spacing w:after="0"/>
        <w:tabs>
          <w:tab w:leader="none" w:pos="305" w:val="left"/>
        </w:tabs>
        <w:numPr>
          <w:ilvl w:val="0"/>
          <w:numId w:val="304"/>
        </w:numPr>
        <w:rPr>
          <w:rFonts w:ascii="Arial" w:cs="Arial" w:eastAsia="Arial" w:hAnsi="Arial"/>
          <w:sz w:val="17"/>
          <w:szCs w:val="17"/>
          <w:b w:val="1"/>
          <w:bCs w:val="1"/>
          <w:color w:val="auto"/>
        </w:rPr>
      </w:pPr>
      <w:r>
        <w:rPr>
          <w:rFonts w:ascii="Arial" w:cs="Arial" w:eastAsia="Arial" w:hAnsi="Arial"/>
          <w:sz w:val="17"/>
          <w:szCs w:val="17"/>
          <w:b w:val="1"/>
          <w:bCs w:val="1"/>
          <w:color w:val="auto"/>
        </w:rPr>
        <w:t>Miscellaneous.</w:t>
      </w:r>
    </w:p>
    <w:p>
      <w:pPr>
        <w:spacing w:after="0" w:line="165" w:lineRule="exact"/>
        <w:rPr>
          <w:rFonts w:ascii="Arial" w:cs="Arial" w:eastAsia="Arial" w:hAnsi="Arial"/>
          <w:sz w:val="17"/>
          <w:szCs w:val="17"/>
          <w:b w:val="1"/>
          <w:bCs w:val="1"/>
          <w:color w:val="auto"/>
        </w:rPr>
      </w:pPr>
    </w:p>
    <w:p>
      <w:pPr>
        <w:ind w:left="5" w:right="360" w:firstLine="563"/>
        <w:spacing w:after="0" w:line="225" w:lineRule="auto"/>
        <w:tabs>
          <w:tab w:leader="none" w:pos="939" w:val="left"/>
        </w:tabs>
        <w:numPr>
          <w:ilvl w:val="1"/>
          <w:numId w:val="304"/>
        </w:numPr>
        <w:rPr>
          <w:rFonts w:ascii="Arial" w:cs="Arial" w:eastAsia="Arial" w:hAnsi="Arial"/>
          <w:sz w:val="17"/>
          <w:szCs w:val="17"/>
          <w:color w:val="auto"/>
        </w:rPr>
      </w:pPr>
      <w:r>
        <w:rPr>
          <w:rFonts w:ascii="Arial" w:cs="Arial" w:eastAsia="Arial" w:hAnsi="Arial"/>
          <w:sz w:val="17"/>
          <w:szCs w:val="17"/>
          <w:u w:val="single" w:color="auto"/>
          <w:color w:val="auto"/>
        </w:rPr>
        <w:t>Transferability</w:t>
      </w:r>
      <w:r>
        <w:rPr>
          <w:rFonts w:ascii="Arial" w:cs="Arial" w:eastAsia="Arial" w:hAnsi="Arial"/>
          <w:sz w:val="17"/>
          <w:szCs w:val="17"/>
          <w:color w:val="auto"/>
        </w:rPr>
        <w:t>. The RSUs may not be assigned, alienated, pledged, attached, sold or otherwise transferred or encumbered (a “</w:t>
      </w:r>
      <w:r>
        <w:rPr>
          <w:rFonts w:ascii="Arial" w:cs="Arial" w:eastAsia="Arial" w:hAnsi="Arial"/>
          <w:sz w:val="17"/>
          <w:szCs w:val="17"/>
          <w:u w:val="single" w:color="auto"/>
          <w:color w:val="auto"/>
        </w:rPr>
        <w:t>Transfer</w:t>
      </w:r>
      <w:r>
        <w:rPr>
          <w:rFonts w:ascii="Arial" w:cs="Arial" w:eastAsia="Arial" w:hAnsi="Arial"/>
          <w:sz w:val="17"/>
          <w:szCs w:val="17"/>
          <w:color w:val="auto"/>
        </w:rPr>
        <w:t>”) by the Participant other than by will or by the laws of descent and distribution, pursuant to a qualified domestic relations order or as otherwise permitted under Section 15(b) of the Plan. Any attempted Transfer of the RSUs contrary to the provisions hereof,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4"/>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45"/>
          </w:cols>
          <w:pgMar w:left="315" w:top="1245" w:right="339" w:bottom="1440" w:gutter="0" w:footer="0" w:header="0"/>
        </w:sectPr>
      </w:pPr>
    </w:p>
    <w:bookmarkStart w:id="379" w:name="page380"/>
    <w:bookmarkEnd w:id="379"/>
    <w:p>
      <w:pPr>
        <w:spacing w:after="0"/>
        <w:rPr>
          <w:sz w:val="20"/>
          <w:szCs w:val="20"/>
          <w:color w:val="auto"/>
        </w:rPr>
      </w:pPr>
      <w:r>
        <w:rPr>
          <w:rFonts w:ascii="Arial" w:cs="Arial" w:eastAsia="Arial" w:hAnsi="Arial"/>
          <w:sz w:val="17"/>
          <w:szCs w:val="17"/>
          <w:color w:val="auto"/>
        </w:rPr>
        <w:t>levy of any execution, attachment or similar process upon the RSUs, shall be null and void and without effect.</w:t>
      </w:r>
    </w:p>
    <w:p>
      <w:pPr>
        <w:spacing w:after="0" w:line="160" w:lineRule="exact"/>
        <w:rPr>
          <w:sz w:val="20"/>
          <w:szCs w:val="20"/>
          <w:color w:val="auto"/>
        </w:rPr>
      </w:pPr>
    </w:p>
    <w:p>
      <w:pPr>
        <w:jc w:val="both"/>
        <w:ind w:right="160" w:firstLine="563"/>
        <w:spacing w:after="0" w:line="220" w:lineRule="auto"/>
        <w:tabs>
          <w:tab w:leader="none" w:pos="944" w:val="left"/>
        </w:tabs>
        <w:numPr>
          <w:ilvl w:val="0"/>
          <w:numId w:val="305"/>
        </w:numPr>
        <w:rPr>
          <w:rFonts w:ascii="Arial" w:cs="Arial" w:eastAsia="Arial" w:hAnsi="Arial"/>
          <w:sz w:val="17"/>
          <w:szCs w:val="17"/>
          <w:color w:val="auto"/>
        </w:rPr>
      </w:pPr>
      <w:r>
        <w:rPr>
          <w:rFonts w:ascii="Arial" w:cs="Arial" w:eastAsia="Arial" w:hAnsi="Arial"/>
          <w:sz w:val="17"/>
          <w:szCs w:val="17"/>
          <w:u w:val="single" w:color="auto"/>
          <w:color w:val="auto"/>
        </w:rPr>
        <w:t>Waiver</w:t>
      </w:r>
      <w:r>
        <w:rPr>
          <w:rFonts w:ascii="Arial" w:cs="Arial" w:eastAsia="Arial" w:hAnsi="Arial"/>
          <w:sz w:val="17"/>
          <w:szCs w:val="17"/>
          <w:color w:val="auto"/>
        </w:rPr>
        <w:t>. Any right of the Company contained in this Agreement may be waived in writing by the Committee. No waiver of any right hereunder by any party shall operate as a waiver of any other right, or as a waiver of the same right with respect to any subsequent occasion for its exercise, or as a waiver of any right to damages. No waiver by any party of any breach of this Agreement shall be held to constitute a waiver of any other breach or a waiver of the continuation of the same breach.</w:t>
      </w:r>
    </w:p>
    <w:p>
      <w:pPr>
        <w:spacing w:after="0" w:line="119" w:lineRule="exact"/>
        <w:rPr>
          <w:rFonts w:ascii="Arial" w:cs="Arial" w:eastAsia="Arial" w:hAnsi="Arial"/>
          <w:sz w:val="17"/>
          <w:szCs w:val="17"/>
          <w:color w:val="auto"/>
        </w:rPr>
      </w:pPr>
    </w:p>
    <w:p>
      <w:pPr>
        <w:ind w:left="920" w:hanging="357"/>
        <w:spacing w:after="0"/>
        <w:tabs>
          <w:tab w:leader="none" w:pos="920" w:val="left"/>
        </w:tabs>
        <w:numPr>
          <w:ilvl w:val="0"/>
          <w:numId w:val="305"/>
        </w:numPr>
        <w:rPr>
          <w:rFonts w:ascii="Arial" w:cs="Arial" w:eastAsia="Arial" w:hAnsi="Arial"/>
          <w:sz w:val="17"/>
          <w:szCs w:val="17"/>
          <w:color w:val="auto"/>
        </w:rPr>
      </w:pPr>
      <w:r>
        <w:rPr>
          <w:rFonts w:ascii="Arial" w:cs="Arial" w:eastAsia="Arial" w:hAnsi="Arial"/>
          <w:sz w:val="17"/>
          <w:szCs w:val="17"/>
          <w:u w:val="single" w:color="auto"/>
          <w:color w:val="auto"/>
        </w:rPr>
        <w:t>Section 409A</w:t>
      </w:r>
      <w:r>
        <w:rPr>
          <w:rFonts w:ascii="Arial" w:cs="Arial" w:eastAsia="Arial" w:hAnsi="Arial"/>
          <w:sz w:val="17"/>
          <w:szCs w:val="17"/>
          <w:color w:val="auto"/>
        </w:rPr>
        <w:t>. The RSUs are intended to be exempt from, or compliant with, Section 409A of the Internal Revenue Code (“Code”).</w:t>
      </w:r>
    </w:p>
    <w:p>
      <w:pPr>
        <w:ind w:right="140"/>
        <w:spacing w:after="0" w:line="210" w:lineRule="auto"/>
        <w:rPr>
          <w:rFonts w:ascii="Arial" w:cs="Arial" w:eastAsia="Arial" w:hAnsi="Arial"/>
          <w:sz w:val="17"/>
          <w:szCs w:val="17"/>
          <w:color w:val="auto"/>
        </w:rPr>
      </w:pPr>
      <w:r>
        <w:rPr>
          <w:rFonts w:ascii="Arial" w:cs="Arial" w:eastAsia="Arial" w:hAnsi="Arial"/>
          <w:sz w:val="17"/>
          <w:szCs w:val="17"/>
          <w:color w:val="auto"/>
        </w:rPr>
        <w:t>Notwithstanding the foregoing or any provision of the Plan or this Agreement, if any provision of the Plan or this Agreement contravenes Section 409A of the Code or could cause the Participant to incur any tax, interest or penalties under Section 409A of the Code, the Committee may, in its sole discretion and without the Participant’s consent, modify such provision to (i) comply with, or avoid being subject to, Section 409A of the Code, or to avoid the incurrence of taxes, interest and penalties under Section 409A of the Code, and/or (ii) maintain, to the maximum extent practicable, the original intent and economic benefit to the Participant of the applicable provision without materially increasing the cost to the Company or contravening the provisions of Section 409A of the Code. This Section 9(c) does not create an obligation on the part of the Company to modify the Plan or this Agreement and does not guarantee that the RSUs will not be subject to interest and penalties under Section 409A.</w:t>
      </w:r>
    </w:p>
    <w:p>
      <w:pPr>
        <w:spacing w:after="0" w:line="138" w:lineRule="exact"/>
        <w:rPr>
          <w:rFonts w:ascii="Arial" w:cs="Arial" w:eastAsia="Arial" w:hAnsi="Arial"/>
          <w:sz w:val="17"/>
          <w:szCs w:val="17"/>
          <w:color w:val="auto"/>
        </w:rPr>
      </w:pPr>
    </w:p>
    <w:p>
      <w:pPr>
        <w:ind w:firstLine="563"/>
        <w:spacing w:after="0" w:line="297" w:lineRule="auto"/>
        <w:tabs>
          <w:tab w:leader="none" w:pos="944" w:val="left"/>
        </w:tabs>
        <w:numPr>
          <w:ilvl w:val="0"/>
          <w:numId w:val="305"/>
        </w:numPr>
        <w:rPr>
          <w:rFonts w:ascii="Arial" w:cs="Arial" w:eastAsia="Arial" w:hAnsi="Arial"/>
          <w:sz w:val="15"/>
          <w:szCs w:val="15"/>
          <w:color w:val="auto"/>
        </w:rPr>
      </w:pPr>
      <w:r>
        <w:rPr>
          <w:rFonts w:ascii="Arial" w:cs="Arial" w:eastAsia="Arial" w:hAnsi="Arial"/>
          <w:sz w:val="15"/>
          <w:szCs w:val="15"/>
          <w:u w:val="single" w:color="auto"/>
          <w:color w:val="auto"/>
        </w:rPr>
        <w:t>General Assets</w:t>
      </w:r>
      <w:r>
        <w:rPr>
          <w:rFonts w:ascii="Arial" w:cs="Arial" w:eastAsia="Arial" w:hAnsi="Arial"/>
          <w:sz w:val="15"/>
          <w:szCs w:val="15"/>
          <w:color w:val="auto"/>
        </w:rPr>
        <w:t>. All amounts credited in respect of the RSUs to the book-entry account under this Agreement shall continue for all purposes to be part of the general assets of the Company. The Participant’s interest in such account shall make the Participant only a general, unsecured creditor of the Company.</w:t>
      </w:r>
    </w:p>
    <w:p>
      <w:pPr>
        <w:spacing w:after="0" w:line="94" w:lineRule="exact"/>
        <w:rPr>
          <w:rFonts w:ascii="Arial" w:cs="Arial" w:eastAsia="Arial" w:hAnsi="Arial"/>
          <w:sz w:val="15"/>
          <w:szCs w:val="15"/>
          <w:color w:val="auto"/>
        </w:rPr>
      </w:pPr>
    </w:p>
    <w:p>
      <w:pPr>
        <w:ind w:right="20" w:firstLine="563"/>
        <w:spacing w:after="0" w:line="234" w:lineRule="auto"/>
        <w:tabs>
          <w:tab w:leader="none" w:pos="934" w:val="left"/>
        </w:tabs>
        <w:numPr>
          <w:ilvl w:val="0"/>
          <w:numId w:val="305"/>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notices provided for in this Agreement or the Plan shall be in writing and shall be deemed sufficiently given if either hand delivered or if sent by fax, pdf/email or overnight courier, or by postage paid first class mail. Notices sent by mail shall be deemed received three business days after mailing but in no event later than the date of actual receipt. Notices shall be directed, if to the Participant, at the Participant’s address indicated by the Company’s records, or if to the Company, to the attention of the General Counsel at the Company’s principal executive office.</w:t>
      </w:r>
    </w:p>
    <w:p>
      <w:pPr>
        <w:spacing w:after="0" w:line="134" w:lineRule="exact"/>
        <w:rPr>
          <w:rFonts w:ascii="Arial" w:cs="Arial" w:eastAsia="Arial" w:hAnsi="Arial"/>
          <w:sz w:val="16"/>
          <w:szCs w:val="16"/>
          <w:color w:val="auto"/>
        </w:rPr>
      </w:pPr>
    </w:p>
    <w:p>
      <w:pPr>
        <w:ind w:right="600" w:firstLine="563"/>
        <w:spacing w:after="0" w:line="264" w:lineRule="auto"/>
        <w:tabs>
          <w:tab w:leader="none" w:pos="915" w:val="left"/>
        </w:tabs>
        <w:numPr>
          <w:ilvl w:val="0"/>
          <w:numId w:val="305"/>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16" w:lineRule="exact"/>
        <w:rPr>
          <w:rFonts w:ascii="Arial" w:cs="Arial" w:eastAsia="Arial" w:hAnsi="Arial"/>
          <w:sz w:val="16"/>
          <w:szCs w:val="16"/>
          <w:color w:val="auto"/>
        </w:rPr>
      </w:pPr>
    </w:p>
    <w:p>
      <w:pPr>
        <w:ind w:right="100" w:firstLine="563"/>
        <w:spacing w:after="0"/>
        <w:tabs>
          <w:tab w:leader="none" w:pos="944" w:val="left"/>
        </w:tabs>
        <w:numPr>
          <w:ilvl w:val="0"/>
          <w:numId w:val="305"/>
        </w:numPr>
        <w:rPr>
          <w:rFonts w:ascii="Arial" w:cs="Arial" w:eastAsia="Arial" w:hAnsi="Arial"/>
          <w:sz w:val="16"/>
          <w:szCs w:val="16"/>
          <w:color w:val="auto"/>
        </w:rPr>
      </w:pPr>
      <w:r>
        <w:rPr>
          <w:rFonts w:ascii="Arial" w:cs="Arial" w:eastAsia="Arial" w:hAnsi="Arial"/>
          <w:sz w:val="16"/>
          <w:szCs w:val="16"/>
          <w:u w:val="single" w:color="auto"/>
          <w:color w:val="auto"/>
        </w:rPr>
        <w:t>No Rights to Employment or Service</w:t>
      </w:r>
      <w:r>
        <w:rPr>
          <w:rFonts w:ascii="Arial" w:cs="Arial" w:eastAsia="Arial" w:hAnsi="Arial"/>
          <w:sz w:val="16"/>
          <w:szCs w:val="16"/>
          <w:color w:val="auto"/>
        </w:rPr>
        <w:t>. Nothing contained in this Agreement shall be construed as giving the Participant any right to be retained, in any position, as an employee, consultant or director of the Company or its Affiliates or shall interfere with or restrict in any way the rights of the Company or its Affiliates, which are hereby expressly reserved, to remove, terminate or discharge the Participant at any time for any reason whatsoever.</w:t>
      </w:r>
    </w:p>
    <w:p>
      <w:pPr>
        <w:spacing w:after="0" w:line="134" w:lineRule="exact"/>
        <w:rPr>
          <w:rFonts w:ascii="Arial" w:cs="Arial" w:eastAsia="Arial" w:hAnsi="Arial"/>
          <w:sz w:val="16"/>
          <w:szCs w:val="16"/>
          <w:color w:val="auto"/>
        </w:rPr>
      </w:pPr>
    </w:p>
    <w:p>
      <w:pPr>
        <w:ind w:firstLine="563"/>
        <w:spacing w:after="0" w:line="264" w:lineRule="auto"/>
        <w:tabs>
          <w:tab w:leader="none" w:pos="944" w:val="left"/>
        </w:tabs>
        <w:numPr>
          <w:ilvl w:val="0"/>
          <w:numId w:val="305"/>
        </w:numPr>
        <w:rPr>
          <w:rFonts w:ascii="Arial" w:cs="Arial" w:eastAsia="Arial" w:hAnsi="Arial"/>
          <w:sz w:val="16"/>
          <w:szCs w:val="16"/>
          <w:color w:val="auto"/>
        </w:rPr>
      </w:pPr>
      <w:r>
        <w:rPr>
          <w:rFonts w:ascii="Arial" w:cs="Arial" w:eastAsia="Arial" w:hAnsi="Arial"/>
          <w:sz w:val="16"/>
          <w:szCs w:val="16"/>
          <w:u w:val="single" w:color="auto"/>
          <w:color w:val="auto"/>
        </w:rPr>
        <w:t>Fractional Shares</w:t>
      </w:r>
      <w:r>
        <w:rPr>
          <w:rFonts w:ascii="Arial" w:cs="Arial" w:eastAsia="Arial" w:hAnsi="Arial"/>
          <w:sz w:val="16"/>
          <w:szCs w:val="16"/>
          <w:color w:val="auto"/>
        </w:rPr>
        <w:t>. In lieu of issuing a fraction of a share of Class A Common Stock resulting from adjustment of the RSUs pursuant to Section 12 of the Plan or otherwise, the Company shall be entitled to pay to the Participant an amount in cash equal to the Fair Market Value of such fractional share.</w:t>
      </w:r>
    </w:p>
    <w:p>
      <w:pPr>
        <w:spacing w:after="0" w:line="116" w:lineRule="exact"/>
        <w:rPr>
          <w:rFonts w:ascii="Arial" w:cs="Arial" w:eastAsia="Arial" w:hAnsi="Arial"/>
          <w:sz w:val="16"/>
          <w:szCs w:val="16"/>
          <w:color w:val="auto"/>
        </w:rPr>
      </w:pPr>
    </w:p>
    <w:p>
      <w:pPr>
        <w:ind w:right="780" w:firstLine="563"/>
        <w:spacing w:after="0" w:line="237" w:lineRule="auto"/>
        <w:tabs>
          <w:tab w:leader="none" w:pos="905" w:val="left"/>
        </w:tabs>
        <w:numPr>
          <w:ilvl w:val="0"/>
          <w:numId w:val="305"/>
        </w:numPr>
        <w:rPr>
          <w:rFonts w:ascii="Arial" w:cs="Arial" w:eastAsia="Arial" w:hAnsi="Arial"/>
          <w:sz w:val="17"/>
          <w:szCs w:val="17"/>
          <w:color w:val="auto"/>
        </w:rPr>
      </w:pPr>
      <w:r>
        <w:rPr>
          <w:rFonts w:ascii="Arial" w:cs="Arial" w:eastAsia="Arial" w:hAnsi="Arial"/>
          <w:sz w:val="17"/>
          <w:szCs w:val="17"/>
          <w:u w:val="single" w:color="auto"/>
          <w:color w:val="auto"/>
        </w:rPr>
        <w:t>Beneficiary</w:t>
      </w:r>
      <w:r>
        <w:rPr>
          <w:rFonts w:ascii="Arial" w:cs="Arial" w:eastAsia="Arial" w:hAnsi="Arial"/>
          <w:sz w:val="17"/>
          <w:szCs w:val="17"/>
          <w:color w:val="auto"/>
        </w:rPr>
        <w:t>. The Participant may file with the Committee a written designation of a beneficiary on such form as may be prescribed by the Committee and may, from time to time, amend or revoke such designation.</w:t>
      </w:r>
    </w:p>
    <w:p>
      <w:pPr>
        <w:spacing w:after="0" w:line="134" w:lineRule="exact"/>
        <w:rPr>
          <w:rFonts w:ascii="Arial" w:cs="Arial" w:eastAsia="Arial" w:hAnsi="Arial"/>
          <w:sz w:val="17"/>
          <w:szCs w:val="17"/>
          <w:color w:val="auto"/>
        </w:rPr>
      </w:pPr>
    </w:p>
    <w:p>
      <w:pPr>
        <w:ind w:right="240" w:firstLine="563"/>
        <w:spacing w:after="0" w:line="237" w:lineRule="auto"/>
        <w:tabs>
          <w:tab w:leader="none" w:pos="905" w:val="left"/>
        </w:tabs>
        <w:numPr>
          <w:ilvl w:val="0"/>
          <w:numId w:val="305"/>
        </w:numPr>
        <w:rPr>
          <w:rFonts w:ascii="Arial" w:cs="Arial" w:eastAsia="Arial" w:hAnsi="Arial"/>
          <w:sz w:val="17"/>
          <w:szCs w:val="17"/>
          <w:color w:val="auto"/>
        </w:rPr>
      </w:pPr>
      <w:r>
        <w:rPr>
          <w:rFonts w:ascii="Arial" w:cs="Arial" w:eastAsia="Arial" w:hAnsi="Arial"/>
          <w:sz w:val="17"/>
          <w:szCs w:val="17"/>
          <w:u w:val="single" w:color="auto"/>
          <w:color w:val="auto"/>
        </w:rPr>
        <w:t>Successors</w:t>
      </w:r>
      <w:r>
        <w:rPr>
          <w:rFonts w:ascii="Arial" w:cs="Arial" w:eastAsia="Arial" w:hAnsi="Arial"/>
          <w:sz w:val="17"/>
          <w:szCs w:val="17"/>
          <w:color w:val="auto"/>
        </w:rPr>
        <w:t>. The terms of this Agreement shall be binding upon and inure to the benefit of the Company and its successors and assigns, and of the Participant and the beneficiaries, executors, administrators, heirs and successors of the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40"/>
          </w:cols>
          <w:pgMar w:left="320" w:top="1249" w:right="339" w:bottom="1440" w:gutter="0" w:footer="0" w:header="0"/>
        </w:sectPr>
      </w:pPr>
    </w:p>
    <w:bookmarkStart w:id="380" w:name="page381"/>
    <w:bookmarkEnd w:id="380"/>
    <w:p>
      <w:pPr>
        <w:ind w:right="240" w:firstLine="563"/>
        <w:spacing w:after="0" w:line="220" w:lineRule="auto"/>
        <w:tabs>
          <w:tab w:leader="none" w:pos="944" w:val="left"/>
        </w:tabs>
        <w:numPr>
          <w:ilvl w:val="0"/>
          <w:numId w:val="306"/>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and the Plan contain the entire agreement and understanding of the parties hereto with respect to the subject matter contained herein and supersede all prior communications, representations and negotiations in respect thereto, except as set forth in Section 8 hereof. No change, modification or waiver of any provision of this Agreement shall be valid unless the same be in writing and signed by the parties hereto, except for any changes permitted without consent under Section 12 or 14 of the Plan.</w:t>
      </w:r>
    </w:p>
    <w:p>
      <w:pPr>
        <w:spacing w:after="0" w:line="135" w:lineRule="exact"/>
        <w:rPr>
          <w:rFonts w:ascii="Arial" w:cs="Arial" w:eastAsia="Arial" w:hAnsi="Arial"/>
          <w:sz w:val="17"/>
          <w:szCs w:val="17"/>
          <w:color w:val="auto"/>
        </w:rPr>
      </w:pPr>
    </w:p>
    <w:p>
      <w:pPr>
        <w:ind w:right="80" w:firstLine="563"/>
        <w:spacing w:after="0" w:line="225" w:lineRule="auto"/>
        <w:tabs>
          <w:tab w:leader="none" w:pos="905" w:val="left"/>
        </w:tabs>
        <w:numPr>
          <w:ilvl w:val="0"/>
          <w:numId w:val="306"/>
        </w:numPr>
        <w:rPr>
          <w:rFonts w:ascii="Arial" w:cs="Arial" w:eastAsia="Arial" w:hAnsi="Arial"/>
          <w:sz w:val="17"/>
          <w:szCs w:val="17"/>
          <w:color w:val="auto"/>
        </w:rPr>
      </w:pPr>
      <w:r>
        <w:rPr>
          <w:rFonts w:ascii="Arial" w:cs="Arial" w:eastAsia="Arial" w:hAnsi="Arial"/>
          <w:sz w:val="17"/>
          <w:szCs w:val="17"/>
          <w:u w:val="single" w:color="auto"/>
          <w:color w:val="auto"/>
        </w:rPr>
        <w:t>Governing Law and Venue</w:t>
      </w:r>
      <w:r>
        <w:rPr>
          <w:rFonts w:ascii="Arial" w:cs="Arial" w:eastAsia="Arial" w:hAnsi="Arial"/>
          <w:sz w:val="17"/>
          <w:szCs w:val="17"/>
          <w:color w:val="auto"/>
        </w:rPr>
        <w:t>. This Agreement shall be construed and interpreted in accordance with the laws of the State of Delaware, without regard to principles of conflicts of laws thereof, or principles of conflicts of laws of any other jurisdiction which could cause the application of the laws of any jurisdiction other than the State of Delaware.</w:t>
      </w:r>
    </w:p>
    <w:p>
      <w:pPr>
        <w:spacing w:after="0" w:line="136" w:lineRule="exact"/>
        <w:rPr>
          <w:rFonts w:ascii="Arial" w:cs="Arial" w:eastAsia="Arial" w:hAnsi="Arial"/>
          <w:sz w:val="17"/>
          <w:szCs w:val="17"/>
          <w:color w:val="auto"/>
        </w:rPr>
      </w:pPr>
    </w:p>
    <w:p>
      <w:pPr>
        <w:ind w:left="560" w:firstLine="571"/>
        <w:spacing w:after="0" w:line="225" w:lineRule="auto"/>
        <w:tabs>
          <w:tab w:leader="none" w:pos="1465" w:val="left"/>
        </w:tabs>
        <w:numPr>
          <w:ilvl w:val="1"/>
          <w:numId w:val="306"/>
        </w:numPr>
        <w:rPr>
          <w:rFonts w:ascii="Arial" w:cs="Arial" w:eastAsia="Arial" w:hAnsi="Arial"/>
          <w:sz w:val="16"/>
          <w:szCs w:val="16"/>
          <w:color w:val="auto"/>
        </w:rPr>
      </w:pPr>
      <w:r>
        <w:rPr>
          <w:rFonts w:ascii="Arial" w:cs="Arial" w:eastAsia="Arial" w:hAnsi="Arial"/>
          <w:sz w:val="16"/>
          <w:szCs w:val="16"/>
          <w:u w:val="single" w:color="auto"/>
          <w:color w:val="auto"/>
        </w:rPr>
        <w:t>Dispute Resolution; Consent to Jurisdiction</w:t>
      </w:r>
      <w:r>
        <w:rPr>
          <w:rFonts w:ascii="Arial" w:cs="Arial" w:eastAsia="Arial" w:hAnsi="Arial"/>
          <w:sz w:val="16"/>
          <w:szCs w:val="16"/>
          <w:color w:val="auto"/>
        </w:rPr>
        <w:t>. All disputes between or among any Persons arising out of or in any way connected with the Plan, this Agreement, the RSUs shall be solely and finally settled by the Committee, acting in good faith, the determination of which shall be final. Any matters not covered by the preceding sentence shall be solely and finally settled in accordance with the Plan, and the Participant and the Company consent to the personal jurisdiction of the United States Federal and state courts sitting in Wilmington, Delaware as the exclusive jurisdiction with respect to matters arising out of or related to the enforcement of the Committee’s determinations and resolution of matters, if any, related to the Plan or this Agreement not required to be resolved by the Committee. Each such Person hereby irrevocably consents to the service of process of any of the aforementioned courts in any such suit, action or proceeding by the mailing of copies thereof by registered or certified mail, postage prepaid, to the last known address of such Person, such service to become effective ten (10) days after such mailing.</w:t>
      </w:r>
    </w:p>
    <w:p>
      <w:pPr>
        <w:spacing w:after="0" w:line="135" w:lineRule="exact"/>
        <w:rPr>
          <w:rFonts w:ascii="Arial" w:cs="Arial" w:eastAsia="Arial" w:hAnsi="Arial"/>
          <w:sz w:val="16"/>
          <w:szCs w:val="16"/>
          <w:color w:val="auto"/>
        </w:rPr>
      </w:pPr>
    </w:p>
    <w:p>
      <w:pPr>
        <w:ind w:left="560" w:firstLine="571"/>
        <w:spacing w:after="0" w:line="230" w:lineRule="auto"/>
        <w:tabs>
          <w:tab w:leader="none" w:pos="1514" w:val="left"/>
        </w:tabs>
        <w:numPr>
          <w:ilvl w:val="1"/>
          <w:numId w:val="306"/>
        </w:numPr>
        <w:rPr>
          <w:rFonts w:ascii="Arial" w:cs="Arial" w:eastAsia="Arial" w:hAnsi="Arial"/>
          <w:sz w:val="16"/>
          <w:szCs w:val="16"/>
          <w:color w:val="auto"/>
        </w:rPr>
      </w:pPr>
      <w:r>
        <w:rPr>
          <w:rFonts w:ascii="Arial" w:cs="Arial" w:eastAsia="Arial" w:hAnsi="Arial"/>
          <w:sz w:val="16"/>
          <w:szCs w:val="16"/>
          <w:u w:val="single" w:color="auto"/>
          <w:color w:val="auto"/>
        </w:rPr>
        <w:t>Waiver of Jury Trial</w:t>
      </w:r>
      <w:r>
        <w:rPr>
          <w:rFonts w:ascii="Arial" w:cs="Arial" w:eastAsia="Arial" w:hAnsi="Arial"/>
          <w:sz w:val="16"/>
          <w:szCs w:val="16"/>
          <w:color w:val="auto"/>
        </w:rPr>
        <w:t>. Each party hereto hereby waives, to the fullest extent permitted by applicable law, any right it may have to a trial by jury in any legal proceeding directly or indirectly arising out of or relating to this Agreement or the transactions contemplated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36" w:lineRule="exact"/>
        <w:rPr>
          <w:rFonts w:ascii="Arial" w:cs="Arial" w:eastAsia="Arial" w:hAnsi="Arial"/>
          <w:sz w:val="16"/>
          <w:szCs w:val="16"/>
          <w:color w:val="auto"/>
        </w:rPr>
      </w:pPr>
    </w:p>
    <w:p>
      <w:pPr>
        <w:ind w:right="160" w:firstLine="563"/>
        <w:spacing w:after="0" w:line="225" w:lineRule="auto"/>
        <w:tabs>
          <w:tab w:leader="none" w:pos="992" w:val="left"/>
        </w:tabs>
        <w:numPr>
          <w:ilvl w:val="0"/>
          <w:numId w:val="306"/>
        </w:numPr>
        <w:rPr>
          <w:rFonts w:ascii="Arial" w:cs="Arial" w:eastAsia="Arial" w:hAnsi="Arial"/>
          <w:sz w:val="17"/>
          <w:szCs w:val="17"/>
          <w:color w:val="auto"/>
        </w:rPr>
      </w:pPr>
      <w:r>
        <w:rPr>
          <w:rFonts w:ascii="Arial" w:cs="Arial" w:eastAsia="Arial" w:hAnsi="Arial"/>
          <w:sz w:val="17"/>
          <w:szCs w:val="17"/>
          <w:u w:val="single" w:color="auto"/>
          <w:color w:val="auto"/>
        </w:rPr>
        <w:t>Headings; Gender</w:t>
      </w:r>
      <w:r>
        <w:rPr>
          <w:rFonts w:ascii="Arial" w:cs="Arial" w:eastAsia="Arial" w:hAnsi="Arial"/>
          <w:sz w:val="17"/>
          <w:szCs w:val="17"/>
          <w:color w:val="auto"/>
        </w:rPr>
        <w:t>. The headings of the Sections hereof are provided for convenience only and are not to serve as a basis for interpretation or construction, and shall not constitute a part, of this Agreement. Masculine pronouns and other words of masculine gender shall refer to both men and women as appropriate.</w:t>
      </w:r>
    </w:p>
    <w:p>
      <w:pPr>
        <w:spacing w:after="0" w:line="136" w:lineRule="exact"/>
        <w:rPr>
          <w:rFonts w:ascii="Arial" w:cs="Arial" w:eastAsia="Arial" w:hAnsi="Arial"/>
          <w:sz w:val="17"/>
          <w:szCs w:val="17"/>
          <w:color w:val="auto"/>
        </w:rPr>
      </w:pPr>
    </w:p>
    <w:p>
      <w:pPr>
        <w:ind w:right="380" w:firstLine="563"/>
        <w:spacing w:after="0" w:line="225" w:lineRule="auto"/>
        <w:tabs>
          <w:tab w:leader="none" w:pos="944" w:val="left"/>
        </w:tabs>
        <w:numPr>
          <w:ilvl w:val="0"/>
          <w:numId w:val="306"/>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one or more counterparts (including via facsimile and electronic image scan (pdf)), each of which shall be deemed to be an original, but all of which together shall constitute one and the same instrument and shall become effective when one or more counterparts have been signed by each of the parties and delivered to the other parties.</w:t>
      </w:r>
    </w:p>
    <w:p>
      <w:pPr>
        <w:spacing w:after="0" w:line="136" w:lineRule="exact"/>
        <w:rPr>
          <w:rFonts w:ascii="Arial" w:cs="Arial" w:eastAsia="Arial" w:hAnsi="Arial"/>
          <w:sz w:val="17"/>
          <w:szCs w:val="17"/>
          <w:color w:val="auto"/>
        </w:rPr>
      </w:pPr>
    </w:p>
    <w:p>
      <w:pPr>
        <w:ind w:right="220" w:firstLine="563"/>
        <w:spacing w:after="0" w:line="234" w:lineRule="auto"/>
        <w:tabs>
          <w:tab w:leader="none" w:pos="944" w:val="left"/>
        </w:tabs>
        <w:numPr>
          <w:ilvl w:val="0"/>
          <w:numId w:val="306"/>
        </w:numPr>
        <w:rPr>
          <w:rFonts w:ascii="Arial" w:cs="Arial" w:eastAsia="Arial" w:hAnsi="Arial"/>
          <w:sz w:val="16"/>
          <w:szCs w:val="16"/>
          <w:color w:val="auto"/>
        </w:rPr>
      </w:pPr>
      <w:r>
        <w:rPr>
          <w:rFonts w:ascii="Arial" w:cs="Arial" w:eastAsia="Arial" w:hAnsi="Arial"/>
          <w:sz w:val="16"/>
          <w:szCs w:val="16"/>
          <w:u w:val="single" w:color="auto"/>
          <w:color w:val="auto"/>
        </w:rPr>
        <w:t>Electronic Signature and Delivery</w:t>
      </w:r>
      <w:r>
        <w:rPr>
          <w:rFonts w:ascii="Arial" w:cs="Arial" w:eastAsia="Arial" w:hAnsi="Arial"/>
          <w:sz w:val="16"/>
          <w:szCs w:val="16"/>
          <w:color w:val="auto"/>
        </w:rPr>
        <w:t>. This Agreement may be accepted by return signature or by electronic confirmation. By accepting this Agreement, the Participant consents to the electronic delivery of prospectuses, annual reports and other information required to be delivered by U.S. Securities and Exchange Commission rules (which consent may be revoked in writing by the Participant at any time upon three business days’ notice to the Company, in which case subsequent prospectuses, annual reports and other information will be delivered in hard copy to the Participant).</w:t>
      </w:r>
    </w:p>
    <w:p>
      <w:pPr>
        <w:spacing w:after="0" w:line="134" w:lineRule="exact"/>
        <w:rPr>
          <w:rFonts w:ascii="Arial" w:cs="Arial" w:eastAsia="Arial" w:hAnsi="Arial"/>
          <w:sz w:val="16"/>
          <w:szCs w:val="16"/>
          <w:color w:val="auto"/>
        </w:rPr>
      </w:pPr>
    </w:p>
    <w:p>
      <w:pPr>
        <w:ind w:right="20" w:firstLine="563"/>
        <w:spacing w:after="0"/>
        <w:tabs>
          <w:tab w:leader="none" w:pos="944" w:val="left"/>
        </w:tabs>
        <w:numPr>
          <w:ilvl w:val="0"/>
          <w:numId w:val="306"/>
        </w:numPr>
        <w:rPr>
          <w:rFonts w:ascii="Arial" w:cs="Arial" w:eastAsia="Arial" w:hAnsi="Arial"/>
          <w:sz w:val="16"/>
          <w:szCs w:val="16"/>
          <w:color w:val="auto"/>
        </w:rPr>
      </w:pPr>
      <w:r>
        <w:rPr>
          <w:rFonts w:ascii="Arial" w:cs="Arial" w:eastAsia="Arial" w:hAnsi="Arial"/>
          <w:sz w:val="16"/>
          <w:szCs w:val="16"/>
          <w:u w:val="single" w:color="auto"/>
          <w:color w:val="auto"/>
        </w:rPr>
        <w:t>Electronic Participation in Plan</w:t>
      </w:r>
      <w:r>
        <w:rPr>
          <w:rFonts w:ascii="Arial" w:cs="Arial" w:eastAsia="Arial" w:hAnsi="Arial"/>
          <w:sz w:val="16"/>
          <w:szCs w:val="16"/>
          <w:color w:val="auto"/>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40"/>
          </w:cols>
          <w:pgMar w:left="320" w:top="1249" w:right="339" w:bottom="1440" w:gutter="0" w:footer="0" w:header="0"/>
        </w:sectPr>
      </w:pPr>
    </w:p>
    <w:bookmarkStart w:id="381" w:name="page382"/>
    <w:bookmarkEnd w:id="381"/>
    <w:p>
      <w:pPr>
        <w:spacing w:after="0" w:line="206" w:lineRule="exact"/>
        <w:rPr>
          <w:sz w:val="20"/>
          <w:szCs w:val="20"/>
          <w:color w:val="auto"/>
        </w:rPr>
      </w:pPr>
    </w:p>
    <w:p>
      <w:pPr>
        <w:ind w:left="3160"/>
        <w:spacing w:after="0"/>
        <w:rPr>
          <w:sz w:val="20"/>
          <w:szCs w:val="20"/>
          <w:color w:val="auto"/>
        </w:rPr>
      </w:pPr>
      <w:r>
        <w:rPr>
          <w:rFonts w:ascii="Arial" w:cs="Arial" w:eastAsia="Arial" w:hAnsi="Arial"/>
          <w:sz w:val="15"/>
          <w:szCs w:val="15"/>
          <w:b w:val="1"/>
          <w:bCs w:val="1"/>
          <w:color w:val="auto"/>
        </w:rPr>
        <w:t>[Remainder of page intentionally left blank]</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9019"/>
          </w:cols>
          <w:pgMar w:left="1440" w:top="1440" w:right="1440" w:bottom="1440" w:gutter="0" w:footer="0" w:header="0"/>
          <w:type w:val="continuous"/>
        </w:sectPr>
      </w:pPr>
    </w:p>
    <w:bookmarkStart w:id="382" w:name="page383"/>
    <w:bookmarkEnd w:id="382"/>
    <w:p>
      <w:pPr>
        <w:spacing w:after="0"/>
        <w:rPr>
          <w:sz w:val="20"/>
          <w:szCs w:val="20"/>
          <w:color w:val="auto"/>
        </w:rPr>
      </w:pPr>
      <w:r>
        <w:rPr>
          <w:rFonts w:ascii="Arial" w:cs="Arial" w:eastAsia="Arial" w:hAnsi="Arial"/>
          <w:sz w:val="15"/>
          <w:szCs w:val="15"/>
          <w:color w:val="auto"/>
        </w:rPr>
        <w:t>IN WITNESS WHEREOF, this Agreement has been executed by the Company and the Participant as of the day first written above.</w:t>
      </w:r>
    </w:p>
    <w:p>
      <w:pPr>
        <w:sectPr>
          <w:pgSz w:w="11900" w:h="16838" w:orient="portrait"/>
          <w:cols w:equalWidth="0" w:num="1">
            <w:col w:w="9379"/>
          </w:cols>
          <w:pgMar w:left="1080" w:top="124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640"/>
        <w:spacing w:after="0"/>
        <w:rPr>
          <w:sz w:val="20"/>
          <w:szCs w:val="20"/>
          <w:color w:val="auto"/>
        </w:rPr>
      </w:pPr>
      <w:r>
        <w:rPr>
          <w:rFonts w:ascii="Arial" w:cs="Arial" w:eastAsia="Arial" w:hAnsi="Arial"/>
          <w:sz w:val="17"/>
          <w:szCs w:val="17"/>
          <w:color w:val="auto"/>
        </w:rPr>
        <w:t>VIRTU FINANCIAL, INC.</w:t>
      </w:r>
    </w:p>
    <w:p>
      <w:pPr>
        <w:spacing w:after="0" w:line="357" w:lineRule="exact"/>
        <w:rPr>
          <w:sz w:val="20"/>
          <w:szCs w:val="20"/>
          <w:color w:val="auto"/>
        </w:rPr>
      </w:pPr>
    </w:p>
    <w:p>
      <w:pPr>
        <w:ind w:left="264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Robert Greifeld</w:t>
      </w:r>
    </w:p>
    <w:p>
      <w:pPr>
        <w:ind w:left="2640"/>
        <w:spacing w:after="0" w:line="203" w:lineRule="auto"/>
        <w:rPr>
          <w:sz w:val="20"/>
          <w:szCs w:val="20"/>
          <w:color w:val="auto"/>
        </w:rPr>
      </w:pPr>
      <w:r>
        <w:rPr>
          <w:rFonts w:ascii="Arial" w:cs="Arial" w:eastAsia="Arial" w:hAnsi="Arial"/>
          <w:sz w:val="17"/>
          <w:szCs w:val="17"/>
          <w:color w:val="auto"/>
        </w:rPr>
        <w:t>Name: Robert Greifeld</w:t>
      </w:r>
    </w:p>
    <w:p>
      <w:pPr>
        <w:ind w:left="2640"/>
        <w:spacing w:after="0"/>
        <w:rPr>
          <w:sz w:val="20"/>
          <w:szCs w:val="20"/>
          <w:color w:val="auto"/>
        </w:rPr>
      </w:pPr>
      <w:r>
        <w:rPr>
          <w:rFonts w:ascii="Arial" w:cs="Arial" w:eastAsia="Arial" w:hAnsi="Arial"/>
          <w:sz w:val="17"/>
          <w:szCs w:val="17"/>
          <w:color w:val="auto"/>
        </w:rPr>
        <w:t>Title: Chairman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640"/>
        <w:spacing w:after="0"/>
        <w:rPr>
          <w:sz w:val="20"/>
          <w:szCs w:val="20"/>
          <w:color w:val="auto"/>
        </w:rPr>
      </w:pPr>
      <w:r>
        <w:rPr>
          <w:rFonts w:ascii="Arial" w:cs="Arial" w:eastAsia="Arial" w:hAnsi="Arial"/>
          <w:sz w:val="17"/>
          <w:szCs w:val="17"/>
          <w:u w:val="single" w:color="auto"/>
          <w:color w:val="auto"/>
        </w:rPr>
        <w:t>/s/ Douglas A. Cifu</w:t>
      </w:r>
    </w:p>
    <w:p>
      <w:pPr>
        <w:ind w:left="2640"/>
        <w:spacing w:after="0"/>
        <w:rPr>
          <w:sz w:val="20"/>
          <w:szCs w:val="20"/>
          <w:color w:val="auto"/>
        </w:rPr>
      </w:pPr>
      <w:r>
        <w:rPr>
          <w:rFonts w:ascii="Arial" w:cs="Arial" w:eastAsia="Arial" w:hAnsi="Arial"/>
          <w:sz w:val="17"/>
          <w:szCs w:val="17"/>
          <w:color w:val="auto"/>
        </w:rPr>
        <w:t>Douglas A. Cifu</w:t>
      </w:r>
    </w:p>
    <w:p>
      <w:pPr>
        <w:sectPr>
          <w:pgSz w:w="11900" w:h="16838" w:orient="portrait"/>
          <w:cols w:equalWidth="0" w:num="1">
            <w:col w:w="9379"/>
          </w:cols>
          <w:pgMar w:left="1080" w:top="1249" w:right="1440" w:bottom="1440" w:gutter="0" w:footer="0" w:header="0"/>
          <w:type w:val="continuous"/>
        </w:sectPr>
      </w:pPr>
    </w:p>
    <w:bookmarkStart w:id="383" w:name="page384"/>
    <w:bookmarkEnd w:id="383"/>
    <w:p>
      <w:pPr>
        <w:jc w:val="center"/>
        <w:ind w:right="-4"/>
        <w:spacing w:after="0"/>
        <w:rPr>
          <w:sz w:val="20"/>
          <w:szCs w:val="20"/>
          <w:color w:val="auto"/>
        </w:rPr>
      </w:pPr>
      <w:r>
        <w:rPr>
          <w:rFonts w:ascii="Arial" w:cs="Arial" w:eastAsia="Arial" w:hAnsi="Arial"/>
          <w:sz w:val="17"/>
          <w:szCs w:val="17"/>
          <w:b w:val="1"/>
          <w:bCs w:val="1"/>
          <w:color w:val="auto"/>
        </w:rPr>
        <w:t>VIRTU FINANCIAL, INC.</w:t>
      </w:r>
    </w:p>
    <w:p>
      <w:pPr>
        <w:jc w:val="center"/>
        <w:ind w:right="-4"/>
        <w:spacing w:after="0" w:line="203" w:lineRule="auto"/>
        <w:rPr>
          <w:sz w:val="20"/>
          <w:szCs w:val="20"/>
          <w:color w:val="auto"/>
        </w:rPr>
      </w:pPr>
      <w:r>
        <w:rPr>
          <w:rFonts w:ascii="Arial" w:cs="Arial" w:eastAsia="Arial" w:hAnsi="Arial"/>
          <w:sz w:val="17"/>
          <w:szCs w:val="17"/>
          <w:b w:val="1"/>
          <w:bCs w:val="1"/>
          <w:color w:val="auto"/>
        </w:rPr>
        <w:t>AMENDED AND RESTATED</w:t>
      </w:r>
    </w:p>
    <w:p>
      <w:pPr>
        <w:jc w:val="center"/>
        <w:ind w:right="-4"/>
        <w:spacing w:after="0" w:line="203" w:lineRule="auto"/>
        <w:rPr>
          <w:sz w:val="20"/>
          <w:szCs w:val="20"/>
          <w:color w:val="auto"/>
        </w:rPr>
      </w:pPr>
      <w:r>
        <w:rPr>
          <w:rFonts w:ascii="Arial" w:cs="Arial" w:eastAsia="Arial" w:hAnsi="Arial"/>
          <w:sz w:val="17"/>
          <w:szCs w:val="17"/>
          <w:b w:val="1"/>
          <w:bCs w:val="1"/>
          <w:color w:val="auto"/>
        </w:rPr>
        <w:t>2015 MANAGEMENT INCENTIVE PLAN</w:t>
      </w:r>
    </w:p>
    <w:p>
      <w:pPr>
        <w:spacing w:after="0" w:line="1" w:lineRule="exact"/>
        <w:rPr>
          <w:sz w:val="20"/>
          <w:szCs w:val="20"/>
          <w:color w:val="auto"/>
        </w:rPr>
      </w:pPr>
    </w:p>
    <w:p>
      <w:pPr>
        <w:jc w:val="center"/>
        <w:ind w:right="-4"/>
        <w:spacing w:after="0"/>
        <w:rPr>
          <w:sz w:val="20"/>
          <w:szCs w:val="20"/>
          <w:color w:val="auto"/>
        </w:rPr>
      </w:pPr>
      <w:r>
        <w:rPr>
          <w:rFonts w:ascii="Arial" w:cs="Arial" w:eastAsia="Arial" w:hAnsi="Arial"/>
          <w:sz w:val="17"/>
          <w:szCs w:val="17"/>
          <w:b w:val="1"/>
          <w:bCs w:val="1"/>
          <w:u w:val="single" w:color="auto"/>
          <w:color w:val="auto"/>
        </w:rPr>
        <w:t>RESTRICTED STOCK UNIT AWARD AGREEMENT</w:t>
      </w:r>
    </w:p>
    <w:p>
      <w:pPr>
        <w:spacing w:after="0" w:line="98" w:lineRule="exact"/>
        <w:rPr>
          <w:sz w:val="20"/>
          <w:szCs w:val="20"/>
          <w:color w:val="auto"/>
        </w:rPr>
      </w:pPr>
    </w:p>
    <w:p>
      <w:pPr>
        <w:ind w:left="5" w:right="160" w:firstLine="568"/>
        <w:spacing w:after="0" w:line="237" w:lineRule="auto"/>
        <w:rPr>
          <w:sz w:val="20"/>
          <w:szCs w:val="20"/>
          <w:color w:val="auto"/>
        </w:rPr>
      </w:pPr>
      <w:r>
        <w:rPr>
          <w:rFonts w:ascii="Arial" w:cs="Arial" w:eastAsia="Arial" w:hAnsi="Arial"/>
          <w:sz w:val="17"/>
          <w:szCs w:val="17"/>
          <w:color w:val="auto"/>
        </w:rPr>
        <w:t>THIS RESTRICTED STOCK UNIT AND COMMON STOCK AWARD AGREEMENT (the “</w:t>
      </w:r>
      <w:r>
        <w:rPr>
          <w:rFonts w:ascii="Arial" w:cs="Arial" w:eastAsia="Arial" w:hAnsi="Arial"/>
          <w:sz w:val="17"/>
          <w:szCs w:val="17"/>
          <w:u w:val="single" w:color="auto"/>
          <w:color w:val="auto"/>
        </w:rPr>
        <w:t>Agreement</w:t>
      </w:r>
      <w:r>
        <w:rPr>
          <w:rFonts w:ascii="Arial" w:cs="Arial" w:eastAsia="Arial" w:hAnsi="Arial"/>
          <w:sz w:val="17"/>
          <w:szCs w:val="17"/>
          <w:color w:val="auto"/>
        </w:rPr>
        <w:t>”), is entered into as of February 3, 2022 (the “</w:t>
      </w:r>
      <w:r>
        <w:rPr>
          <w:rFonts w:ascii="Arial" w:cs="Arial" w:eastAsia="Arial" w:hAnsi="Arial"/>
          <w:sz w:val="17"/>
          <w:szCs w:val="17"/>
          <w:u w:val="single" w:color="auto"/>
          <w:color w:val="auto"/>
        </w:rPr>
        <w:t>Date of Grant</w:t>
      </w:r>
      <w:r>
        <w:rPr>
          <w:rFonts w:ascii="Arial" w:cs="Arial" w:eastAsia="Arial" w:hAnsi="Arial"/>
          <w:sz w:val="17"/>
          <w:szCs w:val="17"/>
          <w:color w:val="auto"/>
        </w:rPr>
        <w:t>”), by and between Virtu Financial,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Joseph Molluso</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Participant</w:t>
      </w:r>
      <w:r>
        <w:rPr>
          <w:rFonts w:ascii="Arial" w:cs="Arial" w:eastAsia="Arial" w:hAnsi="Arial"/>
          <w:sz w:val="17"/>
          <w:szCs w:val="17"/>
          <w:color w:val="auto"/>
        </w:rPr>
        <w:t>”).</w:t>
      </w:r>
    </w:p>
    <w:p>
      <w:pPr>
        <w:spacing w:after="0" w:line="87" w:lineRule="exact"/>
        <w:rPr>
          <w:sz w:val="20"/>
          <w:szCs w:val="20"/>
          <w:color w:val="auto"/>
        </w:rPr>
      </w:pPr>
    </w:p>
    <w:p>
      <w:pPr>
        <w:ind w:left="5" w:right="40" w:firstLine="568"/>
        <w:spacing w:after="0" w:line="237" w:lineRule="auto"/>
        <w:rPr>
          <w:sz w:val="20"/>
          <w:szCs w:val="20"/>
          <w:color w:val="auto"/>
        </w:rPr>
      </w:pPr>
      <w:r>
        <w:rPr>
          <w:rFonts w:ascii="Arial" w:cs="Arial" w:eastAsia="Arial" w:hAnsi="Arial"/>
          <w:sz w:val="17"/>
          <w:szCs w:val="17"/>
          <w:color w:val="auto"/>
        </w:rPr>
        <w:t>WHEREAS, the Company has adopted the Virtu Financial, Inc. Amended and Restated 2015 Management Incentive Plan (the “</w:t>
      </w:r>
      <w:r>
        <w:rPr>
          <w:rFonts w:ascii="Arial" w:cs="Arial" w:eastAsia="Arial" w:hAnsi="Arial"/>
          <w:sz w:val="17"/>
          <w:szCs w:val="17"/>
          <w:u w:val="single" w:color="auto"/>
          <w:color w:val="auto"/>
        </w:rPr>
        <w:t>Plan</w:t>
      </w:r>
      <w:r>
        <w:rPr>
          <w:rFonts w:ascii="Arial" w:cs="Arial" w:eastAsia="Arial" w:hAnsi="Arial"/>
          <w:sz w:val="17"/>
          <w:szCs w:val="17"/>
          <w:color w:val="auto"/>
        </w:rPr>
        <w:t>”), pursuant to which Restricted Stock Units (“</w:t>
      </w:r>
      <w:r>
        <w:rPr>
          <w:rFonts w:ascii="Arial" w:cs="Arial" w:eastAsia="Arial" w:hAnsi="Arial"/>
          <w:sz w:val="17"/>
          <w:szCs w:val="17"/>
          <w:u w:val="single" w:color="auto"/>
          <w:color w:val="auto"/>
        </w:rPr>
        <w:t>RSUs</w:t>
      </w:r>
      <w:r>
        <w:rPr>
          <w:rFonts w:ascii="Arial" w:cs="Arial" w:eastAsia="Arial" w:hAnsi="Arial"/>
          <w:sz w:val="17"/>
          <w:szCs w:val="17"/>
          <w:color w:val="auto"/>
        </w:rPr>
        <w:t>”) may be granted;</w:t>
      </w:r>
    </w:p>
    <w:p>
      <w:pPr>
        <w:spacing w:after="0" w:line="83" w:lineRule="exact"/>
        <w:rPr>
          <w:sz w:val="20"/>
          <w:szCs w:val="20"/>
          <w:color w:val="auto"/>
        </w:rPr>
      </w:pPr>
    </w:p>
    <w:p>
      <w:pPr>
        <w:ind w:left="565"/>
        <w:spacing w:after="0"/>
        <w:rPr>
          <w:sz w:val="20"/>
          <w:szCs w:val="20"/>
          <w:color w:val="auto"/>
        </w:rPr>
      </w:pPr>
      <w:r>
        <w:rPr>
          <w:rFonts w:ascii="Arial" w:cs="Arial" w:eastAsia="Arial" w:hAnsi="Arial"/>
          <w:sz w:val="16"/>
          <w:szCs w:val="16"/>
          <w:color w:val="auto"/>
        </w:rPr>
        <w:t>WHEREAS, the Company has adopted that certain Deferred Compensation Plan, effective November 13, 2020 and as amended from time to time (the</w:t>
      </w:r>
    </w:p>
    <w:p>
      <w:pPr>
        <w:ind w:left="5"/>
        <w:spacing w:after="0" w:line="23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Deferred Compensation Plan</w:t>
      </w:r>
      <w:r>
        <w:rPr>
          <w:rFonts w:ascii="Arial" w:cs="Arial" w:eastAsia="Arial" w:hAnsi="Arial"/>
          <w:sz w:val="15"/>
          <w:szCs w:val="15"/>
          <w:color w:val="auto"/>
        </w:rPr>
        <w:t>”) pursuant to which eligible employees may elect to defer certain compensation in accordance with the terms thereof and any other</w:t>
      </w:r>
    </w:p>
    <w:p>
      <w:pPr>
        <w:ind w:left="5"/>
        <w:spacing w:after="0"/>
        <w:rPr>
          <w:sz w:val="20"/>
          <w:szCs w:val="20"/>
          <w:color w:val="auto"/>
        </w:rPr>
      </w:pPr>
      <w:r>
        <w:rPr>
          <w:rFonts w:ascii="Arial" w:cs="Arial" w:eastAsia="Arial" w:hAnsi="Arial"/>
          <w:sz w:val="17"/>
          <w:szCs w:val="17"/>
          <w:color w:val="auto"/>
        </w:rPr>
        <w:t>applicable requirements or conditions;</w:t>
      </w:r>
    </w:p>
    <w:p>
      <w:pPr>
        <w:spacing w:after="0" w:line="98" w:lineRule="exact"/>
        <w:rPr>
          <w:sz w:val="20"/>
          <w:szCs w:val="20"/>
          <w:color w:val="auto"/>
        </w:rPr>
      </w:pPr>
    </w:p>
    <w:p>
      <w:pPr>
        <w:ind w:left="5" w:right="200" w:firstLine="568"/>
        <w:spacing w:after="0" w:line="225" w:lineRule="auto"/>
        <w:rPr>
          <w:sz w:val="20"/>
          <w:szCs w:val="20"/>
          <w:color w:val="auto"/>
        </w:rPr>
      </w:pPr>
      <w:r>
        <w:rPr>
          <w:rFonts w:ascii="Arial" w:cs="Arial" w:eastAsia="Arial" w:hAnsi="Arial"/>
          <w:sz w:val="17"/>
          <w:szCs w:val="17"/>
          <w:color w:val="auto"/>
        </w:rPr>
        <w:t>WHEREAS, the Participant made a deferral election in accordance with the Deferred Compensation Plan on or prior to December 31, 2020 pursuant to which the Participant elected to defer all equity compensation awarded in consideration of services rendered in the fiscal year ended December 31, 2021 (the “</w:t>
      </w:r>
      <w:r>
        <w:rPr>
          <w:rFonts w:ascii="Arial" w:cs="Arial" w:eastAsia="Arial" w:hAnsi="Arial"/>
          <w:sz w:val="17"/>
          <w:szCs w:val="17"/>
          <w:u w:val="single" w:color="auto"/>
          <w:color w:val="auto"/>
        </w:rPr>
        <w:t>Molluso 2021 Deferral Election</w:t>
      </w:r>
      <w:r>
        <w:rPr>
          <w:rFonts w:ascii="Arial" w:cs="Arial" w:eastAsia="Arial" w:hAnsi="Arial"/>
          <w:sz w:val="17"/>
          <w:szCs w:val="17"/>
          <w:color w:val="auto"/>
        </w:rPr>
        <w:t>”);</w:t>
      </w:r>
    </w:p>
    <w:p>
      <w:pPr>
        <w:spacing w:after="0" w:line="90" w:lineRule="exact"/>
        <w:rPr>
          <w:sz w:val="20"/>
          <w:szCs w:val="20"/>
          <w:color w:val="auto"/>
        </w:rPr>
      </w:pPr>
    </w:p>
    <w:p>
      <w:pPr>
        <w:ind w:left="5" w:right="100" w:firstLine="568"/>
        <w:spacing w:after="0" w:line="237" w:lineRule="auto"/>
        <w:rPr>
          <w:sz w:val="20"/>
          <w:szCs w:val="20"/>
          <w:color w:val="auto"/>
        </w:rPr>
      </w:pPr>
      <w:r>
        <w:rPr>
          <w:rFonts w:ascii="Arial" w:cs="Arial" w:eastAsia="Arial" w:hAnsi="Arial"/>
          <w:sz w:val="17"/>
          <w:szCs w:val="17"/>
          <w:color w:val="auto"/>
        </w:rPr>
        <w:t>WHEREAS, in light of the Molluso 2021 Deferral Election, the annual bonus equity award to Participant for the year ended December 31, 2021 must be issued solely in the form of RSUs and not shares of Class A common stock;</w:t>
      </w:r>
    </w:p>
    <w:p>
      <w:pPr>
        <w:spacing w:after="0" w:line="87" w:lineRule="exact"/>
        <w:rPr>
          <w:sz w:val="20"/>
          <w:szCs w:val="20"/>
          <w:color w:val="auto"/>
        </w:rPr>
      </w:pPr>
    </w:p>
    <w:p>
      <w:pPr>
        <w:ind w:left="5" w:firstLine="568"/>
        <w:spacing w:after="0" w:line="237" w:lineRule="auto"/>
        <w:rPr>
          <w:sz w:val="20"/>
          <w:szCs w:val="20"/>
          <w:color w:val="auto"/>
        </w:rPr>
      </w:pPr>
      <w:r>
        <w:rPr>
          <w:rFonts w:ascii="Arial" w:cs="Arial" w:eastAsia="Arial" w:hAnsi="Arial"/>
          <w:sz w:val="17"/>
          <w:szCs w:val="17"/>
          <w:color w:val="auto"/>
        </w:rPr>
        <w:t>WHEREAS, the Compensation Committee of the Board of Directors of the Company has determined that it is in the best interests of the Company and its stockholders to grant the RSUs provided for herein to the Participant subject to the terms set forth herein.</w:t>
      </w:r>
    </w:p>
    <w:p>
      <w:pPr>
        <w:spacing w:after="0" w:line="87" w:lineRule="exact"/>
        <w:rPr>
          <w:sz w:val="20"/>
          <w:szCs w:val="20"/>
          <w:color w:val="auto"/>
        </w:rPr>
      </w:pPr>
    </w:p>
    <w:p>
      <w:pPr>
        <w:ind w:left="5" w:right="320" w:firstLine="568"/>
        <w:spacing w:after="0" w:line="297" w:lineRule="auto"/>
        <w:rPr>
          <w:sz w:val="20"/>
          <w:szCs w:val="20"/>
          <w:color w:val="auto"/>
        </w:rPr>
      </w:pPr>
      <w:r>
        <w:rPr>
          <w:rFonts w:ascii="Arial" w:cs="Arial" w:eastAsia="Arial" w:hAnsi="Arial"/>
          <w:sz w:val="15"/>
          <w:szCs w:val="15"/>
          <w:color w:val="auto"/>
        </w:rPr>
        <w:t>NOW, THEREFORE, for and in consideration of the premises and the covenants of the parties contained in this Agreement, and for other good and valuable consideration, the receipt of which is hereby acknowledged, the parties hereto, for themselves, their successors and assigns, hereby agree as follows:</w:t>
      </w:r>
    </w:p>
    <w:p>
      <w:pPr>
        <w:spacing w:after="0" w:line="88" w:lineRule="exact"/>
        <w:rPr>
          <w:sz w:val="20"/>
          <w:szCs w:val="20"/>
          <w:color w:val="auto"/>
        </w:rPr>
      </w:pPr>
    </w:p>
    <w:p>
      <w:pPr>
        <w:ind w:left="305" w:hanging="305"/>
        <w:spacing w:after="0"/>
        <w:tabs>
          <w:tab w:leader="none" w:pos="305" w:val="left"/>
        </w:tabs>
        <w:numPr>
          <w:ilvl w:val="0"/>
          <w:numId w:val="307"/>
        </w:numPr>
        <w:rPr>
          <w:rFonts w:ascii="Arial" w:cs="Arial" w:eastAsia="Arial" w:hAnsi="Arial"/>
          <w:sz w:val="17"/>
          <w:szCs w:val="17"/>
          <w:b w:val="1"/>
          <w:bCs w:val="1"/>
          <w:color w:val="auto"/>
        </w:rPr>
      </w:pPr>
      <w:r>
        <w:rPr>
          <w:rFonts w:ascii="Arial" w:cs="Arial" w:eastAsia="Arial" w:hAnsi="Arial"/>
          <w:sz w:val="17"/>
          <w:szCs w:val="17"/>
          <w:b w:val="1"/>
          <w:bCs w:val="1"/>
          <w:color w:val="auto"/>
        </w:rPr>
        <w:t>Grant of Common Stock and Restricted Stock Units.</w:t>
      </w:r>
    </w:p>
    <w:p>
      <w:pPr>
        <w:spacing w:after="0" w:line="165" w:lineRule="exact"/>
        <w:rPr>
          <w:rFonts w:ascii="Arial" w:cs="Arial" w:eastAsia="Arial" w:hAnsi="Arial"/>
          <w:sz w:val="17"/>
          <w:szCs w:val="17"/>
          <w:b w:val="1"/>
          <w:bCs w:val="1"/>
          <w:color w:val="auto"/>
        </w:rPr>
      </w:pPr>
    </w:p>
    <w:p>
      <w:pPr>
        <w:jc w:val="both"/>
        <w:ind w:left="5" w:right="160" w:firstLine="563"/>
        <w:spacing w:after="0" w:line="216" w:lineRule="auto"/>
        <w:tabs>
          <w:tab w:leader="none" w:pos="939" w:val="left"/>
        </w:tabs>
        <w:numPr>
          <w:ilvl w:val="1"/>
          <w:numId w:val="307"/>
        </w:numPr>
        <w:rPr>
          <w:rFonts w:ascii="Arial" w:cs="Arial" w:eastAsia="Arial" w:hAnsi="Arial"/>
          <w:sz w:val="17"/>
          <w:szCs w:val="17"/>
          <w:color w:val="auto"/>
        </w:rPr>
      </w:pPr>
      <w:r>
        <w:rPr>
          <w:rFonts w:ascii="Arial" w:cs="Arial" w:eastAsia="Arial" w:hAnsi="Arial"/>
          <w:sz w:val="17"/>
          <w:szCs w:val="17"/>
          <w:u w:val="single" w:color="auto"/>
          <w:color w:val="auto"/>
        </w:rPr>
        <w:t>Grant</w:t>
      </w:r>
      <w:r>
        <w:rPr>
          <w:rFonts w:ascii="Arial" w:cs="Arial" w:eastAsia="Arial" w:hAnsi="Arial"/>
          <w:sz w:val="17"/>
          <w:szCs w:val="17"/>
          <w:color w:val="auto"/>
        </w:rPr>
        <w:t>. The Company hereby grants to the Participant a total number of RSUs equal to $1,250,000 divided by the Issue Price with any fractional RSU rounded to the next whole RSU number, in each case on the terms and conditions set forth in this Agreement and as otherwise provided in the Plan. The RSUs shall be credited to a separate book-entry account maintained for the Participant on the books of the Company, which may be maintained by a third party. The “</w:t>
      </w:r>
      <w:r>
        <w:rPr>
          <w:rFonts w:ascii="Arial" w:cs="Arial" w:eastAsia="Arial" w:hAnsi="Arial"/>
          <w:sz w:val="17"/>
          <w:szCs w:val="17"/>
          <w:u w:val="single" w:color="auto"/>
          <w:color w:val="auto"/>
        </w:rPr>
        <w:t>Issue Price</w:t>
      </w:r>
      <w:r>
        <w:rPr>
          <w:rFonts w:ascii="Arial" w:cs="Arial" w:eastAsia="Arial" w:hAnsi="Arial"/>
          <w:sz w:val="17"/>
          <w:szCs w:val="17"/>
          <w:color w:val="auto"/>
        </w:rPr>
        <w:t>” shall mean the volume weighted average price of shares of the Company’s Class A Common Stock traded during the three days preceding the Date of Grant, as determined by the Company.</w:t>
      </w:r>
    </w:p>
    <w:p>
      <w:pPr>
        <w:spacing w:after="0" w:line="138" w:lineRule="exact"/>
        <w:rPr>
          <w:rFonts w:ascii="Arial" w:cs="Arial" w:eastAsia="Arial" w:hAnsi="Arial"/>
          <w:sz w:val="17"/>
          <w:szCs w:val="17"/>
          <w:color w:val="auto"/>
        </w:rPr>
      </w:pPr>
    </w:p>
    <w:p>
      <w:pPr>
        <w:ind w:left="5" w:right="140" w:firstLine="563"/>
        <w:spacing w:after="0" w:line="213" w:lineRule="auto"/>
        <w:tabs>
          <w:tab w:leader="none" w:pos="949" w:val="left"/>
        </w:tabs>
        <w:numPr>
          <w:ilvl w:val="1"/>
          <w:numId w:val="307"/>
        </w:numPr>
        <w:rPr>
          <w:rFonts w:ascii="Arial" w:cs="Arial" w:eastAsia="Arial" w:hAnsi="Arial"/>
          <w:sz w:val="17"/>
          <w:szCs w:val="17"/>
          <w:color w:val="auto"/>
        </w:rPr>
      </w:pPr>
      <w:r>
        <w:rPr>
          <w:rFonts w:ascii="Arial" w:cs="Arial" w:eastAsia="Arial" w:hAnsi="Arial"/>
          <w:sz w:val="17"/>
          <w:szCs w:val="17"/>
          <w:u w:val="single" w:color="auto"/>
          <w:color w:val="auto"/>
        </w:rPr>
        <w:t>Incorporation by Reference</w:t>
      </w:r>
      <w:r>
        <w:rPr>
          <w:rFonts w:ascii="Arial" w:cs="Arial" w:eastAsia="Arial" w:hAnsi="Arial"/>
          <w:sz w:val="17"/>
          <w:szCs w:val="17"/>
          <w:color w:val="auto"/>
        </w:rPr>
        <w:t>. The provisions of the Plan are incorporated herein by reference. Except as otherwise expressly set forth herein, this Agreement shall be construed in accordance with the provisions of the Plan and any interpretations, amendments, rules and regulations promulgated by the Committee from time to time pursuant to the Plan. Any capitalized terms not otherwise defined in this Agreement shall have the definitions set forth in the Plan. The Committee shall have final authority to interpret and construe the Plan and this Agreement and to make any and all determinations under them, and its decision shall be binding and conclusive upon the Participant and his legal representative in respect of any questions arising under the Plan or this Agreement. The Participant acknowledges that he has received a copy of the Plan and has had an opportunity to review the Plan and agrees to be bound by all the terms and provisions of the Plan.</w:t>
      </w:r>
    </w:p>
    <w:p>
      <w:pPr>
        <w:sectPr>
          <w:pgSz w:w="11900" w:h="16838" w:orient="portrait"/>
          <w:cols w:equalWidth="0" w:num="1">
            <w:col w:w="11265"/>
          </w:cols>
          <w:pgMar w:left="315" w:top="1234" w:right="319" w:bottom="1440" w:gutter="0" w:footer="0" w:header="0"/>
        </w:sectPr>
      </w:pPr>
    </w:p>
    <w:bookmarkStart w:id="384" w:name="page385"/>
    <w:bookmarkEnd w:id="384"/>
    <w:p>
      <w:pPr>
        <w:ind w:left="305" w:hanging="305"/>
        <w:spacing w:after="0"/>
        <w:tabs>
          <w:tab w:leader="none" w:pos="305" w:val="left"/>
        </w:tabs>
        <w:numPr>
          <w:ilvl w:val="0"/>
          <w:numId w:val="308"/>
        </w:numPr>
        <w:rPr>
          <w:rFonts w:ascii="Arial" w:cs="Arial" w:eastAsia="Arial" w:hAnsi="Arial"/>
          <w:sz w:val="17"/>
          <w:szCs w:val="17"/>
          <w:b w:val="1"/>
          <w:bCs w:val="1"/>
          <w:color w:val="auto"/>
        </w:rPr>
      </w:pPr>
      <w:r>
        <w:rPr>
          <w:rFonts w:ascii="Arial" w:cs="Arial" w:eastAsia="Arial" w:hAnsi="Arial"/>
          <w:sz w:val="17"/>
          <w:szCs w:val="17"/>
          <w:b w:val="1"/>
          <w:bCs w:val="1"/>
          <w:color w:val="auto"/>
        </w:rPr>
        <w:t>Vesting and Settlement.</w:t>
      </w:r>
    </w:p>
    <w:p>
      <w:pPr>
        <w:spacing w:after="0" w:line="165" w:lineRule="exact"/>
        <w:rPr>
          <w:rFonts w:ascii="Arial" w:cs="Arial" w:eastAsia="Arial" w:hAnsi="Arial"/>
          <w:sz w:val="17"/>
          <w:szCs w:val="17"/>
          <w:b w:val="1"/>
          <w:bCs w:val="1"/>
          <w:color w:val="auto"/>
        </w:rPr>
      </w:pPr>
    </w:p>
    <w:p>
      <w:pPr>
        <w:ind w:left="5" w:right="100" w:firstLine="563"/>
        <w:spacing w:after="0"/>
        <w:tabs>
          <w:tab w:leader="none" w:pos="939" w:val="left"/>
        </w:tabs>
        <w:numPr>
          <w:ilvl w:val="1"/>
          <w:numId w:val="308"/>
        </w:numPr>
        <w:rPr>
          <w:rFonts w:ascii="Arial" w:cs="Arial" w:eastAsia="Arial" w:hAnsi="Arial"/>
          <w:sz w:val="15"/>
          <w:szCs w:val="15"/>
          <w:color w:val="auto"/>
        </w:rPr>
      </w:pPr>
      <w:r>
        <w:rPr>
          <w:rFonts w:ascii="Arial" w:cs="Arial" w:eastAsia="Arial" w:hAnsi="Arial"/>
          <w:sz w:val="15"/>
          <w:szCs w:val="15"/>
          <w:color w:val="auto"/>
        </w:rPr>
        <w:t>Except as may otherwise be provided herein, subject to the Participant’s continued employment or service with the Company or an Affiliate, forty percent (40%) of the RSUs shall be vested as of the Date of Grant, with the remaining sixty percent (60%) vesting in equal installments on each of the first three</w:t>
      </w:r>
    </w:p>
    <w:p>
      <w:pPr>
        <w:ind w:left="5"/>
        <w:spacing w:after="0" w:line="233" w:lineRule="auto"/>
        <w:rPr>
          <w:rFonts w:ascii="Arial" w:cs="Arial" w:eastAsia="Arial" w:hAnsi="Arial"/>
          <w:sz w:val="15"/>
          <w:szCs w:val="15"/>
          <w:color w:val="auto"/>
        </w:rPr>
      </w:pPr>
      <w:r>
        <w:rPr>
          <w:rFonts w:ascii="Arial" w:cs="Arial" w:eastAsia="Arial" w:hAnsi="Arial"/>
          <w:sz w:val="16"/>
          <w:szCs w:val="16"/>
          <w:color w:val="auto"/>
        </w:rPr>
        <w:t>(3) anniversaries of the Date of Grant (each such date, a “</w:t>
      </w:r>
      <w:r>
        <w:rPr>
          <w:rFonts w:ascii="Arial" w:cs="Arial" w:eastAsia="Arial" w:hAnsi="Arial"/>
          <w:sz w:val="16"/>
          <w:szCs w:val="16"/>
          <w:u w:val="single" w:color="auto"/>
          <w:color w:val="auto"/>
        </w:rPr>
        <w:t>Vesting Date</w:t>
      </w:r>
      <w:r>
        <w:rPr>
          <w:rFonts w:ascii="Arial" w:cs="Arial" w:eastAsia="Arial" w:hAnsi="Arial"/>
          <w:sz w:val="16"/>
          <w:szCs w:val="16"/>
          <w:color w:val="auto"/>
        </w:rPr>
        <w:t>”). Upon each Vesting Date, such portion of the RSUs that vest on such date shall no longer be subject to the transfer restrictions pursuant to Section 9(a) hereof or cancellation pursuant to Section 4 hereof. Any fractional RSUs resulting from the application of the vesting schedule shall be aggregated and the RSUs resulting from such aggregation shall vest on the final Vesting Date.</w:t>
      </w:r>
    </w:p>
    <w:p>
      <w:pPr>
        <w:spacing w:after="0" w:line="137" w:lineRule="exact"/>
        <w:rPr>
          <w:sz w:val="20"/>
          <w:szCs w:val="20"/>
          <w:color w:val="auto"/>
        </w:rPr>
      </w:pPr>
    </w:p>
    <w:p>
      <w:pPr>
        <w:ind w:left="5" w:right="400" w:firstLine="563"/>
        <w:spacing w:after="0" w:line="237" w:lineRule="auto"/>
        <w:tabs>
          <w:tab w:leader="none" w:pos="936" w:val="left"/>
        </w:tabs>
        <w:numPr>
          <w:ilvl w:val="1"/>
          <w:numId w:val="309"/>
        </w:numPr>
        <w:rPr>
          <w:rFonts w:ascii="Arial" w:cs="Arial" w:eastAsia="Arial" w:hAnsi="Arial"/>
          <w:sz w:val="17"/>
          <w:szCs w:val="17"/>
          <w:color w:val="auto"/>
        </w:rPr>
      </w:pPr>
      <w:r>
        <w:rPr>
          <w:rFonts w:ascii="Arial" w:cs="Arial" w:eastAsia="Arial" w:hAnsi="Arial"/>
          <w:sz w:val="17"/>
          <w:szCs w:val="17"/>
          <w:color w:val="auto"/>
        </w:rPr>
        <w:t>Vested RSUs shall be settled in shares of Class A Common Stock, or cash, as determined by the Committee in its sole discretion, at the time(s) specified pursuant to the Molluso 2021 Deferral Election, a copy of which is attached and incorporated herein.</w:t>
      </w:r>
    </w:p>
    <w:p>
      <w:pPr>
        <w:spacing w:after="0" w:line="128" w:lineRule="exact"/>
        <w:rPr>
          <w:rFonts w:ascii="Arial" w:cs="Arial" w:eastAsia="Arial" w:hAnsi="Arial"/>
          <w:sz w:val="17"/>
          <w:szCs w:val="17"/>
          <w:color w:val="auto"/>
        </w:rPr>
      </w:pPr>
    </w:p>
    <w:p>
      <w:pPr>
        <w:ind w:left="5" w:right="120" w:hanging="5"/>
        <w:spacing w:after="0" w:line="215" w:lineRule="auto"/>
        <w:tabs>
          <w:tab w:leader="none" w:pos="309" w:val="left"/>
        </w:tabs>
        <w:numPr>
          <w:ilvl w:val="0"/>
          <w:numId w:val="31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Dividend Equivalents. </w:t>
      </w:r>
      <w:r>
        <w:rPr>
          <w:rFonts w:ascii="Arial" w:cs="Arial" w:eastAsia="Arial" w:hAnsi="Arial"/>
          <w:sz w:val="17"/>
          <w:szCs w:val="17"/>
          <w:color w:val="auto"/>
        </w:rPr>
        <w:t>In the event of any issuance of a cash dividend on the shares of Class A Common Stock (a “</w:t>
      </w:r>
      <w:r>
        <w:rPr>
          <w:rFonts w:ascii="Arial" w:cs="Arial" w:eastAsia="Arial" w:hAnsi="Arial"/>
          <w:sz w:val="17"/>
          <w:szCs w:val="17"/>
          <w:u w:val="single" w:color="auto"/>
          <w:color w:val="auto"/>
        </w:rPr>
        <w:t>Dividend</w:t>
      </w:r>
      <w:r>
        <w:rPr>
          <w:rFonts w:ascii="Arial" w:cs="Arial" w:eastAsia="Arial" w:hAnsi="Arial"/>
          <w:sz w:val="17"/>
          <w:szCs w:val="17"/>
          <w:color w:val="auto"/>
        </w:rPr>
        <w:t>”), the Participant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entitled to receive, with respect to each RSU granted pursuant to this Agreement and outstanding as of the record date for such Dividend, payment of an amount equal to the Dividend at the same time as the Dividend is paid to holders of shares of Class A Common Stock generally;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that to the extent any RSUs issued hereunder remain subject to the deferral as specified in the Molluso 2021 Deferral Election, any such Dividends otherwise payable thereon shall be credited to the Participant but not paid until such RSUs are settled in accordance with Section 2(c) herein and otherwise in accordance with the terms of the Molluso 2021 Deferral Election and the Deferred Compensation Plan.</w:t>
      </w:r>
    </w:p>
    <w:p>
      <w:pPr>
        <w:spacing w:after="0" w:line="133" w:lineRule="exact"/>
        <w:rPr>
          <w:rFonts w:ascii="Arial" w:cs="Arial" w:eastAsia="Arial" w:hAnsi="Arial"/>
          <w:sz w:val="17"/>
          <w:szCs w:val="17"/>
          <w:b w:val="1"/>
          <w:bCs w:val="1"/>
          <w:color w:val="auto"/>
        </w:rPr>
      </w:pPr>
    </w:p>
    <w:p>
      <w:pPr>
        <w:ind w:left="5" w:hanging="5"/>
        <w:spacing w:after="0" w:line="222" w:lineRule="auto"/>
        <w:tabs>
          <w:tab w:leader="none" w:pos="306" w:val="left"/>
        </w:tabs>
        <w:numPr>
          <w:ilvl w:val="0"/>
          <w:numId w:val="31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Termination of Employment or Service. </w:t>
      </w:r>
      <w:r>
        <w:rPr>
          <w:rFonts w:ascii="Arial" w:cs="Arial" w:eastAsia="Arial" w:hAnsi="Arial"/>
          <w:sz w:val="16"/>
          <w:szCs w:val="16"/>
          <w:color w:val="auto"/>
        </w:rPr>
        <w:t>If the Participant’s employment or service with the Company and its Affiliates terminates for any reason, all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unvested RSUs shall be cancelled immediately and the Participant shall not be entitled to receive any payments with respect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of the Participant’s Retirement (as defined below) and compliance with the terms thereof, the RSUs shall continue vesting in accordance with the terms of this Agreement as if the Participant remained employed through each Vesting Date (subject to the forfeiture provisions of the Plan and the clawback provisions set forth herein). For purposes of this Agreement, “</w:t>
      </w:r>
      <w:r>
        <w:rPr>
          <w:rFonts w:ascii="Arial" w:cs="Arial" w:eastAsia="Arial" w:hAnsi="Arial"/>
          <w:sz w:val="16"/>
          <w:szCs w:val="16"/>
          <w:u w:val="single" w:color="auto"/>
          <w:color w:val="auto"/>
        </w:rPr>
        <w:t>Retirement</w:t>
      </w:r>
      <w:r>
        <w:rPr>
          <w:rFonts w:ascii="Arial" w:cs="Arial" w:eastAsia="Arial" w:hAnsi="Arial"/>
          <w:sz w:val="16"/>
          <w:szCs w:val="16"/>
          <w:color w:val="auto"/>
        </w:rPr>
        <w:t>” means a determination by the Company, in its sole and absolute discretion, that the Participant has had a retirement from the Company and its Affiliates upon a voluntary resignation of employment by the Participant (i) after the Participant completed a minimum of five (5) full years of service as an employee of the Company and its Affiliates (regardless of whether such service is continuous), (ii) the Participant having attained the age of fifty (50) at the time of termination, (iii) the sum of the Participant’s years of service and age equals or exceeds sixty-five (65) at the time of termination, (iv) the Participant has entered into and complies with the terms of a non-compete agreement with a term equal to the greater of (x) two years and (y) the remaining period up to and including the Vesting Date in a form to be provided by the Company and (v) the Participant has duly executed, delivered and not revoked a customary release and waiver of all claims in a form acceptable to the Company. For the avoidance of doubt, any failure to comply with the terms of such non-compete agreement will result in the forfeiture of any unvested RSUs.</w:t>
      </w:r>
    </w:p>
    <w:p>
      <w:pPr>
        <w:spacing w:after="0" w:line="136" w:lineRule="exact"/>
        <w:rPr>
          <w:rFonts w:ascii="Arial" w:cs="Arial" w:eastAsia="Arial" w:hAnsi="Arial"/>
          <w:sz w:val="16"/>
          <w:szCs w:val="16"/>
          <w:b w:val="1"/>
          <w:bCs w:val="1"/>
          <w:color w:val="auto"/>
        </w:rPr>
      </w:pPr>
    </w:p>
    <w:p>
      <w:pPr>
        <w:ind w:left="5" w:hanging="5"/>
        <w:spacing w:after="0" w:line="218" w:lineRule="auto"/>
        <w:tabs>
          <w:tab w:leader="none" w:pos="309" w:val="left"/>
        </w:tabs>
        <w:numPr>
          <w:ilvl w:val="0"/>
          <w:numId w:val="31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Rights as a Stockholder. </w:t>
      </w:r>
      <w:r>
        <w:rPr>
          <w:rFonts w:ascii="Arial" w:cs="Arial" w:eastAsia="Arial" w:hAnsi="Arial"/>
          <w:sz w:val="17"/>
          <w:szCs w:val="17"/>
          <w:color w:val="auto"/>
        </w:rPr>
        <w:t>The Participant shall not be deemed for any purpose to be the owner of any shares of Class A Common Stock underlying the RSUs</w:t>
      </w:r>
      <w:r>
        <w:rPr>
          <w:rFonts w:ascii="Arial" w:cs="Arial" w:eastAsia="Arial" w:hAnsi="Arial"/>
          <w:sz w:val="17"/>
          <w:szCs w:val="17"/>
          <w:b w:val="1"/>
          <w:bCs w:val="1"/>
          <w:color w:val="auto"/>
        </w:rPr>
        <w:t xml:space="preserve"> </w:t>
      </w:r>
      <w:r>
        <w:rPr>
          <w:rFonts w:ascii="Arial" w:cs="Arial" w:eastAsia="Arial" w:hAnsi="Arial"/>
          <w:sz w:val="17"/>
          <w:szCs w:val="17"/>
          <w:color w:val="auto"/>
        </w:rPr>
        <w:t>unless, until and to the extent that (i) the Company shall have issued and delivered to the Participant the shares of Class A Common Stock underlying the RSUs and (ii) the Participant’s name shall have been entered as a stockholder of record with respect to such shares of Class A Common Stock on the books of the Company. The Company shall cause the actions described in clauses (i) and (ii) of the preceding sentence to occur promptly following settlement as contemplated by this Agreement, subject to compliance with applicable laws.</w:t>
      </w:r>
    </w:p>
    <w:p>
      <w:pPr>
        <w:spacing w:after="0" w:line="130" w:lineRule="exact"/>
        <w:rPr>
          <w:rFonts w:ascii="Arial" w:cs="Arial" w:eastAsia="Arial" w:hAnsi="Arial"/>
          <w:sz w:val="17"/>
          <w:szCs w:val="17"/>
          <w:b w:val="1"/>
          <w:bCs w:val="1"/>
          <w:color w:val="auto"/>
        </w:rPr>
      </w:pPr>
    </w:p>
    <w:p>
      <w:pPr>
        <w:ind w:left="305" w:hanging="305"/>
        <w:spacing w:after="0"/>
        <w:tabs>
          <w:tab w:leader="none" w:pos="305" w:val="left"/>
        </w:tabs>
        <w:numPr>
          <w:ilvl w:val="0"/>
          <w:numId w:val="310"/>
        </w:numPr>
        <w:rPr>
          <w:rFonts w:ascii="Arial" w:cs="Arial" w:eastAsia="Arial" w:hAnsi="Arial"/>
          <w:sz w:val="17"/>
          <w:szCs w:val="17"/>
          <w:b w:val="1"/>
          <w:bCs w:val="1"/>
          <w:color w:val="auto"/>
        </w:rPr>
      </w:pPr>
      <w:r>
        <w:rPr>
          <w:rFonts w:ascii="Arial" w:cs="Arial" w:eastAsia="Arial" w:hAnsi="Arial"/>
          <w:sz w:val="17"/>
          <w:szCs w:val="17"/>
          <w:b w:val="1"/>
          <w:bCs w:val="1"/>
          <w:color w:val="auto"/>
        </w:rPr>
        <w:t>Compliance with Legal Requirements.</w:t>
      </w:r>
    </w:p>
    <w:p>
      <w:pPr>
        <w:spacing w:after="0" w:line="165" w:lineRule="exact"/>
        <w:rPr>
          <w:rFonts w:ascii="Arial" w:cs="Arial" w:eastAsia="Arial" w:hAnsi="Arial"/>
          <w:sz w:val="17"/>
          <w:szCs w:val="17"/>
          <w:b w:val="1"/>
          <w:bCs w:val="1"/>
          <w:color w:val="auto"/>
        </w:rPr>
      </w:pPr>
    </w:p>
    <w:p>
      <w:pPr>
        <w:ind w:left="5" w:right="100" w:firstLine="563"/>
        <w:spacing w:after="0" w:line="225" w:lineRule="auto"/>
        <w:tabs>
          <w:tab w:leader="none" w:pos="939" w:val="left"/>
        </w:tabs>
        <w:numPr>
          <w:ilvl w:val="1"/>
          <w:numId w:val="310"/>
        </w:numPr>
        <w:rPr>
          <w:rFonts w:ascii="Arial" w:cs="Arial" w:eastAsia="Arial" w:hAnsi="Arial"/>
          <w:sz w:val="17"/>
          <w:szCs w:val="17"/>
          <w:color w:val="auto"/>
        </w:rPr>
      </w:pPr>
      <w:r>
        <w:rPr>
          <w:rFonts w:ascii="Arial" w:cs="Arial" w:eastAsia="Arial" w:hAnsi="Arial"/>
          <w:sz w:val="17"/>
          <w:szCs w:val="17"/>
          <w:u w:val="single" w:color="auto"/>
          <w:color w:val="auto"/>
        </w:rPr>
        <w:t>Generally</w:t>
      </w:r>
      <w:r>
        <w:rPr>
          <w:rFonts w:ascii="Arial" w:cs="Arial" w:eastAsia="Arial" w:hAnsi="Arial"/>
          <w:sz w:val="17"/>
          <w:szCs w:val="17"/>
          <w:color w:val="auto"/>
        </w:rPr>
        <w:t>. The granting and settlement of the RSUs, and any other obligations of the Company under this Agreement, shall be subject to all applicable U.S. federal, state and local laws, rules and regulations, all applicable non-U.S. laws, rules and regulations and to such approvals by any regulatory or governmental agency as may be required. The Participant agrees to take all steps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4"/>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45"/>
          </w:cols>
          <w:pgMar w:left="315" w:top="1243" w:right="339" w:bottom="1440" w:gutter="0" w:footer="0" w:header="0"/>
        </w:sectPr>
      </w:pPr>
    </w:p>
    <w:bookmarkStart w:id="385" w:name="page386"/>
    <w:bookmarkEnd w:id="385"/>
    <w:p>
      <w:pPr>
        <w:ind w:left="5"/>
        <w:spacing w:after="0"/>
        <w:rPr>
          <w:sz w:val="20"/>
          <w:szCs w:val="20"/>
          <w:color w:val="auto"/>
        </w:rPr>
      </w:pPr>
      <w:r>
        <w:rPr>
          <w:rFonts w:ascii="Arial" w:cs="Arial" w:eastAsia="Arial" w:hAnsi="Arial"/>
          <w:sz w:val="16"/>
          <w:szCs w:val="16"/>
          <w:color w:val="auto"/>
        </w:rPr>
        <w:t>Committee or the Company determines are reasonably necessary to comply with all applicable provisions of U.S. federal and state securities law and non-U.S.</w:t>
      </w:r>
    </w:p>
    <w:p>
      <w:pPr>
        <w:ind w:left="5"/>
        <w:spacing w:after="0"/>
        <w:rPr>
          <w:sz w:val="20"/>
          <w:szCs w:val="20"/>
          <w:color w:val="auto"/>
        </w:rPr>
      </w:pPr>
      <w:r>
        <w:rPr>
          <w:rFonts w:ascii="Arial" w:cs="Arial" w:eastAsia="Arial" w:hAnsi="Arial"/>
          <w:sz w:val="17"/>
          <w:szCs w:val="17"/>
          <w:color w:val="auto"/>
        </w:rPr>
        <w:t>securities law in exercising his rights under this Agreement.</w:t>
      </w:r>
    </w:p>
    <w:p>
      <w:pPr>
        <w:spacing w:after="0" w:line="146" w:lineRule="exact"/>
        <w:rPr>
          <w:sz w:val="20"/>
          <w:szCs w:val="20"/>
          <w:color w:val="auto"/>
        </w:rPr>
      </w:pPr>
    </w:p>
    <w:p>
      <w:pPr>
        <w:ind w:left="5" w:right="20" w:firstLine="563"/>
        <w:spacing w:after="0" w:line="211" w:lineRule="auto"/>
        <w:tabs>
          <w:tab w:leader="none" w:pos="949" w:val="left"/>
        </w:tabs>
        <w:numPr>
          <w:ilvl w:val="1"/>
          <w:numId w:val="311"/>
        </w:numPr>
        <w:rPr>
          <w:rFonts w:ascii="Arial" w:cs="Arial" w:eastAsia="Arial" w:hAnsi="Arial"/>
          <w:sz w:val="17"/>
          <w:szCs w:val="17"/>
          <w:color w:val="auto"/>
        </w:rPr>
      </w:pPr>
      <w:r>
        <w:rPr>
          <w:rFonts w:ascii="Arial" w:cs="Arial" w:eastAsia="Arial" w:hAnsi="Arial"/>
          <w:sz w:val="17"/>
          <w:szCs w:val="17"/>
          <w:u w:val="single" w:color="auto"/>
          <w:color w:val="auto"/>
        </w:rPr>
        <w:t>Taxes and Withholding</w:t>
      </w:r>
      <w:r>
        <w:rPr>
          <w:rFonts w:ascii="Arial" w:cs="Arial" w:eastAsia="Arial" w:hAnsi="Arial"/>
          <w:sz w:val="17"/>
          <w:szCs w:val="17"/>
          <w:color w:val="auto"/>
        </w:rPr>
        <w:t>. The vesting and settlement of the RSUs shall be subject to the Participant satisfying any applicable U.S. federal, state and local tax withholding obligations and non-U.S. tax withholding obligations. The Participant shall be required to pay to the Company, and the Company shall have the right and is hereby authorized to withhold any cash, shares of Class A Common Stock, other securities or other property or from any compensation or other amounts owing to the Participant, the amount (in cash, Class A Common Stock, other securities or other property) of any required withholding taxes in respect of the RSUs, settlement of the RSUs or any payment or transfer of the RSUs, and to take any such other action as the Committee or the Company deem necessary to satisfy all obligations for the payment of such withholding taxes. In its sole discretion, the Company may permit the Participant to satisfy, in whole or in part, the tax obligations by withholding shares of Class A Common Stock that would otherwise be deliverable to the Participant upon settlement of the RSUs with a Fair Market Value equal to such withholding liability.</w:t>
      </w:r>
    </w:p>
    <w:p>
      <w:pPr>
        <w:spacing w:after="0" w:line="134" w:lineRule="exact"/>
        <w:rPr>
          <w:rFonts w:ascii="Arial" w:cs="Arial" w:eastAsia="Arial" w:hAnsi="Arial"/>
          <w:sz w:val="17"/>
          <w:szCs w:val="17"/>
          <w:color w:val="auto"/>
        </w:rPr>
      </w:pPr>
    </w:p>
    <w:p>
      <w:pPr>
        <w:ind w:left="5" w:hanging="5"/>
        <w:spacing w:after="0" w:line="222" w:lineRule="auto"/>
        <w:tabs>
          <w:tab w:leader="none" w:pos="309" w:val="left"/>
        </w:tabs>
        <w:numPr>
          <w:ilvl w:val="0"/>
          <w:numId w:val="31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Clawback. </w:t>
      </w:r>
      <w:r>
        <w:rPr>
          <w:rFonts w:ascii="Arial" w:cs="Arial" w:eastAsia="Arial" w:hAnsi="Arial"/>
          <w:sz w:val="16"/>
          <w:szCs w:val="16"/>
          <w:color w:val="auto"/>
        </w:rPr>
        <w:t>Notwithstanding anything to the contrary contained herein, the Committee may cancel the RSU award if the Participant, without the consent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has engaged in or engages in activity that is in conflict with or adverse to the interest of the Company or any Affiliate while employed by or providing services to the Company or any Affiliate, including fraud or conduct contributing to any financial restatements or irregularities, or violates a non-competition, non-solicitation, non-disparagement, non-disclosure or confidentiality covenant or agreement with the Company or any Affiliate, as determined by the Committee. In such event, the Participant will forfeit any compensation, gain or other value realized previously or thereafter on the vesting or settlement of the RSUs, the sale or other transfer of the RSUs, or the sale of shares of Class A Common Stock acquired in respect of the RSUs, and must promptly repay such amounts to the Company. If the Participant receives any amount in excess of what the Participant should have received under the terms of the RSUs for any reason (including without limitation by reason of a financial restatement, mistake in calculations or other administrative error), all as determined by the Committee, then the Participant shall be required to promptly repay any such excess amount to the Company. To the extent required by applicable law and/or the rules and regulations of NASDAQ or any other securities exchange or inter-dealer quotation system on which the Class A Common Stock is listed or quoted, or if so required pursuant to a written policy adopted by the Company, and the RSUs shall be subject (including on a retroactive basis) to clawback, forfeiture or similar requirements (and such requirements shall be deemed incorporated by reference into this Agreement).</w:t>
      </w:r>
    </w:p>
    <w:p>
      <w:pPr>
        <w:spacing w:after="0" w:line="136" w:lineRule="exact"/>
        <w:rPr>
          <w:rFonts w:ascii="Arial" w:cs="Arial" w:eastAsia="Arial" w:hAnsi="Arial"/>
          <w:sz w:val="16"/>
          <w:szCs w:val="16"/>
          <w:b w:val="1"/>
          <w:bCs w:val="1"/>
          <w:color w:val="auto"/>
        </w:rPr>
      </w:pPr>
    </w:p>
    <w:p>
      <w:pPr>
        <w:ind w:left="305" w:hanging="305"/>
        <w:spacing w:after="0"/>
        <w:tabs>
          <w:tab w:leader="none" w:pos="305" w:val="left"/>
        </w:tabs>
        <w:numPr>
          <w:ilvl w:val="0"/>
          <w:numId w:val="312"/>
        </w:numPr>
        <w:rPr>
          <w:rFonts w:ascii="Arial" w:cs="Arial" w:eastAsia="Arial" w:hAnsi="Arial"/>
          <w:sz w:val="17"/>
          <w:szCs w:val="17"/>
          <w:b w:val="1"/>
          <w:bCs w:val="1"/>
          <w:color w:val="auto"/>
        </w:rPr>
      </w:pPr>
      <w:r>
        <w:rPr>
          <w:rFonts w:ascii="Arial" w:cs="Arial" w:eastAsia="Arial" w:hAnsi="Arial"/>
          <w:sz w:val="17"/>
          <w:szCs w:val="17"/>
          <w:b w:val="1"/>
          <w:bCs w:val="1"/>
          <w:color w:val="auto"/>
        </w:rPr>
        <w:t>Contractual Obligations.</w:t>
      </w:r>
    </w:p>
    <w:p>
      <w:pPr>
        <w:spacing w:after="0" w:line="165" w:lineRule="exact"/>
        <w:rPr>
          <w:rFonts w:ascii="Arial" w:cs="Arial" w:eastAsia="Arial" w:hAnsi="Arial"/>
          <w:sz w:val="17"/>
          <w:szCs w:val="17"/>
          <w:b w:val="1"/>
          <w:bCs w:val="1"/>
          <w:color w:val="auto"/>
        </w:rPr>
      </w:pPr>
    </w:p>
    <w:p>
      <w:pPr>
        <w:ind w:left="5" w:right="20" w:firstLine="563"/>
        <w:spacing w:after="0" w:line="225" w:lineRule="auto"/>
        <w:tabs>
          <w:tab w:leader="none" w:pos="939" w:val="left"/>
        </w:tabs>
        <w:numPr>
          <w:ilvl w:val="1"/>
          <w:numId w:val="312"/>
        </w:numPr>
        <w:rPr>
          <w:rFonts w:ascii="Arial" w:cs="Arial" w:eastAsia="Arial" w:hAnsi="Arial"/>
          <w:sz w:val="17"/>
          <w:szCs w:val="17"/>
          <w:color w:val="auto"/>
        </w:rPr>
      </w:pPr>
      <w:r>
        <w:rPr>
          <w:rFonts w:ascii="Arial" w:cs="Arial" w:eastAsia="Arial" w:hAnsi="Arial"/>
          <w:sz w:val="17"/>
          <w:szCs w:val="17"/>
          <w:color w:val="auto"/>
        </w:rPr>
        <w:t xml:space="preserve">Nothing in this Agreement shall supersede, modify, replace or cancel any existing contractual obligations, including but not limited to restrictive covenants, applicable to you in </w:t>
      </w:r>
      <w:r>
        <w:rPr>
          <w:rFonts w:ascii="Arial" w:cs="Arial" w:eastAsia="Arial" w:hAnsi="Arial"/>
          <w:sz w:val="17"/>
          <w:szCs w:val="17"/>
          <w:i w:val="1"/>
          <w:iCs w:val="1"/>
          <w:u w:val="single" w:color="auto"/>
          <w:color w:val="auto"/>
        </w:rPr>
        <w:t>any</w:t>
      </w:r>
      <w:r>
        <w:rPr>
          <w:rFonts w:ascii="Arial" w:cs="Arial" w:eastAsia="Arial" w:hAnsi="Arial"/>
          <w:sz w:val="17"/>
          <w:szCs w:val="17"/>
          <w:color w:val="auto"/>
        </w:rPr>
        <w:t xml:space="preserve"> employment agreement, offer letter, prior equity award agreement or any other agreement or contract with the Company or its Affiliates.</w:t>
      </w:r>
    </w:p>
    <w:p>
      <w:pPr>
        <w:spacing w:after="0" w:line="136" w:lineRule="exact"/>
        <w:rPr>
          <w:rFonts w:ascii="Arial" w:cs="Arial" w:eastAsia="Arial" w:hAnsi="Arial"/>
          <w:sz w:val="17"/>
          <w:szCs w:val="17"/>
          <w:color w:val="auto"/>
        </w:rPr>
      </w:pPr>
    </w:p>
    <w:p>
      <w:pPr>
        <w:ind w:left="5" w:firstLine="563"/>
        <w:spacing w:after="0" w:line="216" w:lineRule="auto"/>
        <w:tabs>
          <w:tab w:leader="none" w:pos="949" w:val="left"/>
        </w:tabs>
        <w:numPr>
          <w:ilvl w:val="1"/>
          <w:numId w:val="312"/>
        </w:numPr>
        <w:rPr>
          <w:rFonts w:ascii="Arial" w:cs="Arial" w:eastAsia="Arial" w:hAnsi="Arial"/>
          <w:sz w:val="17"/>
          <w:szCs w:val="17"/>
          <w:color w:val="auto"/>
        </w:rPr>
      </w:pPr>
      <w:r>
        <w:rPr>
          <w:rFonts w:ascii="Arial" w:cs="Arial" w:eastAsia="Arial" w:hAnsi="Arial"/>
          <w:sz w:val="17"/>
          <w:szCs w:val="17"/>
          <w:color w:val="auto"/>
        </w:rPr>
        <w:t>In the event that the Participant violates any of the contractual obligations referred to in this Section 8, in addition to any other remedy which may be available at law or in equity, the RSUs shall be automatically forfeited effective as of the date on which such violation first occurs. The foregoing rights and remedies are in addition to any other rights and remedies that may be available to the Company and shall not prevent (and the Participant shall not assert that they shall prevent) the Company from bringing one or more actions in any applicable jurisdiction to recover damages as a result of the Participant’s breach of such restrictive covenants.</w:t>
      </w:r>
    </w:p>
    <w:p>
      <w:pPr>
        <w:spacing w:after="0" w:line="132" w:lineRule="exact"/>
        <w:rPr>
          <w:rFonts w:ascii="Arial" w:cs="Arial" w:eastAsia="Arial" w:hAnsi="Arial"/>
          <w:sz w:val="17"/>
          <w:szCs w:val="17"/>
          <w:color w:val="auto"/>
        </w:rPr>
      </w:pPr>
    </w:p>
    <w:p>
      <w:pPr>
        <w:ind w:left="305" w:hanging="305"/>
        <w:spacing w:after="0"/>
        <w:tabs>
          <w:tab w:leader="none" w:pos="305" w:val="left"/>
        </w:tabs>
        <w:numPr>
          <w:ilvl w:val="0"/>
          <w:numId w:val="312"/>
        </w:numPr>
        <w:rPr>
          <w:rFonts w:ascii="Arial" w:cs="Arial" w:eastAsia="Arial" w:hAnsi="Arial"/>
          <w:sz w:val="17"/>
          <w:szCs w:val="17"/>
          <w:b w:val="1"/>
          <w:bCs w:val="1"/>
          <w:color w:val="auto"/>
        </w:rPr>
      </w:pPr>
      <w:r>
        <w:rPr>
          <w:rFonts w:ascii="Arial" w:cs="Arial" w:eastAsia="Arial" w:hAnsi="Arial"/>
          <w:sz w:val="17"/>
          <w:szCs w:val="17"/>
          <w:b w:val="1"/>
          <w:bCs w:val="1"/>
          <w:color w:val="auto"/>
        </w:rPr>
        <w:t>Miscellaneous.</w:t>
      </w:r>
    </w:p>
    <w:p>
      <w:pPr>
        <w:spacing w:after="0" w:line="165" w:lineRule="exact"/>
        <w:rPr>
          <w:rFonts w:ascii="Arial" w:cs="Arial" w:eastAsia="Arial" w:hAnsi="Arial"/>
          <w:sz w:val="17"/>
          <w:szCs w:val="17"/>
          <w:b w:val="1"/>
          <w:bCs w:val="1"/>
          <w:color w:val="auto"/>
        </w:rPr>
      </w:pPr>
    </w:p>
    <w:p>
      <w:pPr>
        <w:ind w:left="5" w:right="360" w:firstLine="563"/>
        <w:spacing w:after="0" w:line="225" w:lineRule="auto"/>
        <w:tabs>
          <w:tab w:leader="none" w:pos="939" w:val="left"/>
        </w:tabs>
        <w:numPr>
          <w:ilvl w:val="1"/>
          <w:numId w:val="312"/>
        </w:numPr>
        <w:rPr>
          <w:rFonts w:ascii="Arial" w:cs="Arial" w:eastAsia="Arial" w:hAnsi="Arial"/>
          <w:sz w:val="17"/>
          <w:szCs w:val="17"/>
          <w:color w:val="auto"/>
        </w:rPr>
      </w:pPr>
      <w:r>
        <w:rPr>
          <w:rFonts w:ascii="Arial" w:cs="Arial" w:eastAsia="Arial" w:hAnsi="Arial"/>
          <w:sz w:val="17"/>
          <w:szCs w:val="17"/>
          <w:u w:val="single" w:color="auto"/>
          <w:color w:val="auto"/>
        </w:rPr>
        <w:t>Transferability</w:t>
      </w:r>
      <w:r>
        <w:rPr>
          <w:rFonts w:ascii="Arial" w:cs="Arial" w:eastAsia="Arial" w:hAnsi="Arial"/>
          <w:sz w:val="17"/>
          <w:szCs w:val="17"/>
          <w:color w:val="auto"/>
        </w:rPr>
        <w:t>. The RSUs may not be assigned, alienated, pledged, attached, sold or otherwise transferred or encumbered (a “</w:t>
      </w:r>
      <w:r>
        <w:rPr>
          <w:rFonts w:ascii="Arial" w:cs="Arial" w:eastAsia="Arial" w:hAnsi="Arial"/>
          <w:sz w:val="17"/>
          <w:szCs w:val="17"/>
          <w:u w:val="single" w:color="auto"/>
          <w:color w:val="auto"/>
        </w:rPr>
        <w:t>Transfer</w:t>
      </w:r>
      <w:r>
        <w:rPr>
          <w:rFonts w:ascii="Arial" w:cs="Arial" w:eastAsia="Arial" w:hAnsi="Arial"/>
          <w:sz w:val="17"/>
          <w:szCs w:val="17"/>
          <w:color w:val="auto"/>
        </w:rPr>
        <w:t>”) by the Participant other than by will or by the laws of descent and distribution, pursuant to a qualified domestic relations order or as otherwise permitted under Section 15(b) of the Plan. Any attempted Transfer of the RSUs contrary to the provisions hereof,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4"/>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45"/>
          </w:cols>
          <w:pgMar w:left="315" w:top="1245" w:right="339" w:bottom="1440" w:gutter="0" w:footer="0" w:header="0"/>
        </w:sectPr>
      </w:pPr>
    </w:p>
    <w:bookmarkStart w:id="386" w:name="page387"/>
    <w:bookmarkEnd w:id="386"/>
    <w:p>
      <w:pPr>
        <w:spacing w:after="0"/>
        <w:rPr>
          <w:sz w:val="20"/>
          <w:szCs w:val="20"/>
          <w:color w:val="auto"/>
        </w:rPr>
      </w:pPr>
      <w:r>
        <w:rPr>
          <w:rFonts w:ascii="Arial" w:cs="Arial" w:eastAsia="Arial" w:hAnsi="Arial"/>
          <w:sz w:val="17"/>
          <w:szCs w:val="17"/>
          <w:color w:val="auto"/>
        </w:rPr>
        <w:t>levy of any execution, attachment or similar process upon the RSUs, shall be null and void and without effect.</w:t>
      </w:r>
    </w:p>
    <w:p>
      <w:pPr>
        <w:spacing w:after="0" w:line="160" w:lineRule="exact"/>
        <w:rPr>
          <w:sz w:val="20"/>
          <w:szCs w:val="20"/>
          <w:color w:val="auto"/>
        </w:rPr>
      </w:pPr>
    </w:p>
    <w:p>
      <w:pPr>
        <w:jc w:val="both"/>
        <w:ind w:right="160" w:firstLine="563"/>
        <w:spacing w:after="0" w:line="220" w:lineRule="auto"/>
        <w:tabs>
          <w:tab w:leader="none" w:pos="944" w:val="left"/>
        </w:tabs>
        <w:numPr>
          <w:ilvl w:val="0"/>
          <w:numId w:val="313"/>
        </w:numPr>
        <w:rPr>
          <w:rFonts w:ascii="Arial" w:cs="Arial" w:eastAsia="Arial" w:hAnsi="Arial"/>
          <w:sz w:val="17"/>
          <w:szCs w:val="17"/>
          <w:color w:val="auto"/>
        </w:rPr>
      </w:pPr>
      <w:r>
        <w:rPr>
          <w:rFonts w:ascii="Arial" w:cs="Arial" w:eastAsia="Arial" w:hAnsi="Arial"/>
          <w:sz w:val="17"/>
          <w:szCs w:val="17"/>
          <w:u w:val="single" w:color="auto"/>
          <w:color w:val="auto"/>
        </w:rPr>
        <w:t>Waiver</w:t>
      </w:r>
      <w:r>
        <w:rPr>
          <w:rFonts w:ascii="Arial" w:cs="Arial" w:eastAsia="Arial" w:hAnsi="Arial"/>
          <w:sz w:val="17"/>
          <w:szCs w:val="17"/>
          <w:color w:val="auto"/>
        </w:rPr>
        <w:t>. Any right of the Company contained in this Agreement may be waived in writing by the Committee. No waiver of any right hereunder by any party shall operate as a waiver of any other right, or as a waiver of the same right with respect to any subsequent occasion for its exercise, or as a waiver of any right to damages. No waiver by any party of any breach of this Agreement shall be held to constitute a waiver of any other breach or a waiver of the continuation of the same breach.</w:t>
      </w:r>
    </w:p>
    <w:p>
      <w:pPr>
        <w:spacing w:after="0" w:line="119" w:lineRule="exact"/>
        <w:rPr>
          <w:rFonts w:ascii="Arial" w:cs="Arial" w:eastAsia="Arial" w:hAnsi="Arial"/>
          <w:sz w:val="17"/>
          <w:szCs w:val="17"/>
          <w:color w:val="auto"/>
        </w:rPr>
      </w:pPr>
    </w:p>
    <w:p>
      <w:pPr>
        <w:ind w:left="920" w:hanging="357"/>
        <w:spacing w:after="0"/>
        <w:tabs>
          <w:tab w:leader="none" w:pos="920" w:val="left"/>
        </w:tabs>
        <w:numPr>
          <w:ilvl w:val="0"/>
          <w:numId w:val="313"/>
        </w:numPr>
        <w:rPr>
          <w:rFonts w:ascii="Arial" w:cs="Arial" w:eastAsia="Arial" w:hAnsi="Arial"/>
          <w:sz w:val="17"/>
          <w:szCs w:val="17"/>
          <w:color w:val="auto"/>
        </w:rPr>
      </w:pPr>
      <w:r>
        <w:rPr>
          <w:rFonts w:ascii="Arial" w:cs="Arial" w:eastAsia="Arial" w:hAnsi="Arial"/>
          <w:sz w:val="17"/>
          <w:szCs w:val="17"/>
          <w:u w:val="single" w:color="auto"/>
          <w:color w:val="auto"/>
        </w:rPr>
        <w:t>Section 409A</w:t>
      </w:r>
      <w:r>
        <w:rPr>
          <w:rFonts w:ascii="Arial" w:cs="Arial" w:eastAsia="Arial" w:hAnsi="Arial"/>
          <w:sz w:val="17"/>
          <w:szCs w:val="17"/>
          <w:color w:val="auto"/>
        </w:rPr>
        <w:t>. The RSUs are intended to be exempt from, or compliant with, Section 409A of the Internal Revenue Code (“Code”).</w:t>
      </w:r>
    </w:p>
    <w:p>
      <w:pPr>
        <w:ind w:right="140"/>
        <w:spacing w:after="0" w:line="210" w:lineRule="auto"/>
        <w:rPr>
          <w:rFonts w:ascii="Arial" w:cs="Arial" w:eastAsia="Arial" w:hAnsi="Arial"/>
          <w:sz w:val="17"/>
          <w:szCs w:val="17"/>
          <w:color w:val="auto"/>
        </w:rPr>
      </w:pPr>
      <w:r>
        <w:rPr>
          <w:rFonts w:ascii="Arial" w:cs="Arial" w:eastAsia="Arial" w:hAnsi="Arial"/>
          <w:sz w:val="17"/>
          <w:szCs w:val="17"/>
          <w:color w:val="auto"/>
        </w:rPr>
        <w:t>Notwithstanding the foregoing or any provision of the Plan or this Agreement, if any provision of the Plan or this Agreement contravenes Section 409A of the Code or could cause the Participant to incur any tax, interest or penalties under Section 409A of the Code, the Committee may, in its sole discretion and without the Participant’s consent, modify such provision to (i) comply with, or avoid being subject to, Section 409A of the Code, or to avoid the incurrence of taxes, interest and penalties under Section 409A of the Code, and/or (ii) maintain, to the maximum extent practicable, the original intent and economic benefit to the Participant of the applicable provision without materially increasing the cost to the Company or contravening the provisions of Section 409A of the Code. This Section 9(c) does not create an obligation on the part of the Company to modify the Plan or this Agreement and does not guarantee that the RSUs will not be subject to interest and penalties under Section 409A.</w:t>
      </w:r>
    </w:p>
    <w:p>
      <w:pPr>
        <w:spacing w:after="0" w:line="138" w:lineRule="exact"/>
        <w:rPr>
          <w:rFonts w:ascii="Arial" w:cs="Arial" w:eastAsia="Arial" w:hAnsi="Arial"/>
          <w:sz w:val="17"/>
          <w:szCs w:val="17"/>
          <w:color w:val="auto"/>
        </w:rPr>
      </w:pPr>
    </w:p>
    <w:p>
      <w:pPr>
        <w:ind w:firstLine="563"/>
        <w:spacing w:after="0" w:line="297" w:lineRule="auto"/>
        <w:tabs>
          <w:tab w:leader="none" w:pos="944" w:val="left"/>
        </w:tabs>
        <w:numPr>
          <w:ilvl w:val="0"/>
          <w:numId w:val="313"/>
        </w:numPr>
        <w:rPr>
          <w:rFonts w:ascii="Arial" w:cs="Arial" w:eastAsia="Arial" w:hAnsi="Arial"/>
          <w:sz w:val="15"/>
          <w:szCs w:val="15"/>
          <w:color w:val="auto"/>
        </w:rPr>
      </w:pPr>
      <w:r>
        <w:rPr>
          <w:rFonts w:ascii="Arial" w:cs="Arial" w:eastAsia="Arial" w:hAnsi="Arial"/>
          <w:sz w:val="15"/>
          <w:szCs w:val="15"/>
          <w:u w:val="single" w:color="auto"/>
          <w:color w:val="auto"/>
        </w:rPr>
        <w:t>General Assets</w:t>
      </w:r>
      <w:r>
        <w:rPr>
          <w:rFonts w:ascii="Arial" w:cs="Arial" w:eastAsia="Arial" w:hAnsi="Arial"/>
          <w:sz w:val="15"/>
          <w:szCs w:val="15"/>
          <w:color w:val="auto"/>
        </w:rPr>
        <w:t>. All amounts credited in respect of the RSUs to the book-entry account under this Agreement shall continue for all purposes to be part of the general assets of the Company. The Participant’s interest in such account shall make the Participant only a general, unsecured creditor of the Company.</w:t>
      </w:r>
    </w:p>
    <w:p>
      <w:pPr>
        <w:spacing w:after="0" w:line="94" w:lineRule="exact"/>
        <w:rPr>
          <w:rFonts w:ascii="Arial" w:cs="Arial" w:eastAsia="Arial" w:hAnsi="Arial"/>
          <w:sz w:val="15"/>
          <w:szCs w:val="15"/>
          <w:color w:val="auto"/>
        </w:rPr>
      </w:pPr>
    </w:p>
    <w:p>
      <w:pPr>
        <w:ind w:right="20" w:firstLine="563"/>
        <w:spacing w:after="0" w:line="234" w:lineRule="auto"/>
        <w:tabs>
          <w:tab w:leader="none" w:pos="934" w:val="left"/>
        </w:tabs>
        <w:numPr>
          <w:ilvl w:val="0"/>
          <w:numId w:val="313"/>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notices provided for in this Agreement or the Plan shall be in writing and shall be deemed sufficiently given if either hand delivered or if sent by fax, pdf/email or overnight courier, or by postage paid first class mail. Notices sent by mail shall be deemed received three business days after mailing but in no event later than the date of actual receipt. Notices shall be directed, if to the Participant, at the Participant’s address indicated by the Company’s records, or if to the Company, to the attention of the General Counsel at the Company’s principal executive office.</w:t>
      </w:r>
    </w:p>
    <w:p>
      <w:pPr>
        <w:spacing w:after="0" w:line="134" w:lineRule="exact"/>
        <w:rPr>
          <w:rFonts w:ascii="Arial" w:cs="Arial" w:eastAsia="Arial" w:hAnsi="Arial"/>
          <w:sz w:val="16"/>
          <w:szCs w:val="16"/>
          <w:color w:val="auto"/>
        </w:rPr>
      </w:pPr>
    </w:p>
    <w:p>
      <w:pPr>
        <w:ind w:right="600" w:firstLine="563"/>
        <w:spacing w:after="0" w:line="264" w:lineRule="auto"/>
        <w:tabs>
          <w:tab w:leader="none" w:pos="915" w:val="left"/>
        </w:tabs>
        <w:numPr>
          <w:ilvl w:val="0"/>
          <w:numId w:val="313"/>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16" w:lineRule="exact"/>
        <w:rPr>
          <w:rFonts w:ascii="Arial" w:cs="Arial" w:eastAsia="Arial" w:hAnsi="Arial"/>
          <w:sz w:val="16"/>
          <w:szCs w:val="16"/>
          <w:color w:val="auto"/>
        </w:rPr>
      </w:pPr>
    </w:p>
    <w:p>
      <w:pPr>
        <w:ind w:right="100" w:firstLine="563"/>
        <w:spacing w:after="0"/>
        <w:tabs>
          <w:tab w:leader="none" w:pos="944" w:val="left"/>
        </w:tabs>
        <w:numPr>
          <w:ilvl w:val="0"/>
          <w:numId w:val="313"/>
        </w:numPr>
        <w:rPr>
          <w:rFonts w:ascii="Arial" w:cs="Arial" w:eastAsia="Arial" w:hAnsi="Arial"/>
          <w:sz w:val="16"/>
          <w:szCs w:val="16"/>
          <w:color w:val="auto"/>
        </w:rPr>
      </w:pPr>
      <w:r>
        <w:rPr>
          <w:rFonts w:ascii="Arial" w:cs="Arial" w:eastAsia="Arial" w:hAnsi="Arial"/>
          <w:sz w:val="16"/>
          <w:szCs w:val="16"/>
          <w:u w:val="single" w:color="auto"/>
          <w:color w:val="auto"/>
        </w:rPr>
        <w:t>No Rights to Employment or Service</w:t>
      </w:r>
      <w:r>
        <w:rPr>
          <w:rFonts w:ascii="Arial" w:cs="Arial" w:eastAsia="Arial" w:hAnsi="Arial"/>
          <w:sz w:val="16"/>
          <w:szCs w:val="16"/>
          <w:color w:val="auto"/>
        </w:rPr>
        <w:t>. Nothing contained in this Agreement shall be construed as giving the Participant any right to be retained, in any position, as an employee, consultant or director of the Company or its Affiliates or shall interfere with or restrict in any way the rights of the Company or its Affiliates, which are hereby expressly reserved, to remove, terminate or discharge the Participant at any time for any reason whatsoever.</w:t>
      </w:r>
    </w:p>
    <w:p>
      <w:pPr>
        <w:spacing w:after="0" w:line="134" w:lineRule="exact"/>
        <w:rPr>
          <w:rFonts w:ascii="Arial" w:cs="Arial" w:eastAsia="Arial" w:hAnsi="Arial"/>
          <w:sz w:val="16"/>
          <w:szCs w:val="16"/>
          <w:color w:val="auto"/>
        </w:rPr>
      </w:pPr>
    </w:p>
    <w:p>
      <w:pPr>
        <w:ind w:firstLine="563"/>
        <w:spacing w:after="0" w:line="264" w:lineRule="auto"/>
        <w:tabs>
          <w:tab w:leader="none" w:pos="944" w:val="left"/>
        </w:tabs>
        <w:numPr>
          <w:ilvl w:val="0"/>
          <w:numId w:val="313"/>
        </w:numPr>
        <w:rPr>
          <w:rFonts w:ascii="Arial" w:cs="Arial" w:eastAsia="Arial" w:hAnsi="Arial"/>
          <w:sz w:val="16"/>
          <w:szCs w:val="16"/>
          <w:color w:val="auto"/>
        </w:rPr>
      </w:pPr>
      <w:r>
        <w:rPr>
          <w:rFonts w:ascii="Arial" w:cs="Arial" w:eastAsia="Arial" w:hAnsi="Arial"/>
          <w:sz w:val="16"/>
          <w:szCs w:val="16"/>
          <w:u w:val="single" w:color="auto"/>
          <w:color w:val="auto"/>
        </w:rPr>
        <w:t>Fractional Shares</w:t>
      </w:r>
      <w:r>
        <w:rPr>
          <w:rFonts w:ascii="Arial" w:cs="Arial" w:eastAsia="Arial" w:hAnsi="Arial"/>
          <w:sz w:val="16"/>
          <w:szCs w:val="16"/>
          <w:color w:val="auto"/>
        </w:rPr>
        <w:t>. In lieu of issuing a fraction of a share of Class A Common Stock resulting from adjustment of the RSUs pursuant to Section 12 of the Plan or otherwise, the Company shall be entitled to pay to the Participant an amount in cash equal to the Fair Market Value of such fractional share.</w:t>
      </w:r>
    </w:p>
    <w:p>
      <w:pPr>
        <w:spacing w:after="0" w:line="116" w:lineRule="exact"/>
        <w:rPr>
          <w:rFonts w:ascii="Arial" w:cs="Arial" w:eastAsia="Arial" w:hAnsi="Arial"/>
          <w:sz w:val="16"/>
          <w:szCs w:val="16"/>
          <w:color w:val="auto"/>
        </w:rPr>
      </w:pPr>
    </w:p>
    <w:p>
      <w:pPr>
        <w:ind w:right="780" w:firstLine="563"/>
        <w:spacing w:after="0" w:line="237" w:lineRule="auto"/>
        <w:tabs>
          <w:tab w:leader="none" w:pos="905" w:val="left"/>
        </w:tabs>
        <w:numPr>
          <w:ilvl w:val="0"/>
          <w:numId w:val="313"/>
        </w:numPr>
        <w:rPr>
          <w:rFonts w:ascii="Arial" w:cs="Arial" w:eastAsia="Arial" w:hAnsi="Arial"/>
          <w:sz w:val="17"/>
          <w:szCs w:val="17"/>
          <w:color w:val="auto"/>
        </w:rPr>
      </w:pPr>
      <w:r>
        <w:rPr>
          <w:rFonts w:ascii="Arial" w:cs="Arial" w:eastAsia="Arial" w:hAnsi="Arial"/>
          <w:sz w:val="17"/>
          <w:szCs w:val="17"/>
          <w:u w:val="single" w:color="auto"/>
          <w:color w:val="auto"/>
        </w:rPr>
        <w:t>Beneficiary</w:t>
      </w:r>
      <w:r>
        <w:rPr>
          <w:rFonts w:ascii="Arial" w:cs="Arial" w:eastAsia="Arial" w:hAnsi="Arial"/>
          <w:sz w:val="17"/>
          <w:szCs w:val="17"/>
          <w:color w:val="auto"/>
        </w:rPr>
        <w:t>. The Participant may file with the Committee a written designation of a beneficiary on such form as may be prescribed by the Committee and may, from time to time, amend or revoke such designation.</w:t>
      </w:r>
    </w:p>
    <w:p>
      <w:pPr>
        <w:spacing w:after="0" w:line="134" w:lineRule="exact"/>
        <w:rPr>
          <w:rFonts w:ascii="Arial" w:cs="Arial" w:eastAsia="Arial" w:hAnsi="Arial"/>
          <w:sz w:val="17"/>
          <w:szCs w:val="17"/>
          <w:color w:val="auto"/>
        </w:rPr>
      </w:pPr>
    </w:p>
    <w:p>
      <w:pPr>
        <w:ind w:right="240" w:firstLine="563"/>
        <w:spacing w:after="0" w:line="237" w:lineRule="auto"/>
        <w:tabs>
          <w:tab w:leader="none" w:pos="905" w:val="left"/>
        </w:tabs>
        <w:numPr>
          <w:ilvl w:val="0"/>
          <w:numId w:val="313"/>
        </w:numPr>
        <w:rPr>
          <w:rFonts w:ascii="Arial" w:cs="Arial" w:eastAsia="Arial" w:hAnsi="Arial"/>
          <w:sz w:val="17"/>
          <w:szCs w:val="17"/>
          <w:color w:val="auto"/>
        </w:rPr>
      </w:pPr>
      <w:r>
        <w:rPr>
          <w:rFonts w:ascii="Arial" w:cs="Arial" w:eastAsia="Arial" w:hAnsi="Arial"/>
          <w:sz w:val="17"/>
          <w:szCs w:val="17"/>
          <w:u w:val="single" w:color="auto"/>
          <w:color w:val="auto"/>
        </w:rPr>
        <w:t>Successors</w:t>
      </w:r>
      <w:r>
        <w:rPr>
          <w:rFonts w:ascii="Arial" w:cs="Arial" w:eastAsia="Arial" w:hAnsi="Arial"/>
          <w:sz w:val="17"/>
          <w:szCs w:val="17"/>
          <w:color w:val="auto"/>
        </w:rPr>
        <w:t>. The terms of this Agreement shall be binding upon and inure to the benefit of the Company and its successors and assigns, and of the Participant and the beneficiaries, executors, administrators, heirs and successors of the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40"/>
          </w:cols>
          <w:pgMar w:left="320" w:top="1249" w:right="339" w:bottom="1440" w:gutter="0" w:footer="0" w:header="0"/>
        </w:sectPr>
      </w:pPr>
    </w:p>
    <w:bookmarkStart w:id="387" w:name="page388"/>
    <w:bookmarkEnd w:id="387"/>
    <w:p>
      <w:pPr>
        <w:ind w:right="240" w:firstLine="563"/>
        <w:spacing w:after="0" w:line="220" w:lineRule="auto"/>
        <w:tabs>
          <w:tab w:leader="none" w:pos="944" w:val="left"/>
        </w:tabs>
        <w:numPr>
          <w:ilvl w:val="0"/>
          <w:numId w:val="314"/>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and the Plan contain the entire agreement and understanding of the parties hereto with respect to the subject matter contained herein and supersede all prior communications, representations and negotiations in respect thereto, except as set forth in Section 8 hereof. No change, modification or waiver of any provision of this Agreement shall be valid unless the same be in writing and signed by the parties hereto, except for any changes permitted without consent under Section 12 or 14 of the Plan.</w:t>
      </w:r>
    </w:p>
    <w:p>
      <w:pPr>
        <w:spacing w:after="0" w:line="135" w:lineRule="exact"/>
        <w:rPr>
          <w:rFonts w:ascii="Arial" w:cs="Arial" w:eastAsia="Arial" w:hAnsi="Arial"/>
          <w:sz w:val="17"/>
          <w:szCs w:val="17"/>
          <w:color w:val="auto"/>
        </w:rPr>
      </w:pPr>
    </w:p>
    <w:p>
      <w:pPr>
        <w:ind w:right="80" w:firstLine="563"/>
        <w:spacing w:after="0" w:line="225" w:lineRule="auto"/>
        <w:tabs>
          <w:tab w:leader="none" w:pos="905" w:val="left"/>
        </w:tabs>
        <w:numPr>
          <w:ilvl w:val="0"/>
          <w:numId w:val="314"/>
        </w:numPr>
        <w:rPr>
          <w:rFonts w:ascii="Arial" w:cs="Arial" w:eastAsia="Arial" w:hAnsi="Arial"/>
          <w:sz w:val="17"/>
          <w:szCs w:val="17"/>
          <w:color w:val="auto"/>
        </w:rPr>
      </w:pPr>
      <w:r>
        <w:rPr>
          <w:rFonts w:ascii="Arial" w:cs="Arial" w:eastAsia="Arial" w:hAnsi="Arial"/>
          <w:sz w:val="17"/>
          <w:szCs w:val="17"/>
          <w:u w:val="single" w:color="auto"/>
          <w:color w:val="auto"/>
        </w:rPr>
        <w:t>Governing Law and Venue</w:t>
      </w:r>
      <w:r>
        <w:rPr>
          <w:rFonts w:ascii="Arial" w:cs="Arial" w:eastAsia="Arial" w:hAnsi="Arial"/>
          <w:sz w:val="17"/>
          <w:szCs w:val="17"/>
          <w:color w:val="auto"/>
        </w:rPr>
        <w:t>. This Agreement shall be construed and interpreted in accordance with the laws of the State of Delaware, without regard to principles of conflicts of laws thereof, or principles of conflicts of laws of any other jurisdiction which could cause the application of the laws of any jurisdiction other than the State of Delaware.</w:t>
      </w:r>
    </w:p>
    <w:p>
      <w:pPr>
        <w:spacing w:after="0" w:line="136" w:lineRule="exact"/>
        <w:rPr>
          <w:rFonts w:ascii="Arial" w:cs="Arial" w:eastAsia="Arial" w:hAnsi="Arial"/>
          <w:sz w:val="17"/>
          <w:szCs w:val="17"/>
          <w:color w:val="auto"/>
        </w:rPr>
      </w:pPr>
    </w:p>
    <w:p>
      <w:pPr>
        <w:ind w:left="560" w:firstLine="571"/>
        <w:spacing w:after="0" w:line="225" w:lineRule="auto"/>
        <w:tabs>
          <w:tab w:leader="none" w:pos="1465" w:val="left"/>
        </w:tabs>
        <w:numPr>
          <w:ilvl w:val="1"/>
          <w:numId w:val="314"/>
        </w:numPr>
        <w:rPr>
          <w:rFonts w:ascii="Arial" w:cs="Arial" w:eastAsia="Arial" w:hAnsi="Arial"/>
          <w:sz w:val="16"/>
          <w:szCs w:val="16"/>
          <w:color w:val="auto"/>
        </w:rPr>
      </w:pPr>
      <w:r>
        <w:rPr>
          <w:rFonts w:ascii="Arial" w:cs="Arial" w:eastAsia="Arial" w:hAnsi="Arial"/>
          <w:sz w:val="16"/>
          <w:szCs w:val="16"/>
          <w:u w:val="single" w:color="auto"/>
          <w:color w:val="auto"/>
        </w:rPr>
        <w:t>Dispute Resolution; Consent to Jurisdiction</w:t>
      </w:r>
      <w:r>
        <w:rPr>
          <w:rFonts w:ascii="Arial" w:cs="Arial" w:eastAsia="Arial" w:hAnsi="Arial"/>
          <w:sz w:val="16"/>
          <w:szCs w:val="16"/>
          <w:color w:val="auto"/>
        </w:rPr>
        <w:t>. All disputes between or among any Persons arising out of or in any way connected with the Plan, this Agreement, the RSUs shall be solely and finally settled by the Committee, acting in good faith, the determination of which shall be final. Any matters not covered by the preceding sentence shall be solely and finally settled in accordance with the Plan, and the Participant and the Company consent to the personal jurisdiction of the United States Federal and state courts sitting in Wilmington, Delaware as the exclusive jurisdiction with respect to matters arising out of or related to the enforcement of the Committee’s determinations and resolution of matters, if any, related to the Plan or this Agreement not required to be resolved by the Committee. Each such Person hereby irrevocably consents to the service of process of any of the aforementioned courts in any such suit, action or proceeding by the mailing of copies thereof by registered or certified mail, postage prepaid, to the last known address of such Person, such service to become effective ten (10) days after such mailing.</w:t>
      </w:r>
    </w:p>
    <w:p>
      <w:pPr>
        <w:spacing w:after="0" w:line="135" w:lineRule="exact"/>
        <w:rPr>
          <w:rFonts w:ascii="Arial" w:cs="Arial" w:eastAsia="Arial" w:hAnsi="Arial"/>
          <w:sz w:val="16"/>
          <w:szCs w:val="16"/>
          <w:color w:val="auto"/>
        </w:rPr>
      </w:pPr>
    </w:p>
    <w:p>
      <w:pPr>
        <w:ind w:left="560" w:firstLine="571"/>
        <w:spacing w:after="0" w:line="230" w:lineRule="auto"/>
        <w:tabs>
          <w:tab w:leader="none" w:pos="1514" w:val="left"/>
        </w:tabs>
        <w:numPr>
          <w:ilvl w:val="1"/>
          <w:numId w:val="314"/>
        </w:numPr>
        <w:rPr>
          <w:rFonts w:ascii="Arial" w:cs="Arial" w:eastAsia="Arial" w:hAnsi="Arial"/>
          <w:sz w:val="16"/>
          <w:szCs w:val="16"/>
          <w:color w:val="auto"/>
        </w:rPr>
      </w:pPr>
      <w:r>
        <w:rPr>
          <w:rFonts w:ascii="Arial" w:cs="Arial" w:eastAsia="Arial" w:hAnsi="Arial"/>
          <w:sz w:val="16"/>
          <w:szCs w:val="16"/>
          <w:u w:val="single" w:color="auto"/>
          <w:color w:val="auto"/>
        </w:rPr>
        <w:t>Waiver of Jury Trial</w:t>
      </w:r>
      <w:r>
        <w:rPr>
          <w:rFonts w:ascii="Arial" w:cs="Arial" w:eastAsia="Arial" w:hAnsi="Arial"/>
          <w:sz w:val="16"/>
          <w:szCs w:val="16"/>
          <w:color w:val="auto"/>
        </w:rPr>
        <w:t>. Each party hereto hereby waives, to the fullest extent permitted by applicable law, any right it may have to a trial by jury in any legal proceeding directly or indirectly arising out of or relating to this Agreement or the transactions contemplated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36" w:lineRule="exact"/>
        <w:rPr>
          <w:rFonts w:ascii="Arial" w:cs="Arial" w:eastAsia="Arial" w:hAnsi="Arial"/>
          <w:sz w:val="16"/>
          <w:szCs w:val="16"/>
          <w:color w:val="auto"/>
        </w:rPr>
      </w:pPr>
    </w:p>
    <w:p>
      <w:pPr>
        <w:ind w:right="160" w:firstLine="563"/>
        <w:spacing w:after="0" w:line="225" w:lineRule="auto"/>
        <w:tabs>
          <w:tab w:leader="none" w:pos="992" w:val="left"/>
        </w:tabs>
        <w:numPr>
          <w:ilvl w:val="0"/>
          <w:numId w:val="314"/>
        </w:numPr>
        <w:rPr>
          <w:rFonts w:ascii="Arial" w:cs="Arial" w:eastAsia="Arial" w:hAnsi="Arial"/>
          <w:sz w:val="17"/>
          <w:szCs w:val="17"/>
          <w:color w:val="auto"/>
        </w:rPr>
      </w:pPr>
      <w:r>
        <w:rPr>
          <w:rFonts w:ascii="Arial" w:cs="Arial" w:eastAsia="Arial" w:hAnsi="Arial"/>
          <w:sz w:val="17"/>
          <w:szCs w:val="17"/>
          <w:u w:val="single" w:color="auto"/>
          <w:color w:val="auto"/>
        </w:rPr>
        <w:t>Headings; Gender</w:t>
      </w:r>
      <w:r>
        <w:rPr>
          <w:rFonts w:ascii="Arial" w:cs="Arial" w:eastAsia="Arial" w:hAnsi="Arial"/>
          <w:sz w:val="17"/>
          <w:szCs w:val="17"/>
          <w:color w:val="auto"/>
        </w:rPr>
        <w:t>. The headings of the Sections hereof are provided for convenience only and are not to serve as a basis for interpretation or construction, and shall not constitute a part, of this Agreement. Masculine pronouns and other words of masculine gender shall refer to both men and women as appropriate.</w:t>
      </w:r>
    </w:p>
    <w:p>
      <w:pPr>
        <w:spacing w:after="0" w:line="136" w:lineRule="exact"/>
        <w:rPr>
          <w:rFonts w:ascii="Arial" w:cs="Arial" w:eastAsia="Arial" w:hAnsi="Arial"/>
          <w:sz w:val="17"/>
          <w:szCs w:val="17"/>
          <w:color w:val="auto"/>
        </w:rPr>
      </w:pPr>
    </w:p>
    <w:p>
      <w:pPr>
        <w:ind w:right="380" w:firstLine="563"/>
        <w:spacing w:after="0" w:line="225" w:lineRule="auto"/>
        <w:tabs>
          <w:tab w:leader="none" w:pos="944" w:val="left"/>
        </w:tabs>
        <w:numPr>
          <w:ilvl w:val="0"/>
          <w:numId w:val="314"/>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one or more counterparts (including via facsimile and electronic image scan (pdf)), each of which shall be deemed to be an original, but all of which together shall constitute one and the same instrument and shall become effective when one or more counterparts have been signed by each of the parties and delivered to the other parties.</w:t>
      </w:r>
    </w:p>
    <w:p>
      <w:pPr>
        <w:spacing w:after="0" w:line="136" w:lineRule="exact"/>
        <w:rPr>
          <w:rFonts w:ascii="Arial" w:cs="Arial" w:eastAsia="Arial" w:hAnsi="Arial"/>
          <w:sz w:val="17"/>
          <w:szCs w:val="17"/>
          <w:color w:val="auto"/>
        </w:rPr>
      </w:pPr>
    </w:p>
    <w:p>
      <w:pPr>
        <w:ind w:right="220" w:firstLine="563"/>
        <w:spacing w:after="0" w:line="234" w:lineRule="auto"/>
        <w:tabs>
          <w:tab w:leader="none" w:pos="944" w:val="left"/>
        </w:tabs>
        <w:numPr>
          <w:ilvl w:val="0"/>
          <w:numId w:val="314"/>
        </w:numPr>
        <w:rPr>
          <w:rFonts w:ascii="Arial" w:cs="Arial" w:eastAsia="Arial" w:hAnsi="Arial"/>
          <w:sz w:val="16"/>
          <w:szCs w:val="16"/>
          <w:color w:val="auto"/>
        </w:rPr>
      </w:pPr>
      <w:r>
        <w:rPr>
          <w:rFonts w:ascii="Arial" w:cs="Arial" w:eastAsia="Arial" w:hAnsi="Arial"/>
          <w:sz w:val="16"/>
          <w:szCs w:val="16"/>
          <w:u w:val="single" w:color="auto"/>
          <w:color w:val="auto"/>
        </w:rPr>
        <w:t>Electronic Signature and Delivery</w:t>
      </w:r>
      <w:r>
        <w:rPr>
          <w:rFonts w:ascii="Arial" w:cs="Arial" w:eastAsia="Arial" w:hAnsi="Arial"/>
          <w:sz w:val="16"/>
          <w:szCs w:val="16"/>
          <w:color w:val="auto"/>
        </w:rPr>
        <w:t>. This Agreement may be accepted by return signature or by electronic confirmation. By accepting this Agreement, the Participant consents to the electronic delivery of prospectuses, annual reports and other information required to be delivered by U.S. Securities and Exchange Commission rules (which consent may be revoked in writing by the Participant at any time upon three business days’ notice to the Company, in which case subsequent prospectuses, annual reports and other information will be delivered in hard copy to the Participant).</w:t>
      </w:r>
    </w:p>
    <w:p>
      <w:pPr>
        <w:spacing w:after="0" w:line="134" w:lineRule="exact"/>
        <w:rPr>
          <w:rFonts w:ascii="Arial" w:cs="Arial" w:eastAsia="Arial" w:hAnsi="Arial"/>
          <w:sz w:val="16"/>
          <w:szCs w:val="16"/>
          <w:color w:val="auto"/>
        </w:rPr>
      </w:pPr>
    </w:p>
    <w:p>
      <w:pPr>
        <w:ind w:right="20" w:firstLine="563"/>
        <w:spacing w:after="0"/>
        <w:tabs>
          <w:tab w:leader="none" w:pos="944" w:val="left"/>
        </w:tabs>
        <w:numPr>
          <w:ilvl w:val="0"/>
          <w:numId w:val="314"/>
        </w:numPr>
        <w:rPr>
          <w:rFonts w:ascii="Arial" w:cs="Arial" w:eastAsia="Arial" w:hAnsi="Arial"/>
          <w:sz w:val="16"/>
          <w:szCs w:val="16"/>
          <w:color w:val="auto"/>
        </w:rPr>
      </w:pPr>
      <w:r>
        <w:rPr>
          <w:rFonts w:ascii="Arial" w:cs="Arial" w:eastAsia="Arial" w:hAnsi="Arial"/>
          <w:sz w:val="16"/>
          <w:szCs w:val="16"/>
          <w:u w:val="single" w:color="auto"/>
          <w:color w:val="auto"/>
        </w:rPr>
        <w:t>Electronic Participation in Plan</w:t>
      </w:r>
      <w:r>
        <w:rPr>
          <w:rFonts w:ascii="Arial" w:cs="Arial" w:eastAsia="Arial" w:hAnsi="Arial"/>
          <w:sz w:val="16"/>
          <w:szCs w:val="16"/>
          <w:color w:val="auto"/>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40"/>
          </w:cols>
          <w:pgMar w:left="320" w:top="1249" w:right="339" w:bottom="1440" w:gutter="0" w:footer="0" w:header="0"/>
        </w:sectPr>
      </w:pPr>
    </w:p>
    <w:bookmarkStart w:id="388" w:name="page389"/>
    <w:bookmarkEnd w:id="388"/>
    <w:p>
      <w:pPr>
        <w:spacing w:after="0" w:line="206" w:lineRule="exact"/>
        <w:rPr>
          <w:sz w:val="20"/>
          <w:szCs w:val="20"/>
          <w:color w:val="auto"/>
        </w:rPr>
      </w:pPr>
    </w:p>
    <w:p>
      <w:pPr>
        <w:ind w:left="3160"/>
        <w:spacing w:after="0"/>
        <w:rPr>
          <w:sz w:val="20"/>
          <w:szCs w:val="20"/>
          <w:color w:val="auto"/>
        </w:rPr>
      </w:pPr>
      <w:r>
        <w:rPr>
          <w:rFonts w:ascii="Arial" w:cs="Arial" w:eastAsia="Arial" w:hAnsi="Arial"/>
          <w:sz w:val="15"/>
          <w:szCs w:val="15"/>
          <w:b w:val="1"/>
          <w:bCs w:val="1"/>
          <w:color w:val="auto"/>
        </w:rPr>
        <w:t>[Remainder of page intentionally left blank]</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9019"/>
          </w:cols>
          <w:pgMar w:left="1440" w:top="1440" w:right="1440" w:bottom="1440" w:gutter="0" w:footer="0" w:header="0"/>
          <w:type w:val="continuous"/>
        </w:sectPr>
      </w:pPr>
    </w:p>
    <w:bookmarkStart w:id="389" w:name="page390"/>
    <w:bookmarkEnd w:id="389"/>
    <w:p>
      <w:pPr>
        <w:spacing w:after="0"/>
        <w:rPr>
          <w:sz w:val="20"/>
          <w:szCs w:val="20"/>
          <w:color w:val="auto"/>
        </w:rPr>
      </w:pPr>
      <w:r>
        <w:rPr>
          <w:rFonts w:ascii="Arial" w:cs="Arial" w:eastAsia="Arial" w:hAnsi="Arial"/>
          <w:sz w:val="15"/>
          <w:szCs w:val="15"/>
          <w:color w:val="auto"/>
        </w:rPr>
        <w:t>IN WITNESS WHEREOF, this Agreement has been executed by the Company and the Participant as of the day first written above.</w:t>
      </w:r>
    </w:p>
    <w:p>
      <w:pPr>
        <w:sectPr>
          <w:pgSz w:w="11900" w:h="16838" w:orient="portrait"/>
          <w:cols w:equalWidth="0" w:num="1">
            <w:col w:w="9379"/>
          </w:cols>
          <w:pgMar w:left="1080" w:top="124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640"/>
        <w:spacing w:after="0"/>
        <w:rPr>
          <w:sz w:val="20"/>
          <w:szCs w:val="20"/>
          <w:color w:val="auto"/>
        </w:rPr>
      </w:pPr>
      <w:r>
        <w:rPr>
          <w:rFonts w:ascii="Arial" w:cs="Arial" w:eastAsia="Arial" w:hAnsi="Arial"/>
          <w:sz w:val="17"/>
          <w:szCs w:val="17"/>
          <w:color w:val="auto"/>
        </w:rPr>
        <w:t>VIRTU FINANCIAL, INC.</w:t>
      </w:r>
    </w:p>
    <w:p>
      <w:pPr>
        <w:spacing w:after="0" w:line="200" w:lineRule="exact"/>
        <w:rPr>
          <w:sz w:val="20"/>
          <w:szCs w:val="20"/>
          <w:color w:val="auto"/>
        </w:rPr>
      </w:pPr>
    </w:p>
    <w:p>
      <w:pPr>
        <w:spacing w:after="0" w:line="358" w:lineRule="exact"/>
        <w:rPr>
          <w:sz w:val="20"/>
          <w:szCs w:val="20"/>
          <w:color w:val="auto"/>
        </w:rPr>
      </w:pPr>
    </w:p>
    <w:p>
      <w:pPr>
        <w:ind w:left="264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8"/>
          <w:szCs w:val="18"/>
          <w:u w:val="single" w:color="auto"/>
          <w:color w:val="auto"/>
        </w:rPr>
        <w:t>/s/ Douglas A. Cifu</w:t>
      </w:r>
    </w:p>
    <w:p>
      <w:pPr>
        <w:ind w:left="2640"/>
        <w:spacing w:after="0" w:line="204" w:lineRule="auto"/>
        <w:rPr>
          <w:sz w:val="20"/>
          <w:szCs w:val="20"/>
          <w:color w:val="auto"/>
        </w:rPr>
      </w:pPr>
      <w:r>
        <w:rPr>
          <w:rFonts w:ascii="Arial" w:cs="Arial" w:eastAsia="Arial" w:hAnsi="Arial"/>
          <w:sz w:val="17"/>
          <w:szCs w:val="17"/>
          <w:color w:val="auto"/>
        </w:rPr>
        <w:t>Name: Douglas A. Cifu</w:t>
      </w:r>
    </w:p>
    <w:p>
      <w:pPr>
        <w:ind w:left="2640"/>
        <w:spacing w:after="0"/>
        <w:rPr>
          <w:sz w:val="20"/>
          <w:szCs w:val="20"/>
          <w:color w:val="auto"/>
        </w:rPr>
      </w:pPr>
      <w:r>
        <w:rPr>
          <w:rFonts w:ascii="Arial" w:cs="Arial" w:eastAsia="Arial" w:hAnsi="Arial"/>
          <w:sz w:val="16"/>
          <w:szCs w:val="16"/>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640"/>
        <w:spacing w:after="0"/>
        <w:rPr>
          <w:sz w:val="20"/>
          <w:szCs w:val="20"/>
          <w:color w:val="auto"/>
        </w:rPr>
      </w:pPr>
      <w:r>
        <w:rPr>
          <w:rFonts w:ascii="Arial" w:cs="Arial" w:eastAsia="Arial" w:hAnsi="Arial"/>
          <w:sz w:val="17"/>
          <w:szCs w:val="17"/>
          <w:u w:val="single" w:color="auto"/>
          <w:color w:val="auto"/>
        </w:rPr>
        <w:t>/s/ Joseph Molluso</w:t>
      </w:r>
    </w:p>
    <w:p>
      <w:pPr>
        <w:ind w:left="2640"/>
        <w:spacing w:after="0"/>
        <w:rPr>
          <w:sz w:val="20"/>
          <w:szCs w:val="20"/>
          <w:color w:val="auto"/>
        </w:rPr>
      </w:pPr>
      <w:r>
        <w:rPr>
          <w:rFonts w:ascii="Arial" w:cs="Arial" w:eastAsia="Arial" w:hAnsi="Arial"/>
          <w:sz w:val="17"/>
          <w:szCs w:val="17"/>
          <w:color w:val="auto"/>
        </w:rPr>
        <w:t>Joseph Molluso</w:t>
      </w:r>
    </w:p>
    <w:p>
      <w:pPr>
        <w:sectPr>
          <w:pgSz w:w="11900" w:h="16838" w:orient="portrait"/>
          <w:cols w:equalWidth="0" w:num="1">
            <w:col w:w="9379"/>
          </w:cols>
          <w:pgMar w:left="1080" w:top="1249" w:right="1440" w:bottom="1440" w:gutter="0" w:footer="0" w:header="0"/>
          <w:type w:val="continuous"/>
        </w:sectPr>
      </w:pPr>
    </w:p>
    <w:bookmarkStart w:id="390" w:name="page391"/>
    <w:bookmarkEnd w:id="390"/>
    <w:p>
      <w:pPr>
        <w:ind w:left="3386"/>
        <w:spacing w:after="0"/>
        <w:rPr>
          <w:sz w:val="20"/>
          <w:szCs w:val="20"/>
          <w:color w:val="auto"/>
        </w:rPr>
      </w:pPr>
      <w:r>
        <w:rPr>
          <w:rFonts w:ascii="Arial" w:cs="Arial" w:eastAsia="Arial" w:hAnsi="Arial"/>
          <w:sz w:val="17"/>
          <w:szCs w:val="17"/>
          <w:b w:val="1"/>
          <w:bCs w:val="1"/>
          <w:color w:val="auto"/>
        </w:rPr>
        <w:t>VIRTU FINANCIAL, INC. AMENDED AND RESTATED</w:t>
      </w:r>
    </w:p>
    <w:p>
      <w:pPr>
        <w:spacing w:after="0" w:line="8" w:lineRule="exact"/>
        <w:rPr>
          <w:sz w:val="20"/>
          <w:szCs w:val="20"/>
          <w:color w:val="auto"/>
        </w:rPr>
      </w:pPr>
    </w:p>
    <w:p>
      <w:pPr>
        <w:ind w:left="3926"/>
        <w:spacing w:after="0"/>
        <w:rPr>
          <w:sz w:val="20"/>
          <w:szCs w:val="20"/>
          <w:color w:val="auto"/>
        </w:rPr>
      </w:pPr>
      <w:r>
        <w:rPr>
          <w:rFonts w:ascii="Arial" w:cs="Arial" w:eastAsia="Arial" w:hAnsi="Arial"/>
          <w:sz w:val="17"/>
          <w:szCs w:val="17"/>
          <w:b w:val="1"/>
          <w:bCs w:val="1"/>
          <w:color w:val="auto"/>
        </w:rPr>
        <w:t>2015 MANAGEMENT INCENTIVE PLAN</w:t>
      </w:r>
    </w:p>
    <w:p>
      <w:pPr>
        <w:ind w:left="566" w:right="2400" w:firstLine="1945"/>
        <w:spacing w:after="0" w:line="283" w:lineRule="auto"/>
        <w:rPr>
          <w:sz w:val="20"/>
          <w:szCs w:val="20"/>
          <w:color w:val="auto"/>
        </w:rPr>
      </w:pPr>
      <w:r>
        <w:rPr>
          <w:rFonts w:ascii="Arial" w:cs="Arial" w:eastAsia="Arial" w:hAnsi="Arial"/>
          <w:sz w:val="17"/>
          <w:szCs w:val="17"/>
          <w:b w:val="1"/>
          <w:bCs w:val="1"/>
          <w:u w:val="single" w:color="auto"/>
          <w:color w:val="auto"/>
        </w:rPr>
        <w:t xml:space="preserve">RESTRICTED STOCK UNIT AND COMMON STOCK AWARD AGREEMENT </w:t>
      </w:r>
      <w:r>
        <w:rPr>
          <w:rFonts w:ascii="Arial" w:cs="Arial" w:eastAsia="Arial" w:hAnsi="Arial"/>
          <w:sz w:val="17"/>
          <w:szCs w:val="17"/>
          <w:color w:val="auto"/>
        </w:rPr>
        <w:t>THIS RESTRICTED STOCK UNIT AND COMMON STOCK AWARD AGREEMENT (the</w:t>
      </w:r>
    </w:p>
    <w:p>
      <w:pPr>
        <w:spacing w:after="0" w:line="1" w:lineRule="exact"/>
        <w:rPr>
          <w:sz w:val="20"/>
          <w:szCs w:val="20"/>
          <w:color w:val="auto"/>
        </w:rPr>
      </w:pPr>
    </w:p>
    <w:p>
      <w:pPr>
        <w:ind w:left="6" w:right="180"/>
        <w:spacing w:after="0" w:line="26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Agreement</w:t>
      </w:r>
      <w:r>
        <w:rPr>
          <w:rFonts w:ascii="Arial" w:cs="Arial" w:eastAsia="Arial" w:hAnsi="Arial"/>
          <w:sz w:val="17"/>
          <w:szCs w:val="17"/>
          <w:color w:val="auto"/>
        </w:rPr>
        <w:t>”), is entered into as of February 3, 2022 (the “</w:t>
      </w:r>
      <w:r>
        <w:rPr>
          <w:rFonts w:ascii="Arial" w:cs="Arial" w:eastAsia="Arial" w:hAnsi="Arial"/>
          <w:sz w:val="17"/>
          <w:szCs w:val="17"/>
          <w:u w:val="single" w:color="auto"/>
          <w:color w:val="auto"/>
        </w:rPr>
        <w:t>Date of Grant</w:t>
      </w:r>
      <w:r>
        <w:rPr>
          <w:rFonts w:ascii="Arial" w:cs="Arial" w:eastAsia="Arial" w:hAnsi="Arial"/>
          <w:sz w:val="17"/>
          <w:szCs w:val="17"/>
          <w:color w:val="auto"/>
        </w:rPr>
        <w:t>”), by and between Virtu Financial,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and Sean Galvin (the “</w:t>
      </w:r>
      <w:r>
        <w:rPr>
          <w:rFonts w:ascii="Arial" w:cs="Arial" w:eastAsia="Arial" w:hAnsi="Arial"/>
          <w:sz w:val="17"/>
          <w:szCs w:val="17"/>
          <w:u w:val="single" w:color="auto"/>
          <w:color w:val="auto"/>
        </w:rPr>
        <w:t>Participant</w:t>
      </w:r>
      <w:r>
        <w:rPr>
          <w:rFonts w:ascii="Arial" w:cs="Arial" w:eastAsia="Arial" w:hAnsi="Arial"/>
          <w:sz w:val="17"/>
          <w:szCs w:val="17"/>
          <w:color w:val="auto"/>
        </w:rPr>
        <w:t>”).</w:t>
      </w:r>
    </w:p>
    <w:p>
      <w:pPr>
        <w:spacing w:after="0" w:line="107" w:lineRule="exact"/>
        <w:rPr>
          <w:sz w:val="20"/>
          <w:szCs w:val="20"/>
          <w:color w:val="auto"/>
        </w:rPr>
      </w:pPr>
    </w:p>
    <w:p>
      <w:pPr>
        <w:ind w:left="566"/>
        <w:spacing w:after="0"/>
        <w:rPr>
          <w:sz w:val="20"/>
          <w:szCs w:val="20"/>
          <w:color w:val="auto"/>
        </w:rPr>
      </w:pPr>
      <w:r>
        <w:rPr>
          <w:rFonts w:ascii="Arial" w:cs="Arial" w:eastAsia="Arial" w:hAnsi="Arial"/>
          <w:sz w:val="16"/>
          <w:szCs w:val="16"/>
          <w:color w:val="auto"/>
        </w:rPr>
        <w:t>WHEREAS, the Company has adopted the Virtu Financial, Inc. Amended and Restated 2015 Management Incentive Plan (the “</w:t>
      </w:r>
      <w:r>
        <w:rPr>
          <w:rFonts w:ascii="Arial" w:cs="Arial" w:eastAsia="Arial" w:hAnsi="Arial"/>
          <w:sz w:val="16"/>
          <w:szCs w:val="16"/>
          <w:u w:val="single" w:color="auto"/>
          <w:color w:val="auto"/>
        </w:rPr>
        <w:t>Plan</w:t>
      </w:r>
      <w:r>
        <w:rPr>
          <w:rFonts w:ascii="Arial" w:cs="Arial" w:eastAsia="Arial" w:hAnsi="Arial"/>
          <w:sz w:val="16"/>
          <w:szCs w:val="16"/>
          <w:color w:val="auto"/>
        </w:rPr>
        <w:t>”), pursuant to</w:t>
      </w:r>
    </w:p>
    <w:p>
      <w:pPr>
        <w:spacing w:after="0" w:line="31" w:lineRule="exact"/>
        <w:rPr>
          <w:sz w:val="20"/>
          <w:szCs w:val="20"/>
          <w:color w:val="auto"/>
        </w:rPr>
      </w:pPr>
    </w:p>
    <w:p>
      <w:pPr>
        <w:ind w:left="6"/>
        <w:spacing w:after="0"/>
        <w:rPr>
          <w:sz w:val="20"/>
          <w:szCs w:val="20"/>
          <w:color w:val="auto"/>
        </w:rPr>
      </w:pPr>
      <w:r>
        <w:rPr>
          <w:rFonts w:ascii="Arial" w:cs="Arial" w:eastAsia="Arial" w:hAnsi="Arial"/>
          <w:sz w:val="17"/>
          <w:szCs w:val="17"/>
          <w:color w:val="auto"/>
        </w:rPr>
        <w:t>which shares of Class A Common Stock and</w:t>
      </w:r>
    </w:p>
    <w:p>
      <w:pPr>
        <w:spacing w:after="0" w:line="6" w:lineRule="exact"/>
        <w:rPr>
          <w:sz w:val="20"/>
          <w:szCs w:val="20"/>
          <w:color w:val="auto"/>
        </w:rPr>
      </w:pPr>
    </w:p>
    <w:p>
      <w:pPr>
        <w:ind w:left="6"/>
        <w:spacing w:after="0"/>
        <w:rPr>
          <w:sz w:val="20"/>
          <w:szCs w:val="20"/>
          <w:color w:val="auto"/>
        </w:rPr>
      </w:pPr>
      <w:r>
        <w:rPr>
          <w:rFonts w:ascii="Arial" w:cs="Arial" w:eastAsia="Arial" w:hAnsi="Arial"/>
          <w:sz w:val="17"/>
          <w:szCs w:val="17"/>
          <w:color w:val="auto"/>
        </w:rPr>
        <w:t>Restricted Stock Units (“</w:t>
      </w:r>
      <w:r>
        <w:rPr>
          <w:rFonts w:ascii="Arial" w:cs="Arial" w:eastAsia="Arial" w:hAnsi="Arial"/>
          <w:sz w:val="17"/>
          <w:szCs w:val="17"/>
          <w:u w:val="single" w:color="auto"/>
          <w:color w:val="auto"/>
        </w:rPr>
        <w:t>RSUs</w:t>
      </w:r>
      <w:r>
        <w:rPr>
          <w:rFonts w:ascii="Arial" w:cs="Arial" w:eastAsia="Arial" w:hAnsi="Arial"/>
          <w:sz w:val="17"/>
          <w:szCs w:val="17"/>
          <w:color w:val="auto"/>
        </w:rPr>
        <w:t>”) may be granted; and</w:t>
      </w:r>
    </w:p>
    <w:p>
      <w:pPr>
        <w:spacing w:after="0" w:line="134" w:lineRule="exact"/>
        <w:rPr>
          <w:sz w:val="20"/>
          <w:szCs w:val="20"/>
          <w:color w:val="auto"/>
        </w:rPr>
      </w:pPr>
    </w:p>
    <w:p>
      <w:pPr>
        <w:jc w:val="both"/>
        <w:ind w:left="6" w:right="240" w:firstLine="568"/>
        <w:spacing w:after="0" w:line="270" w:lineRule="auto"/>
        <w:rPr>
          <w:sz w:val="20"/>
          <w:szCs w:val="20"/>
          <w:color w:val="auto"/>
        </w:rPr>
      </w:pPr>
      <w:r>
        <w:rPr>
          <w:rFonts w:ascii="Arial" w:cs="Arial" w:eastAsia="Arial" w:hAnsi="Arial"/>
          <w:sz w:val="16"/>
          <w:szCs w:val="16"/>
          <w:color w:val="auto"/>
        </w:rPr>
        <w:t>WHEREAS, the Compensation Committee of the Board of Directors of the Company has determined that it is in the best interests of the Company and its stockholders to grant the shares of Class A Common Stock in recognition of Participant’s service to the Company and its Affiliates from January 1, 2021 through December 31, 2021, and RSUs provided for herein to the Participant subject to the terms set forth herein.</w:t>
      </w:r>
    </w:p>
    <w:p>
      <w:pPr>
        <w:spacing w:after="0" w:line="89" w:lineRule="exact"/>
        <w:rPr>
          <w:sz w:val="20"/>
          <w:szCs w:val="20"/>
          <w:color w:val="auto"/>
        </w:rPr>
      </w:pPr>
    </w:p>
    <w:p>
      <w:pPr>
        <w:ind w:left="6" w:right="40" w:firstLine="568"/>
        <w:spacing w:after="0" w:line="347" w:lineRule="auto"/>
        <w:rPr>
          <w:sz w:val="20"/>
          <w:szCs w:val="20"/>
          <w:color w:val="auto"/>
        </w:rPr>
      </w:pPr>
      <w:r>
        <w:rPr>
          <w:rFonts w:ascii="Arial" w:cs="Arial" w:eastAsia="Arial" w:hAnsi="Arial"/>
          <w:sz w:val="15"/>
          <w:szCs w:val="15"/>
          <w:color w:val="auto"/>
        </w:rPr>
        <w:t>NOW, THEREFORE, for and in consideration of the premises and the covenants of the parties contained in this Agreement, and for other good and valuable consideration, the receipt of which is hereby acknowledged, the parties hereto, for themselves, their successors and assigns, hereby agree as follows:</w:t>
      </w:r>
    </w:p>
    <w:p>
      <w:pPr>
        <w:spacing w:after="0" w:line="99" w:lineRule="exact"/>
        <w:rPr>
          <w:sz w:val="20"/>
          <w:szCs w:val="20"/>
          <w:color w:val="auto"/>
        </w:rPr>
      </w:pPr>
    </w:p>
    <w:p>
      <w:pPr>
        <w:ind w:left="566" w:hanging="566"/>
        <w:spacing w:after="0"/>
        <w:tabs>
          <w:tab w:leader="none" w:pos="566" w:val="left"/>
        </w:tabs>
        <w:numPr>
          <w:ilvl w:val="0"/>
          <w:numId w:val="315"/>
        </w:numPr>
        <w:rPr>
          <w:rFonts w:ascii="Arial" w:cs="Arial" w:eastAsia="Arial" w:hAnsi="Arial"/>
          <w:sz w:val="17"/>
          <w:szCs w:val="17"/>
          <w:b w:val="1"/>
          <w:bCs w:val="1"/>
          <w:color w:val="auto"/>
        </w:rPr>
      </w:pPr>
      <w:r>
        <w:rPr>
          <w:rFonts w:ascii="Arial" w:cs="Arial" w:eastAsia="Arial" w:hAnsi="Arial"/>
          <w:sz w:val="17"/>
          <w:szCs w:val="17"/>
          <w:b w:val="1"/>
          <w:bCs w:val="1"/>
          <w:color w:val="auto"/>
        </w:rPr>
        <w:t>Grant of Common Stock and Restricted Stock Units.</w:t>
      </w:r>
    </w:p>
    <w:p>
      <w:pPr>
        <w:spacing w:after="0" w:line="142" w:lineRule="exact"/>
        <w:rPr>
          <w:rFonts w:ascii="Arial" w:cs="Arial" w:eastAsia="Arial" w:hAnsi="Arial"/>
          <w:sz w:val="17"/>
          <w:szCs w:val="17"/>
          <w:b w:val="1"/>
          <w:bCs w:val="1"/>
          <w:color w:val="auto"/>
        </w:rPr>
      </w:pPr>
    </w:p>
    <w:p>
      <w:pPr>
        <w:ind w:left="6" w:right="80" w:firstLine="563"/>
        <w:spacing w:after="0" w:line="247" w:lineRule="auto"/>
        <w:tabs>
          <w:tab w:leader="none" w:pos="1063" w:val="left"/>
        </w:tabs>
        <w:numPr>
          <w:ilvl w:val="1"/>
          <w:numId w:val="315"/>
        </w:numPr>
        <w:rPr>
          <w:rFonts w:ascii="Arial" w:cs="Arial" w:eastAsia="Arial" w:hAnsi="Arial"/>
          <w:sz w:val="15"/>
          <w:szCs w:val="15"/>
          <w:color w:val="auto"/>
        </w:rPr>
      </w:pPr>
      <w:r>
        <w:rPr>
          <w:rFonts w:ascii="Arial" w:cs="Arial" w:eastAsia="Arial" w:hAnsi="Arial"/>
          <w:sz w:val="15"/>
          <w:szCs w:val="15"/>
          <w:u w:val="single" w:color="auto"/>
          <w:color w:val="auto"/>
        </w:rPr>
        <w:t>Grant</w:t>
      </w:r>
      <w:r>
        <w:rPr>
          <w:rFonts w:ascii="Arial" w:cs="Arial" w:eastAsia="Arial" w:hAnsi="Arial"/>
          <w:sz w:val="15"/>
          <w:szCs w:val="15"/>
          <w:color w:val="auto"/>
        </w:rPr>
        <w:t>. The Company hereby grants to the Participant a total number of shares of Class A Common Stock equal to approximately $144,000 divided by the Issue Price (the “</w:t>
      </w:r>
      <w:r>
        <w:rPr>
          <w:rFonts w:ascii="Arial" w:cs="Arial" w:eastAsia="Arial" w:hAnsi="Arial"/>
          <w:sz w:val="15"/>
          <w:szCs w:val="15"/>
          <w:u w:val="single" w:color="auto"/>
          <w:color w:val="auto"/>
        </w:rPr>
        <w:t>Shares</w:t>
      </w:r>
      <w:r>
        <w:rPr>
          <w:rFonts w:ascii="Arial" w:cs="Arial" w:eastAsia="Arial" w:hAnsi="Arial"/>
          <w:sz w:val="15"/>
          <w:szCs w:val="15"/>
          <w:color w:val="auto"/>
        </w:rPr>
        <w:t>”), and a total number of RSUs equal to approximately $216,000 divided by the Issue Price, in each case on the terms and conditions set forth in this Agreement and as otherwise provided in the Plan. The RSUs shall be credited to a separate book-entry account maintained for the Participant on the books of the Company, which may be maintained by a third party. The “</w:t>
      </w:r>
      <w:r>
        <w:rPr>
          <w:rFonts w:ascii="Arial" w:cs="Arial" w:eastAsia="Arial" w:hAnsi="Arial"/>
          <w:sz w:val="15"/>
          <w:szCs w:val="15"/>
          <w:u w:val="single" w:color="auto"/>
          <w:color w:val="auto"/>
        </w:rPr>
        <w:t>Issue Price</w:t>
      </w:r>
      <w:r>
        <w:rPr>
          <w:rFonts w:ascii="Arial" w:cs="Arial" w:eastAsia="Arial" w:hAnsi="Arial"/>
          <w:sz w:val="15"/>
          <w:szCs w:val="15"/>
          <w:color w:val="auto"/>
        </w:rPr>
        <w:t>” shall mean the volume weighted average price of shares of the Company’s Class A Common Stock traded during the three days preceding the Date of Grant, as determined by the Company.</w:t>
      </w:r>
    </w:p>
    <w:p>
      <w:pPr>
        <w:spacing w:after="0" w:line="154" w:lineRule="exact"/>
        <w:rPr>
          <w:rFonts w:ascii="Arial" w:cs="Arial" w:eastAsia="Arial" w:hAnsi="Arial"/>
          <w:sz w:val="15"/>
          <w:szCs w:val="15"/>
          <w:color w:val="auto"/>
        </w:rPr>
      </w:pPr>
    </w:p>
    <w:p>
      <w:pPr>
        <w:ind w:left="6" w:firstLine="563"/>
        <w:spacing w:after="0" w:line="213" w:lineRule="auto"/>
        <w:tabs>
          <w:tab w:leader="none" w:pos="1061" w:val="left"/>
        </w:tabs>
        <w:numPr>
          <w:ilvl w:val="1"/>
          <w:numId w:val="315"/>
        </w:numPr>
        <w:rPr>
          <w:rFonts w:ascii="Arial" w:cs="Arial" w:eastAsia="Arial" w:hAnsi="Arial"/>
          <w:sz w:val="17"/>
          <w:szCs w:val="17"/>
          <w:color w:val="auto"/>
        </w:rPr>
      </w:pPr>
      <w:r>
        <w:rPr>
          <w:rFonts w:ascii="Arial" w:cs="Arial" w:eastAsia="Arial" w:hAnsi="Arial"/>
          <w:sz w:val="17"/>
          <w:szCs w:val="17"/>
          <w:u w:val="single" w:color="auto"/>
          <w:color w:val="auto"/>
        </w:rPr>
        <w:t>Incorporation by Reference</w:t>
      </w:r>
      <w:r>
        <w:rPr>
          <w:rFonts w:ascii="Arial" w:cs="Arial" w:eastAsia="Arial" w:hAnsi="Arial"/>
          <w:sz w:val="17"/>
          <w:szCs w:val="17"/>
          <w:color w:val="auto"/>
        </w:rPr>
        <w:t>. The provisions of the Plan are incorporated herein by reference. Except as otherwise expressly set forth herein, this Agreement shall be construed in accordance with the provisions of the Plan and any interpretations, amendments, rules and regulations promulgated by the Committee from time to time pursuant to the Plan. Any capitalized terms not otherwise defined in this Agreement shall have the definitions set forth in the Plan. The Committee shall have final authority to interpret and construe the Plan and this Agreement and to make any and all determinations under them, and its decision shall be binding and conclusive upon the Participant and his legal representative in respect of any questions arising under the Plan or this Agreement. The Participant acknowledges that he has received a copy of the Plan and has had an opportunity to review the Plan and agrees to be bound by all the terms and provisions of the Plan.</w:t>
      </w:r>
    </w:p>
    <w:p>
      <w:pPr>
        <w:spacing w:after="0" w:line="164" w:lineRule="exact"/>
        <w:rPr>
          <w:rFonts w:ascii="Arial" w:cs="Arial" w:eastAsia="Arial" w:hAnsi="Arial"/>
          <w:sz w:val="17"/>
          <w:szCs w:val="17"/>
          <w:color w:val="auto"/>
        </w:rPr>
      </w:pPr>
    </w:p>
    <w:p>
      <w:pPr>
        <w:ind w:left="566" w:hanging="566"/>
        <w:spacing w:after="0"/>
        <w:tabs>
          <w:tab w:leader="none" w:pos="566" w:val="left"/>
        </w:tabs>
        <w:numPr>
          <w:ilvl w:val="0"/>
          <w:numId w:val="315"/>
        </w:numPr>
        <w:rPr>
          <w:rFonts w:ascii="Arial" w:cs="Arial" w:eastAsia="Arial" w:hAnsi="Arial"/>
          <w:sz w:val="17"/>
          <w:szCs w:val="17"/>
          <w:b w:val="1"/>
          <w:bCs w:val="1"/>
          <w:color w:val="auto"/>
        </w:rPr>
      </w:pPr>
      <w:r>
        <w:rPr>
          <w:rFonts w:ascii="Arial" w:cs="Arial" w:eastAsia="Arial" w:hAnsi="Arial"/>
          <w:sz w:val="17"/>
          <w:szCs w:val="17"/>
          <w:b w:val="1"/>
          <w:bCs w:val="1"/>
          <w:color w:val="auto"/>
        </w:rPr>
        <w:t>Vesting and Settlement.</w:t>
      </w:r>
    </w:p>
    <w:p>
      <w:pPr>
        <w:spacing w:after="0" w:line="201" w:lineRule="exact"/>
        <w:rPr>
          <w:rFonts w:ascii="Arial" w:cs="Arial" w:eastAsia="Arial" w:hAnsi="Arial"/>
          <w:sz w:val="17"/>
          <w:szCs w:val="17"/>
          <w:b w:val="1"/>
          <w:bCs w:val="1"/>
          <w:color w:val="auto"/>
        </w:rPr>
      </w:pPr>
    </w:p>
    <w:p>
      <w:pPr>
        <w:ind w:left="1126" w:hanging="557"/>
        <w:spacing w:after="0"/>
        <w:tabs>
          <w:tab w:leader="none" w:pos="1126" w:val="left"/>
        </w:tabs>
        <w:numPr>
          <w:ilvl w:val="1"/>
          <w:numId w:val="315"/>
        </w:numPr>
        <w:rPr>
          <w:rFonts w:ascii="Arial" w:cs="Arial" w:eastAsia="Arial" w:hAnsi="Arial"/>
          <w:sz w:val="17"/>
          <w:szCs w:val="17"/>
          <w:color w:val="auto"/>
        </w:rPr>
      </w:pPr>
      <w:r>
        <w:rPr>
          <w:rFonts w:ascii="Arial" w:cs="Arial" w:eastAsia="Arial" w:hAnsi="Arial"/>
          <w:sz w:val="17"/>
          <w:szCs w:val="17"/>
          <w:color w:val="auto"/>
        </w:rPr>
        <w:t>The Shares shall be one hundred percent (100%) vested as of the Date of Grant.</w:t>
      </w:r>
    </w:p>
    <w:p>
      <w:pPr>
        <w:spacing w:after="0" w:line="195" w:lineRule="exact"/>
        <w:rPr>
          <w:rFonts w:ascii="Arial" w:cs="Arial" w:eastAsia="Arial" w:hAnsi="Arial"/>
          <w:sz w:val="17"/>
          <w:szCs w:val="17"/>
          <w:color w:val="auto"/>
        </w:rPr>
      </w:pPr>
    </w:p>
    <w:p>
      <w:pPr>
        <w:ind w:left="6" w:right="180" w:firstLine="563"/>
        <w:spacing w:after="0" w:line="330" w:lineRule="auto"/>
        <w:tabs>
          <w:tab w:leader="none" w:pos="1061" w:val="left"/>
        </w:tabs>
        <w:numPr>
          <w:ilvl w:val="1"/>
          <w:numId w:val="315"/>
        </w:numPr>
        <w:rPr>
          <w:rFonts w:ascii="Arial" w:cs="Arial" w:eastAsia="Arial" w:hAnsi="Arial"/>
          <w:sz w:val="15"/>
          <w:szCs w:val="15"/>
          <w:color w:val="auto"/>
        </w:rPr>
      </w:pPr>
      <w:r>
        <w:rPr>
          <w:rFonts w:ascii="Arial" w:cs="Arial" w:eastAsia="Arial" w:hAnsi="Arial"/>
          <w:sz w:val="15"/>
          <w:szCs w:val="15"/>
          <w:color w:val="auto"/>
        </w:rPr>
        <w:t>Except as may otherwise be provided herein, subject to the Participant’s continued employment or service with the Company or an Affiliate, the RSUs shall vest in equal installments on each of the first three (3) anniversaries of the Date of Grant (each such date, a “</w:t>
      </w:r>
      <w:r>
        <w:rPr>
          <w:rFonts w:ascii="Arial" w:cs="Arial" w:eastAsia="Arial" w:hAnsi="Arial"/>
          <w:sz w:val="15"/>
          <w:szCs w:val="15"/>
          <w:u w:val="single" w:color="auto"/>
          <w:color w:val="auto"/>
        </w:rPr>
        <w:t>Vesting Date</w:t>
      </w:r>
      <w:r>
        <w:rPr>
          <w:rFonts w:ascii="Arial" w:cs="Arial" w:eastAsia="Arial" w:hAnsi="Arial"/>
          <w:sz w:val="15"/>
          <w:szCs w:val="15"/>
          <w:color w:val="auto"/>
        </w:rPr>
        <w:t>”). Upon</w:t>
      </w:r>
    </w:p>
    <w:p>
      <w:pPr>
        <w:sectPr>
          <w:pgSz w:w="11900" w:h="16838" w:orient="portrait"/>
          <w:cols w:equalWidth="0" w:num="1">
            <w:col w:w="10986"/>
          </w:cols>
          <w:pgMar w:left="394" w:top="1243" w:right="519" w:bottom="1440" w:gutter="0" w:footer="0" w:header="0"/>
        </w:sectPr>
      </w:pPr>
    </w:p>
    <w:bookmarkStart w:id="391" w:name="page392"/>
    <w:bookmarkEnd w:id="391"/>
    <w:p>
      <w:pPr>
        <w:ind w:left="6" w:right="420"/>
        <w:spacing w:after="0" w:line="262" w:lineRule="auto"/>
        <w:rPr>
          <w:sz w:val="20"/>
          <w:szCs w:val="20"/>
          <w:color w:val="auto"/>
        </w:rPr>
      </w:pPr>
      <w:r>
        <w:rPr>
          <w:rFonts w:ascii="Arial" w:cs="Arial" w:eastAsia="Arial" w:hAnsi="Arial"/>
          <w:sz w:val="17"/>
          <w:szCs w:val="17"/>
          <w:color w:val="auto"/>
        </w:rPr>
        <w:t>each Vesting Date, such portion of the RSUs that vest on such date shall no longer be subject to the transfer restrictions pursuant to Section 9(a) hereof or cancellation pursuant to Section 4 hereof. Any fractional RSUs resulting from the application of the vesting schedule shall be aggregated and the RSUs resulting from such aggregation shall vest on the final Vesting Date.</w:t>
      </w:r>
    </w:p>
    <w:p>
      <w:pPr>
        <w:spacing w:after="0" w:line="189" w:lineRule="exact"/>
        <w:rPr>
          <w:sz w:val="20"/>
          <w:szCs w:val="20"/>
          <w:color w:val="auto"/>
        </w:rPr>
      </w:pPr>
    </w:p>
    <w:p>
      <w:pPr>
        <w:ind w:left="6" w:right="260" w:firstLine="563"/>
        <w:spacing w:after="0" w:line="277" w:lineRule="auto"/>
        <w:tabs>
          <w:tab w:leader="none" w:pos="1063" w:val="left"/>
        </w:tabs>
        <w:numPr>
          <w:ilvl w:val="1"/>
          <w:numId w:val="316"/>
        </w:numPr>
        <w:rPr>
          <w:rFonts w:ascii="Arial" w:cs="Arial" w:eastAsia="Arial" w:hAnsi="Arial"/>
          <w:sz w:val="17"/>
          <w:szCs w:val="17"/>
          <w:color w:val="auto"/>
        </w:rPr>
      </w:pPr>
      <w:r>
        <w:rPr>
          <w:rFonts w:ascii="Arial" w:cs="Arial" w:eastAsia="Arial" w:hAnsi="Arial"/>
          <w:sz w:val="17"/>
          <w:szCs w:val="17"/>
          <w:color w:val="auto"/>
        </w:rPr>
        <w:t>Vested RSUs shall be settled within ten (10) days following the Vesting Date for such RSUs in shares of Class A Common Stock, or cash, as determined by the Committee in its sole discretion.</w:t>
      </w:r>
    </w:p>
    <w:p>
      <w:pPr>
        <w:spacing w:after="0" w:line="158" w:lineRule="exact"/>
        <w:rPr>
          <w:rFonts w:ascii="Arial" w:cs="Arial" w:eastAsia="Arial" w:hAnsi="Arial"/>
          <w:sz w:val="17"/>
          <w:szCs w:val="17"/>
          <w:color w:val="auto"/>
        </w:rPr>
      </w:pPr>
    </w:p>
    <w:p>
      <w:pPr>
        <w:jc w:val="both"/>
        <w:ind w:left="6" w:right="260" w:hanging="6"/>
        <w:spacing w:after="0" w:line="290" w:lineRule="auto"/>
        <w:tabs>
          <w:tab w:leader="none" w:pos="492" w:val="left"/>
        </w:tabs>
        <w:numPr>
          <w:ilvl w:val="0"/>
          <w:numId w:val="31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Dividend Equivalents. </w:t>
      </w:r>
      <w:r>
        <w:rPr>
          <w:rFonts w:ascii="Arial" w:cs="Arial" w:eastAsia="Arial" w:hAnsi="Arial"/>
          <w:sz w:val="16"/>
          <w:szCs w:val="16"/>
          <w:color w:val="auto"/>
        </w:rPr>
        <w:t>In the event of any issuance of a cash dividend on the shares of Class A Common Stock (a “</w:t>
      </w:r>
      <w:r>
        <w:rPr>
          <w:rFonts w:ascii="Arial" w:cs="Arial" w:eastAsia="Arial" w:hAnsi="Arial"/>
          <w:sz w:val="16"/>
          <w:szCs w:val="16"/>
          <w:u w:val="single" w:color="auto"/>
          <w:color w:val="auto"/>
        </w:rPr>
        <w:t>Dividend</w:t>
      </w:r>
      <w:r>
        <w:rPr>
          <w:rFonts w:ascii="Arial" w:cs="Arial" w:eastAsia="Arial" w:hAnsi="Arial"/>
          <w:sz w:val="16"/>
          <w:szCs w:val="16"/>
          <w:color w:val="auto"/>
        </w:rPr>
        <w:t>”), the Participant shall</w:t>
      </w:r>
      <w:r>
        <w:rPr>
          <w:rFonts w:ascii="Arial" w:cs="Arial" w:eastAsia="Arial" w:hAnsi="Arial"/>
          <w:sz w:val="16"/>
          <w:szCs w:val="16"/>
          <w:b w:val="1"/>
          <w:bCs w:val="1"/>
          <w:color w:val="auto"/>
        </w:rPr>
        <w:t xml:space="preserve"> </w:t>
      </w:r>
      <w:r>
        <w:rPr>
          <w:rFonts w:ascii="Arial" w:cs="Arial" w:eastAsia="Arial" w:hAnsi="Arial"/>
          <w:sz w:val="16"/>
          <w:szCs w:val="16"/>
          <w:color w:val="auto"/>
        </w:rPr>
        <w:t>be entitled to receive, with respect to each RSU granted pursuant to this Agreement and outstanding as of the record date for such Dividend, payment of an amount equal to the Dividend at the same time as the Dividend is paid to holders of shares of Class A Common Stock generally.</w:t>
      </w:r>
    </w:p>
    <w:p>
      <w:pPr>
        <w:spacing w:after="0" w:line="149" w:lineRule="exact"/>
        <w:rPr>
          <w:rFonts w:ascii="Arial" w:cs="Arial" w:eastAsia="Arial" w:hAnsi="Arial"/>
          <w:sz w:val="16"/>
          <w:szCs w:val="16"/>
          <w:b w:val="1"/>
          <w:bCs w:val="1"/>
          <w:color w:val="auto"/>
        </w:rPr>
      </w:pPr>
    </w:p>
    <w:p>
      <w:pPr>
        <w:ind w:left="6" w:hanging="6"/>
        <w:spacing w:after="0" w:line="207" w:lineRule="auto"/>
        <w:tabs>
          <w:tab w:leader="none" w:pos="492" w:val="left"/>
        </w:tabs>
        <w:numPr>
          <w:ilvl w:val="0"/>
          <w:numId w:val="31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Termination of Employment or Service. </w:t>
      </w:r>
      <w:r>
        <w:rPr>
          <w:rFonts w:ascii="Arial" w:cs="Arial" w:eastAsia="Arial" w:hAnsi="Arial"/>
          <w:sz w:val="17"/>
          <w:szCs w:val="17"/>
          <w:color w:val="auto"/>
        </w:rPr>
        <w:t>If the Participant’s employment or service with the Company and its Affiliates terminates for any reason, all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unvested RSUs shall be cancelled immediately and the Participant shall not be entitled to receive any payments with respect thereto;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of the Participant’s Retirement (as defined below) and compliance with the terms thereof, the RSUs shall continue vesting in accordance with the terms of this Agreement as if the Participant remained employed through each Vesting Date (subject to the forfeiture provisions of the Plan and the clawback provisions set forth herein). For purposes of this Agreement, “</w:t>
      </w:r>
      <w:r>
        <w:rPr>
          <w:rFonts w:ascii="Arial" w:cs="Arial" w:eastAsia="Arial" w:hAnsi="Arial"/>
          <w:sz w:val="17"/>
          <w:szCs w:val="17"/>
          <w:u w:val="single" w:color="auto"/>
          <w:color w:val="auto"/>
        </w:rPr>
        <w:t>Retirement</w:t>
      </w:r>
      <w:r>
        <w:rPr>
          <w:rFonts w:ascii="Arial" w:cs="Arial" w:eastAsia="Arial" w:hAnsi="Arial"/>
          <w:sz w:val="17"/>
          <w:szCs w:val="17"/>
          <w:color w:val="auto"/>
        </w:rPr>
        <w:t>” means a determination by the Company, in its sole and absolute discretion, that the Participant has had a retirement from the Company and its Affiliates upon a voluntary resignation of employment by the Participant (i) after the Participant completed a minimum of five (5) full years of service as an employee of the Company and its Affiliates (regardless of whether such service is continuous), (ii) the Participant having attained the age of fifty (50) at the time of termination, (iii) the sum of the Participant’s years of service and age equals or exceeds sixty-five (65) at the time of termination, (iv) the Participant has entered into and complies with the terms of a non-compete agreement with a term equal to the greater of</w:t>
      </w:r>
    </w:p>
    <w:p>
      <w:pPr>
        <w:spacing w:after="0" w:line="3" w:lineRule="exact"/>
        <w:rPr>
          <w:rFonts w:ascii="Arial" w:cs="Arial" w:eastAsia="Arial" w:hAnsi="Arial"/>
          <w:sz w:val="17"/>
          <w:szCs w:val="17"/>
          <w:b w:val="1"/>
          <w:bCs w:val="1"/>
          <w:color w:val="auto"/>
        </w:rPr>
      </w:pPr>
    </w:p>
    <w:p>
      <w:pPr>
        <w:ind w:left="6" w:right="40"/>
        <w:spacing w:after="0" w:line="239" w:lineRule="auto"/>
        <w:rPr>
          <w:rFonts w:ascii="Arial" w:cs="Arial" w:eastAsia="Arial" w:hAnsi="Arial"/>
          <w:sz w:val="17"/>
          <w:szCs w:val="17"/>
          <w:b w:val="1"/>
          <w:bCs w:val="1"/>
          <w:color w:val="auto"/>
        </w:rPr>
      </w:pPr>
      <w:r>
        <w:rPr>
          <w:rFonts w:ascii="Arial" w:cs="Arial" w:eastAsia="Arial" w:hAnsi="Arial"/>
          <w:sz w:val="17"/>
          <w:szCs w:val="17"/>
          <w:color w:val="auto"/>
        </w:rPr>
        <w:t>(x) two years and (y) the remaining period up to and including the Vesting Date in a form to be provided by the Company and (v) the Participant has duly executed, delivered and not revoked a customary release and waiver of all claims in a form acceptable to the Company. For the avoidance of doubt, any failure to comply with the terms of such non-compete agreement will result in the forfeiture of any unvested RSUs.</w:t>
      </w:r>
    </w:p>
    <w:p>
      <w:pPr>
        <w:spacing w:after="0" w:line="165" w:lineRule="exact"/>
        <w:rPr>
          <w:rFonts w:ascii="Arial" w:cs="Arial" w:eastAsia="Arial" w:hAnsi="Arial"/>
          <w:sz w:val="17"/>
          <w:szCs w:val="17"/>
          <w:b w:val="1"/>
          <w:bCs w:val="1"/>
          <w:color w:val="auto"/>
        </w:rPr>
      </w:pPr>
    </w:p>
    <w:p>
      <w:pPr>
        <w:ind w:left="6" w:right="40" w:hanging="6"/>
        <w:spacing w:after="0" w:line="232" w:lineRule="auto"/>
        <w:tabs>
          <w:tab w:leader="none" w:pos="492" w:val="left"/>
        </w:tabs>
        <w:numPr>
          <w:ilvl w:val="0"/>
          <w:numId w:val="31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Rights as a Stockholder. </w:t>
      </w:r>
      <w:r>
        <w:rPr>
          <w:rFonts w:ascii="Arial" w:cs="Arial" w:eastAsia="Arial" w:hAnsi="Arial"/>
          <w:sz w:val="16"/>
          <w:szCs w:val="16"/>
          <w:color w:val="auto"/>
        </w:rPr>
        <w:t>The Participant shall not be deemed for any purpose to be the owner of any shares of Class A Common Stock constituting the</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or underlying the RSUs unless, until and to the extent that (i) the Company shall have issued and delivered to the Participant the shares of Class A Common Stock constituting the Shares or underlying the RSUs and (ii) the Participant’s name shall have been entered as a stockholder of record with respect to such shares of Class A Common Stock on the books of the Company. The Company shall cause the actions described in clauses (i) and (ii) of the preceding sentence to occur promptly following settlement as contemplated by this Agreement, subject to compliance with applicable laws.</w:t>
      </w:r>
    </w:p>
    <w:p>
      <w:pPr>
        <w:spacing w:after="0" w:line="164" w:lineRule="exact"/>
        <w:rPr>
          <w:rFonts w:ascii="Arial" w:cs="Arial" w:eastAsia="Arial" w:hAnsi="Arial"/>
          <w:sz w:val="16"/>
          <w:szCs w:val="16"/>
          <w:b w:val="1"/>
          <w:bCs w:val="1"/>
          <w:color w:val="auto"/>
        </w:rPr>
      </w:pPr>
    </w:p>
    <w:p>
      <w:pPr>
        <w:ind w:left="566" w:hanging="566"/>
        <w:spacing w:after="0"/>
        <w:tabs>
          <w:tab w:leader="none" w:pos="566" w:val="left"/>
        </w:tabs>
        <w:numPr>
          <w:ilvl w:val="0"/>
          <w:numId w:val="317"/>
        </w:numPr>
        <w:rPr>
          <w:rFonts w:ascii="Arial" w:cs="Arial" w:eastAsia="Arial" w:hAnsi="Arial"/>
          <w:sz w:val="17"/>
          <w:szCs w:val="17"/>
          <w:b w:val="1"/>
          <w:bCs w:val="1"/>
          <w:color w:val="auto"/>
        </w:rPr>
      </w:pPr>
      <w:r>
        <w:rPr>
          <w:rFonts w:ascii="Arial" w:cs="Arial" w:eastAsia="Arial" w:hAnsi="Arial"/>
          <w:sz w:val="17"/>
          <w:szCs w:val="17"/>
          <w:b w:val="1"/>
          <w:bCs w:val="1"/>
          <w:color w:val="auto"/>
        </w:rPr>
        <w:t>Compliance with Legal Re quirements.</w:t>
      </w:r>
    </w:p>
    <w:p>
      <w:pPr>
        <w:spacing w:after="0" w:line="189" w:lineRule="exact"/>
        <w:rPr>
          <w:rFonts w:ascii="Arial" w:cs="Arial" w:eastAsia="Arial" w:hAnsi="Arial"/>
          <w:sz w:val="17"/>
          <w:szCs w:val="17"/>
          <w:b w:val="1"/>
          <w:bCs w:val="1"/>
          <w:color w:val="auto"/>
        </w:rPr>
      </w:pPr>
    </w:p>
    <w:p>
      <w:pPr>
        <w:ind w:left="6" w:right="80" w:firstLine="563"/>
        <w:spacing w:after="0" w:line="216" w:lineRule="auto"/>
        <w:tabs>
          <w:tab w:leader="none" w:pos="1063" w:val="left"/>
        </w:tabs>
        <w:numPr>
          <w:ilvl w:val="1"/>
          <w:numId w:val="317"/>
        </w:numPr>
        <w:rPr>
          <w:rFonts w:ascii="Arial" w:cs="Arial" w:eastAsia="Arial" w:hAnsi="Arial"/>
          <w:sz w:val="17"/>
          <w:szCs w:val="17"/>
          <w:color w:val="auto"/>
        </w:rPr>
      </w:pPr>
      <w:r>
        <w:rPr>
          <w:rFonts w:ascii="Arial" w:cs="Arial" w:eastAsia="Arial" w:hAnsi="Arial"/>
          <w:sz w:val="17"/>
          <w:szCs w:val="17"/>
          <w:u w:val="single" w:color="auto"/>
          <w:color w:val="auto"/>
        </w:rPr>
        <w:t>Generally</w:t>
      </w:r>
      <w:r>
        <w:rPr>
          <w:rFonts w:ascii="Arial" w:cs="Arial" w:eastAsia="Arial" w:hAnsi="Arial"/>
          <w:sz w:val="17"/>
          <w:szCs w:val="17"/>
          <w:color w:val="auto"/>
        </w:rPr>
        <w:t>. The granting of the Shares and the granting and settlement of the RSUs, and any other obligations of the Company under this Agreement, shall be subject to all applicable U.S. federal, state and local laws, rules and regulations, all applicable non-U.S. laws, rules and regulations and to such approvals by any regulatory or governmental agency as may be required. The Participant agrees to take all steps the Committee or the Company determines are reasonably necessary to comply with all applicable provisions of U.S. federal and state securities law and non-U.S. securities law in exercising his rights under this Agreement.</w:t>
      </w:r>
    </w:p>
    <w:p>
      <w:pPr>
        <w:sectPr>
          <w:pgSz w:w="11900" w:h="16838" w:orient="portrait"/>
          <w:cols w:equalWidth="0" w:num="1">
            <w:col w:w="11066"/>
          </w:cols>
          <w:pgMar w:left="394" w:top="1237" w:right="439" w:bottom="1440" w:gutter="0" w:footer="0" w:header="0"/>
        </w:sectPr>
      </w:pPr>
    </w:p>
    <w:bookmarkStart w:id="392" w:name="page393"/>
    <w:bookmarkEnd w:id="392"/>
    <w:p>
      <w:pPr>
        <w:ind w:left="6" w:right="80" w:firstLine="563"/>
        <w:spacing w:after="0" w:line="224" w:lineRule="auto"/>
        <w:tabs>
          <w:tab w:leader="none" w:pos="1061" w:val="left"/>
        </w:tabs>
        <w:numPr>
          <w:ilvl w:val="1"/>
          <w:numId w:val="318"/>
        </w:numPr>
        <w:rPr>
          <w:rFonts w:ascii="Arial" w:cs="Arial" w:eastAsia="Arial" w:hAnsi="Arial"/>
          <w:sz w:val="16"/>
          <w:szCs w:val="16"/>
          <w:color w:val="auto"/>
        </w:rPr>
      </w:pPr>
      <w:r>
        <w:rPr>
          <w:rFonts w:ascii="Arial" w:cs="Arial" w:eastAsia="Arial" w:hAnsi="Arial"/>
          <w:sz w:val="16"/>
          <w:szCs w:val="16"/>
          <w:u w:val="single" w:color="auto"/>
          <w:color w:val="auto"/>
        </w:rPr>
        <w:t>Taxes and Withholding</w:t>
      </w:r>
      <w:r>
        <w:rPr>
          <w:rFonts w:ascii="Arial" w:cs="Arial" w:eastAsia="Arial" w:hAnsi="Arial"/>
          <w:sz w:val="16"/>
          <w:szCs w:val="16"/>
          <w:color w:val="auto"/>
        </w:rPr>
        <w:t>. The grant of the Shares and the vesting and settlement of the RSUs shall be subject to the Participant satisfying any applicable U.S. federal, state and local tax withholding obligations and non-U.S. tax withholding obligations. The Participant shall be required to pay to the Company, and the Company shall have the right and is hereby authorized to withhold any cash, shares of Class A Common Stock, other securities or other property or from any compensation or other amounts owing to the Participant, the amount (in cash, Class A Common Stock, other securities or other property) of any required withholding taxes in respect of the Shares or in respect of the RSUs, settlement of the RSUs or any payment or transfer of the RSUs, and to take any such other action as the Committee or the Company deem necessary to satisfy all obligations for the payment of such withholding taxes. In its sole discretion, the Company may permit the Participant to satisfy, in whole or in part, the tax obligations by (A) withholding shares of Class A Common Stock from the Shares having a Fair Market Value equal to such withholding liability and (B) withholding shares of Class A Common Stock that would otherwise be deliverable to the Participant upon settlement of the RSUs with a Fair Market Value equal to such withholding liability.</w:t>
      </w:r>
    </w:p>
    <w:p>
      <w:pPr>
        <w:spacing w:after="0" w:line="153" w:lineRule="exact"/>
        <w:rPr>
          <w:rFonts w:ascii="Arial" w:cs="Arial" w:eastAsia="Arial" w:hAnsi="Arial"/>
          <w:sz w:val="16"/>
          <w:szCs w:val="16"/>
          <w:color w:val="auto"/>
        </w:rPr>
      </w:pPr>
    </w:p>
    <w:p>
      <w:pPr>
        <w:ind w:left="6" w:right="60" w:hanging="6"/>
        <w:spacing w:after="0" w:line="222" w:lineRule="auto"/>
        <w:tabs>
          <w:tab w:leader="none" w:pos="492" w:val="left"/>
        </w:tabs>
        <w:numPr>
          <w:ilvl w:val="0"/>
          <w:numId w:val="31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Clawback. </w:t>
      </w:r>
      <w:r>
        <w:rPr>
          <w:rFonts w:ascii="Arial" w:cs="Arial" w:eastAsia="Arial" w:hAnsi="Arial"/>
          <w:sz w:val="16"/>
          <w:szCs w:val="16"/>
          <w:color w:val="auto"/>
        </w:rPr>
        <w:t>Notwithstanding anything to the contrary contained herein, the Committee may cancel the Shares and RSU award if the Participant, without</w:t>
      </w:r>
      <w:r>
        <w:rPr>
          <w:rFonts w:ascii="Arial" w:cs="Arial" w:eastAsia="Arial" w:hAnsi="Arial"/>
          <w:sz w:val="16"/>
          <w:szCs w:val="16"/>
          <w:b w:val="1"/>
          <w:bCs w:val="1"/>
          <w:color w:val="auto"/>
        </w:rPr>
        <w:t xml:space="preserve"> </w:t>
      </w:r>
      <w:r>
        <w:rPr>
          <w:rFonts w:ascii="Arial" w:cs="Arial" w:eastAsia="Arial" w:hAnsi="Arial"/>
          <w:sz w:val="16"/>
          <w:szCs w:val="16"/>
          <w:color w:val="auto"/>
        </w:rPr>
        <w:t>the consent of the Company, has engaged in or engages in activity that is in conflict with or adverse to the interest of the Company or any Affiliate while employed by or providing services to the Company or any Affiliate, including fraud or conduct contributing to any financial restatements or irregularities, or violates a non-competition, non-solicitation, non-disparagement, non-disclosure or confidentiality covenant or agreement with the Company or any Affiliate, as determined by the Committee. In such event, the Participant will forfeit any compensation, gain or other value realized previously or thereafter on the vesting or settlement of the RSUs, the sale or other transfer of the Shares and the RSUs, or the sale of shares of Class A Common Stock acquired in respect of the RSUs, and must promptly repay such amounts to the Company. If the Participant receives any amount in excess of what the Participant should have received with respect to the Shares or under the terms of the RSUs for any reason (including without limitation by reason of a financial restatement, mistake in calculations or other administrative error), all as determined by the Committee, then the Participant shall be required to promptly repay any such excess amount to the Company. To the extent required by applicable law and/or the rules and regulations of NASDAQ or any other securities exchange or inter-dealer quotation system on which the Class A Common Stock is listed or quoted, or if so required pursuant to a written policy adopted by the Company, the Shares and the RSUs shall be subject (including on a retroactive basis) to clawback, forfeiture or similar requirements (and such requirements shall be deemed incorporated by reference into this Agreement).</w:t>
      </w:r>
    </w:p>
    <w:p>
      <w:pPr>
        <w:spacing w:after="0" w:line="167" w:lineRule="exact"/>
        <w:rPr>
          <w:rFonts w:ascii="Arial" w:cs="Arial" w:eastAsia="Arial" w:hAnsi="Arial"/>
          <w:sz w:val="16"/>
          <w:szCs w:val="16"/>
          <w:b w:val="1"/>
          <w:bCs w:val="1"/>
          <w:color w:val="auto"/>
        </w:rPr>
      </w:pPr>
    </w:p>
    <w:p>
      <w:pPr>
        <w:ind w:left="566" w:hanging="566"/>
        <w:spacing w:after="0"/>
        <w:tabs>
          <w:tab w:leader="none" w:pos="566" w:val="left"/>
        </w:tabs>
        <w:numPr>
          <w:ilvl w:val="0"/>
          <w:numId w:val="319"/>
        </w:numPr>
        <w:rPr>
          <w:rFonts w:ascii="Arial" w:cs="Arial" w:eastAsia="Arial" w:hAnsi="Arial"/>
          <w:sz w:val="17"/>
          <w:szCs w:val="17"/>
          <w:b w:val="1"/>
          <w:bCs w:val="1"/>
          <w:color w:val="auto"/>
        </w:rPr>
      </w:pPr>
      <w:r>
        <w:rPr>
          <w:rFonts w:ascii="Arial" w:cs="Arial" w:eastAsia="Arial" w:hAnsi="Arial"/>
          <w:sz w:val="17"/>
          <w:szCs w:val="17"/>
          <w:b w:val="1"/>
          <w:bCs w:val="1"/>
          <w:color w:val="auto"/>
        </w:rPr>
        <w:t>Contractual Obligations.</w:t>
      </w:r>
    </w:p>
    <w:p>
      <w:pPr>
        <w:spacing w:after="0" w:line="153" w:lineRule="exact"/>
        <w:rPr>
          <w:rFonts w:ascii="Arial" w:cs="Arial" w:eastAsia="Arial" w:hAnsi="Arial"/>
          <w:sz w:val="17"/>
          <w:szCs w:val="17"/>
          <w:b w:val="1"/>
          <w:bCs w:val="1"/>
          <w:color w:val="auto"/>
        </w:rPr>
      </w:pPr>
    </w:p>
    <w:p>
      <w:pPr>
        <w:ind w:left="6" w:firstLine="563"/>
        <w:spacing w:after="0" w:line="262" w:lineRule="auto"/>
        <w:tabs>
          <w:tab w:leader="none" w:pos="1063" w:val="left"/>
        </w:tabs>
        <w:numPr>
          <w:ilvl w:val="1"/>
          <w:numId w:val="319"/>
        </w:numPr>
        <w:rPr>
          <w:rFonts w:ascii="Arial" w:cs="Arial" w:eastAsia="Arial" w:hAnsi="Arial"/>
          <w:sz w:val="17"/>
          <w:szCs w:val="17"/>
          <w:color w:val="auto"/>
        </w:rPr>
      </w:pPr>
      <w:r>
        <w:rPr>
          <w:rFonts w:ascii="Arial" w:cs="Arial" w:eastAsia="Arial" w:hAnsi="Arial"/>
          <w:sz w:val="17"/>
          <w:szCs w:val="17"/>
          <w:color w:val="auto"/>
        </w:rPr>
        <w:t xml:space="preserve">Nothing in this Agreement shall supersede, modify, replace or cancel any existing contractual obligations, including but not limited to restrictive covenants, applicable to you in </w:t>
      </w:r>
      <w:r>
        <w:rPr>
          <w:rFonts w:ascii="Arial" w:cs="Arial" w:eastAsia="Arial" w:hAnsi="Arial"/>
          <w:sz w:val="17"/>
          <w:szCs w:val="17"/>
          <w:i w:val="1"/>
          <w:iCs w:val="1"/>
          <w:u w:val="single" w:color="auto"/>
          <w:color w:val="auto"/>
        </w:rPr>
        <w:t>any</w:t>
      </w:r>
      <w:r>
        <w:rPr>
          <w:rFonts w:ascii="Arial" w:cs="Arial" w:eastAsia="Arial" w:hAnsi="Arial"/>
          <w:sz w:val="17"/>
          <w:szCs w:val="17"/>
          <w:color w:val="auto"/>
        </w:rPr>
        <w:t xml:space="preserve"> employment agreement, offer letter, prior equity award agreement or any other agreement or contract with the Company or its Affiliates.</w:t>
      </w:r>
    </w:p>
    <w:p>
      <w:pPr>
        <w:spacing w:after="0" w:line="164" w:lineRule="exact"/>
        <w:rPr>
          <w:rFonts w:ascii="Arial" w:cs="Arial" w:eastAsia="Arial" w:hAnsi="Arial"/>
          <w:sz w:val="17"/>
          <w:szCs w:val="17"/>
          <w:color w:val="auto"/>
        </w:rPr>
      </w:pPr>
    </w:p>
    <w:p>
      <w:pPr>
        <w:ind w:left="6" w:right="100" w:firstLine="563"/>
        <w:spacing w:after="0" w:line="216" w:lineRule="auto"/>
        <w:tabs>
          <w:tab w:leader="none" w:pos="1061" w:val="left"/>
        </w:tabs>
        <w:numPr>
          <w:ilvl w:val="1"/>
          <w:numId w:val="319"/>
        </w:numPr>
        <w:rPr>
          <w:rFonts w:ascii="Arial" w:cs="Arial" w:eastAsia="Arial" w:hAnsi="Arial"/>
          <w:sz w:val="17"/>
          <w:szCs w:val="17"/>
          <w:color w:val="auto"/>
        </w:rPr>
      </w:pPr>
      <w:r>
        <w:rPr>
          <w:rFonts w:ascii="Arial" w:cs="Arial" w:eastAsia="Arial" w:hAnsi="Arial"/>
          <w:sz w:val="17"/>
          <w:szCs w:val="17"/>
          <w:color w:val="auto"/>
        </w:rPr>
        <w:t>In the event that the Participant violates any of the contractual obligations referred to in this Section 8, in addition to any other remedy which may be available at law or in equity, the RSUs shall be automatically forfeited effective as of the date on which such violation first occurs. The foregoing rights and remedies are in addition to any other rights and remedies that may be available to the Company and shall not prevent (and the Participant shall not assert that they shall prevent) the Company from bringing one or more actions in any applicable jurisdiction to recover damages as a result of the Participant’s breach of such restrictive covenants.</w:t>
      </w:r>
    </w:p>
    <w:p>
      <w:pPr>
        <w:sectPr>
          <w:pgSz w:w="11900" w:h="16838" w:orient="portrait"/>
          <w:cols w:equalWidth="0" w:num="1">
            <w:col w:w="11086"/>
          </w:cols>
          <w:pgMar w:left="394" w:top="1438" w:right="419" w:bottom="1440" w:gutter="0" w:footer="0" w:header="0"/>
        </w:sectPr>
      </w:pPr>
    </w:p>
    <w:bookmarkStart w:id="393" w:name="page394"/>
    <w:bookmarkEnd w:id="393"/>
    <w:p>
      <w:pPr>
        <w:ind w:left="566" w:hanging="566"/>
        <w:spacing w:after="0"/>
        <w:tabs>
          <w:tab w:leader="none" w:pos="566" w:val="left"/>
        </w:tabs>
        <w:numPr>
          <w:ilvl w:val="0"/>
          <w:numId w:val="320"/>
        </w:numPr>
        <w:rPr>
          <w:rFonts w:ascii="Arial" w:cs="Arial" w:eastAsia="Arial" w:hAnsi="Arial"/>
          <w:sz w:val="17"/>
          <w:szCs w:val="17"/>
          <w:b w:val="1"/>
          <w:bCs w:val="1"/>
          <w:color w:val="auto"/>
        </w:rPr>
      </w:pPr>
      <w:r>
        <w:rPr>
          <w:rFonts w:ascii="Arial" w:cs="Arial" w:eastAsia="Arial" w:hAnsi="Arial"/>
          <w:sz w:val="17"/>
          <w:szCs w:val="17"/>
          <w:b w:val="1"/>
          <w:bCs w:val="1"/>
          <w:color w:val="auto"/>
        </w:rPr>
        <w:t>Miscellaneous.</w:t>
      </w:r>
    </w:p>
    <w:p>
      <w:pPr>
        <w:spacing w:after="0" w:line="201" w:lineRule="exact"/>
        <w:rPr>
          <w:rFonts w:ascii="Arial" w:cs="Arial" w:eastAsia="Arial" w:hAnsi="Arial"/>
          <w:sz w:val="17"/>
          <w:szCs w:val="17"/>
          <w:b w:val="1"/>
          <w:bCs w:val="1"/>
          <w:color w:val="auto"/>
        </w:rPr>
      </w:pPr>
    </w:p>
    <w:p>
      <w:pPr>
        <w:ind w:left="6" w:right="80" w:firstLine="563"/>
        <w:spacing w:after="0" w:line="220" w:lineRule="auto"/>
        <w:tabs>
          <w:tab w:leader="none" w:pos="1063" w:val="left"/>
        </w:tabs>
        <w:numPr>
          <w:ilvl w:val="1"/>
          <w:numId w:val="320"/>
        </w:numPr>
        <w:rPr>
          <w:rFonts w:ascii="Arial" w:cs="Arial" w:eastAsia="Arial" w:hAnsi="Arial"/>
          <w:sz w:val="17"/>
          <w:szCs w:val="17"/>
          <w:color w:val="auto"/>
        </w:rPr>
      </w:pPr>
      <w:r>
        <w:rPr>
          <w:rFonts w:ascii="Arial" w:cs="Arial" w:eastAsia="Arial" w:hAnsi="Arial"/>
          <w:sz w:val="17"/>
          <w:szCs w:val="17"/>
          <w:u w:val="single" w:color="auto"/>
          <w:color w:val="auto"/>
        </w:rPr>
        <w:t>Transferability</w:t>
      </w:r>
      <w:r>
        <w:rPr>
          <w:rFonts w:ascii="Arial" w:cs="Arial" w:eastAsia="Arial" w:hAnsi="Arial"/>
          <w:sz w:val="17"/>
          <w:szCs w:val="17"/>
          <w:color w:val="auto"/>
        </w:rPr>
        <w:t>. The RSUs may not be assigned, alienated, pledged, attached, sold or otherwise transferred or encumbered (a “</w:t>
      </w:r>
      <w:r>
        <w:rPr>
          <w:rFonts w:ascii="Arial" w:cs="Arial" w:eastAsia="Arial" w:hAnsi="Arial"/>
          <w:sz w:val="17"/>
          <w:szCs w:val="17"/>
          <w:u w:val="single" w:color="auto"/>
          <w:color w:val="auto"/>
        </w:rPr>
        <w:t>Transfer</w:t>
      </w:r>
      <w:r>
        <w:rPr>
          <w:rFonts w:ascii="Arial" w:cs="Arial" w:eastAsia="Arial" w:hAnsi="Arial"/>
          <w:sz w:val="17"/>
          <w:szCs w:val="17"/>
          <w:color w:val="auto"/>
        </w:rPr>
        <w:t>”) by the Participant other than by will or by the laws of descent and distribution, pursuant to a qualified domestic relations order or as otherwise permitted under Section 15(b) of the Plan. Any attempted Transfer of the RSUs contrary to the provisions hereof, and the levy of any execution, attachment or similar process upon the RSUs, shall be null and void and without effect.</w:t>
      </w:r>
    </w:p>
    <w:p>
      <w:pPr>
        <w:spacing w:after="0" w:line="242" w:lineRule="exact"/>
        <w:rPr>
          <w:rFonts w:ascii="Arial" w:cs="Arial" w:eastAsia="Arial" w:hAnsi="Arial"/>
          <w:sz w:val="17"/>
          <w:szCs w:val="17"/>
          <w:color w:val="auto"/>
        </w:rPr>
      </w:pPr>
    </w:p>
    <w:p>
      <w:pPr>
        <w:ind w:left="6" w:firstLine="563"/>
        <w:spacing w:after="0" w:line="257" w:lineRule="auto"/>
        <w:tabs>
          <w:tab w:leader="none" w:pos="1061" w:val="left"/>
        </w:tabs>
        <w:numPr>
          <w:ilvl w:val="1"/>
          <w:numId w:val="320"/>
        </w:numPr>
        <w:rPr>
          <w:rFonts w:ascii="Arial" w:cs="Arial" w:eastAsia="Arial" w:hAnsi="Arial"/>
          <w:sz w:val="17"/>
          <w:szCs w:val="17"/>
          <w:color w:val="auto"/>
        </w:rPr>
      </w:pPr>
      <w:r>
        <w:rPr>
          <w:rFonts w:ascii="Arial" w:cs="Arial" w:eastAsia="Arial" w:hAnsi="Arial"/>
          <w:sz w:val="17"/>
          <w:szCs w:val="17"/>
          <w:u w:val="single" w:color="auto"/>
          <w:color w:val="auto"/>
        </w:rPr>
        <w:t>Waiver</w:t>
      </w:r>
      <w:r>
        <w:rPr>
          <w:rFonts w:ascii="Arial" w:cs="Arial" w:eastAsia="Arial" w:hAnsi="Arial"/>
          <w:sz w:val="17"/>
          <w:szCs w:val="17"/>
          <w:color w:val="auto"/>
        </w:rPr>
        <w:t>. Any right of the Company contained in this Agreement may be waived in writing by the Committee. No waiver of any right hereunder by any party shall operate as a waiver of any other right, or as a waiver of the same right with respect to any subsequent occasion for its exercise, or as a waiver of any right to damages. No waiver by any party of any breach of this Agreement shall be held to constitute a waiver of any other breach or a waiver of the continuation of the same breach.</w:t>
      </w:r>
    </w:p>
    <w:p>
      <w:pPr>
        <w:spacing w:after="0" w:line="165" w:lineRule="exact"/>
        <w:rPr>
          <w:rFonts w:ascii="Arial" w:cs="Arial" w:eastAsia="Arial" w:hAnsi="Arial"/>
          <w:sz w:val="17"/>
          <w:szCs w:val="17"/>
          <w:color w:val="auto"/>
        </w:rPr>
      </w:pPr>
    </w:p>
    <w:p>
      <w:pPr>
        <w:ind w:left="1126" w:hanging="557"/>
        <w:spacing w:after="0"/>
        <w:tabs>
          <w:tab w:leader="none" w:pos="1126" w:val="left"/>
        </w:tabs>
        <w:numPr>
          <w:ilvl w:val="1"/>
          <w:numId w:val="320"/>
        </w:numPr>
        <w:rPr>
          <w:rFonts w:ascii="Arial" w:cs="Arial" w:eastAsia="Arial" w:hAnsi="Arial"/>
          <w:sz w:val="17"/>
          <w:szCs w:val="17"/>
          <w:color w:val="auto"/>
        </w:rPr>
      </w:pPr>
      <w:r>
        <w:rPr>
          <w:rFonts w:ascii="Arial" w:cs="Arial" w:eastAsia="Arial" w:hAnsi="Arial"/>
          <w:sz w:val="17"/>
          <w:szCs w:val="17"/>
          <w:u w:val="single" w:color="auto"/>
          <w:color w:val="auto"/>
        </w:rPr>
        <w:t>Section 409A</w:t>
      </w:r>
      <w:r>
        <w:rPr>
          <w:rFonts w:ascii="Arial" w:cs="Arial" w:eastAsia="Arial" w:hAnsi="Arial"/>
          <w:sz w:val="17"/>
          <w:szCs w:val="17"/>
          <w:color w:val="auto"/>
        </w:rPr>
        <w:t>. The RSUs are intended to be exempt from, or compliant with,</w:t>
      </w:r>
    </w:p>
    <w:p>
      <w:pPr>
        <w:ind w:left="6" w:right="220"/>
        <w:spacing w:after="0" w:line="223" w:lineRule="auto"/>
        <w:rPr>
          <w:sz w:val="20"/>
          <w:szCs w:val="20"/>
          <w:color w:val="auto"/>
        </w:rPr>
      </w:pPr>
      <w:r>
        <w:rPr>
          <w:rFonts w:ascii="Arial" w:cs="Arial" w:eastAsia="Arial" w:hAnsi="Arial"/>
          <w:sz w:val="16"/>
          <w:szCs w:val="16"/>
          <w:color w:val="auto"/>
        </w:rPr>
        <w:t>Section 409A of the Internal Revenue Code (“Code”). Notwithstanding the foregoing or any provision of the Plan or this Agreement, if any provision of the Plan or this Agreement contravenes Section 409A of the Code or could cause the Participant to incur any tax, interest or penalties under Section 409A of the Code, the Committee may, in its sole discretion and without the Participant’s consent, modify such provision to (i) comply with, or avoid being subject to, Section 409A of the Code, or to avoid the incurrence of taxes, interest and penalties under Section 409A of the Code, and/or (ii) maintain, to the maximum extent practicable, the original intent and economic benefit to the Participant of the applicable provision without materially increasing the cost to the Company or contravening the provisions of Section 409A of the Code. This Section 9(c) does not create an obligation on the part of the Company to modify the Plan or this Agreement and does not guarantee that the RSUs will not be subject to interest and penalties under Section 409A.</w:t>
      </w:r>
    </w:p>
    <w:p>
      <w:pPr>
        <w:spacing w:after="0" w:line="174" w:lineRule="exact"/>
        <w:rPr>
          <w:sz w:val="20"/>
          <w:szCs w:val="20"/>
          <w:color w:val="auto"/>
        </w:rPr>
      </w:pPr>
    </w:p>
    <w:p>
      <w:pPr>
        <w:ind w:left="6" w:right="160" w:firstLine="563"/>
        <w:spacing w:after="0" w:line="248" w:lineRule="auto"/>
        <w:tabs>
          <w:tab w:leader="none" w:pos="1061" w:val="left"/>
        </w:tabs>
        <w:numPr>
          <w:ilvl w:val="0"/>
          <w:numId w:val="321"/>
        </w:numPr>
        <w:rPr>
          <w:rFonts w:ascii="Arial" w:cs="Arial" w:eastAsia="Arial" w:hAnsi="Arial"/>
          <w:sz w:val="17"/>
          <w:szCs w:val="17"/>
          <w:color w:val="auto"/>
        </w:rPr>
      </w:pPr>
      <w:r>
        <w:rPr>
          <w:rFonts w:ascii="Arial" w:cs="Arial" w:eastAsia="Arial" w:hAnsi="Arial"/>
          <w:sz w:val="17"/>
          <w:szCs w:val="17"/>
          <w:u w:val="single" w:color="auto"/>
          <w:color w:val="auto"/>
        </w:rPr>
        <w:t>General Assets</w:t>
      </w:r>
      <w:r>
        <w:rPr>
          <w:rFonts w:ascii="Arial" w:cs="Arial" w:eastAsia="Arial" w:hAnsi="Arial"/>
          <w:sz w:val="17"/>
          <w:szCs w:val="17"/>
          <w:color w:val="auto"/>
        </w:rPr>
        <w:t>. All amounts credited in respect of the RSUs to the book-entry account under this Agreement shall continue for all purposes to be part of the general assets of the Company. The Participant’s interest in such account shall make the Participant only a general, unsecured creditor of the Company.</w:t>
      </w:r>
    </w:p>
    <w:p>
      <w:pPr>
        <w:spacing w:after="0" w:line="187" w:lineRule="exact"/>
        <w:rPr>
          <w:rFonts w:ascii="Arial" w:cs="Arial" w:eastAsia="Arial" w:hAnsi="Arial"/>
          <w:sz w:val="17"/>
          <w:szCs w:val="17"/>
          <w:color w:val="auto"/>
        </w:rPr>
      </w:pPr>
    </w:p>
    <w:p>
      <w:pPr>
        <w:ind w:left="6" w:right="260" w:firstLine="563"/>
        <w:spacing w:after="0" w:line="278" w:lineRule="auto"/>
        <w:tabs>
          <w:tab w:leader="none" w:pos="1063" w:val="left"/>
        </w:tabs>
        <w:numPr>
          <w:ilvl w:val="0"/>
          <w:numId w:val="321"/>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notices provided for in this Agreement or the Plan shall be in writing and shall be deemed sufficiently given if either hand delivered or if sent by fax, pdf/email or overnight courier, or by postage paid first class mail. Notices sent by mail shall be deemed received three business days after mailing but in no event later than the date of actual receipt. Notices shall be directed, if to the Participant, at the Participant’s address indicated by the Company’s records, or if to the Company, to the attention of the General Counsel at the Company’s principal executive office.</w:t>
      </w:r>
    </w:p>
    <w:p>
      <w:pPr>
        <w:spacing w:after="0" w:line="165" w:lineRule="exact"/>
        <w:rPr>
          <w:rFonts w:ascii="Arial" w:cs="Arial" w:eastAsia="Arial" w:hAnsi="Arial"/>
          <w:sz w:val="16"/>
          <w:szCs w:val="16"/>
          <w:color w:val="auto"/>
        </w:rPr>
      </w:pPr>
    </w:p>
    <w:p>
      <w:pPr>
        <w:ind w:left="6" w:right="60" w:firstLine="563"/>
        <w:spacing w:after="0" w:line="277" w:lineRule="auto"/>
        <w:tabs>
          <w:tab w:leader="none" w:pos="1056" w:val="left"/>
        </w:tabs>
        <w:numPr>
          <w:ilvl w:val="0"/>
          <w:numId w:val="321"/>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64" w:lineRule="exact"/>
        <w:rPr>
          <w:rFonts w:ascii="Arial" w:cs="Arial" w:eastAsia="Arial" w:hAnsi="Arial"/>
          <w:sz w:val="17"/>
          <w:szCs w:val="17"/>
          <w:color w:val="auto"/>
        </w:rPr>
      </w:pPr>
    </w:p>
    <w:p>
      <w:pPr>
        <w:ind w:left="6" w:right="80" w:firstLine="563"/>
        <w:spacing w:after="0" w:line="270" w:lineRule="auto"/>
        <w:tabs>
          <w:tab w:leader="none" w:pos="1061" w:val="left"/>
        </w:tabs>
        <w:numPr>
          <w:ilvl w:val="0"/>
          <w:numId w:val="321"/>
        </w:numPr>
        <w:rPr>
          <w:rFonts w:ascii="Arial" w:cs="Arial" w:eastAsia="Arial" w:hAnsi="Arial"/>
          <w:sz w:val="16"/>
          <w:szCs w:val="16"/>
          <w:color w:val="auto"/>
        </w:rPr>
      </w:pPr>
      <w:r>
        <w:rPr>
          <w:rFonts w:ascii="Arial" w:cs="Arial" w:eastAsia="Arial" w:hAnsi="Arial"/>
          <w:sz w:val="16"/>
          <w:szCs w:val="16"/>
          <w:u w:val="single" w:color="auto"/>
          <w:color w:val="auto"/>
        </w:rPr>
        <w:t>No Rights to Employment or Service</w:t>
      </w:r>
      <w:r>
        <w:rPr>
          <w:rFonts w:ascii="Arial" w:cs="Arial" w:eastAsia="Arial" w:hAnsi="Arial"/>
          <w:sz w:val="16"/>
          <w:szCs w:val="16"/>
          <w:color w:val="auto"/>
        </w:rPr>
        <w:t>. Nothing contained in this Agreement shall be construed as giving the Participant any right to be retained, in any position, as an employee, consultant or director of the Company or its Affiliates or shall interfere with or restrict in any way the rights of the Company or its Affiliates, which are hereby expressly reserved, to remove, terminate or discharge the Participant at any time for any reason whatsoever.</w:t>
      </w:r>
    </w:p>
    <w:p>
      <w:pPr>
        <w:sectPr>
          <w:pgSz w:w="11900" w:h="16838" w:orient="portrait"/>
          <w:cols w:equalWidth="0" w:num="1">
            <w:col w:w="11086"/>
          </w:cols>
          <w:pgMar w:left="394" w:top="1231" w:right="419" w:bottom="1440" w:gutter="0" w:footer="0" w:header="0"/>
        </w:sectPr>
      </w:pPr>
    </w:p>
    <w:bookmarkStart w:id="394" w:name="page395"/>
    <w:bookmarkEnd w:id="394"/>
    <w:p>
      <w:pPr>
        <w:ind w:left="-560" w:right="320" w:firstLine="563"/>
        <w:spacing w:after="0" w:line="262" w:lineRule="auto"/>
        <w:tabs>
          <w:tab w:leader="none" w:pos="495" w:val="left"/>
        </w:tabs>
        <w:numPr>
          <w:ilvl w:val="0"/>
          <w:numId w:val="322"/>
        </w:numPr>
        <w:rPr>
          <w:rFonts w:ascii="Arial" w:cs="Arial" w:eastAsia="Arial" w:hAnsi="Arial"/>
          <w:sz w:val="17"/>
          <w:szCs w:val="17"/>
          <w:color w:val="auto"/>
        </w:rPr>
      </w:pPr>
      <w:r>
        <w:rPr>
          <w:rFonts w:ascii="Arial" w:cs="Arial" w:eastAsia="Arial" w:hAnsi="Arial"/>
          <w:sz w:val="17"/>
          <w:szCs w:val="17"/>
          <w:u w:val="single" w:color="auto"/>
          <w:color w:val="auto"/>
        </w:rPr>
        <w:t>Fractional Shares</w:t>
      </w:r>
      <w:r>
        <w:rPr>
          <w:rFonts w:ascii="Arial" w:cs="Arial" w:eastAsia="Arial" w:hAnsi="Arial"/>
          <w:sz w:val="17"/>
          <w:szCs w:val="17"/>
          <w:color w:val="auto"/>
        </w:rPr>
        <w:t>. In lieu of issuing a fraction of a share of Class A Common Stock resulting from adjustment of the Shares or the RSUs pursuant to Section 12 of the Plan or otherwise, the Company shall be entitled to pay to the Participant an amount in cash equal to the Fair Market Value of such fractional share.</w:t>
      </w:r>
    </w:p>
    <w:p>
      <w:pPr>
        <w:spacing w:after="0" w:line="188" w:lineRule="exact"/>
        <w:rPr>
          <w:rFonts w:ascii="Arial" w:cs="Arial" w:eastAsia="Arial" w:hAnsi="Arial"/>
          <w:sz w:val="17"/>
          <w:szCs w:val="17"/>
          <w:color w:val="auto"/>
        </w:rPr>
      </w:pPr>
    </w:p>
    <w:p>
      <w:pPr>
        <w:ind w:left="-560" w:right="480" w:firstLine="563"/>
        <w:spacing w:after="0" w:line="277" w:lineRule="auto"/>
        <w:tabs>
          <w:tab w:leader="none" w:pos="492" w:val="left"/>
        </w:tabs>
        <w:numPr>
          <w:ilvl w:val="0"/>
          <w:numId w:val="322"/>
        </w:numPr>
        <w:rPr>
          <w:rFonts w:ascii="Arial" w:cs="Arial" w:eastAsia="Arial" w:hAnsi="Arial"/>
          <w:sz w:val="17"/>
          <w:szCs w:val="17"/>
          <w:color w:val="auto"/>
        </w:rPr>
      </w:pPr>
      <w:r>
        <w:rPr>
          <w:rFonts w:ascii="Arial" w:cs="Arial" w:eastAsia="Arial" w:hAnsi="Arial"/>
          <w:sz w:val="17"/>
          <w:szCs w:val="17"/>
          <w:u w:val="single" w:color="auto"/>
          <w:color w:val="auto"/>
        </w:rPr>
        <w:t>Beneficiary</w:t>
      </w:r>
      <w:r>
        <w:rPr>
          <w:rFonts w:ascii="Arial" w:cs="Arial" w:eastAsia="Arial" w:hAnsi="Arial"/>
          <w:sz w:val="17"/>
          <w:szCs w:val="17"/>
          <w:color w:val="auto"/>
        </w:rPr>
        <w:t>. The Participant may file with the Committee a written designation of a beneficiary on such form as may be prescribed by the Committee and may, from time to time, amend or revoke such designation.</w:t>
      </w:r>
    </w:p>
    <w:p>
      <w:pPr>
        <w:spacing w:after="0" w:line="164" w:lineRule="exact"/>
        <w:rPr>
          <w:rFonts w:ascii="Arial" w:cs="Arial" w:eastAsia="Arial" w:hAnsi="Arial"/>
          <w:sz w:val="17"/>
          <w:szCs w:val="17"/>
          <w:color w:val="auto"/>
        </w:rPr>
      </w:pPr>
    </w:p>
    <w:p>
      <w:pPr>
        <w:ind w:left="-560" w:right="200" w:firstLine="563"/>
        <w:spacing w:after="0" w:line="277" w:lineRule="auto"/>
        <w:tabs>
          <w:tab w:leader="none" w:pos="492" w:val="left"/>
        </w:tabs>
        <w:numPr>
          <w:ilvl w:val="0"/>
          <w:numId w:val="322"/>
        </w:numPr>
        <w:rPr>
          <w:rFonts w:ascii="Arial" w:cs="Arial" w:eastAsia="Arial" w:hAnsi="Arial"/>
          <w:sz w:val="17"/>
          <w:szCs w:val="17"/>
          <w:color w:val="auto"/>
        </w:rPr>
      </w:pPr>
      <w:r>
        <w:rPr>
          <w:rFonts w:ascii="Arial" w:cs="Arial" w:eastAsia="Arial" w:hAnsi="Arial"/>
          <w:sz w:val="17"/>
          <w:szCs w:val="17"/>
          <w:u w:val="single" w:color="auto"/>
          <w:color w:val="auto"/>
        </w:rPr>
        <w:t>Successors</w:t>
      </w:r>
      <w:r>
        <w:rPr>
          <w:rFonts w:ascii="Arial" w:cs="Arial" w:eastAsia="Arial" w:hAnsi="Arial"/>
          <w:sz w:val="17"/>
          <w:szCs w:val="17"/>
          <w:color w:val="auto"/>
        </w:rPr>
        <w:t>. The terms of this Agreement shall be binding upon and inure to the benefit of the Company and its successors and assigns, and of the Participant and the beneficiaries, executors, administrators, heirs and successors of the Participant.</w:t>
      </w:r>
    </w:p>
    <w:p>
      <w:pPr>
        <w:spacing w:after="0" w:line="164" w:lineRule="exact"/>
        <w:rPr>
          <w:rFonts w:ascii="Arial" w:cs="Arial" w:eastAsia="Arial" w:hAnsi="Arial"/>
          <w:sz w:val="17"/>
          <w:szCs w:val="17"/>
          <w:color w:val="auto"/>
        </w:rPr>
      </w:pPr>
    </w:p>
    <w:p>
      <w:pPr>
        <w:ind w:left="-560" w:right="320" w:firstLine="563"/>
        <w:spacing w:after="0" w:line="220" w:lineRule="auto"/>
        <w:tabs>
          <w:tab w:leader="none" w:pos="495" w:val="left"/>
        </w:tabs>
        <w:numPr>
          <w:ilvl w:val="0"/>
          <w:numId w:val="322"/>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and the Plan contain the entire agreement and understanding of the parties hereto with respect to the subject matter contained herein and supersede all prior communications, representations and negotiations in respect thereto, except as set forth in Section 8 hereof. No change, modification or waiver of any provision of this Agreement shall be valid unless the same be in writing and signed by the parties hereto, except for any changes permitted without consent under Section 12 or 14 of the Plan.</w:t>
      </w:r>
    </w:p>
    <w:p>
      <w:pPr>
        <w:spacing w:after="0" w:line="183" w:lineRule="exact"/>
        <w:rPr>
          <w:rFonts w:ascii="Arial" w:cs="Arial" w:eastAsia="Arial" w:hAnsi="Arial"/>
          <w:sz w:val="17"/>
          <w:szCs w:val="17"/>
          <w:color w:val="auto"/>
        </w:rPr>
      </w:pPr>
    </w:p>
    <w:p>
      <w:pPr>
        <w:ind w:left="-560" w:right="100" w:firstLine="563"/>
        <w:spacing w:after="0" w:line="248" w:lineRule="auto"/>
        <w:tabs>
          <w:tab w:leader="none" w:pos="492" w:val="left"/>
        </w:tabs>
        <w:numPr>
          <w:ilvl w:val="0"/>
          <w:numId w:val="322"/>
        </w:numPr>
        <w:rPr>
          <w:rFonts w:ascii="Arial" w:cs="Arial" w:eastAsia="Arial" w:hAnsi="Arial"/>
          <w:sz w:val="17"/>
          <w:szCs w:val="17"/>
          <w:color w:val="auto"/>
        </w:rPr>
      </w:pPr>
      <w:r>
        <w:rPr>
          <w:rFonts w:ascii="Arial" w:cs="Arial" w:eastAsia="Arial" w:hAnsi="Arial"/>
          <w:sz w:val="17"/>
          <w:szCs w:val="17"/>
          <w:u w:val="single" w:color="auto"/>
          <w:color w:val="auto"/>
        </w:rPr>
        <w:t>Governing Law and Venue</w:t>
      </w:r>
      <w:r>
        <w:rPr>
          <w:rFonts w:ascii="Arial" w:cs="Arial" w:eastAsia="Arial" w:hAnsi="Arial"/>
          <w:sz w:val="17"/>
          <w:szCs w:val="17"/>
          <w:color w:val="auto"/>
        </w:rPr>
        <w:t>. This Agreement shall be construed and interpreted in accordance with the laws of the State of Delaware, without regard to principles of conflicts of laws thereof, or principles of conflicts of laws of any other jurisdiction which could cause the application of the laws of any jurisdiction other than the State of Delaware.</w:t>
      </w:r>
    </w:p>
    <w:p>
      <w:pPr>
        <w:spacing w:after="0" w:line="163" w:lineRule="exact"/>
        <w:rPr>
          <w:rFonts w:ascii="Arial" w:cs="Arial" w:eastAsia="Arial" w:hAnsi="Arial"/>
          <w:sz w:val="17"/>
          <w:szCs w:val="17"/>
          <w:color w:val="auto"/>
        </w:rPr>
      </w:pPr>
    </w:p>
    <w:p>
      <w:pPr>
        <w:ind w:firstLine="572"/>
        <w:spacing w:after="0" w:line="225" w:lineRule="auto"/>
        <w:tabs>
          <w:tab w:leader="none" w:pos="1052" w:val="left"/>
        </w:tabs>
        <w:numPr>
          <w:ilvl w:val="2"/>
          <w:numId w:val="322"/>
        </w:numPr>
        <w:rPr>
          <w:rFonts w:ascii="Arial" w:cs="Arial" w:eastAsia="Arial" w:hAnsi="Arial"/>
          <w:sz w:val="16"/>
          <w:szCs w:val="16"/>
          <w:color w:val="auto"/>
        </w:rPr>
      </w:pPr>
      <w:r>
        <w:rPr>
          <w:rFonts w:ascii="Arial" w:cs="Arial" w:eastAsia="Arial" w:hAnsi="Arial"/>
          <w:sz w:val="16"/>
          <w:szCs w:val="16"/>
          <w:u w:val="single" w:color="auto"/>
          <w:color w:val="auto"/>
        </w:rPr>
        <w:t>Dispute Resolution; Consent to Jurisdiction</w:t>
      </w:r>
      <w:r>
        <w:rPr>
          <w:rFonts w:ascii="Arial" w:cs="Arial" w:eastAsia="Arial" w:hAnsi="Arial"/>
          <w:sz w:val="16"/>
          <w:szCs w:val="16"/>
          <w:color w:val="auto"/>
        </w:rPr>
        <w:t>. All disputes between or among any Persons arising out of or in any way connected with the Plan, this Agreement, the Shares or the RSUs shall be solely and finally settled by the Committee, acting in good faith, the determination of which shall be final. Any matters not covered by the preceding sentence shall be solely and finally settled in accordance with the Plan, and the Participant and the Company consent to the personal jurisdiction of the United States Federal and state courts sitting in Wilmington, Delaware as the exclusive jurisdiction with respect to matters arising out of or related to the enforcement of the Committee’s determinations and resolution of matters, if any, related to the Plan or this Agreement not required to be resolved by the Committee. Each such Person hereby irrevocably consents to the service of process of any of the aforementioned courts in any such suit, action or proceeding by the mailing of copies thereof by registered or certified mail, postage prepaid, to the last known address of such Person, such service to become effective ten (10) days after such mailing.</w:t>
      </w:r>
    </w:p>
    <w:p>
      <w:pPr>
        <w:spacing w:after="0" w:line="242" w:lineRule="exact"/>
        <w:rPr>
          <w:rFonts w:ascii="Arial" w:cs="Arial" w:eastAsia="Arial" w:hAnsi="Arial"/>
          <w:sz w:val="16"/>
          <w:szCs w:val="16"/>
          <w:color w:val="auto"/>
        </w:rPr>
      </w:pPr>
    </w:p>
    <w:p>
      <w:pPr>
        <w:ind w:right="140" w:firstLine="572"/>
        <w:spacing w:after="0" w:line="224" w:lineRule="auto"/>
        <w:tabs>
          <w:tab w:leader="none" w:pos="1053" w:val="left"/>
        </w:tabs>
        <w:numPr>
          <w:ilvl w:val="2"/>
          <w:numId w:val="322"/>
        </w:numPr>
        <w:rPr>
          <w:rFonts w:ascii="Arial" w:cs="Arial" w:eastAsia="Arial" w:hAnsi="Arial"/>
          <w:sz w:val="16"/>
          <w:szCs w:val="16"/>
          <w:color w:val="auto"/>
        </w:rPr>
      </w:pPr>
      <w:r>
        <w:rPr>
          <w:rFonts w:ascii="Arial" w:cs="Arial" w:eastAsia="Arial" w:hAnsi="Arial"/>
          <w:sz w:val="16"/>
          <w:szCs w:val="16"/>
          <w:u w:val="single" w:color="auto"/>
          <w:color w:val="auto"/>
        </w:rPr>
        <w:t>Waiver of Jury Trial</w:t>
      </w:r>
      <w:r>
        <w:rPr>
          <w:rFonts w:ascii="Arial" w:cs="Arial" w:eastAsia="Arial" w:hAnsi="Arial"/>
          <w:sz w:val="16"/>
          <w:szCs w:val="16"/>
          <w:color w:val="auto"/>
        </w:rPr>
        <w:t>. Each party hereto hereby waives, to the fullest extent permitted by applicable law, any right it may have to a trial by jury in any legal proceeding directly or indirectly arising out of or relating to this Agreement or the transactions contemplated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w:t>
      </w:r>
    </w:p>
    <w:p>
      <w:pPr>
        <w:spacing w:after="0" w:line="1" w:lineRule="exact"/>
        <w:rPr>
          <w:rFonts w:ascii="Arial" w:cs="Arial" w:eastAsia="Arial" w:hAnsi="Arial"/>
          <w:sz w:val="16"/>
          <w:szCs w:val="16"/>
          <w:color w:val="auto"/>
        </w:rPr>
      </w:pPr>
    </w:p>
    <w:p>
      <w:pPr>
        <w:ind w:left="280" w:hanging="277"/>
        <w:spacing w:after="0"/>
        <w:tabs>
          <w:tab w:leader="none" w:pos="280" w:val="left"/>
        </w:tabs>
        <w:numPr>
          <w:ilvl w:val="1"/>
          <w:numId w:val="322"/>
        </w:numPr>
        <w:rPr>
          <w:rFonts w:ascii="Arial" w:cs="Arial" w:eastAsia="Arial" w:hAnsi="Arial"/>
          <w:sz w:val="15"/>
          <w:szCs w:val="15"/>
          <w:color w:val="auto"/>
        </w:rPr>
      </w:pPr>
      <w:r>
        <w:rPr>
          <w:rFonts w:ascii="Arial" w:cs="Arial" w:eastAsia="Arial" w:hAnsi="Arial"/>
          <w:sz w:val="15"/>
          <w:szCs w:val="15"/>
          <w:color w:val="auto"/>
        </w:rPr>
        <w:t>acknowledges that it and the other parties hereto have been induced to enter into this Agreement by, among other things, the mutual waivers and</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certifications in this section.</w:t>
      </w:r>
    </w:p>
    <w:p>
      <w:pPr>
        <w:spacing w:after="0" w:line="205" w:lineRule="exact"/>
        <w:rPr>
          <w:sz w:val="20"/>
          <w:szCs w:val="20"/>
          <w:color w:val="auto"/>
        </w:rPr>
      </w:pPr>
    </w:p>
    <w:p>
      <w:pPr>
        <w:ind w:left="-560" w:right="260" w:firstLine="563"/>
        <w:spacing w:after="0" w:line="277" w:lineRule="auto"/>
        <w:tabs>
          <w:tab w:leader="none" w:pos="496" w:val="left"/>
        </w:tabs>
        <w:numPr>
          <w:ilvl w:val="0"/>
          <w:numId w:val="323"/>
        </w:numPr>
        <w:rPr>
          <w:rFonts w:ascii="Arial" w:cs="Arial" w:eastAsia="Arial" w:hAnsi="Arial"/>
          <w:sz w:val="17"/>
          <w:szCs w:val="17"/>
          <w:color w:val="auto"/>
        </w:rPr>
      </w:pPr>
      <w:r>
        <w:rPr>
          <w:rFonts w:ascii="Arial" w:cs="Arial" w:eastAsia="Arial" w:hAnsi="Arial"/>
          <w:sz w:val="17"/>
          <w:szCs w:val="17"/>
          <w:u w:val="single" w:color="auto"/>
          <w:color w:val="auto"/>
        </w:rPr>
        <w:t>Headings; Gender</w:t>
      </w:r>
      <w:r>
        <w:rPr>
          <w:rFonts w:ascii="Arial" w:cs="Arial" w:eastAsia="Arial" w:hAnsi="Arial"/>
          <w:sz w:val="17"/>
          <w:szCs w:val="17"/>
          <w:color w:val="auto"/>
        </w:rPr>
        <w:t>. The headings of the Sections hereof are provided for convenience only and are not to serve as a basis for interpretation or construction, and shall not constitute a part, of this</w:t>
      </w:r>
    </w:p>
    <w:p>
      <w:pPr>
        <w:sectPr>
          <w:pgSz w:w="11900" w:h="16838" w:orient="portrait"/>
          <w:cols w:equalWidth="0" w:num="1">
            <w:col w:w="10520"/>
          </w:cols>
          <w:pgMar w:left="960" w:top="1237" w:right="419" w:bottom="1440" w:gutter="0" w:footer="0" w:header="0"/>
        </w:sectPr>
      </w:pPr>
    </w:p>
    <w:bookmarkStart w:id="395" w:name="page396"/>
    <w:bookmarkEnd w:id="395"/>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Agreement. Masculine pronouns and other words of masculine gender shall refer to both men and women as appropriate.</w:t>
      </w:r>
    </w:p>
    <w:p>
      <w:pPr>
        <w:spacing w:after="0" w:line="219" w:lineRule="exact"/>
        <w:rPr>
          <w:sz w:val="20"/>
          <w:szCs w:val="20"/>
          <w:color w:val="auto"/>
        </w:rPr>
      </w:pPr>
    </w:p>
    <w:p>
      <w:pPr>
        <w:jc w:val="both"/>
        <w:ind w:right="120" w:firstLine="563"/>
        <w:spacing w:after="0" w:line="248" w:lineRule="auto"/>
        <w:tabs>
          <w:tab w:leader="none" w:pos="1055" w:val="left"/>
        </w:tabs>
        <w:numPr>
          <w:ilvl w:val="0"/>
          <w:numId w:val="324"/>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one or more counterparts (including via facsimile and electronic image scan (pdf)), each of which shall be deemed to be an original, but all of which together shall constitute one and the same instrument and shall become effective when one or more counterparts have been signed by each of the parties and delivered to the other parties.</w:t>
      </w:r>
    </w:p>
    <w:p>
      <w:pPr>
        <w:spacing w:after="0" w:line="175" w:lineRule="exact"/>
        <w:rPr>
          <w:rFonts w:ascii="Arial" w:cs="Arial" w:eastAsia="Arial" w:hAnsi="Arial"/>
          <w:sz w:val="17"/>
          <w:szCs w:val="17"/>
          <w:color w:val="auto"/>
        </w:rPr>
      </w:pPr>
    </w:p>
    <w:p>
      <w:pPr>
        <w:ind w:firstLine="563"/>
        <w:spacing w:after="0" w:line="278" w:lineRule="auto"/>
        <w:tabs>
          <w:tab w:leader="none" w:pos="1055" w:val="left"/>
        </w:tabs>
        <w:numPr>
          <w:ilvl w:val="0"/>
          <w:numId w:val="324"/>
        </w:numPr>
        <w:rPr>
          <w:rFonts w:ascii="Arial" w:cs="Arial" w:eastAsia="Arial" w:hAnsi="Arial"/>
          <w:sz w:val="16"/>
          <w:szCs w:val="16"/>
          <w:color w:val="auto"/>
        </w:rPr>
      </w:pPr>
      <w:r>
        <w:rPr>
          <w:rFonts w:ascii="Arial" w:cs="Arial" w:eastAsia="Arial" w:hAnsi="Arial"/>
          <w:sz w:val="16"/>
          <w:szCs w:val="16"/>
          <w:u w:val="single" w:color="auto"/>
          <w:color w:val="auto"/>
        </w:rPr>
        <w:t>Electronic Signature and Delivery</w:t>
      </w:r>
      <w:r>
        <w:rPr>
          <w:rFonts w:ascii="Arial" w:cs="Arial" w:eastAsia="Arial" w:hAnsi="Arial"/>
          <w:sz w:val="16"/>
          <w:szCs w:val="16"/>
          <w:color w:val="auto"/>
        </w:rPr>
        <w:t>. This Agreement may be accepted by return signature or by electronic confirmation. By accepting this Agreement, the Participant consents to the electronic delivery of prospectuses, annual reports and other information required to be delivered by U.S. Securities and Exchange Commission rules (which consent may be revoked in writing by the Participant at any time upon three business days’ notice to the Company, in which case subsequent prospectuses, annual reports and other information will be delivered in hard copy to the Participant).</w:t>
      </w:r>
    </w:p>
    <w:p>
      <w:pPr>
        <w:spacing w:after="0" w:line="177" w:lineRule="exact"/>
        <w:rPr>
          <w:rFonts w:ascii="Arial" w:cs="Arial" w:eastAsia="Arial" w:hAnsi="Arial"/>
          <w:sz w:val="16"/>
          <w:szCs w:val="16"/>
          <w:color w:val="auto"/>
        </w:rPr>
      </w:pPr>
    </w:p>
    <w:p>
      <w:pPr>
        <w:ind w:right="280" w:firstLine="563"/>
        <w:spacing w:after="0" w:line="286" w:lineRule="auto"/>
        <w:tabs>
          <w:tab w:leader="none" w:pos="1055" w:val="left"/>
        </w:tabs>
        <w:numPr>
          <w:ilvl w:val="0"/>
          <w:numId w:val="324"/>
        </w:numPr>
        <w:rPr>
          <w:rFonts w:ascii="Arial" w:cs="Arial" w:eastAsia="Arial" w:hAnsi="Arial"/>
          <w:sz w:val="16"/>
          <w:szCs w:val="16"/>
          <w:color w:val="auto"/>
        </w:rPr>
      </w:pPr>
      <w:r>
        <w:rPr>
          <w:rFonts w:ascii="Arial" w:cs="Arial" w:eastAsia="Arial" w:hAnsi="Arial"/>
          <w:sz w:val="16"/>
          <w:szCs w:val="16"/>
          <w:u w:val="single" w:color="auto"/>
          <w:color w:val="auto"/>
        </w:rPr>
        <w:t>Electronic Participation in Plan</w:t>
      </w:r>
      <w:r>
        <w:rPr>
          <w:rFonts w:ascii="Arial" w:cs="Arial" w:eastAsia="Arial" w:hAnsi="Arial"/>
          <w:sz w:val="16"/>
          <w:szCs w:val="16"/>
          <w:color w:val="auto"/>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200" w:lineRule="exact"/>
        <w:rPr>
          <w:sz w:val="20"/>
          <w:szCs w:val="20"/>
          <w:color w:val="auto"/>
        </w:rPr>
      </w:pPr>
    </w:p>
    <w:p>
      <w:pPr>
        <w:spacing w:after="0" w:line="308" w:lineRule="exact"/>
        <w:rPr>
          <w:sz w:val="20"/>
          <w:szCs w:val="20"/>
          <w:color w:val="auto"/>
        </w:rPr>
      </w:pPr>
    </w:p>
    <w:p>
      <w:pPr>
        <w:ind w:left="2300"/>
        <w:spacing w:after="0"/>
        <w:rPr>
          <w:sz w:val="20"/>
          <w:szCs w:val="20"/>
          <w:color w:val="auto"/>
        </w:rPr>
      </w:pPr>
      <w:r>
        <w:rPr>
          <w:rFonts w:ascii="Arial" w:cs="Arial" w:eastAsia="Arial" w:hAnsi="Arial"/>
          <w:sz w:val="17"/>
          <w:szCs w:val="17"/>
          <w:b w:val="1"/>
          <w:bCs w:val="1"/>
          <w:color w:val="auto"/>
        </w:rPr>
        <w:t>[Remainder of page intentionally left blank]</w:t>
      </w:r>
    </w:p>
    <w:p>
      <w:pPr>
        <w:sectPr>
          <w:pgSz w:w="11900" w:h="16838" w:orient="portrait"/>
          <w:cols w:equalWidth="0" w:num="1">
            <w:col w:w="11020"/>
          </w:cols>
          <w:pgMar w:left="400" w:top="1440" w:right="479" w:bottom="1440" w:gutter="0" w:footer="0" w:header="0"/>
        </w:sectPr>
      </w:pPr>
    </w:p>
    <w:bookmarkStart w:id="396" w:name="page397"/>
    <w:bookmarkEnd w:id="396"/>
    <w:p>
      <w:pPr>
        <w:spacing w:after="0" w:line="251" w:lineRule="auto"/>
        <w:rPr>
          <w:sz w:val="20"/>
          <w:szCs w:val="20"/>
          <w:color w:val="auto"/>
        </w:rPr>
      </w:pPr>
      <w:r>
        <w:rPr>
          <w:rFonts w:ascii="Arial" w:cs="Arial" w:eastAsia="Arial" w:hAnsi="Arial"/>
          <w:sz w:val="17"/>
          <w:szCs w:val="17"/>
          <w:color w:val="auto"/>
        </w:rPr>
        <w:t xml:space="preserve">To accept or reject your Restricted Stock award, please complete the on-line form (“Accept or Reject Your Grant”) as promptly as possible, but, in any case, within thirty (30) days after the Grant Date. If you accept your award you will be deemed to have agreed to the terms and conditions set forth in this Agreement and the terms and conditions of the Plan, all of which are made part of this Agreement. Your Agreement is available to you online in your Schwab Equity Award Center (EAC) account via this link </w:t>
      </w:r>
      <w:r>
        <w:rPr>
          <w:rFonts w:ascii="Arial" w:cs="Arial" w:eastAsia="Arial" w:hAnsi="Arial"/>
          <w:sz w:val="17"/>
          <w:szCs w:val="17"/>
          <w:u w:val="single" w:color="auto"/>
          <w:color w:val="0000FF"/>
        </w:rPr>
        <w:t>https://www.schwab.com/public/eac/home</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00"/>
        <w:spacing w:after="0"/>
        <w:rPr>
          <w:sz w:val="20"/>
          <w:szCs w:val="20"/>
          <w:color w:val="auto"/>
        </w:rPr>
      </w:pPr>
      <w:r>
        <w:rPr>
          <w:rFonts w:ascii="Arial" w:cs="Arial" w:eastAsia="Arial" w:hAnsi="Arial"/>
          <w:sz w:val="17"/>
          <w:szCs w:val="17"/>
          <w:color w:val="auto"/>
        </w:rPr>
        <w:t>VIRTU FINANCIAL, INC.</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400"/>
        <w:spacing w:after="0"/>
        <w:tabs>
          <w:tab w:leader="none" w:pos="5240" w:val="left"/>
        </w:tabs>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Douglas A. Cifu</w:t>
      </w:r>
      <w:r>
        <w:rPr>
          <w:sz w:val="20"/>
          <w:szCs w:val="20"/>
          <w:color w:val="auto"/>
        </w:rPr>
        <w:tab/>
      </w:r>
      <w:r>
        <w:rPr>
          <w:rFonts w:ascii="Arial" w:cs="Arial" w:eastAsia="Arial" w:hAnsi="Arial"/>
          <w:sz w:val="16"/>
          <w:szCs w:val="16"/>
          <w:color w:val="auto"/>
        </w:rPr>
        <w:t>Name: Douglas A. Cifu</w:t>
      </w:r>
    </w:p>
    <w:p>
      <w:pPr>
        <w:ind w:left="3620"/>
        <w:spacing w:after="0"/>
        <w:rPr>
          <w:sz w:val="20"/>
          <w:szCs w:val="20"/>
          <w:color w:val="auto"/>
        </w:rPr>
      </w:pPr>
      <w:r>
        <w:rPr>
          <w:rFonts w:ascii="Arial" w:cs="Arial" w:eastAsia="Arial" w:hAnsi="Arial"/>
          <w:sz w:val="17"/>
          <w:szCs w:val="17"/>
          <w:color w:val="auto"/>
        </w:rPr>
        <w:t>Title: Chief Executive Officer</w:t>
      </w:r>
    </w:p>
    <w:p>
      <w:pPr>
        <w:sectPr>
          <w:pgSz w:w="11900" w:h="16838" w:orient="portrait"/>
          <w:cols w:equalWidth="0" w:num="1">
            <w:col w:w="10900"/>
          </w:cols>
          <w:pgMar w:left="400" w:top="1233" w:right="599" w:bottom="1440" w:gutter="0" w:footer="0" w:header="0"/>
        </w:sectPr>
      </w:pPr>
    </w:p>
    <w:bookmarkStart w:id="397" w:name="page398"/>
    <w:bookmarkEnd w:id="397"/>
    <w:p>
      <w:pPr>
        <w:ind w:left="2506"/>
        <w:spacing w:after="0"/>
        <w:rPr>
          <w:sz w:val="20"/>
          <w:szCs w:val="20"/>
          <w:color w:val="auto"/>
        </w:rPr>
      </w:pPr>
      <w:r>
        <w:rPr>
          <w:rFonts w:ascii="Arial" w:cs="Arial" w:eastAsia="Arial" w:hAnsi="Arial"/>
          <w:sz w:val="17"/>
          <w:szCs w:val="17"/>
          <w:b w:val="1"/>
          <w:bCs w:val="1"/>
          <w:color w:val="auto"/>
        </w:rPr>
        <w:t>VIRTU FINANCIAL, INC. AMENDED AND RESTATED 2015 MANAGEMENT</w:t>
      </w:r>
    </w:p>
    <w:p>
      <w:pPr>
        <w:spacing w:after="0" w:line="20" w:lineRule="exact"/>
        <w:rPr>
          <w:sz w:val="20"/>
          <w:szCs w:val="20"/>
          <w:color w:val="auto"/>
        </w:rPr>
      </w:pPr>
    </w:p>
    <w:p>
      <w:pPr>
        <w:ind w:left="4286"/>
        <w:spacing w:after="0"/>
        <w:rPr>
          <w:sz w:val="20"/>
          <w:szCs w:val="20"/>
          <w:color w:val="auto"/>
        </w:rPr>
      </w:pPr>
      <w:r>
        <w:rPr>
          <w:rFonts w:ascii="Arial" w:cs="Arial" w:eastAsia="Arial" w:hAnsi="Arial"/>
          <w:sz w:val="17"/>
          <w:szCs w:val="17"/>
          <w:b w:val="1"/>
          <w:bCs w:val="1"/>
          <w:color w:val="auto"/>
        </w:rPr>
        <w:t>INCENTIVE PLAN EMPLOYEE</w:t>
      </w:r>
    </w:p>
    <w:p>
      <w:pPr>
        <w:jc w:val="center"/>
        <w:ind w:right="-105"/>
        <w:spacing w:after="0"/>
        <w:rPr>
          <w:sz w:val="20"/>
          <w:szCs w:val="20"/>
          <w:color w:val="auto"/>
        </w:rPr>
      </w:pPr>
      <w:r>
        <w:rPr>
          <w:rFonts w:ascii="Arial" w:cs="Arial" w:eastAsia="Arial" w:hAnsi="Arial"/>
          <w:sz w:val="17"/>
          <w:szCs w:val="17"/>
          <w:b w:val="1"/>
          <w:bCs w:val="1"/>
          <w:u w:val="single" w:color="auto"/>
          <w:color w:val="auto"/>
        </w:rPr>
        <w:t>RESTRICTED STOCK UNIT AWARD AGREEMENT</w:t>
      </w:r>
    </w:p>
    <w:p>
      <w:pPr>
        <w:spacing w:after="0" w:line="110" w:lineRule="exact"/>
        <w:rPr>
          <w:sz w:val="20"/>
          <w:szCs w:val="20"/>
          <w:color w:val="auto"/>
        </w:rPr>
      </w:pPr>
    </w:p>
    <w:p>
      <w:pPr>
        <w:ind w:left="6" w:firstLine="568"/>
        <w:spacing w:after="0" w:line="277" w:lineRule="auto"/>
        <w:rPr>
          <w:sz w:val="20"/>
          <w:szCs w:val="20"/>
          <w:color w:val="auto"/>
        </w:rPr>
      </w:pPr>
      <w:r>
        <w:rPr>
          <w:rFonts w:ascii="Arial" w:cs="Arial" w:eastAsia="Arial" w:hAnsi="Arial"/>
          <w:sz w:val="17"/>
          <w:szCs w:val="17"/>
          <w:color w:val="auto"/>
        </w:rPr>
        <w:t>THIS RESTRICTED STOCK UNIT AWARD AGREEMENT (the “</w:t>
      </w:r>
      <w:r>
        <w:rPr>
          <w:rFonts w:ascii="Arial" w:cs="Arial" w:eastAsia="Arial" w:hAnsi="Arial"/>
          <w:sz w:val="17"/>
          <w:szCs w:val="17"/>
          <w:u w:val="single" w:color="auto"/>
          <w:color w:val="auto"/>
        </w:rPr>
        <w:t>Agreement</w:t>
      </w:r>
      <w:r>
        <w:rPr>
          <w:rFonts w:ascii="Arial" w:cs="Arial" w:eastAsia="Arial" w:hAnsi="Arial"/>
          <w:sz w:val="17"/>
          <w:szCs w:val="17"/>
          <w:color w:val="auto"/>
        </w:rPr>
        <w:t>”), is entered into as of February 3, 2022 (the “</w:t>
      </w:r>
      <w:r>
        <w:rPr>
          <w:rFonts w:ascii="Arial" w:cs="Arial" w:eastAsia="Arial" w:hAnsi="Arial"/>
          <w:sz w:val="17"/>
          <w:szCs w:val="17"/>
          <w:u w:val="single" w:color="auto"/>
          <w:color w:val="auto"/>
        </w:rPr>
        <w:t>Date of Grant</w:t>
      </w:r>
      <w:r>
        <w:rPr>
          <w:rFonts w:ascii="Arial" w:cs="Arial" w:eastAsia="Arial" w:hAnsi="Arial"/>
          <w:sz w:val="17"/>
          <w:szCs w:val="17"/>
          <w:color w:val="auto"/>
        </w:rPr>
        <w:t>”), by and between Virtu Financial,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and Sean Galvin (the “</w:t>
      </w:r>
      <w:r>
        <w:rPr>
          <w:rFonts w:ascii="Arial" w:cs="Arial" w:eastAsia="Arial" w:hAnsi="Arial"/>
          <w:sz w:val="17"/>
          <w:szCs w:val="17"/>
          <w:u w:val="single" w:color="auto"/>
          <w:color w:val="auto"/>
        </w:rPr>
        <w:t>Participant</w:t>
      </w:r>
      <w:r>
        <w:rPr>
          <w:rFonts w:ascii="Arial" w:cs="Arial" w:eastAsia="Arial" w:hAnsi="Arial"/>
          <w:sz w:val="17"/>
          <w:szCs w:val="17"/>
          <w:color w:val="auto"/>
        </w:rPr>
        <w:t>”).</w:t>
      </w:r>
    </w:p>
    <w:p>
      <w:pPr>
        <w:spacing w:after="0" w:line="93" w:lineRule="exact"/>
        <w:rPr>
          <w:sz w:val="20"/>
          <w:szCs w:val="20"/>
          <w:color w:val="auto"/>
        </w:rPr>
      </w:pPr>
    </w:p>
    <w:p>
      <w:pPr>
        <w:ind w:left="6" w:right="260" w:firstLine="568"/>
        <w:spacing w:after="0" w:line="277" w:lineRule="auto"/>
        <w:rPr>
          <w:sz w:val="20"/>
          <w:szCs w:val="20"/>
          <w:color w:val="auto"/>
        </w:rPr>
      </w:pPr>
      <w:r>
        <w:rPr>
          <w:rFonts w:ascii="Arial" w:cs="Arial" w:eastAsia="Arial" w:hAnsi="Arial"/>
          <w:sz w:val="17"/>
          <w:szCs w:val="17"/>
          <w:color w:val="auto"/>
        </w:rPr>
        <w:t>WHEREAS, the Company has adopted the Virtu Financial, Inc. Amended and Restated 2015 Management Incentive Plan (the “</w:t>
      </w:r>
      <w:r>
        <w:rPr>
          <w:rFonts w:ascii="Arial" w:cs="Arial" w:eastAsia="Arial" w:hAnsi="Arial"/>
          <w:sz w:val="17"/>
          <w:szCs w:val="17"/>
          <w:u w:val="single" w:color="auto"/>
          <w:color w:val="auto"/>
        </w:rPr>
        <w:t>Plan</w:t>
      </w:r>
      <w:r>
        <w:rPr>
          <w:rFonts w:ascii="Arial" w:cs="Arial" w:eastAsia="Arial" w:hAnsi="Arial"/>
          <w:sz w:val="17"/>
          <w:szCs w:val="17"/>
          <w:color w:val="auto"/>
        </w:rPr>
        <w:t>”), pursuant to which Restricted Stock Units (“</w:t>
      </w:r>
      <w:r>
        <w:rPr>
          <w:rFonts w:ascii="Arial" w:cs="Arial" w:eastAsia="Arial" w:hAnsi="Arial"/>
          <w:sz w:val="17"/>
          <w:szCs w:val="17"/>
          <w:u w:val="single" w:color="auto"/>
          <w:color w:val="auto"/>
        </w:rPr>
        <w:t>RSUs</w:t>
      </w:r>
      <w:r>
        <w:rPr>
          <w:rFonts w:ascii="Arial" w:cs="Arial" w:eastAsia="Arial" w:hAnsi="Arial"/>
          <w:sz w:val="17"/>
          <w:szCs w:val="17"/>
          <w:color w:val="auto"/>
        </w:rPr>
        <w:t>”) may be granted; and</w:t>
      </w:r>
    </w:p>
    <w:p>
      <w:pPr>
        <w:spacing w:after="0" w:line="93" w:lineRule="exact"/>
        <w:rPr>
          <w:sz w:val="20"/>
          <w:szCs w:val="20"/>
          <w:color w:val="auto"/>
        </w:rPr>
      </w:pPr>
    </w:p>
    <w:p>
      <w:pPr>
        <w:ind w:left="6" w:right="240" w:firstLine="568"/>
        <w:spacing w:after="0" w:line="263" w:lineRule="auto"/>
        <w:rPr>
          <w:sz w:val="20"/>
          <w:szCs w:val="20"/>
          <w:color w:val="auto"/>
        </w:rPr>
      </w:pPr>
      <w:r>
        <w:rPr>
          <w:rFonts w:ascii="Arial" w:cs="Arial" w:eastAsia="Arial" w:hAnsi="Arial"/>
          <w:sz w:val="17"/>
          <w:szCs w:val="17"/>
          <w:color w:val="auto"/>
        </w:rPr>
        <w:t>WHEREAS, the Compensation Committee of the Board of Directors of the Company has determined that it is in the best interests of the Company and its stockholders to grant the RSUs provided for herein to the Participant subject to the terms set forth herein.</w:t>
      </w:r>
    </w:p>
    <w:p>
      <w:pPr>
        <w:spacing w:after="0" w:line="92" w:lineRule="exact"/>
        <w:rPr>
          <w:sz w:val="20"/>
          <w:szCs w:val="20"/>
          <w:color w:val="auto"/>
        </w:rPr>
      </w:pPr>
    </w:p>
    <w:p>
      <w:pPr>
        <w:ind w:left="6" w:right="40" w:firstLine="568"/>
        <w:spacing w:after="0" w:line="347" w:lineRule="auto"/>
        <w:rPr>
          <w:sz w:val="20"/>
          <w:szCs w:val="20"/>
          <w:color w:val="auto"/>
        </w:rPr>
      </w:pPr>
      <w:r>
        <w:rPr>
          <w:rFonts w:ascii="Arial" w:cs="Arial" w:eastAsia="Arial" w:hAnsi="Arial"/>
          <w:sz w:val="15"/>
          <w:szCs w:val="15"/>
          <w:color w:val="auto"/>
        </w:rPr>
        <w:t>NOW, THEREFORE, for and in consideration of the premises and the covenants of the parties contained in this Agreement, and for other good and valuable consideration, the receipt of which is hereby acknowledged, the parties hereto, for themselves, their successors and assigns, hereby agree as follows:</w:t>
      </w:r>
    </w:p>
    <w:p>
      <w:pPr>
        <w:spacing w:after="0" w:line="111" w:lineRule="exact"/>
        <w:rPr>
          <w:sz w:val="20"/>
          <w:szCs w:val="20"/>
          <w:color w:val="auto"/>
        </w:rPr>
      </w:pPr>
    </w:p>
    <w:p>
      <w:pPr>
        <w:ind w:left="566" w:hanging="566"/>
        <w:spacing w:after="0"/>
        <w:tabs>
          <w:tab w:leader="none" w:pos="566" w:val="left"/>
        </w:tabs>
        <w:numPr>
          <w:ilvl w:val="0"/>
          <w:numId w:val="325"/>
        </w:numPr>
        <w:rPr>
          <w:rFonts w:ascii="Arial" w:cs="Arial" w:eastAsia="Arial" w:hAnsi="Arial"/>
          <w:sz w:val="17"/>
          <w:szCs w:val="17"/>
          <w:b w:val="1"/>
          <w:bCs w:val="1"/>
          <w:color w:val="auto"/>
        </w:rPr>
      </w:pPr>
      <w:r>
        <w:rPr>
          <w:rFonts w:ascii="Arial" w:cs="Arial" w:eastAsia="Arial" w:hAnsi="Arial"/>
          <w:sz w:val="17"/>
          <w:szCs w:val="17"/>
          <w:b w:val="1"/>
          <w:bCs w:val="1"/>
          <w:color w:val="auto"/>
        </w:rPr>
        <w:t>Grant of Restricted Stock Units.</w:t>
      </w:r>
    </w:p>
    <w:p>
      <w:pPr>
        <w:spacing w:after="0" w:line="201" w:lineRule="exact"/>
        <w:rPr>
          <w:rFonts w:ascii="Arial" w:cs="Arial" w:eastAsia="Arial" w:hAnsi="Arial"/>
          <w:sz w:val="17"/>
          <w:szCs w:val="17"/>
          <w:b w:val="1"/>
          <w:bCs w:val="1"/>
          <w:color w:val="auto"/>
        </w:rPr>
      </w:pPr>
    </w:p>
    <w:p>
      <w:pPr>
        <w:ind w:left="6" w:right="280" w:firstLine="563"/>
        <w:spacing w:after="0" w:line="248" w:lineRule="auto"/>
        <w:tabs>
          <w:tab w:leader="none" w:pos="1063" w:val="left"/>
        </w:tabs>
        <w:numPr>
          <w:ilvl w:val="1"/>
          <w:numId w:val="325"/>
        </w:numPr>
        <w:rPr>
          <w:rFonts w:ascii="Arial" w:cs="Arial" w:eastAsia="Arial" w:hAnsi="Arial"/>
          <w:sz w:val="17"/>
          <w:szCs w:val="17"/>
          <w:color w:val="auto"/>
        </w:rPr>
      </w:pPr>
      <w:r>
        <w:rPr>
          <w:rFonts w:ascii="Arial" w:cs="Arial" w:eastAsia="Arial" w:hAnsi="Arial"/>
          <w:sz w:val="17"/>
          <w:szCs w:val="17"/>
          <w:u w:val="single" w:color="auto"/>
          <w:color w:val="auto"/>
        </w:rPr>
        <w:t>Grant</w:t>
      </w:r>
      <w:r>
        <w:rPr>
          <w:rFonts w:ascii="Arial" w:cs="Arial" w:eastAsia="Arial" w:hAnsi="Arial"/>
          <w:sz w:val="17"/>
          <w:szCs w:val="17"/>
          <w:color w:val="auto"/>
        </w:rPr>
        <w:t>. The Company hereby grants to the Participant a total of 45,000 RSUs on the terms and conditions set forth in this Agreement and as otherwise provided in the Plan. The RSUs shall be credited to a separate book-entry account maintained for the Participant on the books of the Company, which may be maintained by a third party.</w:t>
      </w:r>
    </w:p>
    <w:p>
      <w:pPr>
        <w:spacing w:after="0" w:line="163" w:lineRule="exact"/>
        <w:rPr>
          <w:rFonts w:ascii="Arial" w:cs="Arial" w:eastAsia="Arial" w:hAnsi="Arial"/>
          <w:sz w:val="17"/>
          <w:szCs w:val="17"/>
          <w:color w:val="auto"/>
        </w:rPr>
      </w:pPr>
    </w:p>
    <w:p>
      <w:pPr>
        <w:ind w:left="6" w:firstLine="563"/>
        <w:spacing w:after="0" w:line="213" w:lineRule="auto"/>
        <w:tabs>
          <w:tab w:leader="none" w:pos="1061" w:val="left"/>
        </w:tabs>
        <w:numPr>
          <w:ilvl w:val="1"/>
          <w:numId w:val="325"/>
        </w:numPr>
        <w:rPr>
          <w:rFonts w:ascii="Arial" w:cs="Arial" w:eastAsia="Arial" w:hAnsi="Arial"/>
          <w:sz w:val="17"/>
          <w:szCs w:val="17"/>
          <w:color w:val="auto"/>
        </w:rPr>
      </w:pPr>
      <w:r>
        <w:rPr>
          <w:rFonts w:ascii="Arial" w:cs="Arial" w:eastAsia="Arial" w:hAnsi="Arial"/>
          <w:sz w:val="17"/>
          <w:szCs w:val="17"/>
          <w:u w:val="single" w:color="auto"/>
          <w:color w:val="auto"/>
        </w:rPr>
        <w:t>Incorporation by Reference</w:t>
      </w:r>
      <w:r>
        <w:rPr>
          <w:rFonts w:ascii="Arial" w:cs="Arial" w:eastAsia="Arial" w:hAnsi="Arial"/>
          <w:sz w:val="17"/>
          <w:szCs w:val="17"/>
          <w:color w:val="auto"/>
        </w:rPr>
        <w:t>. The provisions of the Plan are incorporated herein by reference. Except as otherwise expressly set forth herein, this Agreement shall be construed in accordance with the provisions of the Plan and any interpretations, amendments, rules and regulations promulgated by the Committee from time to time pursuant to the Plan. Any capitalized terms not otherwise defined in this Agreement shall have the definitions set forth in the Plan. The Committee shall have final authority to interpret and construe the Plan and this Agreement and to make any and all determinations under them, and its decision shall be binding and conclusive upon the Participant and his legal representative in respect of any questions arising under the Plan or this Agreement. The Participant acknowledges that he has received a copy of the Plan and has had an opportunity to review the Plan and agrees to be bound by all the terms and provisions of the Plan.</w:t>
      </w:r>
    </w:p>
    <w:p>
      <w:pPr>
        <w:spacing w:after="0" w:line="164" w:lineRule="exact"/>
        <w:rPr>
          <w:rFonts w:ascii="Arial" w:cs="Arial" w:eastAsia="Arial" w:hAnsi="Arial"/>
          <w:sz w:val="17"/>
          <w:szCs w:val="17"/>
          <w:color w:val="auto"/>
        </w:rPr>
      </w:pPr>
    </w:p>
    <w:p>
      <w:pPr>
        <w:ind w:left="566" w:hanging="566"/>
        <w:spacing w:after="0"/>
        <w:tabs>
          <w:tab w:leader="none" w:pos="566" w:val="left"/>
        </w:tabs>
        <w:numPr>
          <w:ilvl w:val="0"/>
          <w:numId w:val="325"/>
        </w:numPr>
        <w:rPr>
          <w:rFonts w:ascii="Arial" w:cs="Arial" w:eastAsia="Arial" w:hAnsi="Arial"/>
          <w:sz w:val="17"/>
          <w:szCs w:val="17"/>
          <w:b w:val="1"/>
          <w:bCs w:val="1"/>
          <w:color w:val="auto"/>
        </w:rPr>
      </w:pPr>
      <w:r>
        <w:rPr>
          <w:rFonts w:ascii="Arial" w:cs="Arial" w:eastAsia="Arial" w:hAnsi="Arial"/>
          <w:sz w:val="17"/>
          <w:szCs w:val="17"/>
          <w:b w:val="1"/>
          <w:bCs w:val="1"/>
          <w:color w:val="auto"/>
        </w:rPr>
        <w:t>Vesting and Settlement.</w:t>
      </w:r>
    </w:p>
    <w:p>
      <w:pPr>
        <w:spacing w:after="0" w:line="201" w:lineRule="exact"/>
        <w:rPr>
          <w:rFonts w:ascii="Arial" w:cs="Arial" w:eastAsia="Arial" w:hAnsi="Arial"/>
          <w:sz w:val="17"/>
          <w:szCs w:val="17"/>
          <w:b w:val="1"/>
          <w:bCs w:val="1"/>
          <w:color w:val="auto"/>
        </w:rPr>
      </w:pPr>
    </w:p>
    <w:p>
      <w:pPr>
        <w:ind w:left="6" w:right="180" w:firstLine="563"/>
        <w:spacing w:after="0" w:line="216" w:lineRule="auto"/>
        <w:tabs>
          <w:tab w:leader="none" w:pos="1063" w:val="left"/>
        </w:tabs>
        <w:numPr>
          <w:ilvl w:val="1"/>
          <w:numId w:val="325"/>
        </w:numPr>
        <w:rPr>
          <w:rFonts w:ascii="Arial" w:cs="Arial" w:eastAsia="Arial" w:hAnsi="Arial"/>
          <w:sz w:val="17"/>
          <w:szCs w:val="17"/>
          <w:color w:val="auto"/>
        </w:rPr>
      </w:pPr>
      <w:r>
        <w:rPr>
          <w:rFonts w:ascii="Arial" w:cs="Arial" w:eastAsia="Arial" w:hAnsi="Arial"/>
          <w:sz w:val="17"/>
          <w:szCs w:val="17"/>
          <w:color w:val="auto"/>
        </w:rPr>
        <w:t>Except as may otherwise be provided herein, subject to the Participant’s continued employment or service with the Company or an Affiliate, the RSUs shall vest in equal installments on each of the first three (3) anniversaries of the Date of Grant (each such date, a “</w:t>
      </w:r>
      <w:r>
        <w:rPr>
          <w:rFonts w:ascii="Arial" w:cs="Arial" w:eastAsia="Arial" w:hAnsi="Arial"/>
          <w:sz w:val="17"/>
          <w:szCs w:val="17"/>
          <w:u w:val="single" w:color="auto"/>
          <w:color w:val="auto"/>
        </w:rPr>
        <w:t>Vesting Date</w:t>
      </w:r>
      <w:r>
        <w:rPr>
          <w:rFonts w:ascii="Arial" w:cs="Arial" w:eastAsia="Arial" w:hAnsi="Arial"/>
          <w:sz w:val="17"/>
          <w:szCs w:val="17"/>
          <w:color w:val="auto"/>
        </w:rPr>
        <w:t>”). Upon each Vesting Date, such portion of the RSUs that vest on such date shall no longer be subject to the transfer restrictions pursuant to Section 9(a) hereof or cancellation pursuant to Section 4 hereof. Any fractional RSUs resulting from the application of the vesting schedule shall be aggregated and the RSUs resulting from such aggregation shall vest on the final Vesting Date.</w:t>
      </w:r>
    </w:p>
    <w:p>
      <w:pPr>
        <w:spacing w:after="0" w:line="174" w:lineRule="exact"/>
        <w:rPr>
          <w:rFonts w:ascii="Arial" w:cs="Arial" w:eastAsia="Arial" w:hAnsi="Arial"/>
          <w:sz w:val="17"/>
          <w:szCs w:val="17"/>
          <w:color w:val="auto"/>
        </w:rPr>
      </w:pPr>
    </w:p>
    <w:p>
      <w:pPr>
        <w:ind w:left="6" w:right="180" w:firstLine="563"/>
        <w:spacing w:after="0" w:line="263" w:lineRule="auto"/>
        <w:tabs>
          <w:tab w:leader="none" w:pos="1061" w:val="left"/>
        </w:tabs>
        <w:numPr>
          <w:ilvl w:val="1"/>
          <w:numId w:val="325"/>
        </w:numPr>
        <w:rPr>
          <w:rFonts w:ascii="Arial" w:cs="Arial" w:eastAsia="Arial" w:hAnsi="Arial"/>
          <w:sz w:val="17"/>
          <w:szCs w:val="17"/>
          <w:color w:val="auto"/>
        </w:rPr>
      </w:pPr>
      <w:r>
        <w:rPr>
          <w:rFonts w:ascii="Arial" w:cs="Arial" w:eastAsia="Arial" w:hAnsi="Arial"/>
          <w:sz w:val="17"/>
          <w:szCs w:val="17"/>
          <w:color w:val="auto"/>
        </w:rPr>
        <w:t>Vested RSUs shall be settled within ten (10) days following the Vesting Date for such RSUs in shares of Class A Common Stock, or cash, as determined by the Committee in its sole discretion.</w:t>
      </w:r>
    </w:p>
    <w:p>
      <w:pPr>
        <w:sectPr>
          <w:pgSz w:w="11900" w:h="16838" w:orient="portrait"/>
          <w:cols w:equalWidth="0" w:num="1">
            <w:col w:w="10986"/>
          </w:cols>
          <w:pgMar w:left="394" w:top="1243" w:right="519" w:bottom="1440" w:gutter="0" w:footer="0" w:header="0"/>
        </w:sectPr>
      </w:pPr>
    </w:p>
    <w:bookmarkStart w:id="398" w:name="page399"/>
    <w:bookmarkEnd w:id="398"/>
    <w:p>
      <w:pPr>
        <w:jc w:val="both"/>
        <w:ind w:left="6" w:right="260" w:hanging="6"/>
        <w:spacing w:after="0" w:line="274" w:lineRule="auto"/>
        <w:tabs>
          <w:tab w:leader="none" w:pos="492" w:val="left"/>
        </w:tabs>
        <w:numPr>
          <w:ilvl w:val="0"/>
          <w:numId w:val="32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Dividend Equivalents. </w:t>
      </w:r>
      <w:r>
        <w:rPr>
          <w:rFonts w:ascii="Arial" w:cs="Arial" w:eastAsia="Arial" w:hAnsi="Arial"/>
          <w:sz w:val="16"/>
          <w:szCs w:val="16"/>
          <w:color w:val="auto"/>
        </w:rPr>
        <w:t>In the event of any issuance of a cash dividend on the shares of Class A Common Stock (a “</w:t>
      </w:r>
      <w:r>
        <w:rPr>
          <w:rFonts w:ascii="Arial" w:cs="Arial" w:eastAsia="Arial" w:hAnsi="Arial"/>
          <w:sz w:val="16"/>
          <w:szCs w:val="16"/>
          <w:u w:val="single" w:color="auto"/>
          <w:color w:val="auto"/>
        </w:rPr>
        <w:t>Dividend</w:t>
      </w:r>
      <w:r>
        <w:rPr>
          <w:rFonts w:ascii="Arial" w:cs="Arial" w:eastAsia="Arial" w:hAnsi="Arial"/>
          <w:sz w:val="16"/>
          <w:szCs w:val="16"/>
          <w:color w:val="auto"/>
        </w:rPr>
        <w:t>”), the Participant shall</w:t>
      </w:r>
      <w:r>
        <w:rPr>
          <w:rFonts w:ascii="Arial" w:cs="Arial" w:eastAsia="Arial" w:hAnsi="Arial"/>
          <w:sz w:val="16"/>
          <w:szCs w:val="16"/>
          <w:b w:val="1"/>
          <w:bCs w:val="1"/>
          <w:color w:val="auto"/>
        </w:rPr>
        <w:t xml:space="preserve"> </w:t>
      </w:r>
      <w:r>
        <w:rPr>
          <w:rFonts w:ascii="Arial" w:cs="Arial" w:eastAsia="Arial" w:hAnsi="Arial"/>
          <w:sz w:val="16"/>
          <w:szCs w:val="16"/>
          <w:color w:val="auto"/>
        </w:rPr>
        <w:t>be entitled to receive, with respect to each RSU granted pursuant to this Agreement and outstanding as of the record date for such Dividend, payment of an amount equal to the Dividend at the same time as the Dividend is paid to holders of shares of Class A Common Stock generally.</w:t>
      </w:r>
    </w:p>
    <w:p>
      <w:pPr>
        <w:spacing w:after="0" w:line="151" w:lineRule="exact"/>
        <w:rPr>
          <w:rFonts w:ascii="Arial" w:cs="Arial" w:eastAsia="Arial" w:hAnsi="Arial"/>
          <w:sz w:val="16"/>
          <w:szCs w:val="16"/>
          <w:b w:val="1"/>
          <w:bCs w:val="1"/>
          <w:color w:val="auto"/>
        </w:rPr>
      </w:pPr>
    </w:p>
    <w:p>
      <w:pPr>
        <w:ind w:left="6" w:hanging="6"/>
        <w:spacing w:after="0" w:line="207" w:lineRule="auto"/>
        <w:tabs>
          <w:tab w:leader="none" w:pos="492" w:val="left"/>
        </w:tabs>
        <w:numPr>
          <w:ilvl w:val="0"/>
          <w:numId w:val="32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Termination of Employment or Service. </w:t>
      </w:r>
      <w:r>
        <w:rPr>
          <w:rFonts w:ascii="Arial" w:cs="Arial" w:eastAsia="Arial" w:hAnsi="Arial"/>
          <w:sz w:val="17"/>
          <w:szCs w:val="17"/>
          <w:color w:val="auto"/>
        </w:rPr>
        <w:t>If the Participant’s employment or service with the Company and its Affiliates terminates for any reason, all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unvested RSUs shall be cancelled immediately and the Participant shall not be entitled to receive any payments with respect thereto;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of the Participant’s Retirement (as defined below) and compliance with the terms thereof, the RSUs shall continue vesting in accordance with the terms of this Agreement as if the Participant remained employed through each Vesting Date (subject to the forfeiture provisions of the Plan and the clawback provisions set forth herein). For purposes of this Agreement, “</w:t>
      </w:r>
      <w:r>
        <w:rPr>
          <w:rFonts w:ascii="Arial" w:cs="Arial" w:eastAsia="Arial" w:hAnsi="Arial"/>
          <w:sz w:val="17"/>
          <w:szCs w:val="17"/>
          <w:u w:val="single" w:color="auto"/>
          <w:color w:val="auto"/>
        </w:rPr>
        <w:t>Retirement</w:t>
      </w:r>
      <w:r>
        <w:rPr>
          <w:rFonts w:ascii="Arial" w:cs="Arial" w:eastAsia="Arial" w:hAnsi="Arial"/>
          <w:sz w:val="17"/>
          <w:szCs w:val="17"/>
          <w:color w:val="auto"/>
        </w:rPr>
        <w:t>” means a determination by the Company, in its sole and absolute discretion, that the Participant has had a retirement from the Company and its Affiliates upon a voluntary resignation of employment by the Participant (i) after the Participant completed a minimum of five (5) full years of service as an employee of the Company and its Affiliates (regardless of whether such service is continuous), (ii) the Participant having attained the age of fifty (50) at the time of termination, (iii) the sum of the Participant’s years of service and age equals or exceeds sixty-five (65) at the time of termination, (iv) the Participant has entered into and complies with the terms of a non-compete agreement with a term equal to the greater of</w:t>
      </w:r>
    </w:p>
    <w:p>
      <w:pPr>
        <w:spacing w:after="0" w:line="3" w:lineRule="exact"/>
        <w:rPr>
          <w:rFonts w:ascii="Arial" w:cs="Arial" w:eastAsia="Arial" w:hAnsi="Arial"/>
          <w:sz w:val="17"/>
          <w:szCs w:val="17"/>
          <w:b w:val="1"/>
          <w:bCs w:val="1"/>
          <w:color w:val="auto"/>
        </w:rPr>
      </w:pPr>
    </w:p>
    <w:p>
      <w:pPr>
        <w:ind w:left="6" w:right="40"/>
        <w:spacing w:after="0" w:line="253" w:lineRule="auto"/>
        <w:rPr>
          <w:rFonts w:ascii="Arial" w:cs="Arial" w:eastAsia="Arial" w:hAnsi="Arial"/>
          <w:sz w:val="17"/>
          <w:szCs w:val="17"/>
          <w:b w:val="1"/>
          <w:bCs w:val="1"/>
          <w:color w:val="auto"/>
        </w:rPr>
      </w:pPr>
      <w:r>
        <w:rPr>
          <w:rFonts w:ascii="Arial" w:cs="Arial" w:eastAsia="Arial" w:hAnsi="Arial"/>
          <w:sz w:val="17"/>
          <w:szCs w:val="17"/>
          <w:color w:val="auto"/>
        </w:rPr>
        <w:t>(x) two years and (y) the remaining period up to and including the Vesting Date in a form to be provided by the Company and (v) the Participant has duly executed, delivered and not revoked a customary release and waiver of all claims in a form acceptable to the Company. For the avoidance of doubt, any failure to comply with the terms of such non-compete agreement will result in the forfeiture of any unvested RSUs..</w:t>
      </w:r>
    </w:p>
    <w:p>
      <w:pPr>
        <w:spacing w:after="0" w:line="178" w:lineRule="exact"/>
        <w:rPr>
          <w:rFonts w:ascii="Arial" w:cs="Arial" w:eastAsia="Arial" w:hAnsi="Arial"/>
          <w:sz w:val="17"/>
          <w:szCs w:val="17"/>
          <w:b w:val="1"/>
          <w:bCs w:val="1"/>
          <w:color w:val="auto"/>
        </w:rPr>
      </w:pPr>
    </w:p>
    <w:p>
      <w:pPr>
        <w:ind w:left="6" w:right="40" w:hanging="6"/>
        <w:spacing w:after="0" w:line="218" w:lineRule="auto"/>
        <w:tabs>
          <w:tab w:leader="none" w:pos="492" w:val="left"/>
        </w:tabs>
        <w:numPr>
          <w:ilvl w:val="0"/>
          <w:numId w:val="32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Rights as a Stockholder. </w:t>
      </w:r>
      <w:r>
        <w:rPr>
          <w:rFonts w:ascii="Arial" w:cs="Arial" w:eastAsia="Arial" w:hAnsi="Arial"/>
          <w:sz w:val="17"/>
          <w:szCs w:val="17"/>
          <w:color w:val="auto"/>
        </w:rPr>
        <w:t>The Participant shall not be deemed for any purpose to be the owner of any shares of Class A Common Stock underlying the</w:t>
      </w:r>
      <w:r>
        <w:rPr>
          <w:rFonts w:ascii="Arial" w:cs="Arial" w:eastAsia="Arial" w:hAnsi="Arial"/>
          <w:sz w:val="17"/>
          <w:szCs w:val="17"/>
          <w:b w:val="1"/>
          <w:bCs w:val="1"/>
          <w:color w:val="auto"/>
        </w:rPr>
        <w:t xml:space="preserve"> </w:t>
      </w:r>
      <w:r>
        <w:rPr>
          <w:rFonts w:ascii="Arial" w:cs="Arial" w:eastAsia="Arial" w:hAnsi="Arial"/>
          <w:sz w:val="17"/>
          <w:szCs w:val="17"/>
          <w:color w:val="auto"/>
        </w:rPr>
        <w:t>RSUs unless, until and to the extent that (i) the Company shall have issued and delivered to the Participant the shares of Class A Common Stock underlying the RSUs and (ii) the Participant’s name shall have been entered as a stockholder of record with respect to such shares of Class A Common Stock on the books of the Company. The Company shall cause the actions described in clauses (i) and (ii) of the preceding sentence to occur promptly following settlement as contemplated by this Agreement, subject to compliance with applicable laws.</w:t>
      </w:r>
    </w:p>
    <w:p>
      <w:pPr>
        <w:spacing w:after="0" w:line="154" w:lineRule="exact"/>
        <w:rPr>
          <w:rFonts w:ascii="Arial" w:cs="Arial" w:eastAsia="Arial" w:hAnsi="Arial"/>
          <w:sz w:val="17"/>
          <w:szCs w:val="17"/>
          <w:b w:val="1"/>
          <w:bCs w:val="1"/>
          <w:color w:val="auto"/>
        </w:rPr>
      </w:pPr>
    </w:p>
    <w:p>
      <w:pPr>
        <w:ind w:left="566" w:hanging="566"/>
        <w:spacing w:after="0"/>
        <w:tabs>
          <w:tab w:leader="none" w:pos="566" w:val="left"/>
        </w:tabs>
        <w:numPr>
          <w:ilvl w:val="0"/>
          <w:numId w:val="326"/>
        </w:numPr>
        <w:rPr>
          <w:rFonts w:ascii="Arial" w:cs="Arial" w:eastAsia="Arial" w:hAnsi="Arial"/>
          <w:sz w:val="17"/>
          <w:szCs w:val="17"/>
          <w:b w:val="1"/>
          <w:bCs w:val="1"/>
          <w:color w:val="auto"/>
        </w:rPr>
      </w:pPr>
      <w:r>
        <w:rPr>
          <w:rFonts w:ascii="Arial" w:cs="Arial" w:eastAsia="Arial" w:hAnsi="Arial"/>
          <w:sz w:val="17"/>
          <w:szCs w:val="17"/>
          <w:b w:val="1"/>
          <w:bCs w:val="1"/>
          <w:color w:val="auto"/>
        </w:rPr>
        <w:t>Compliance with Legal Requirements.</w:t>
      </w:r>
    </w:p>
    <w:p>
      <w:pPr>
        <w:spacing w:after="0" w:line="189" w:lineRule="exact"/>
        <w:rPr>
          <w:rFonts w:ascii="Arial" w:cs="Arial" w:eastAsia="Arial" w:hAnsi="Arial"/>
          <w:sz w:val="17"/>
          <w:szCs w:val="17"/>
          <w:b w:val="1"/>
          <w:bCs w:val="1"/>
          <w:color w:val="auto"/>
        </w:rPr>
      </w:pPr>
    </w:p>
    <w:p>
      <w:pPr>
        <w:ind w:left="6" w:right="100" w:firstLine="563"/>
        <w:spacing w:after="0" w:line="252" w:lineRule="auto"/>
        <w:tabs>
          <w:tab w:leader="none" w:pos="1063" w:val="left"/>
        </w:tabs>
        <w:numPr>
          <w:ilvl w:val="1"/>
          <w:numId w:val="326"/>
        </w:numPr>
        <w:rPr>
          <w:rFonts w:ascii="Arial" w:cs="Arial" w:eastAsia="Arial" w:hAnsi="Arial"/>
          <w:sz w:val="15"/>
          <w:szCs w:val="15"/>
          <w:color w:val="auto"/>
        </w:rPr>
      </w:pPr>
      <w:r>
        <w:rPr>
          <w:rFonts w:ascii="Arial" w:cs="Arial" w:eastAsia="Arial" w:hAnsi="Arial"/>
          <w:sz w:val="15"/>
          <w:szCs w:val="15"/>
          <w:u w:val="single" w:color="auto"/>
          <w:color w:val="auto"/>
        </w:rPr>
        <w:t>Generally</w:t>
      </w:r>
      <w:r>
        <w:rPr>
          <w:rFonts w:ascii="Arial" w:cs="Arial" w:eastAsia="Arial" w:hAnsi="Arial"/>
          <w:sz w:val="15"/>
          <w:szCs w:val="15"/>
          <w:color w:val="auto"/>
        </w:rPr>
        <w:t>. The granting and settlement of the RSUs, and any other obligations of the Company under this Agreement, shall be subject to all applicable U.S. federal, state and local laws, rules and regulations, all applicable non-U.S. laws, rules and regulations and to such approvals by any regulatory or governmental agency as may be required. The Participant agrees to take all steps the Committee or the Company determines are reasonably necessary to comply with all applicable provisions of U.S. federal and state securities law and non-U.S. securities law in exercising his rights under this Agreement.</w:t>
      </w:r>
    </w:p>
    <w:p>
      <w:pPr>
        <w:spacing w:after="0" w:line="175" w:lineRule="exact"/>
        <w:rPr>
          <w:rFonts w:ascii="Arial" w:cs="Arial" w:eastAsia="Arial" w:hAnsi="Arial"/>
          <w:sz w:val="15"/>
          <w:szCs w:val="15"/>
          <w:color w:val="auto"/>
        </w:rPr>
      </w:pPr>
    </w:p>
    <w:p>
      <w:pPr>
        <w:ind w:left="1046" w:hanging="477"/>
        <w:spacing w:after="0"/>
        <w:tabs>
          <w:tab w:leader="none" w:pos="1046" w:val="left"/>
        </w:tabs>
        <w:numPr>
          <w:ilvl w:val="1"/>
          <w:numId w:val="326"/>
        </w:numPr>
        <w:rPr>
          <w:rFonts w:ascii="Arial" w:cs="Arial" w:eastAsia="Arial" w:hAnsi="Arial"/>
          <w:sz w:val="16"/>
          <w:szCs w:val="16"/>
          <w:color w:val="auto"/>
        </w:rPr>
      </w:pPr>
      <w:r>
        <w:rPr>
          <w:rFonts w:ascii="Arial" w:cs="Arial" w:eastAsia="Arial" w:hAnsi="Arial"/>
          <w:sz w:val="16"/>
          <w:szCs w:val="16"/>
          <w:u w:val="single" w:color="auto"/>
          <w:color w:val="auto"/>
        </w:rPr>
        <w:t>Taxes and Withholding</w:t>
      </w:r>
      <w:r>
        <w:rPr>
          <w:rFonts w:ascii="Arial" w:cs="Arial" w:eastAsia="Arial" w:hAnsi="Arial"/>
          <w:sz w:val="16"/>
          <w:szCs w:val="16"/>
          <w:color w:val="auto"/>
        </w:rPr>
        <w:t>. The vesting and settlement of the RSUs shall be subject to the Participant satisfying any applicable U.S. federal,</w:t>
      </w:r>
    </w:p>
    <w:p>
      <w:pPr>
        <w:spacing w:after="0" w:line="25" w:lineRule="exact"/>
        <w:rPr>
          <w:sz w:val="20"/>
          <w:szCs w:val="20"/>
          <w:color w:val="auto"/>
        </w:rPr>
      </w:pPr>
    </w:p>
    <w:p>
      <w:pPr>
        <w:ind w:left="6"/>
        <w:spacing w:after="0"/>
        <w:rPr>
          <w:sz w:val="20"/>
          <w:szCs w:val="20"/>
          <w:color w:val="auto"/>
        </w:rPr>
      </w:pPr>
      <w:r>
        <w:rPr>
          <w:rFonts w:ascii="Arial" w:cs="Arial" w:eastAsia="Arial" w:hAnsi="Arial"/>
          <w:sz w:val="17"/>
          <w:szCs w:val="17"/>
          <w:color w:val="auto"/>
        </w:rPr>
        <w:t>state and local tax withholding obligations and non-</w:t>
      </w:r>
    </w:p>
    <w:p>
      <w:pPr>
        <w:ind w:left="6" w:right="180"/>
        <w:spacing w:after="0" w:line="246" w:lineRule="auto"/>
        <w:rPr>
          <w:sz w:val="20"/>
          <w:szCs w:val="20"/>
          <w:color w:val="auto"/>
        </w:rPr>
      </w:pPr>
      <w:r>
        <w:rPr>
          <w:rFonts w:ascii="Arial" w:cs="Arial" w:eastAsia="Arial" w:hAnsi="Arial"/>
          <w:sz w:val="15"/>
          <w:szCs w:val="15"/>
          <w:color w:val="auto"/>
        </w:rPr>
        <w:t>U.S. tax withholding obligations. The Participant shall be required to pay to the Company, and the Company shall have the right and is hereby authorized to withhold any cash, shares of Class A Common Stock, other securities or other property or from any compensation or other amounts owing to the Participant, the amount (in cash, Class A Common Stock, other securities or other property) of any required withholding taxes in respect of the RSUs, settlement of the RSUs or any payment or transfer of the RSUs, and to take any such other action as the Committee or the Company deem necessary to satisfy</w:t>
      </w:r>
    </w:p>
    <w:p>
      <w:pPr>
        <w:sectPr>
          <w:pgSz w:w="11900" w:h="16838" w:orient="portrait"/>
          <w:cols w:equalWidth="0" w:num="1">
            <w:col w:w="11066"/>
          </w:cols>
          <w:pgMar w:left="394" w:top="1231" w:right="439" w:bottom="1440" w:gutter="0" w:footer="0" w:header="0"/>
        </w:sectPr>
      </w:pPr>
    </w:p>
    <w:bookmarkStart w:id="399" w:name="page400"/>
    <w:bookmarkEnd w:id="399"/>
    <w:p>
      <w:pPr>
        <w:spacing w:after="0" w:line="11" w:lineRule="exact"/>
        <w:rPr>
          <w:sz w:val="20"/>
          <w:szCs w:val="20"/>
          <w:color w:val="auto"/>
        </w:rPr>
      </w:pPr>
    </w:p>
    <w:p>
      <w:pPr>
        <w:ind w:left="6" w:right="60"/>
        <w:spacing w:after="0" w:line="262" w:lineRule="auto"/>
        <w:rPr>
          <w:sz w:val="20"/>
          <w:szCs w:val="20"/>
          <w:color w:val="auto"/>
        </w:rPr>
      </w:pPr>
      <w:r>
        <w:rPr>
          <w:rFonts w:ascii="Arial" w:cs="Arial" w:eastAsia="Arial" w:hAnsi="Arial"/>
          <w:sz w:val="17"/>
          <w:szCs w:val="17"/>
          <w:color w:val="auto"/>
        </w:rPr>
        <w:t>all obligations for the payment of such withholding taxes. In its sole discretion, the Company may permit the Participant to satisfy, in whole or in part, the tax obligations by withholding shares of Class A Common Stock that would otherwise be deliverable to the Participant upon settlement of the RSUs with a Fair Market Value equal to such withholding liability.</w:t>
      </w:r>
    </w:p>
    <w:p>
      <w:pPr>
        <w:spacing w:after="0" w:line="171" w:lineRule="exact"/>
        <w:rPr>
          <w:sz w:val="20"/>
          <w:szCs w:val="20"/>
          <w:color w:val="auto"/>
        </w:rPr>
      </w:pPr>
    </w:p>
    <w:p>
      <w:pPr>
        <w:ind w:left="6" w:right="40" w:hanging="6"/>
        <w:spacing w:after="0" w:line="237" w:lineRule="auto"/>
        <w:tabs>
          <w:tab w:leader="none" w:pos="492" w:val="left"/>
        </w:tabs>
        <w:numPr>
          <w:ilvl w:val="0"/>
          <w:numId w:val="32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Clawback. </w:t>
      </w:r>
      <w:r>
        <w:rPr>
          <w:rFonts w:ascii="Arial" w:cs="Arial" w:eastAsia="Arial" w:hAnsi="Arial"/>
          <w:sz w:val="15"/>
          <w:szCs w:val="15"/>
          <w:color w:val="auto"/>
        </w:rPr>
        <w:t>Notwithstanding anything to the contrary contained herein, the Committee may cancel the RSU award if the Participant, without the</w:t>
      </w:r>
      <w:r>
        <w:rPr>
          <w:rFonts w:ascii="Arial" w:cs="Arial" w:eastAsia="Arial" w:hAnsi="Arial"/>
          <w:sz w:val="15"/>
          <w:szCs w:val="15"/>
          <w:b w:val="1"/>
          <w:bCs w:val="1"/>
          <w:color w:val="auto"/>
        </w:rPr>
        <w:t xml:space="preserve"> </w:t>
      </w:r>
      <w:r>
        <w:rPr>
          <w:rFonts w:ascii="Arial" w:cs="Arial" w:eastAsia="Arial" w:hAnsi="Arial"/>
          <w:sz w:val="15"/>
          <w:szCs w:val="15"/>
          <w:color w:val="auto"/>
        </w:rPr>
        <w:t>consent of the Company, has engaged in or engages in activity that is in conflict with or adverse to the interest of the Company or any Affiliate while employed by or providing services to the Company or any Affiliate, including fraud or conduct contributing to any financial restatements or irregularities, or violates a non-competition, non-solicitation, non-disparagement, non-disclosure or confidentiality covenant or agreement with the Company or any Affiliate, as determined by the Committee. In such event, the Participant will forfeit any compensation, gain or other value realized previously or thereafter on the vesting or settlement of the RSUs, the sale or other transfer of the RSUs, or the sale of shares of Class A Common Stock acquired in respect of the RSUs, and must promptly repay such amounts to the Company. If the Participant receives any amount in excess of what the Participant should have received under the terms of the RSUs for any reason (including without limitation by reason of a financial restatement, mistake in calculations or other administrative error), all as determined by the Committee, then the Participant shall be required to promptly repay any such excess amount to the Company. To the extent required by applicable law and/or the rules and regulations of NASDAQ or any other securities exchange or inter-dealer quotation system on which the Class A Common Stock is listed or quoted, or if so required pursuant to a written policy adopted by the Company, the RSUs shall be subject (including on a retroactive basis) to clawback, forfeiture or similar requirements (and such requirements shall be deemed incorporated by reference into this Agreement).</w:t>
      </w:r>
    </w:p>
    <w:p>
      <w:pPr>
        <w:spacing w:after="0" w:line="158" w:lineRule="exact"/>
        <w:rPr>
          <w:rFonts w:ascii="Arial" w:cs="Arial" w:eastAsia="Arial" w:hAnsi="Arial"/>
          <w:sz w:val="15"/>
          <w:szCs w:val="15"/>
          <w:b w:val="1"/>
          <w:bCs w:val="1"/>
          <w:color w:val="auto"/>
        </w:rPr>
      </w:pPr>
    </w:p>
    <w:p>
      <w:pPr>
        <w:ind w:left="566" w:hanging="566"/>
        <w:spacing w:after="0"/>
        <w:tabs>
          <w:tab w:leader="none" w:pos="566" w:val="left"/>
        </w:tabs>
        <w:numPr>
          <w:ilvl w:val="0"/>
          <w:numId w:val="327"/>
        </w:numPr>
        <w:rPr>
          <w:rFonts w:ascii="Arial" w:cs="Arial" w:eastAsia="Arial" w:hAnsi="Arial"/>
          <w:sz w:val="17"/>
          <w:szCs w:val="17"/>
          <w:b w:val="1"/>
          <w:bCs w:val="1"/>
          <w:color w:val="auto"/>
        </w:rPr>
      </w:pPr>
      <w:r>
        <w:rPr>
          <w:rFonts w:ascii="Arial" w:cs="Arial" w:eastAsia="Arial" w:hAnsi="Arial"/>
          <w:sz w:val="17"/>
          <w:szCs w:val="17"/>
          <w:b w:val="1"/>
          <w:bCs w:val="1"/>
          <w:color w:val="auto"/>
        </w:rPr>
        <w:t>Contractual Obligations.</w:t>
      </w:r>
    </w:p>
    <w:p>
      <w:pPr>
        <w:spacing w:after="0" w:line="201" w:lineRule="exact"/>
        <w:rPr>
          <w:rFonts w:ascii="Arial" w:cs="Arial" w:eastAsia="Arial" w:hAnsi="Arial"/>
          <w:sz w:val="17"/>
          <w:szCs w:val="17"/>
          <w:b w:val="1"/>
          <w:bCs w:val="1"/>
          <w:color w:val="auto"/>
        </w:rPr>
      </w:pPr>
    </w:p>
    <w:p>
      <w:pPr>
        <w:ind w:left="6" w:right="160" w:firstLine="563"/>
        <w:spacing w:after="0" w:line="248" w:lineRule="auto"/>
        <w:tabs>
          <w:tab w:leader="none" w:pos="1063" w:val="left"/>
        </w:tabs>
        <w:numPr>
          <w:ilvl w:val="1"/>
          <w:numId w:val="327"/>
        </w:numPr>
        <w:rPr>
          <w:rFonts w:ascii="Arial" w:cs="Arial" w:eastAsia="Arial" w:hAnsi="Arial"/>
          <w:sz w:val="17"/>
          <w:szCs w:val="17"/>
          <w:color w:val="auto"/>
        </w:rPr>
      </w:pPr>
      <w:r>
        <w:rPr>
          <w:rFonts w:ascii="Arial" w:cs="Arial" w:eastAsia="Arial" w:hAnsi="Arial"/>
          <w:sz w:val="17"/>
          <w:szCs w:val="17"/>
          <w:color w:val="auto"/>
        </w:rPr>
        <w:t xml:space="preserve">Nothing in this Agreement shall supersede, modify, replace or cancel any existing contractual obligations, including but not limited to restrictive covenants, applicable to you in </w:t>
      </w:r>
      <w:r>
        <w:rPr>
          <w:rFonts w:ascii="Arial" w:cs="Arial" w:eastAsia="Arial" w:hAnsi="Arial"/>
          <w:sz w:val="17"/>
          <w:szCs w:val="17"/>
          <w:i w:val="1"/>
          <w:iCs w:val="1"/>
          <w:u w:val="single" w:color="auto"/>
          <w:color w:val="auto"/>
        </w:rPr>
        <w:t>any</w:t>
      </w:r>
      <w:r>
        <w:rPr>
          <w:rFonts w:ascii="Arial" w:cs="Arial" w:eastAsia="Arial" w:hAnsi="Arial"/>
          <w:sz w:val="17"/>
          <w:szCs w:val="17"/>
          <w:color w:val="auto"/>
        </w:rPr>
        <w:t xml:space="preserve"> employment agreement, offer letter, prior equity award agreement or any other agreement or contract with the Company or its Affiliates.</w:t>
      </w:r>
    </w:p>
    <w:p>
      <w:pPr>
        <w:spacing w:after="0" w:line="163" w:lineRule="exact"/>
        <w:rPr>
          <w:rFonts w:ascii="Arial" w:cs="Arial" w:eastAsia="Arial" w:hAnsi="Arial"/>
          <w:sz w:val="17"/>
          <w:szCs w:val="17"/>
          <w:color w:val="auto"/>
        </w:rPr>
      </w:pPr>
    </w:p>
    <w:p>
      <w:pPr>
        <w:ind w:left="6" w:right="20" w:firstLine="563"/>
        <w:spacing w:after="0" w:line="216" w:lineRule="auto"/>
        <w:tabs>
          <w:tab w:leader="none" w:pos="1061" w:val="left"/>
        </w:tabs>
        <w:numPr>
          <w:ilvl w:val="1"/>
          <w:numId w:val="327"/>
        </w:numPr>
        <w:rPr>
          <w:rFonts w:ascii="Arial" w:cs="Arial" w:eastAsia="Arial" w:hAnsi="Arial"/>
          <w:sz w:val="17"/>
          <w:szCs w:val="17"/>
          <w:color w:val="auto"/>
        </w:rPr>
      </w:pPr>
      <w:r>
        <w:rPr>
          <w:rFonts w:ascii="Arial" w:cs="Arial" w:eastAsia="Arial" w:hAnsi="Arial"/>
          <w:sz w:val="17"/>
          <w:szCs w:val="17"/>
          <w:color w:val="auto"/>
        </w:rPr>
        <w:t>In the event that the Participant violates any of the contractual obligations referred to in this Section 8, in addition to any other remedy which may be available at law or in equity, the RSUs shall be automatically forfeited effective as of the date on which such violation first occurs. The foregoing rights and remedies are in addition to any other rights and remedies that may be available to the Company and shall not prevent (and the Participant shall not assert that they shall prevent) the Company from bringing one or more actions in any applicable jurisdiction to recover damages as a result of the Participant’s breach of such restrictive covenants.</w:t>
      </w:r>
    </w:p>
    <w:p>
      <w:pPr>
        <w:spacing w:after="0" w:line="156" w:lineRule="exact"/>
        <w:rPr>
          <w:rFonts w:ascii="Arial" w:cs="Arial" w:eastAsia="Arial" w:hAnsi="Arial"/>
          <w:sz w:val="17"/>
          <w:szCs w:val="17"/>
          <w:color w:val="auto"/>
        </w:rPr>
      </w:pPr>
    </w:p>
    <w:p>
      <w:pPr>
        <w:ind w:left="566" w:hanging="566"/>
        <w:spacing w:after="0"/>
        <w:tabs>
          <w:tab w:leader="none" w:pos="566" w:val="left"/>
        </w:tabs>
        <w:numPr>
          <w:ilvl w:val="0"/>
          <w:numId w:val="327"/>
        </w:numPr>
        <w:rPr>
          <w:rFonts w:ascii="Arial" w:cs="Arial" w:eastAsia="Arial" w:hAnsi="Arial"/>
          <w:sz w:val="17"/>
          <w:szCs w:val="17"/>
          <w:b w:val="1"/>
          <w:bCs w:val="1"/>
          <w:color w:val="auto"/>
        </w:rPr>
      </w:pPr>
      <w:r>
        <w:rPr>
          <w:rFonts w:ascii="Arial" w:cs="Arial" w:eastAsia="Arial" w:hAnsi="Arial"/>
          <w:sz w:val="17"/>
          <w:szCs w:val="17"/>
          <w:b w:val="1"/>
          <w:bCs w:val="1"/>
          <w:color w:val="auto"/>
        </w:rPr>
        <w:t>Miscellaneous.</w:t>
      </w:r>
    </w:p>
    <w:p>
      <w:pPr>
        <w:spacing w:after="0" w:line="201" w:lineRule="exact"/>
        <w:rPr>
          <w:rFonts w:ascii="Arial" w:cs="Arial" w:eastAsia="Arial" w:hAnsi="Arial"/>
          <w:sz w:val="17"/>
          <w:szCs w:val="17"/>
          <w:b w:val="1"/>
          <w:bCs w:val="1"/>
          <w:color w:val="auto"/>
        </w:rPr>
      </w:pPr>
    </w:p>
    <w:p>
      <w:pPr>
        <w:ind w:left="6" w:firstLine="563"/>
        <w:spacing w:after="0" w:line="220" w:lineRule="auto"/>
        <w:tabs>
          <w:tab w:leader="none" w:pos="1063" w:val="left"/>
        </w:tabs>
        <w:numPr>
          <w:ilvl w:val="1"/>
          <w:numId w:val="327"/>
        </w:numPr>
        <w:rPr>
          <w:rFonts w:ascii="Arial" w:cs="Arial" w:eastAsia="Arial" w:hAnsi="Arial"/>
          <w:sz w:val="17"/>
          <w:szCs w:val="17"/>
          <w:color w:val="auto"/>
        </w:rPr>
      </w:pPr>
      <w:r>
        <w:rPr>
          <w:rFonts w:ascii="Arial" w:cs="Arial" w:eastAsia="Arial" w:hAnsi="Arial"/>
          <w:sz w:val="17"/>
          <w:szCs w:val="17"/>
          <w:u w:val="single" w:color="auto"/>
          <w:color w:val="auto"/>
        </w:rPr>
        <w:t>Transferability</w:t>
      </w:r>
      <w:r>
        <w:rPr>
          <w:rFonts w:ascii="Arial" w:cs="Arial" w:eastAsia="Arial" w:hAnsi="Arial"/>
          <w:sz w:val="17"/>
          <w:szCs w:val="17"/>
          <w:color w:val="auto"/>
        </w:rPr>
        <w:t>. The RSUs may not be assigned, alienated, pledged, attached, sold or otherwise transferred or encumbered (a “</w:t>
      </w:r>
      <w:r>
        <w:rPr>
          <w:rFonts w:ascii="Arial" w:cs="Arial" w:eastAsia="Arial" w:hAnsi="Arial"/>
          <w:sz w:val="17"/>
          <w:szCs w:val="17"/>
          <w:u w:val="single" w:color="auto"/>
          <w:color w:val="auto"/>
        </w:rPr>
        <w:t>Transfer</w:t>
      </w:r>
      <w:r>
        <w:rPr>
          <w:rFonts w:ascii="Arial" w:cs="Arial" w:eastAsia="Arial" w:hAnsi="Arial"/>
          <w:sz w:val="17"/>
          <w:szCs w:val="17"/>
          <w:color w:val="auto"/>
        </w:rPr>
        <w:t>”) by the Participant other than by will or by the laws of descent and distribution, pursuant to a qualified domestic relations order or as otherwise permitted under Section 15(b) of the Plan. Any attempted Transfer of the RSUs contrary to the provisions hereof, and the levy of any execution, attachment or similar process upon the RSUs, shall be null and void and without effect.</w:t>
      </w:r>
    </w:p>
    <w:p>
      <w:pPr>
        <w:spacing w:after="0" w:line="242" w:lineRule="exact"/>
        <w:rPr>
          <w:rFonts w:ascii="Arial" w:cs="Arial" w:eastAsia="Arial" w:hAnsi="Arial"/>
          <w:sz w:val="17"/>
          <w:szCs w:val="17"/>
          <w:color w:val="auto"/>
        </w:rPr>
      </w:pPr>
    </w:p>
    <w:p>
      <w:pPr>
        <w:ind w:left="6" w:right="20" w:firstLine="563"/>
        <w:spacing w:after="0" w:line="277" w:lineRule="auto"/>
        <w:tabs>
          <w:tab w:leader="none" w:pos="1061" w:val="left"/>
        </w:tabs>
        <w:numPr>
          <w:ilvl w:val="1"/>
          <w:numId w:val="327"/>
        </w:numPr>
        <w:rPr>
          <w:rFonts w:ascii="Arial" w:cs="Arial" w:eastAsia="Arial" w:hAnsi="Arial"/>
          <w:sz w:val="17"/>
          <w:szCs w:val="17"/>
          <w:color w:val="auto"/>
        </w:rPr>
      </w:pPr>
      <w:r>
        <w:rPr>
          <w:rFonts w:ascii="Arial" w:cs="Arial" w:eastAsia="Arial" w:hAnsi="Arial"/>
          <w:sz w:val="17"/>
          <w:szCs w:val="17"/>
          <w:u w:val="single" w:color="auto"/>
          <w:color w:val="auto"/>
        </w:rPr>
        <w:t>Waiver</w:t>
      </w:r>
      <w:r>
        <w:rPr>
          <w:rFonts w:ascii="Arial" w:cs="Arial" w:eastAsia="Arial" w:hAnsi="Arial"/>
          <w:sz w:val="17"/>
          <w:szCs w:val="17"/>
          <w:color w:val="auto"/>
        </w:rPr>
        <w:t>. Any right of the Company contained in this Agreement may be waived in writing by the Committee. No waiver of any right hereunder by any party shall operate as a waiver of any</w:t>
      </w:r>
    </w:p>
    <w:p>
      <w:pPr>
        <w:sectPr>
          <w:pgSz w:w="11900" w:h="16838" w:orient="portrait"/>
          <w:cols w:equalWidth="0" w:num="1">
            <w:col w:w="11006"/>
          </w:cols>
          <w:pgMar w:left="394" w:top="1440" w:right="499" w:bottom="1440" w:gutter="0" w:footer="0" w:header="0"/>
        </w:sectPr>
      </w:pPr>
    </w:p>
    <w:bookmarkStart w:id="400" w:name="page401"/>
    <w:bookmarkEnd w:id="400"/>
    <w:p>
      <w:pPr>
        <w:spacing w:after="0" w:line="10" w:lineRule="exact"/>
        <w:rPr>
          <w:sz w:val="20"/>
          <w:szCs w:val="20"/>
          <w:color w:val="auto"/>
        </w:rPr>
      </w:pPr>
    </w:p>
    <w:p>
      <w:pPr>
        <w:ind w:right="60"/>
        <w:spacing w:after="0" w:line="310" w:lineRule="auto"/>
        <w:rPr>
          <w:sz w:val="20"/>
          <w:szCs w:val="20"/>
          <w:color w:val="auto"/>
        </w:rPr>
      </w:pPr>
      <w:r>
        <w:rPr>
          <w:rFonts w:ascii="Arial" w:cs="Arial" w:eastAsia="Arial" w:hAnsi="Arial"/>
          <w:sz w:val="16"/>
          <w:szCs w:val="16"/>
          <w:color w:val="auto"/>
        </w:rPr>
        <w:t>other right, or as a waiver of the same right with respect to any subsequent occasion for its exercise, or as a waiver of any right to damages. No waiver by any party of any breach of this Agreement shall be held to constitute a waiver of any other breach or a waiver of the continuation of the same breach.</w:t>
      </w:r>
    </w:p>
    <w:p>
      <w:pPr>
        <w:spacing w:after="0" w:line="148" w:lineRule="exact"/>
        <w:rPr>
          <w:sz w:val="20"/>
          <w:szCs w:val="20"/>
          <w:color w:val="auto"/>
        </w:rPr>
      </w:pPr>
    </w:p>
    <w:p>
      <w:pPr>
        <w:ind w:left="1120" w:hanging="557"/>
        <w:spacing w:after="0"/>
        <w:tabs>
          <w:tab w:leader="none" w:pos="1120" w:val="left"/>
        </w:tabs>
        <w:numPr>
          <w:ilvl w:val="0"/>
          <w:numId w:val="328"/>
        </w:numPr>
        <w:rPr>
          <w:rFonts w:ascii="Arial" w:cs="Arial" w:eastAsia="Arial" w:hAnsi="Arial"/>
          <w:sz w:val="17"/>
          <w:szCs w:val="17"/>
          <w:color w:val="auto"/>
        </w:rPr>
      </w:pPr>
      <w:r>
        <w:rPr>
          <w:rFonts w:ascii="Arial" w:cs="Arial" w:eastAsia="Arial" w:hAnsi="Arial"/>
          <w:sz w:val="17"/>
          <w:szCs w:val="17"/>
          <w:u w:val="single" w:color="auto"/>
          <w:color w:val="auto"/>
        </w:rPr>
        <w:t>Section 409A</w:t>
      </w:r>
      <w:r>
        <w:rPr>
          <w:rFonts w:ascii="Arial" w:cs="Arial" w:eastAsia="Arial" w:hAnsi="Arial"/>
          <w:sz w:val="17"/>
          <w:szCs w:val="17"/>
          <w:color w:val="auto"/>
        </w:rPr>
        <w:t>. The RSUs are intended to be exempt from, or compliant with,</w:t>
      </w:r>
    </w:p>
    <w:p>
      <w:pPr>
        <w:ind w:right="140"/>
        <w:spacing w:after="0" w:line="223" w:lineRule="auto"/>
        <w:rPr>
          <w:sz w:val="20"/>
          <w:szCs w:val="20"/>
          <w:color w:val="auto"/>
        </w:rPr>
      </w:pPr>
      <w:r>
        <w:rPr>
          <w:rFonts w:ascii="Arial" w:cs="Arial" w:eastAsia="Arial" w:hAnsi="Arial"/>
          <w:sz w:val="16"/>
          <w:szCs w:val="16"/>
          <w:color w:val="auto"/>
        </w:rPr>
        <w:t>Section 409A of the Internal Revenue Code (“Code”). Notwithstanding the foregoing or any provision of the Plan or this Agreement, if any provision of the Plan or this Agreement contravenes Section 409A of the Code or could cause the Participant to incur any tax, interest or penalties under Section 409A of the Code, the Committee may, in its sole discretion and without the Participant’s consent, modify such provision to (i) comply with, or avoid being subject to, Section 409A of the Code, or to avoid the incurrence of taxes, interest and penalties under Section 409A of the Code, and/or (ii) maintain, to the maximum extent practicable, the original intent and economic benefit to the Participant of the applicable provision without materially increasing the cost to the Company or contravening the provisions of Section 409A of the Code. This Section 9(c) does not create an obligation on the part of the Company to modify the Plan or this Agreement and does not guarantee that the RSUs will not be subject to interest and penalties under Section 409A.</w:t>
      </w:r>
    </w:p>
    <w:p>
      <w:pPr>
        <w:spacing w:after="0" w:line="174" w:lineRule="exact"/>
        <w:rPr>
          <w:sz w:val="20"/>
          <w:szCs w:val="20"/>
          <w:color w:val="auto"/>
        </w:rPr>
      </w:pPr>
    </w:p>
    <w:p>
      <w:pPr>
        <w:ind w:right="80" w:firstLine="563"/>
        <w:spacing w:after="0" w:line="262" w:lineRule="auto"/>
        <w:tabs>
          <w:tab w:leader="none" w:pos="1055" w:val="left"/>
        </w:tabs>
        <w:numPr>
          <w:ilvl w:val="0"/>
          <w:numId w:val="329"/>
        </w:numPr>
        <w:rPr>
          <w:rFonts w:ascii="Arial" w:cs="Arial" w:eastAsia="Arial" w:hAnsi="Arial"/>
          <w:sz w:val="17"/>
          <w:szCs w:val="17"/>
          <w:color w:val="auto"/>
        </w:rPr>
      </w:pPr>
      <w:r>
        <w:rPr>
          <w:rFonts w:ascii="Arial" w:cs="Arial" w:eastAsia="Arial" w:hAnsi="Arial"/>
          <w:sz w:val="17"/>
          <w:szCs w:val="17"/>
          <w:u w:val="single" w:color="auto"/>
          <w:color w:val="auto"/>
        </w:rPr>
        <w:t>General Assets</w:t>
      </w:r>
      <w:r>
        <w:rPr>
          <w:rFonts w:ascii="Arial" w:cs="Arial" w:eastAsia="Arial" w:hAnsi="Arial"/>
          <w:sz w:val="17"/>
          <w:szCs w:val="17"/>
          <w:color w:val="auto"/>
        </w:rPr>
        <w:t>. All amounts credited in respect of the RSUs to the book-entry account under this Agreement shall continue for all purposes to be part of the general assets of the Company. The Participant’s interest in such account shall make the Participant only a general, unsecured creditor of the Company.</w:t>
      </w:r>
    </w:p>
    <w:p>
      <w:pPr>
        <w:spacing w:after="0" w:line="176" w:lineRule="exact"/>
        <w:rPr>
          <w:rFonts w:ascii="Arial" w:cs="Arial" w:eastAsia="Arial" w:hAnsi="Arial"/>
          <w:sz w:val="17"/>
          <w:szCs w:val="17"/>
          <w:color w:val="auto"/>
        </w:rPr>
      </w:pPr>
    </w:p>
    <w:p>
      <w:pPr>
        <w:ind w:right="180" w:firstLine="563"/>
        <w:spacing w:after="0" w:line="278" w:lineRule="auto"/>
        <w:tabs>
          <w:tab w:leader="none" w:pos="1057" w:val="left"/>
        </w:tabs>
        <w:numPr>
          <w:ilvl w:val="0"/>
          <w:numId w:val="329"/>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notices provided for in this Agreement or the Plan shall be in writing and shall be deemed sufficiently given if either hand delivered or if sent by fax, pdf/email or overnight courier, or by postage paid first class mail. Notices sent by mail shall be deemed received three business days after mailing but in no event later than the date of actual receipt. Notices shall be directed, if to the Participant, at the Participant’s address indicated by the Company’s records, or if to the Company, to the attention of the General Counsel at the Company’s principal executive office.</w:t>
      </w:r>
    </w:p>
    <w:p>
      <w:pPr>
        <w:spacing w:after="0" w:line="177" w:lineRule="exact"/>
        <w:rPr>
          <w:rFonts w:ascii="Arial" w:cs="Arial" w:eastAsia="Arial" w:hAnsi="Arial"/>
          <w:sz w:val="16"/>
          <w:szCs w:val="16"/>
          <w:color w:val="auto"/>
        </w:rPr>
      </w:pPr>
    </w:p>
    <w:p>
      <w:pPr>
        <w:ind w:firstLine="563"/>
        <w:spacing w:after="0" w:line="263" w:lineRule="auto"/>
        <w:tabs>
          <w:tab w:leader="none" w:pos="1049" w:val="left"/>
        </w:tabs>
        <w:numPr>
          <w:ilvl w:val="0"/>
          <w:numId w:val="329"/>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63" w:lineRule="exact"/>
        <w:rPr>
          <w:rFonts w:ascii="Arial" w:cs="Arial" w:eastAsia="Arial" w:hAnsi="Arial"/>
          <w:sz w:val="17"/>
          <w:szCs w:val="17"/>
          <w:color w:val="auto"/>
        </w:rPr>
      </w:pPr>
    </w:p>
    <w:p>
      <w:pPr>
        <w:ind w:right="160" w:firstLine="563"/>
        <w:spacing w:after="0" w:line="313" w:lineRule="auto"/>
        <w:tabs>
          <w:tab w:leader="none" w:pos="1055" w:val="left"/>
        </w:tabs>
        <w:numPr>
          <w:ilvl w:val="0"/>
          <w:numId w:val="329"/>
        </w:numPr>
        <w:rPr>
          <w:rFonts w:ascii="Arial" w:cs="Arial" w:eastAsia="Arial" w:hAnsi="Arial"/>
          <w:sz w:val="15"/>
          <w:szCs w:val="15"/>
          <w:color w:val="auto"/>
        </w:rPr>
      </w:pPr>
      <w:r>
        <w:rPr>
          <w:rFonts w:ascii="Arial" w:cs="Arial" w:eastAsia="Arial" w:hAnsi="Arial"/>
          <w:sz w:val="15"/>
          <w:szCs w:val="15"/>
          <w:u w:val="single" w:color="auto"/>
          <w:color w:val="auto"/>
        </w:rPr>
        <w:t>No Rights to Employment or Service</w:t>
      </w:r>
      <w:r>
        <w:rPr>
          <w:rFonts w:ascii="Arial" w:cs="Arial" w:eastAsia="Arial" w:hAnsi="Arial"/>
          <w:sz w:val="15"/>
          <w:szCs w:val="15"/>
          <w:color w:val="auto"/>
        </w:rPr>
        <w:t>. Nothing contained in this Agreement shall be construed as giving the Participant any right to be retained, in any position, as an employee, consultant or director of the Company or its Affiliates or shall interfere with or restrict in any way the rights of the Company or its Affiliates, which are hereby expressly reserved, to remove, terminate or discharge the Participant at any time for any reason whatsoever.</w:t>
      </w:r>
    </w:p>
    <w:p>
      <w:pPr>
        <w:spacing w:after="0" w:line="142" w:lineRule="exact"/>
        <w:rPr>
          <w:rFonts w:ascii="Arial" w:cs="Arial" w:eastAsia="Arial" w:hAnsi="Arial"/>
          <w:sz w:val="15"/>
          <w:szCs w:val="15"/>
          <w:color w:val="auto"/>
        </w:rPr>
      </w:pPr>
    </w:p>
    <w:p>
      <w:pPr>
        <w:jc w:val="both"/>
        <w:ind w:right="40" w:firstLine="563"/>
        <w:spacing w:after="0" w:line="330" w:lineRule="auto"/>
        <w:tabs>
          <w:tab w:leader="none" w:pos="1055" w:val="left"/>
        </w:tabs>
        <w:numPr>
          <w:ilvl w:val="0"/>
          <w:numId w:val="329"/>
        </w:numPr>
        <w:rPr>
          <w:rFonts w:ascii="Arial" w:cs="Arial" w:eastAsia="Arial" w:hAnsi="Arial"/>
          <w:sz w:val="15"/>
          <w:szCs w:val="15"/>
          <w:color w:val="auto"/>
        </w:rPr>
      </w:pPr>
      <w:r>
        <w:rPr>
          <w:rFonts w:ascii="Arial" w:cs="Arial" w:eastAsia="Arial" w:hAnsi="Arial"/>
          <w:sz w:val="15"/>
          <w:szCs w:val="15"/>
          <w:u w:val="single" w:color="auto"/>
          <w:color w:val="auto"/>
        </w:rPr>
        <w:t>Fractional Shares</w:t>
      </w:r>
      <w:r>
        <w:rPr>
          <w:rFonts w:ascii="Arial" w:cs="Arial" w:eastAsia="Arial" w:hAnsi="Arial"/>
          <w:sz w:val="15"/>
          <w:szCs w:val="15"/>
          <w:color w:val="auto"/>
        </w:rPr>
        <w:t>. In lieu of issuing a fraction of a share of Class A Common Stock resulting from adjustment of the RSUs pursuant to Section 12 of the Plan or otherwise, the Company shall be entitled to pay to the Participant an amount in cash equal to the Fair Market Value of such fractional share.</w:t>
      </w:r>
    </w:p>
    <w:p>
      <w:pPr>
        <w:spacing w:after="0" w:line="200" w:lineRule="exact"/>
        <w:rPr>
          <w:rFonts w:ascii="Arial" w:cs="Arial" w:eastAsia="Arial" w:hAnsi="Arial"/>
          <w:sz w:val="15"/>
          <w:szCs w:val="15"/>
          <w:color w:val="auto"/>
        </w:rPr>
      </w:pPr>
    </w:p>
    <w:p>
      <w:pPr>
        <w:ind w:right="400" w:firstLine="563"/>
        <w:spacing w:after="0" w:line="277" w:lineRule="auto"/>
        <w:tabs>
          <w:tab w:leader="none" w:pos="1052" w:val="left"/>
        </w:tabs>
        <w:numPr>
          <w:ilvl w:val="0"/>
          <w:numId w:val="329"/>
        </w:numPr>
        <w:rPr>
          <w:rFonts w:ascii="Arial" w:cs="Arial" w:eastAsia="Arial" w:hAnsi="Arial"/>
          <w:sz w:val="17"/>
          <w:szCs w:val="17"/>
          <w:color w:val="auto"/>
        </w:rPr>
      </w:pPr>
      <w:r>
        <w:rPr>
          <w:rFonts w:ascii="Arial" w:cs="Arial" w:eastAsia="Arial" w:hAnsi="Arial"/>
          <w:sz w:val="17"/>
          <w:szCs w:val="17"/>
          <w:u w:val="single" w:color="auto"/>
          <w:color w:val="auto"/>
        </w:rPr>
        <w:t>Beneficiary</w:t>
      </w:r>
      <w:r>
        <w:rPr>
          <w:rFonts w:ascii="Arial" w:cs="Arial" w:eastAsia="Arial" w:hAnsi="Arial"/>
          <w:sz w:val="17"/>
          <w:szCs w:val="17"/>
          <w:color w:val="auto"/>
        </w:rPr>
        <w:t>. The Participant may file with the Committee a written designation of a beneficiary on such form as may be prescribed by the Committee and may, from time to time, amend or revoke such designation.</w:t>
      </w:r>
    </w:p>
    <w:p>
      <w:pPr>
        <w:spacing w:after="0" w:line="164" w:lineRule="exact"/>
        <w:rPr>
          <w:rFonts w:ascii="Arial" w:cs="Arial" w:eastAsia="Arial" w:hAnsi="Arial"/>
          <w:sz w:val="17"/>
          <w:szCs w:val="17"/>
          <w:color w:val="auto"/>
        </w:rPr>
      </w:pPr>
    </w:p>
    <w:p>
      <w:pPr>
        <w:ind w:right="120" w:firstLine="563"/>
        <w:spacing w:after="0" w:line="263" w:lineRule="auto"/>
        <w:tabs>
          <w:tab w:leader="none" w:pos="1052" w:val="left"/>
        </w:tabs>
        <w:numPr>
          <w:ilvl w:val="0"/>
          <w:numId w:val="329"/>
        </w:numPr>
        <w:rPr>
          <w:rFonts w:ascii="Arial" w:cs="Arial" w:eastAsia="Arial" w:hAnsi="Arial"/>
          <w:sz w:val="17"/>
          <w:szCs w:val="17"/>
          <w:color w:val="auto"/>
        </w:rPr>
      </w:pPr>
      <w:r>
        <w:rPr>
          <w:rFonts w:ascii="Arial" w:cs="Arial" w:eastAsia="Arial" w:hAnsi="Arial"/>
          <w:sz w:val="17"/>
          <w:szCs w:val="17"/>
          <w:u w:val="single" w:color="auto"/>
          <w:color w:val="auto"/>
        </w:rPr>
        <w:t>Successors</w:t>
      </w:r>
      <w:r>
        <w:rPr>
          <w:rFonts w:ascii="Arial" w:cs="Arial" w:eastAsia="Arial" w:hAnsi="Arial"/>
          <w:sz w:val="17"/>
          <w:szCs w:val="17"/>
          <w:color w:val="auto"/>
        </w:rPr>
        <w:t>. The terms of this Agreement shall be binding upon and inure to the benefit of the Company and its successors and assigns, and of the Participant and the beneficiaries, executors, administrators, heirs and successors of the Participant.</w:t>
      </w:r>
    </w:p>
    <w:p>
      <w:pPr>
        <w:sectPr>
          <w:pgSz w:w="11900" w:h="16838" w:orient="portrait"/>
          <w:cols w:equalWidth="0" w:num="1">
            <w:col w:w="11000"/>
          </w:cols>
          <w:pgMar w:left="400" w:top="1440" w:right="499" w:bottom="1440" w:gutter="0" w:footer="0" w:header="0"/>
        </w:sectPr>
      </w:pPr>
    </w:p>
    <w:bookmarkStart w:id="401" w:name="page402"/>
    <w:bookmarkEnd w:id="401"/>
    <w:p>
      <w:pPr>
        <w:ind w:left="-560" w:right="220" w:firstLine="563"/>
        <w:spacing w:after="0" w:line="220" w:lineRule="auto"/>
        <w:tabs>
          <w:tab w:leader="none" w:pos="495" w:val="left"/>
        </w:tabs>
        <w:numPr>
          <w:ilvl w:val="0"/>
          <w:numId w:val="330"/>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and the Plan contain the entire agreement and understanding of the parties hereto with respect to the subject matter contained herein and supersede all prior communications, representations and negotiations in respect thereto, except as set forth in Section 8 hereof. No change, modification or waiver of any provision of this Agreement shall be valid unless the same be in writing and signed by the parties hereto, except for any changes permitted without consent under Section 12 or 14 of the Plan.</w:t>
      </w:r>
    </w:p>
    <w:p>
      <w:pPr>
        <w:spacing w:after="0" w:line="183" w:lineRule="exact"/>
        <w:rPr>
          <w:rFonts w:ascii="Arial" w:cs="Arial" w:eastAsia="Arial" w:hAnsi="Arial"/>
          <w:sz w:val="17"/>
          <w:szCs w:val="17"/>
          <w:color w:val="auto"/>
        </w:rPr>
      </w:pPr>
    </w:p>
    <w:p>
      <w:pPr>
        <w:ind w:left="-560" w:firstLine="563"/>
        <w:spacing w:after="0" w:line="262" w:lineRule="auto"/>
        <w:tabs>
          <w:tab w:leader="none" w:pos="492" w:val="left"/>
        </w:tabs>
        <w:numPr>
          <w:ilvl w:val="0"/>
          <w:numId w:val="330"/>
        </w:numPr>
        <w:rPr>
          <w:rFonts w:ascii="Arial" w:cs="Arial" w:eastAsia="Arial" w:hAnsi="Arial"/>
          <w:sz w:val="17"/>
          <w:szCs w:val="17"/>
          <w:color w:val="auto"/>
        </w:rPr>
      </w:pPr>
      <w:r>
        <w:rPr>
          <w:rFonts w:ascii="Arial" w:cs="Arial" w:eastAsia="Arial" w:hAnsi="Arial"/>
          <w:sz w:val="17"/>
          <w:szCs w:val="17"/>
          <w:u w:val="single" w:color="auto"/>
          <w:color w:val="auto"/>
        </w:rPr>
        <w:t>Governing Law and Venue</w:t>
      </w:r>
      <w:r>
        <w:rPr>
          <w:rFonts w:ascii="Arial" w:cs="Arial" w:eastAsia="Arial" w:hAnsi="Arial"/>
          <w:sz w:val="17"/>
          <w:szCs w:val="17"/>
          <w:color w:val="auto"/>
        </w:rPr>
        <w:t>. This Agreement shall be construed and interpreted in accordance with the laws of the State of Delaware, without regard to principles of conflicts of laws thereof, or principles of conflicts of laws of any other jurisdiction which could cause the application of the laws of any jurisdiction other than the State of Delaware.</w:t>
      </w:r>
    </w:p>
    <w:p>
      <w:pPr>
        <w:spacing w:after="0" w:line="176" w:lineRule="exact"/>
        <w:rPr>
          <w:rFonts w:ascii="Arial" w:cs="Arial" w:eastAsia="Arial" w:hAnsi="Arial"/>
          <w:sz w:val="17"/>
          <w:szCs w:val="17"/>
          <w:color w:val="auto"/>
        </w:rPr>
      </w:pPr>
    </w:p>
    <w:p>
      <w:pPr>
        <w:ind w:right="160" w:firstLine="572"/>
        <w:spacing w:after="0" w:line="206" w:lineRule="auto"/>
        <w:tabs>
          <w:tab w:leader="none" w:pos="1052" w:val="left"/>
        </w:tabs>
        <w:numPr>
          <w:ilvl w:val="2"/>
          <w:numId w:val="330"/>
        </w:numPr>
        <w:rPr>
          <w:rFonts w:ascii="Arial" w:cs="Arial" w:eastAsia="Arial" w:hAnsi="Arial"/>
          <w:sz w:val="17"/>
          <w:szCs w:val="17"/>
          <w:color w:val="auto"/>
        </w:rPr>
      </w:pPr>
      <w:r>
        <w:rPr>
          <w:rFonts w:ascii="Arial" w:cs="Arial" w:eastAsia="Arial" w:hAnsi="Arial"/>
          <w:sz w:val="17"/>
          <w:szCs w:val="17"/>
          <w:u w:val="single" w:color="auto"/>
          <w:color w:val="auto"/>
        </w:rPr>
        <w:t>Dispute Resolution; Consent to Jurisdiction</w:t>
      </w:r>
      <w:r>
        <w:rPr>
          <w:rFonts w:ascii="Arial" w:cs="Arial" w:eastAsia="Arial" w:hAnsi="Arial"/>
          <w:sz w:val="17"/>
          <w:szCs w:val="17"/>
          <w:color w:val="auto"/>
        </w:rPr>
        <w:t>. All disputes between or among any Persons arising out of or in any way connected with the Plan, this Agreement or the RSUs shall be solely and finally settled by the Committee, acting in good faith, the determination of which shall be final. Any matters not covered by the preceding sentence shall be solely and finally settled in accordance with the Plan, and the Participant and the Company consent to the personal jurisdiction of the United States Federal and state courts sitting in Wilmington, Delaware as the exclusive jurisdiction with respect to matters arising out of or related to the enforcement of the</w:t>
      </w:r>
    </w:p>
    <w:p>
      <w:pPr>
        <w:spacing w:after="0" w:line="3" w:lineRule="exact"/>
        <w:rPr>
          <w:rFonts w:ascii="Arial" w:cs="Arial" w:eastAsia="Arial" w:hAnsi="Arial"/>
          <w:sz w:val="17"/>
          <w:szCs w:val="17"/>
          <w:color w:val="auto"/>
        </w:rPr>
      </w:pPr>
    </w:p>
    <w:p>
      <w:pPr>
        <w:ind w:right="100"/>
        <w:spacing w:after="0" w:line="216" w:lineRule="auto"/>
        <w:rPr>
          <w:rFonts w:ascii="Arial" w:cs="Arial" w:eastAsia="Arial" w:hAnsi="Arial"/>
          <w:sz w:val="17"/>
          <w:szCs w:val="17"/>
          <w:color w:val="auto"/>
        </w:rPr>
      </w:pPr>
      <w:r>
        <w:rPr>
          <w:rFonts w:ascii="Arial" w:cs="Arial" w:eastAsia="Arial" w:hAnsi="Arial"/>
          <w:sz w:val="17"/>
          <w:szCs w:val="17"/>
          <w:color w:val="auto"/>
        </w:rPr>
        <w:t>Committee’s determinations and resolution of matters, if any, related to the Plan or this Agreement not required to be resolved by the Committee. Each such Person hereby irrevocably consents to the service of process of any of the aforementioned courts in any such suit, action or proceeding by the mailing of copies thereof by registered or certified mail, postage prepaid, to the last known address of such Person, such service to become effective ten (10) days after such mailing.</w:t>
      </w:r>
    </w:p>
    <w:p>
      <w:pPr>
        <w:spacing w:after="0" w:line="229" w:lineRule="exact"/>
        <w:rPr>
          <w:rFonts w:ascii="Arial" w:cs="Arial" w:eastAsia="Arial" w:hAnsi="Arial"/>
          <w:sz w:val="17"/>
          <w:szCs w:val="17"/>
          <w:color w:val="auto"/>
        </w:rPr>
      </w:pPr>
    </w:p>
    <w:p>
      <w:pPr>
        <w:ind w:right="40" w:firstLine="572"/>
        <w:spacing w:after="0" w:line="224" w:lineRule="auto"/>
        <w:tabs>
          <w:tab w:leader="none" w:pos="1053" w:val="left"/>
        </w:tabs>
        <w:numPr>
          <w:ilvl w:val="2"/>
          <w:numId w:val="330"/>
        </w:numPr>
        <w:rPr>
          <w:rFonts w:ascii="Arial" w:cs="Arial" w:eastAsia="Arial" w:hAnsi="Arial"/>
          <w:sz w:val="16"/>
          <w:szCs w:val="16"/>
          <w:color w:val="auto"/>
        </w:rPr>
      </w:pPr>
      <w:r>
        <w:rPr>
          <w:rFonts w:ascii="Arial" w:cs="Arial" w:eastAsia="Arial" w:hAnsi="Arial"/>
          <w:sz w:val="16"/>
          <w:szCs w:val="16"/>
          <w:u w:val="single" w:color="auto"/>
          <w:color w:val="auto"/>
        </w:rPr>
        <w:t>Waiver of Jury Trial</w:t>
      </w:r>
      <w:r>
        <w:rPr>
          <w:rFonts w:ascii="Arial" w:cs="Arial" w:eastAsia="Arial" w:hAnsi="Arial"/>
          <w:sz w:val="16"/>
          <w:szCs w:val="16"/>
          <w:color w:val="auto"/>
        </w:rPr>
        <w:t>. Each party hereto hereby waives, to the fullest extent permitted by applicable law, any right it may have to a trial by jury in any legal proceeding directly or indirectly arising out of or relating to this Agreement or the transactions contemplated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w:t>
      </w:r>
    </w:p>
    <w:p>
      <w:pPr>
        <w:spacing w:after="0" w:line="1" w:lineRule="exact"/>
        <w:rPr>
          <w:rFonts w:ascii="Arial" w:cs="Arial" w:eastAsia="Arial" w:hAnsi="Arial"/>
          <w:sz w:val="16"/>
          <w:szCs w:val="16"/>
          <w:color w:val="auto"/>
        </w:rPr>
      </w:pPr>
    </w:p>
    <w:p>
      <w:pPr>
        <w:ind w:left="280" w:hanging="277"/>
        <w:spacing w:after="0"/>
        <w:tabs>
          <w:tab w:leader="none" w:pos="280" w:val="left"/>
        </w:tabs>
        <w:numPr>
          <w:ilvl w:val="1"/>
          <w:numId w:val="330"/>
        </w:numPr>
        <w:rPr>
          <w:rFonts w:ascii="Arial" w:cs="Arial" w:eastAsia="Arial" w:hAnsi="Arial"/>
          <w:sz w:val="15"/>
          <w:szCs w:val="15"/>
          <w:color w:val="auto"/>
        </w:rPr>
      </w:pPr>
      <w:r>
        <w:rPr>
          <w:rFonts w:ascii="Arial" w:cs="Arial" w:eastAsia="Arial" w:hAnsi="Arial"/>
          <w:sz w:val="15"/>
          <w:szCs w:val="15"/>
          <w:color w:val="auto"/>
        </w:rPr>
        <w:t>acknowledges that it and the other parties hereto have been induced to enter into this Agreement by, among other things, the mutual waivers and</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certifications in this section.</w:t>
      </w:r>
    </w:p>
    <w:p>
      <w:pPr>
        <w:spacing w:after="0" w:line="217" w:lineRule="exact"/>
        <w:rPr>
          <w:sz w:val="20"/>
          <w:szCs w:val="20"/>
          <w:color w:val="auto"/>
        </w:rPr>
      </w:pPr>
    </w:p>
    <w:p>
      <w:pPr>
        <w:ind w:left="-560" w:right="100" w:firstLine="563"/>
        <w:spacing w:after="0" w:line="248" w:lineRule="auto"/>
        <w:tabs>
          <w:tab w:leader="none" w:pos="496" w:val="left"/>
        </w:tabs>
        <w:numPr>
          <w:ilvl w:val="0"/>
          <w:numId w:val="331"/>
        </w:numPr>
        <w:rPr>
          <w:rFonts w:ascii="Arial" w:cs="Arial" w:eastAsia="Arial" w:hAnsi="Arial"/>
          <w:sz w:val="17"/>
          <w:szCs w:val="17"/>
          <w:color w:val="auto"/>
        </w:rPr>
      </w:pPr>
      <w:r>
        <w:rPr>
          <w:rFonts w:ascii="Arial" w:cs="Arial" w:eastAsia="Arial" w:hAnsi="Arial"/>
          <w:sz w:val="17"/>
          <w:szCs w:val="17"/>
          <w:u w:val="single" w:color="auto"/>
          <w:color w:val="auto"/>
        </w:rPr>
        <w:t>Headings; Gender</w:t>
      </w:r>
      <w:r>
        <w:rPr>
          <w:rFonts w:ascii="Arial" w:cs="Arial" w:eastAsia="Arial" w:hAnsi="Arial"/>
          <w:sz w:val="17"/>
          <w:szCs w:val="17"/>
          <w:color w:val="auto"/>
        </w:rPr>
        <w:t>. The headings of the Sections hereof are provided for convenience only and are not to serve as a basis for interpretation or construction, and shall not constitute a part, of this Agreement. Masculine pronouns and other words of masculine gender shall refer to both men and women as appropriate.</w:t>
      </w:r>
    </w:p>
    <w:p>
      <w:pPr>
        <w:spacing w:after="0" w:line="175" w:lineRule="exact"/>
        <w:rPr>
          <w:rFonts w:ascii="Arial" w:cs="Arial" w:eastAsia="Arial" w:hAnsi="Arial"/>
          <w:sz w:val="17"/>
          <w:szCs w:val="17"/>
          <w:color w:val="auto"/>
        </w:rPr>
      </w:pPr>
    </w:p>
    <w:p>
      <w:pPr>
        <w:jc w:val="both"/>
        <w:ind w:left="-560" w:right="80" w:firstLine="563"/>
        <w:spacing w:after="0" w:line="262" w:lineRule="auto"/>
        <w:tabs>
          <w:tab w:leader="none" w:pos="495" w:val="left"/>
        </w:tabs>
        <w:numPr>
          <w:ilvl w:val="0"/>
          <w:numId w:val="331"/>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one or more counterparts (including via facsimile and electronic image scan (pdf)), each of which shall be deemed to be an original, but all of which together shall constitute one and the same instrument and shall become effective when one or more counterparts have been signed by each of the parties and delivered to the other parties.</w:t>
      </w:r>
    </w:p>
    <w:p>
      <w:pPr>
        <w:spacing w:after="0" w:line="176" w:lineRule="exact"/>
        <w:rPr>
          <w:rFonts w:ascii="Arial" w:cs="Arial" w:eastAsia="Arial" w:hAnsi="Arial"/>
          <w:sz w:val="17"/>
          <w:szCs w:val="17"/>
          <w:color w:val="auto"/>
        </w:rPr>
      </w:pPr>
    </w:p>
    <w:p>
      <w:pPr>
        <w:ind w:left="-560" w:right="200" w:firstLine="563"/>
        <w:spacing w:after="0" w:line="234" w:lineRule="auto"/>
        <w:tabs>
          <w:tab w:leader="none" w:pos="495" w:val="left"/>
        </w:tabs>
        <w:numPr>
          <w:ilvl w:val="0"/>
          <w:numId w:val="331"/>
        </w:numPr>
        <w:rPr>
          <w:rFonts w:ascii="Arial" w:cs="Arial" w:eastAsia="Arial" w:hAnsi="Arial"/>
          <w:sz w:val="16"/>
          <w:szCs w:val="16"/>
          <w:color w:val="auto"/>
        </w:rPr>
      </w:pPr>
      <w:r>
        <w:rPr>
          <w:rFonts w:ascii="Arial" w:cs="Arial" w:eastAsia="Arial" w:hAnsi="Arial"/>
          <w:sz w:val="16"/>
          <w:szCs w:val="16"/>
          <w:u w:val="single" w:color="auto"/>
          <w:color w:val="auto"/>
        </w:rPr>
        <w:t>Electronic Signature and Delivery</w:t>
      </w:r>
      <w:r>
        <w:rPr>
          <w:rFonts w:ascii="Arial" w:cs="Arial" w:eastAsia="Arial" w:hAnsi="Arial"/>
          <w:sz w:val="16"/>
          <w:szCs w:val="16"/>
          <w:color w:val="auto"/>
        </w:rPr>
        <w:t>. This Agreement may be accepted by return signature or by electronic confirmation. By accepting this Agreement, the Participant consents to the electronic delivery of prospectuses, annual reports and other information required to be delivered by U.S. Securities and Exchange Commission rules (which consent may be revoked in writing by the Participant at any time upon three business days’ notice to the Company, in which case subsequent prospectuses, annual reports and other information will be delivered in hard copy to the Participant).</w:t>
      </w:r>
    </w:p>
    <w:p>
      <w:pPr>
        <w:sectPr>
          <w:pgSz w:w="11900" w:h="16838" w:orient="portrait"/>
          <w:cols w:equalWidth="0" w:num="1">
            <w:col w:w="10420"/>
          </w:cols>
          <w:pgMar w:left="960" w:top="1438" w:right="519" w:bottom="1440" w:gutter="0" w:footer="0" w:header="0"/>
        </w:sectPr>
      </w:pPr>
    </w:p>
    <w:bookmarkStart w:id="402" w:name="page403"/>
    <w:bookmarkEnd w:id="402"/>
    <w:p>
      <w:pPr>
        <w:spacing w:after="0" w:line="11" w:lineRule="exact"/>
        <w:rPr>
          <w:sz w:val="20"/>
          <w:szCs w:val="20"/>
          <w:color w:val="auto"/>
        </w:rPr>
      </w:pPr>
    </w:p>
    <w:p>
      <w:pPr>
        <w:ind w:left="-563" w:firstLine="563"/>
        <w:spacing w:after="0" w:line="270" w:lineRule="auto"/>
        <w:tabs>
          <w:tab w:leader="none" w:pos="492" w:val="left"/>
        </w:tabs>
        <w:numPr>
          <w:ilvl w:val="0"/>
          <w:numId w:val="332"/>
        </w:numPr>
        <w:rPr>
          <w:rFonts w:ascii="Arial" w:cs="Arial" w:eastAsia="Arial" w:hAnsi="Arial"/>
          <w:sz w:val="16"/>
          <w:szCs w:val="16"/>
          <w:color w:val="auto"/>
        </w:rPr>
      </w:pPr>
      <w:r>
        <w:rPr>
          <w:rFonts w:ascii="Arial" w:cs="Arial" w:eastAsia="Arial" w:hAnsi="Arial"/>
          <w:sz w:val="16"/>
          <w:szCs w:val="16"/>
          <w:u w:val="single" w:color="auto"/>
          <w:color w:val="auto"/>
        </w:rPr>
        <w:t>Electronic Participation in Plan</w:t>
      </w:r>
      <w:r>
        <w:rPr>
          <w:rFonts w:ascii="Arial" w:cs="Arial" w:eastAsia="Arial" w:hAnsi="Arial"/>
          <w:sz w:val="16"/>
          <w:szCs w:val="16"/>
          <w:color w:val="auto"/>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200" w:lineRule="exact"/>
        <w:rPr>
          <w:sz w:val="20"/>
          <w:szCs w:val="20"/>
          <w:color w:val="auto"/>
        </w:rPr>
      </w:pPr>
    </w:p>
    <w:p>
      <w:pPr>
        <w:spacing w:after="0" w:line="321" w:lineRule="exact"/>
        <w:rPr>
          <w:sz w:val="20"/>
          <w:szCs w:val="20"/>
          <w:color w:val="auto"/>
        </w:rPr>
      </w:pPr>
    </w:p>
    <w:p>
      <w:pPr>
        <w:ind w:left="1737"/>
        <w:spacing w:after="0"/>
        <w:rPr>
          <w:sz w:val="20"/>
          <w:szCs w:val="20"/>
          <w:color w:val="auto"/>
        </w:rPr>
      </w:pPr>
      <w:r>
        <w:rPr>
          <w:rFonts w:ascii="Arial" w:cs="Arial" w:eastAsia="Arial" w:hAnsi="Arial"/>
          <w:sz w:val="17"/>
          <w:szCs w:val="17"/>
          <w:b w:val="1"/>
          <w:bCs w:val="1"/>
          <w:color w:val="auto"/>
        </w:rPr>
        <w:t>[Remainder of page intentionally left blank]</w:t>
      </w:r>
    </w:p>
    <w:p>
      <w:pPr>
        <w:sectPr>
          <w:pgSz w:w="11900" w:h="16838" w:orient="portrait"/>
          <w:cols w:equalWidth="0" w:num="1">
            <w:col w:w="10177"/>
          </w:cols>
          <w:pgMar w:left="963" w:top="1440" w:right="759" w:bottom="1440" w:gutter="0" w:footer="0" w:header="0"/>
        </w:sectPr>
      </w:pPr>
    </w:p>
    <w:bookmarkStart w:id="403" w:name="page404"/>
    <w:bookmarkEnd w:id="403"/>
    <w:p>
      <w:pPr>
        <w:spacing w:after="0" w:line="220" w:lineRule="auto"/>
        <w:rPr>
          <w:sz w:val="20"/>
          <w:szCs w:val="20"/>
          <w:color w:val="auto"/>
        </w:rPr>
      </w:pPr>
      <w:r>
        <w:rPr>
          <w:rFonts w:ascii="Arial" w:cs="Arial" w:eastAsia="Arial" w:hAnsi="Arial"/>
          <w:sz w:val="19"/>
          <w:szCs w:val="19"/>
          <w:b w:val="1"/>
          <w:bCs w:val="1"/>
          <w:color w:val="auto"/>
        </w:rPr>
        <w:t xml:space="preserve">To accept or reject your Restricted Stock award, please complete the on-line form (“Accept or Reject Your Grant”) as promptly as possible, but, in any case, within thirty (30) days after the Grant Date. If you accept your award you will be deemed to have agreed to the terms and conditions set forth in this Agreement and the terms and conditions of the Plan, all of which are made part of this Agreement. Your Agreement is available to you online in your Schwab Equity Award Center (EAC) account via this link </w:t>
      </w:r>
      <w:r>
        <w:rPr>
          <w:rFonts w:ascii="Arial" w:cs="Arial" w:eastAsia="Arial" w:hAnsi="Arial"/>
          <w:sz w:val="19"/>
          <w:szCs w:val="19"/>
          <w:b w:val="1"/>
          <w:bCs w:val="1"/>
          <w:u w:val="single" w:color="auto"/>
          <w:color w:val="0000FF"/>
        </w:rPr>
        <w:t>https://www.schwab.com/public/eac/home</w:t>
      </w:r>
    </w:p>
    <w:p>
      <w:pPr>
        <w:spacing w:after="0" w:line="200" w:lineRule="exact"/>
        <w:rPr>
          <w:sz w:val="20"/>
          <w:szCs w:val="20"/>
          <w:color w:val="auto"/>
        </w:rPr>
      </w:pPr>
    </w:p>
    <w:p>
      <w:pPr>
        <w:spacing w:after="0" w:line="395" w:lineRule="exact"/>
        <w:rPr>
          <w:sz w:val="20"/>
          <w:szCs w:val="20"/>
          <w:color w:val="auto"/>
        </w:rPr>
      </w:pPr>
    </w:p>
    <w:p>
      <w:pPr>
        <w:ind w:left="3400"/>
        <w:spacing w:after="0"/>
        <w:rPr>
          <w:sz w:val="20"/>
          <w:szCs w:val="20"/>
          <w:color w:val="auto"/>
        </w:rPr>
      </w:pPr>
      <w:r>
        <w:rPr>
          <w:rFonts w:ascii="Arial" w:cs="Arial" w:eastAsia="Arial" w:hAnsi="Arial"/>
          <w:sz w:val="17"/>
          <w:szCs w:val="17"/>
          <w:color w:val="auto"/>
        </w:rPr>
        <w:t>VIRTU FINANCIAL, INC.</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400"/>
        <w:spacing w:after="0"/>
        <w:tabs>
          <w:tab w:leader="none" w:pos="5240" w:val="left"/>
        </w:tabs>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Douglas A. Cifu</w:t>
      </w:r>
      <w:r>
        <w:rPr>
          <w:sz w:val="20"/>
          <w:szCs w:val="20"/>
          <w:color w:val="auto"/>
        </w:rPr>
        <w:tab/>
      </w:r>
      <w:r>
        <w:rPr>
          <w:rFonts w:ascii="Arial" w:cs="Arial" w:eastAsia="Arial" w:hAnsi="Arial"/>
          <w:sz w:val="16"/>
          <w:szCs w:val="16"/>
          <w:color w:val="auto"/>
        </w:rPr>
        <w:t>Name: Douglas A. Cifu</w:t>
      </w:r>
    </w:p>
    <w:p>
      <w:pPr>
        <w:ind w:left="3620"/>
        <w:spacing w:after="0"/>
        <w:rPr>
          <w:sz w:val="20"/>
          <w:szCs w:val="20"/>
          <w:color w:val="auto"/>
        </w:rPr>
      </w:pPr>
      <w:r>
        <w:rPr>
          <w:rFonts w:ascii="Arial" w:cs="Arial" w:eastAsia="Arial" w:hAnsi="Arial"/>
          <w:sz w:val="17"/>
          <w:szCs w:val="17"/>
          <w:color w:val="auto"/>
        </w:rPr>
        <w:t>Title: Chief Executive Officer</w:t>
      </w:r>
    </w:p>
    <w:p>
      <w:pPr>
        <w:sectPr>
          <w:pgSz w:w="11900" w:h="16838" w:orient="portrait"/>
          <w:cols w:equalWidth="0" w:num="1">
            <w:col w:w="11020"/>
          </w:cols>
          <w:pgMar w:left="400" w:top="1227" w:right="479" w:bottom="1440" w:gutter="0" w:footer="0" w:header="0"/>
        </w:sectPr>
      </w:pPr>
    </w:p>
    <w:bookmarkStart w:id="404" w:name="page405"/>
    <w:bookmarkEnd w:id="404"/>
    <w:p>
      <w:pPr>
        <w:ind w:left="3386"/>
        <w:spacing w:after="0"/>
        <w:rPr>
          <w:sz w:val="20"/>
          <w:szCs w:val="20"/>
          <w:color w:val="auto"/>
        </w:rPr>
      </w:pPr>
      <w:r>
        <w:rPr>
          <w:rFonts w:ascii="Arial" w:cs="Arial" w:eastAsia="Arial" w:hAnsi="Arial"/>
          <w:sz w:val="17"/>
          <w:szCs w:val="17"/>
          <w:b w:val="1"/>
          <w:bCs w:val="1"/>
          <w:color w:val="auto"/>
        </w:rPr>
        <w:t>VIRTU FINANCIAL, INC. AMENDED AND RESTATED</w:t>
      </w:r>
    </w:p>
    <w:p>
      <w:pPr>
        <w:spacing w:after="0" w:line="8" w:lineRule="exact"/>
        <w:rPr>
          <w:sz w:val="20"/>
          <w:szCs w:val="20"/>
          <w:color w:val="auto"/>
        </w:rPr>
      </w:pPr>
    </w:p>
    <w:p>
      <w:pPr>
        <w:ind w:left="3926"/>
        <w:spacing w:after="0"/>
        <w:rPr>
          <w:sz w:val="20"/>
          <w:szCs w:val="20"/>
          <w:color w:val="auto"/>
        </w:rPr>
      </w:pPr>
      <w:r>
        <w:rPr>
          <w:rFonts w:ascii="Arial" w:cs="Arial" w:eastAsia="Arial" w:hAnsi="Arial"/>
          <w:sz w:val="17"/>
          <w:szCs w:val="17"/>
          <w:b w:val="1"/>
          <w:bCs w:val="1"/>
          <w:color w:val="auto"/>
        </w:rPr>
        <w:t>2015 MANAGEMENT INCENTIVE PLAN</w:t>
      </w:r>
    </w:p>
    <w:p>
      <w:pPr>
        <w:ind w:left="566" w:right="2400" w:firstLine="1945"/>
        <w:spacing w:after="0" w:line="283" w:lineRule="auto"/>
        <w:rPr>
          <w:sz w:val="20"/>
          <w:szCs w:val="20"/>
          <w:color w:val="auto"/>
        </w:rPr>
      </w:pPr>
      <w:r>
        <w:rPr>
          <w:rFonts w:ascii="Arial" w:cs="Arial" w:eastAsia="Arial" w:hAnsi="Arial"/>
          <w:sz w:val="17"/>
          <w:szCs w:val="17"/>
          <w:b w:val="1"/>
          <w:bCs w:val="1"/>
          <w:u w:val="single" w:color="auto"/>
          <w:color w:val="auto"/>
        </w:rPr>
        <w:t xml:space="preserve">RESTRICTED STOCK UNIT AND COMMON STOCK AWARD AGREEMENT </w:t>
      </w:r>
      <w:r>
        <w:rPr>
          <w:rFonts w:ascii="Arial" w:cs="Arial" w:eastAsia="Arial" w:hAnsi="Arial"/>
          <w:sz w:val="17"/>
          <w:szCs w:val="17"/>
          <w:color w:val="auto"/>
        </w:rPr>
        <w:t>THIS RESTRICTED STOCK UNIT AND COMMON STOCK AWARD AGREEMENT (the</w:t>
      </w:r>
    </w:p>
    <w:p>
      <w:pPr>
        <w:spacing w:after="0" w:line="1" w:lineRule="exact"/>
        <w:rPr>
          <w:sz w:val="20"/>
          <w:szCs w:val="20"/>
          <w:color w:val="auto"/>
        </w:rPr>
      </w:pPr>
    </w:p>
    <w:p>
      <w:pPr>
        <w:ind w:left="6" w:right="180"/>
        <w:spacing w:after="0" w:line="26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Agreement</w:t>
      </w:r>
      <w:r>
        <w:rPr>
          <w:rFonts w:ascii="Arial" w:cs="Arial" w:eastAsia="Arial" w:hAnsi="Arial"/>
          <w:sz w:val="17"/>
          <w:szCs w:val="17"/>
          <w:color w:val="auto"/>
        </w:rPr>
        <w:t>”), is entered into as of February 3, 2022 (the “</w:t>
      </w:r>
      <w:r>
        <w:rPr>
          <w:rFonts w:ascii="Arial" w:cs="Arial" w:eastAsia="Arial" w:hAnsi="Arial"/>
          <w:sz w:val="17"/>
          <w:szCs w:val="17"/>
          <w:u w:val="single" w:color="auto"/>
          <w:color w:val="auto"/>
        </w:rPr>
        <w:t>Date of Grant</w:t>
      </w:r>
      <w:r>
        <w:rPr>
          <w:rFonts w:ascii="Arial" w:cs="Arial" w:eastAsia="Arial" w:hAnsi="Arial"/>
          <w:sz w:val="17"/>
          <w:szCs w:val="17"/>
          <w:color w:val="auto"/>
        </w:rPr>
        <w:t>”), by and between Virtu Financial,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and Brett Fairclough (the “</w:t>
      </w:r>
      <w:r>
        <w:rPr>
          <w:rFonts w:ascii="Arial" w:cs="Arial" w:eastAsia="Arial" w:hAnsi="Arial"/>
          <w:sz w:val="17"/>
          <w:szCs w:val="17"/>
          <w:u w:val="single" w:color="auto"/>
          <w:color w:val="auto"/>
        </w:rPr>
        <w:t>Participant</w:t>
      </w:r>
      <w:r>
        <w:rPr>
          <w:rFonts w:ascii="Arial" w:cs="Arial" w:eastAsia="Arial" w:hAnsi="Arial"/>
          <w:sz w:val="17"/>
          <w:szCs w:val="17"/>
          <w:color w:val="auto"/>
        </w:rPr>
        <w:t>”).</w:t>
      </w:r>
    </w:p>
    <w:p>
      <w:pPr>
        <w:spacing w:after="0" w:line="107" w:lineRule="exact"/>
        <w:rPr>
          <w:sz w:val="20"/>
          <w:szCs w:val="20"/>
          <w:color w:val="auto"/>
        </w:rPr>
      </w:pPr>
    </w:p>
    <w:p>
      <w:pPr>
        <w:ind w:left="566"/>
        <w:spacing w:after="0"/>
        <w:rPr>
          <w:sz w:val="20"/>
          <w:szCs w:val="20"/>
          <w:color w:val="auto"/>
        </w:rPr>
      </w:pPr>
      <w:r>
        <w:rPr>
          <w:rFonts w:ascii="Arial" w:cs="Arial" w:eastAsia="Arial" w:hAnsi="Arial"/>
          <w:sz w:val="16"/>
          <w:szCs w:val="16"/>
          <w:color w:val="auto"/>
        </w:rPr>
        <w:t>WHEREAS, the Company has adopted the Virtu Financial, Inc. Amended and Restated 2015 Management Incentive Plan (the “</w:t>
      </w:r>
      <w:r>
        <w:rPr>
          <w:rFonts w:ascii="Arial" w:cs="Arial" w:eastAsia="Arial" w:hAnsi="Arial"/>
          <w:sz w:val="16"/>
          <w:szCs w:val="16"/>
          <w:u w:val="single" w:color="auto"/>
          <w:color w:val="auto"/>
        </w:rPr>
        <w:t>Plan</w:t>
      </w:r>
      <w:r>
        <w:rPr>
          <w:rFonts w:ascii="Arial" w:cs="Arial" w:eastAsia="Arial" w:hAnsi="Arial"/>
          <w:sz w:val="16"/>
          <w:szCs w:val="16"/>
          <w:color w:val="auto"/>
        </w:rPr>
        <w:t>”), pursuant to</w:t>
      </w:r>
    </w:p>
    <w:p>
      <w:pPr>
        <w:spacing w:after="0" w:line="31" w:lineRule="exact"/>
        <w:rPr>
          <w:sz w:val="20"/>
          <w:szCs w:val="20"/>
          <w:color w:val="auto"/>
        </w:rPr>
      </w:pPr>
    </w:p>
    <w:p>
      <w:pPr>
        <w:ind w:left="6"/>
        <w:spacing w:after="0"/>
        <w:rPr>
          <w:sz w:val="20"/>
          <w:szCs w:val="20"/>
          <w:color w:val="auto"/>
        </w:rPr>
      </w:pPr>
      <w:r>
        <w:rPr>
          <w:rFonts w:ascii="Arial" w:cs="Arial" w:eastAsia="Arial" w:hAnsi="Arial"/>
          <w:sz w:val="17"/>
          <w:szCs w:val="17"/>
          <w:color w:val="auto"/>
        </w:rPr>
        <w:t>which shares of Class A Common Stock and</w:t>
      </w:r>
    </w:p>
    <w:p>
      <w:pPr>
        <w:spacing w:after="0" w:line="6" w:lineRule="exact"/>
        <w:rPr>
          <w:sz w:val="20"/>
          <w:szCs w:val="20"/>
          <w:color w:val="auto"/>
        </w:rPr>
      </w:pPr>
    </w:p>
    <w:p>
      <w:pPr>
        <w:ind w:left="6"/>
        <w:spacing w:after="0"/>
        <w:rPr>
          <w:sz w:val="20"/>
          <w:szCs w:val="20"/>
          <w:color w:val="auto"/>
        </w:rPr>
      </w:pPr>
      <w:r>
        <w:rPr>
          <w:rFonts w:ascii="Arial" w:cs="Arial" w:eastAsia="Arial" w:hAnsi="Arial"/>
          <w:sz w:val="17"/>
          <w:szCs w:val="17"/>
          <w:color w:val="auto"/>
        </w:rPr>
        <w:t>Restricted Stock Units (“</w:t>
      </w:r>
      <w:r>
        <w:rPr>
          <w:rFonts w:ascii="Arial" w:cs="Arial" w:eastAsia="Arial" w:hAnsi="Arial"/>
          <w:sz w:val="17"/>
          <w:szCs w:val="17"/>
          <w:u w:val="single" w:color="auto"/>
          <w:color w:val="auto"/>
        </w:rPr>
        <w:t>RSUs</w:t>
      </w:r>
      <w:r>
        <w:rPr>
          <w:rFonts w:ascii="Arial" w:cs="Arial" w:eastAsia="Arial" w:hAnsi="Arial"/>
          <w:sz w:val="17"/>
          <w:szCs w:val="17"/>
          <w:color w:val="auto"/>
        </w:rPr>
        <w:t>”) may be granted; and</w:t>
      </w:r>
    </w:p>
    <w:p>
      <w:pPr>
        <w:spacing w:after="0" w:line="134" w:lineRule="exact"/>
        <w:rPr>
          <w:sz w:val="20"/>
          <w:szCs w:val="20"/>
          <w:color w:val="auto"/>
        </w:rPr>
      </w:pPr>
    </w:p>
    <w:p>
      <w:pPr>
        <w:jc w:val="both"/>
        <w:ind w:left="6" w:right="240" w:firstLine="568"/>
        <w:spacing w:after="0" w:line="270" w:lineRule="auto"/>
        <w:rPr>
          <w:sz w:val="20"/>
          <w:szCs w:val="20"/>
          <w:color w:val="auto"/>
        </w:rPr>
      </w:pPr>
      <w:r>
        <w:rPr>
          <w:rFonts w:ascii="Arial" w:cs="Arial" w:eastAsia="Arial" w:hAnsi="Arial"/>
          <w:sz w:val="16"/>
          <w:szCs w:val="16"/>
          <w:color w:val="auto"/>
        </w:rPr>
        <w:t>WHEREAS, the Compensation Committee of the Board of Directors of the Company has determined that it is in the best interests of the Company and its stockholders to grant the shares of Class A Common Stock in recognition of Participant’s service to the Company and its Affiliates from January 1, 2021 through December 31, 2021, and RSUs provided for herein to the Participant subject to the terms set forth herein.</w:t>
      </w:r>
    </w:p>
    <w:p>
      <w:pPr>
        <w:spacing w:after="0" w:line="89" w:lineRule="exact"/>
        <w:rPr>
          <w:sz w:val="20"/>
          <w:szCs w:val="20"/>
          <w:color w:val="auto"/>
        </w:rPr>
      </w:pPr>
    </w:p>
    <w:p>
      <w:pPr>
        <w:ind w:left="6" w:right="40" w:firstLine="568"/>
        <w:spacing w:after="0" w:line="347" w:lineRule="auto"/>
        <w:rPr>
          <w:sz w:val="20"/>
          <w:szCs w:val="20"/>
          <w:color w:val="auto"/>
        </w:rPr>
      </w:pPr>
      <w:r>
        <w:rPr>
          <w:rFonts w:ascii="Arial" w:cs="Arial" w:eastAsia="Arial" w:hAnsi="Arial"/>
          <w:sz w:val="15"/>
          <w:szCs w:val="15"/>
          <w:color w:val="auto"/>
        </w:rPr>
        <w:t>NOW, THEREFORE, for and in consideration of the premises and the covenants of the parties contained in this Agreement, and for other good and valuable consideration, the receipt of which is hereby acknowledged, the parties hereto, for themselves, their successors and assigns, hereby agree as follows:</w:t>
      </w:r>
    </w:p>
    <w:p>
      <w:pPr>
        <w:spacing w:after="0" w:line="99" w:lineRule="exact"/>
        <w:rPr>
          <w:sz w:val="20"/>
          <w:szCs w:val="20"/>
          <w:color w:val="auto"/>
        </w:rPr>
      </w:pPr>
    </w:p>
    <w:p>
      <w:pPr>
        <w:ind w:left="566" w:hanging="566"/>
        <w:spacing w:after="0"/>
        <w:tabs>
          <w:tab w:leader="none" w:pos="566" w:val="left"/>
        </w:tabs>
        <w:numPr>
          <w:ilvl w:val="0"/>
          <w:numId w:val="333"/>
        </w:numPr>
        <w:rPr>
          <w:rFonts w:ascii="Arial" w:cs="Arial" w:eastAsia="Arial" w:hAnsi="Arial"/>
          <w:sz w:val="17"/>
          <w:szCs w:val="17"/>
          <w:b w:val="1"/>
          <w:bCs w:val="1"/>
          <w:color w:val="auto"/>
        </w:rPr>
      </w:pPr>
      <w:r>
        <w:rPr>
          <w:rFonts w:ascii="Arial" w:cs="Arial" w:eastAsia="Arial" w:hAnsi="Arial"/>
          <w:sz w:val="17"/>
          <w:szCs w:val="17"/>
          <w:b w:val="1"/>
          <w:bCs w:val="1"/>
          <w:color w:val="auto"/>
        </w:rPr>
        <w:t>Grant of Common Stock and Restricted Stock Units.</w:t>
      </w:r>
    </w:p>
    <w:p>
      <w:pPr>
        <w:spacing w:after="0" w:line="142" w:lineRule="exact"/>
        <w:rPr>
          <w:rFonts w:ascii="Arial" w:cs="Arial" w:eastAsia="Arial" w:hAnsi="Arial"/>
          <w:sz w:val="17"/>
          <w:szCs w:val="17"/>
          <w:b w:val="1"/>
          <w:bCs w:val="1"/>
          <w:color w:val="auto"/>
        </w:rPr>
      </w:pPr>
    </w:p>
    <w:p>
      <w:pPr>
        <w:ind w:left="6" w:right="80" w:firstLine="563"/>
        <w:spacing w:after="0" w:line="247" w:lineRule="auto"/>
        <w:tabs>
          <w:tab w:leader="none" w:pos="1063" w:val="left"/>
        </w:tabs>
        <w:numPr>
          <w:ilvl w:val="1"/>
          <w:numId w:val="333"/>
        </w:numPr>
        <w:rPr>
          <w:rFonts w:ascii="Arial" w:cs="Arial" w:eastAsia="Arial" w:hAnsi="Arial"/>
          <w:sz w:val="15"/>
          <w:szCs w:val="15"/>
          <w:color w:val="auto"/>
        </w:rPr>
      </w:pPr>
      <w:r>
        <w:rPr>
          <w:rFonts w:ascii="Arial" w:cs="Arial" w:eastAsia="Arial" w:hAnsi="Arial"/>
          <w:sz w:val="15"/>
          <w:szCs w:val="15"/>
          <w:u w:val="single" w:color="auto"/>
          <w:color w:val="auto"/>
        </w:rPr>
        <w:t>Grant</w:t>
      </w:r>
      <w:r>
        <w:rPr>
          <w:rFonts w:ascii="Arial" w:cs="Arial" w:eastAsia="Arial" w:hAnsi="Arial"/>
          <w:sz w:val="15"/>
          <w:szCs w:val="15"/>
          <w:color w:val="auto"/>
        </w:rPr>
        <w:t>. The Company hereby grants to the Participant a total number of shares of Class A Common Stock equal to approximately $500,000 divided by the Issue Price (the “</w:t>
      </w:r>
      <w:r>
        <w:rPr>
          <w:rFonts w:ascii="Arial" w:cs="Arial" w:eastAsia="Arial" w:hAnsi="Arial"/>
          <w:sz w:val="15"/>
          <w:szCs w:val="15"/>
          <w:u w:val="single" w:color="auto"/>
          <w:color w:val="auto"/>
        </w:rPr>
        <w:t>Shares</w:t>
      </w:r>
      <w:r>
        <w:rPr>
          <w:rFonts w:ascii="Arial" w:cs="Arial" w:eastAsia="Arial" w:hAnsi="Arial"/>
          <w:sz w:val="15"/>
          <w:szCs w:val="15"/>
          <w:color w:val="auto"/>
        </w:rPr>
        <w:t>”), and a total number of RSUs equal to approximately $750,000 divided by the Issue Price, in each case on the terms and conditions set forth in this Agreement and as otherwise provided in the Plan. The RSUs shall be credited to a separate book-entry account maintained for the Participant on the books of the Company, which may be maintained by a third party. The “</w:t>
      </w:r>
      <w:r>
        <w:rPr>
          <w:rFonts w:ascii="Arial" w:cs="Arial" w:eastAsia="Arial" w:hAnsi="Arial"/>
          <w:sz w:val="15"/>
          <w:szCs w:val="15"/>
          <w:u w:val="single" w:color="auto"/>
          <w:color w:val="auto"/>
        </w:rPr>
        <w:t>Issue Price</w:t>
      </w:r>
      <w:r>
        <w:rPr>
          <w:rFonts w:ascii="Arial" w:cs="Arial" w:eastAsia="Arial" w:hAnsi="Arial"/>
          <w:sz w:val="15"/>
          <w:szCs w:val="15"/>
          <w:color w:val="auto"/>
        </w:rPr>
        <w:t>” shall mean the volume weighted average price of shares of the Company’s Class A Common Stock traded during the three days preceding the Date of Grant, as determined by the Company.</w:t>
      </w:r>
    </w:p>
    <w:p>
      <w:pPr>
        <w:spacing w:after="0" w:line="154" w:lineRule="exact"/>
        <w:rPr>
          <w:rFonts w:ascii="Arial" w:cs="Arial" w:eastAsia="Arial" w:hAnsi="Arial"/>
          <w:sz w:val="15"/>
          <w:szCs w:val="15"/>
          <w:color w:val="auto"/>
        </w:rPr>
      </w:pPr>
    </w:p>
    <w:p>
      <w:pPr>
        <w:ind w:left="6" w:firstLine="563"/>
        <w:spacing w:after="0" w:line="213" w:lineRule="auto"/>
        <w:tabs>
          <w:tab w:leader="none" w:pos="1061" w:val="left"/>
        </w:tabs>
        <w:numPr>
          <w:ilvl w:val="1"/>
          <w:numId w:val="333"/>
        </w:numPr>
        <w:rPr>
          <w:rFonts w:ascii="Arial" w:cs="Arial" w:eastAsia="Arial" w:hAnsi="Arial"/>
          <w:sz w:val="17"/>
          <w:szCs w:val="17"/>
          <w:color w:val="auto"/>
        </w:rPr>
      </w:pPr>
      <w:r>
        <w:rPr>
          <w:rFonts w:ascii="Arial" w:cs="Arial" w:eastAsia="Arial" w:hAnsi="Arial"/>
          <w:sz w:val="17"/>
          <w:szCs w:val="17"/>
          <w:u w:val="single" w:color="auto"/>
          <w:color w:val="auto"/>
        </w:rPr>
        <w:t>Incorporation by Reference</w:t>
      </w:r>
      <w:r>
        <w:rPr>
          <w:rFonts w:ascii="Arial" w:cs="Arial" w:eastAsia="Arial" w:hAnsi="Arial"/>
          <w:sz w:val="17"/>
          <w:szCs w:val="17"/>
          <w:color w:val="auto"/>
        </w:rPr>
        <w:t>. The provisions of the Plan are incorporated herein by reference. Except as otherwise expressly set forth herein, this Agreement shall be construed in accordance with the provisions of the Plan and any interpretations, amendments, rules and regulations promulgated by the Committee from time to time pursuant to the Plan. Any capitalized terms not otherwise defined in this Agreement shall have the definitions set forth in the Plan. The Committee shall have final authority to interpret and construe the Plan and this Agreement and to make any and all determinations under them, and its decision shall be binding and conclusive upon the Participant and his legal representative in respect of any questions arising under the Plan or this Agreement. The Participant acknowledges that he has received a copy of the Plan and has had an opportunity to review the Plan and agrees to be bound by all the terms and provisions of the Plan.</w:t>
      </w:r>
    </w:p>
    <w:p>
      <w:pPr>
        <w:spacing w:after="0" w:line="164" w:lineRule="exact"/>
        <w:rPr>
          <w:rFonts w:ascii="Arial" w:cs="Arial" w:eastAsia="Arial" w:hAnsi="Arial"/>
          <w:sz w:val="17"/>
          <w:szCs w:val="17"/>
          <w:color w:val="auto"/>
        </w:rPr>
      </w:pPr>
    </w:p>
    <w:p>
      <w:pPr>
        <w:ind w:left="566" w:hanging="566"/>
        <w:spacing w:after="0"/>
        <w:tabs>
          <w:tab w:leader="none" w:pos="566" w:val="left"/>
        </w:tabs>
        <w:numPr>
          <w:ilvl w:val="0"/>
          <w:numId w:val="333"/>
        </w:numPr>
        <w:rPr>
          <w:rFonts w:ascii="Arial" w:cs="Arial" w:eastAsia="Arial" w:hAnsi="Arial"/>
          <w:sz w:val="17"/>
          <w:szCs w:val="17"/>
          <w:b w:val="1"/>
          <w:bCs w:val="1"/>
          <w:color w:val="auto"/>
        </w:rPr>
      </w:pPr>
      <w:r>
        <w:rPr>
          <w:rFonts w:ascii="Arial" w:cs="Arial" w:eastAsia="Arial" w:hAnsi="Arial"/>
          <w:sz w:val="17"/>
          <w:szCs w:val="17"/>
          <w:b w:val="1"/>
          <w:bCs w:val="1"/>
          <w:color w:val="auto"/>
        </w:rPr>
        <w:t>Vesting and Settlement.</w:t>
      </w:r>
    </w:p>
    <w:p>
      <w:pPr>
        <w:spacing w:after="0" w:line="201" w:lineRule="exact"/>
        <w:rPr>
          <w:rFonts w:ascii="Arial" w:cs="Arial" w:eastAsia="Arial" w:hAnsi="Arial"/>
          <w:sz w:val="17"/>
          <w:szCs w:val="17"/>
          <w:b w:val="1"/>
          <w:bCs w:val="1"/>
          <w:color w:val="auto"/>
        </w:rPr>
      </w:pPr>
    </w:p>
    <w:p>
      <w:pPr>
        <w:ind w:left="1126" w:hanging="557"/>
        <w:spacing w:after="0"/>
        <w:tabs>
          <w:tab w:leader="none" w:pos="1126" w:val="left"/>
        </w:tabs>
        <w:numPr>
          <w:ilvl w:val="1"/>
          <w:numId w:val="333"/>
        </w:numPr>
        <w:rPr>
          <w:rFonts w:ascii="Arial" w:cs="Arial" w:eastAsia="Arial" w:hAnsi="Arial"/>
          <w:sz w:val="17"/>
          <w:szCs w:val="17"/>
          <w:color w:val="auto"/>
        </w:rPr>
      </w:pPr>
      <w:r>
        <w:rPr>
          <w:rFonts w:ascii="Arial" w:cs="Arial" w:eastAsia="Arial" w:hAnsi="Arial"/>
          <w:sz w:val="17"/>
          <w:szCs w:val="17"/>
          <w:color w:val="auto"/>
        </w:rPr>
        <w:t>The Shares shall be one hundred percent (100%) vested as of the Date of Grant.</w:t>
      </w:r>
    </w:p>
    <w:p>
      <w:pPr>
        <w:spacing w:after="0" w:line="195" w:lineRule="exact"/>
        <w:rPr>
          <w:rFonts w:ascii="Arial" w:cs="Arial" w:eastAsia="Arial" w:hAnsi="Arial"/>
          <w:sz w:val="17"/>
          <w:szCs w:val="17"/>
          <w:color w:val="auto"/>
        </w:rPr>
      </w:pPr>
    </w:p>
    <w:p>
      <w:pPr>
        <w:ind w:left="6" w:right="180" w:firstLine="563"/>
        <w:spacing w:after="0" w:line="330" w:lineRule="auto"/>
        <w:tabs>
          <w:tab w:leader="none" w:pos="1061" w:val="left"/>
        </w:tabs>
        <w:numPr>
          <w:ilvl w:val="1"/>
          <w:numId w:val="333"/>
        </w:numPr>
        <w:rPr>
          <w:rFonts w:ascii="Arial" w:cs="Arial" w:eastAsia="Arial" w:hAnsi="Arial"/>
          <w:sz w:val="15"/>
          <w:szCs w:val="15"/>
          <w:color w:val="auto"/>
        </w:rPr>
      </w:pPr>
      <w:r>
        <w:rPr>
          <w:rFonts w:ascii="Arial" w:cs="Arial" w:eastAsia="Arial" w:hAnsi="Arial"/>
          <w:sz w:val="15"/>
          <w:szCs w:val="15"/>
          <w:color w:val="auto"/>
        </w:rPr>
        <w:t>Except as may otherwise be provided herein, subject to the Participant’s continued employment or service with the Company or an Affiliate, the RSUs shall vest in equal installments on each of the first three (3) anniversaries of the Date of Grant (each such date, a “</w:t>
      </w:r>
      <w:r>
        <w:rPr>
          <w:rFonts w:ascii="Arial" w:cs="Arial" w:eastAsia="Arial" w:hAnsi="Arial"/>
          <w:sz w:val="15"/>
          <w:szCs w:val="15"/>
          <w:u w:val="single" w:color="auto"/>
          <w:color w:val="auto"/>
        </w:rPr>
        <w:t>Vesting Date</w:t>
      </w:r>
      <w:r>
        <w:rPr>
          <w:rFonts w:ascii="Arial" w:cs="Arial" w:eastAsia="Arial" w:hAnsi="Arial"/>
          <w:sz w:val="15"/>
          <w:szCs w:val="15"/>
          <w:color w:val="auto"/>
        </w:rPr>
        <w:t>”). Upon</w:t>
      </w:r>
    </w:p>
    <w:p>
      <w:pPr>
        <w:sectPr>
          <w:pgSz w:w="11900" w:h="16838" w:orient="portrait"/>
          <w:cols w:equalWidth="0" w:num="1">
            <w:col w:w="10986"/>
          </w:cols>
          <w:pgMar w:left="394" w:top="1243" w:right="519" w:bottom="1440" w:gutter="0" w:footer="0" w:header="0"/>
        </w:sectPr>
      </w:pPr>
    </w:p>
    <w:bookmarkStart w:id="405" w:name="page406"/>
    <w:bookmarkEnd w:id="405"/>
    <w:p>
      <w:pPr>
        <w:ind w:left="6" w:right="420"/>
        <w:spacing w:after="0" w:line="262" w:lineRule="auto"/>
        <w:rPr>
          <w:sz w:val="20"/>
          <w:szCs w:val="20"/>
          <w:color w:val="auto"/>
        </w:rPr>
      </w:pPr>
      <w:r>
        <w:rPr>
          <w:rFonts w:ascii="Arial" w:cs="Arial" w:eastAsia="Arial" w:hAnsi="Arial"/>
          <w:sz w:val="17"/>
          <w:szCs w:val="17"/>
          <w:color w:val="auto"/>
        </w:rPr>
        <w:t>each Vesting Date, such portion of the RSUs that vest on such date shall no longer be subject to the transfer restrictions pursuant to Section 9(a) hereof or cancellation pursuant to Section 4 hereof. Any fractional RSUs resulting from the application of the vesting schedule shall be aggregated and the RSUs resulting from such aggregation shall vest on the final Vesting Date.</w:t>
      </w:r>
    </w:p>
    <w:p>
      <w:pPr>
        <w:spacing w:after="0" w:line="189" w:lineRule="exact"/>
        <w:rPr>
          <w:sz w:val="20"/>
          <w:szCs w:val="20"/>
          <w:color w:val="auto"/>
        </w:rPr>
      </w:pPr>
    </w:p>
    <w:p>
      <w:pPr>
        <w:ind w:left="6" w:right="260" w:firstLine="563"/>
        <w:spacing w:after="0" w:line="277" w:lineRule="auto"/>
        <w:tabs>
          <w:tab w:leader="none" w:pos="1063" w:val="left"/>
        </w:tabs>
        <w:numPr>
          <w:ilvl w:val="1"/>
          <w:numId w:val="334"/>
        </w:numPr>
        <w:rPr>
          <w:rFonts w:ascii="Arial" w:cs="Arial" w:eastAsia="Arial" w:hAnsi="Arial"/>
          <w:sz w:val="17"/>
          <w:szCs w:val="17"/>
          <w:color w:val="auto"/>
        </w:rPr>
      </w:pPr>
      <w:r>
        <w:rPr>
          <w:rFonts w:ascii="Arial" w:cs="Arial" w:eastAsia="Arial" w:hAnsi="Arial"/>
          <w:sz w:val="17"/>
          <w:szCs w:val="17"/>
          <w:color w:val="auto"/>
        </w:rPr>
        <w:t>Vested RSUs shall be settled within ten (10) days following the Vesting Date for such RSUs in shares of Class A Common Stock, or cash, as determined by the Committee in its sole discretion.</w:t>
      </w:r>
    </w:p>
    <w:p>
      <w:pPr>
        <w:spacing w:after="0" w:line="158" w:lineRule="exact"/>
        <w:rPr>
          <w:rFonts w:ascii="Arial" w:cs="Arial" w:eastAsia="Arial" w:hAnsi="Arial"/>
          <w:sz w:val="17"/>
          <w:szCs w:val="17"/>
          <w:color w:val="auto"/>
        </w:rPr>
      </w:pPr>
    </w:p>
    <w:p>
      <w:pPr>
        <w:jc w:val="both"/>
        <w:ind w:left="6" w:right="260" w:hanging="6"/>
        <w:spacing w:after="0" w:line="290" w:lineRule="auto"/>
        <w:tabs>
          <w:tab w:leader="none" w:pos="492" w:val="left"/>
        </w:tabs>
        <w:numPr>
          <w:ilvl w:val="0"/>
          <w:numId w:val="33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Dividend Equivalents. </w:t>
      </w:r>
      <w:r>
        <w:rPr>
          <w:rFonts w:ascii="Arial" w:cs="Arial" w:eastAsia="Arial" w:hAnsi="Arial"/>
          <w:sz w:val="16"/>
          <w:szCs w:val="16"/>
          <w:color w:val="auto"/>
        </w:rPr>
        <w:t>In the event of any issuance of a cash dividend on the shares of Class A Common Stock (a “</w:t>
      </w:r>
      <w:r>
        <w:rPr>
          <w:rFonts w:ascii="Arial" w:cs="Arial" w:eastAsia="Arial" w:hAnsi="Arial"/>
          <w:sz w:val="16"/>
          <w:szCs w:val="16"/>
          <w:u w:val="single" w:color="auto"/>
          <w:color w:val="auto"/>
        </w:rPr>
        <w:t>Dividend</w:t>
      </w:r>
      <w:r>
        <w:rPr>
          <w:rFonts w:ascii="Arial" w:cs="Arial" w:eastAsia="Arial" w:hAnsi="Arial"/>
          <w:sz w:val="16"/>
          <w:szCs w:val="16"/>
          <w:color w:val="auto"/>
        </w:rPr>
        <w:t>”), the Participant shall</w:t>
      </w:r>
      <w:r>
        <w:rPr>
          <w:rFonts w:ascii="Arial" w:cs="Arial" w:eastAsia="Arial" w:hAnsi="Arial"/>
          <w:sz w:val="16"/>
          <w:szCs w:val="16"/>
          <w:b w:val="1"/>
          <w:bCs w:val="1"/>
          <w:color w:val="auto"/>
        </w:rPr>
        <w:t xml:space="preserve"> </w:t>
      </w:r>
      <w:r>
        <w:rPr>
          <w:rFonts w:ascii="Arial" w:cs="Arial" w:eastAsia="Arial" w:hAnsi="Arial"/>
          <w:sz w:val="16"/>
          <w:szCs w:val="16"/>
          <w:color w:val="auto"/>
        </w:rPr>
        <w:t>be entitled to receive, with respect to each RSU granted pursuant to this Agreement and outstanding as of the record date for such Dividend, payment of an amount equal to the Dividend at the same time as the Dividend is paid to holders of shares of Class A Common Stock generally.</w:t>
      </w:r>
    </w:p>
    <w:p>
      <w:pPr>
        <w:spacing w:after="0" w:line="149" w:lineRule="exact"/>
        <w:rPr>
          <w:rFonts w:ascii="Arial" w:cs="Arial" w:eastAsia="Arial" w:hAnsi="Arial"/>
          <w:sz w:val="16"/>
          <w:szCs w:val="16"/>
          <w:b w:val="1"/>
          <w:bCs w:val="1"/>
          <w:color w:val="auto"/>
        </w:rPr>
      </w:pPr>
    </w:p>
    <w:p>
      <w:pPr>
        <w:ind w:left="6" w:hanging="6"/>
        <w:spacing w:after="0" w:line="207" w:lineRule="auto"/>
        <w:tabs>
          <w:tab w:leader="none" w:pos="492" w:val="left"/>
        </w:tabs>
        <w:numPr>
          <w:ilvl w:val="0"/>
          <w:numId w:val="33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Termination of Employment or Service. </w:t>
      </w:r>
      <w:r>
        <w:rPr>
          <w:rFonts w:ascii="Arial" w:cs="Arial" w:eastAsia="Arial" w:hAnsi="Arial"/>
          <w:sz w:val="17"/>
          <w:szCs w:val="17"/>
          <w:color w:val="auto"/>
        </w:rPr>
        <w:t>If the Participant’s employment or service with the Company and its Affiliates terminates for any reason, all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unvested RSUs shall be cancelled immediately and the Participant shall not be entitled to receive any payments with respect thereto;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of the Participant’s Retirement (as defined below) and compliance with the terms thereof, the RSUs shall continue vesting in accordance with the terms of this Agreement as if the Participant remained employed through each Vesting Date (subject to the forfeiture provisions of the Plan and the clawback provisions set forth herein). For purposes of this Agreement, “</w:t>
      </w:r>
      <w:r>
        <w:rPr>
          <w:rFonts w:ascii="Arial" w:cs="Arial" w:eastAsia="Arial" w:hAnsi="Arial"/>
          <w:sz w:val="17"/>
          <w:szCs w:val="17"/>
          <w:u w:val="single" w:color="auto"/>
          <w:color w:val="auto"/>
        </w:rPr>
        <w:t>Retirement</w:t>
      </w:r>
      <w:r>
        <w:rPr>
          <w:rFonts w:ascii="Arial" w:cs="Arial" w:eastAsia="Arial" w:hAnsi="Arial"/>
          <w:sz w:val="17"/>
          <w:szCs w:val="17"/>
          <w:color w:val="auto"/>
        </w:rPr>
        <w:t>” means a determination by the Company, in its sole and absolute discretion, that the Participant has had a retirement from the Company and its Affiliates upon a voluntary resignation of employment by the Participant (i) after the Participant completed a minimum of five (5) full years of service as an employee of the Company and its Affiliates (regardless of whether such service is continuous), (ii) the Participant having attained the age of fifty (50) at the time of termination, (iii) the sum of the Participant’s years of service and age equals or exceeds sixty-five (65) at the time of termination, (iv) the Participant has entered into and complies with the terms of a non-compete agreement with a term equal to the greater of</w:t>
      </w:r>
    </w:p>
    <w:p>
      <w:pPr>
        <w:spacing w:after="0" w:line="3" w:lineRule="exact"/>
        <w:rPr>
          <w:rFonts w:ascii="Arial" w:cs="Arial" w:eastAsia="Arial" w:hAnsi="Arial"/>
          <w:sz w:val="17"/>
          <w:szCs w:val="17"/>
          <w:b w:val="1"/>
          <w:bCs w:val="1"/>
          <w:color w:val="auto"/>
        </w:rPr>
      </w:pPr>
    </w:p>
    <w:p>
      <w:pPr>
        <w:ind w:left="6" w:right="40"/>
        <w:spacing w:after="0" w:line="239" w:lineRule="auto"/>
        <w:rPr>
          <w:rFonts w:ascii="Arial" w:cs="Arial" w:eastAsia="Arial" w:hAnsi="Arial"/>
          <w:sz w:val="17"/>
          <w:szCs w:val="17"/>
          <w:b w:val="1"/>
          <w:bCs w:val="1"/>
          <w:color w:val="auto"/>
        </w:rPr>
      </w:pPr>
      <w:r>
        <w:rPr>
          <w:rFonts w:ascii="Arial" w:cs="Arial" w:eastAsia="Arial" w:hAnsi="Arial"/>
          <w:sz w:val="17"/>
          <w:szCs w:val="17"/>
          <w:color w:val="auto"/>
        </w:rPr>
        <w:t>(x) two years and (y) the remaining period up to and including the Vesting Date in a form to be provided by the Company and (v) the Participant has duly executed, delivered and not revoked a customary release and waiver of all claims in a form acceptable to the Company. For the avoidance of doubt, any failure to comply with the terms of such non-compete agreement will result in the forfeiture of any unvested RSUs.</w:t>
      </w:r>
    </w:p>
    <w:p>
      <w:pPr>
        <w:spacing w:after="0" w:line="165" w:lineRule="exact"/>
        <w:rPr>
          <w:rFonts w:ascii="Arial" w:cs="Arial" w:eastAsia="Arial" w:hAnsi="Arial"/>
          <w:sz w:val="17"/>
          <w:szCs w:val="17"/>
          <w:b w:val="1"/>
          <w:bCs w:val="1"/>
          <w:color w:val="auto"/>
        </w:rPr>
      </w:pPr>
    </w:p>
    <w:p>
      <w:pPr>
        <w:ind w:left="6" w:right="40" w:hanging="6"/>
        <w:spacing w:after="0" w:line="232" w:lineRule="auto"/>
        <w:tabs>
          <w:tab w:leader="none" w:pos="492" w:val="left"/>
        </w:tabs>
        <w:numPr>
          <w:ilvl w:val="0"/>
          <w:numId w:val="33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Rights as a Stockholder. </w:t>
      </w:r>
      <w:r>
        <w:rPr>
          <w:rFonts w:ascii="Arial" w:cs="Arial" w:eastAsia="Arial" w:hAnsi="Arial"/>
          <w:sz w:val="16"/>
          <w:szCs w:val="16"/>
          <w:color w:val="auto"/>
        </w:rPr>
        <w:t>The Participant shall not be deemed for any purpose to be the owner of any shares of Class A Common Stock constituting the</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or underlying the RSUs unless, until and to the extent that (i) the Company shall have issued and delivered to the Participant the shares of Class A Common Stock constituting the Shares or underlying the RSUs and (ii) the Participant’s name shall have been entered as a stockholder of record with respect to such shares of Class A Common Stock on the books of the Company. The Company shall cause the actions described in clauses (i) and (ii) of the preceding sentence to occur promptly following settlement as contemplated by this Agreement, subject to compliance with applicable laws.</w:t>
      </w:r>
    </w:p>
    <w:p>
      <w:pPr>
        <w:spacing w:after="0" w:line="164" w:lineRule="exact"/>
        <w:rPr>
          <w:rFonts w:ascii="Arial" w:cs="Arial" w:eastAsia="Arial" w:hAnsi="Arial"/>
          <w:sz w:val="16"/>
          <w:szCs w:val="16"/>
          <w:b w:val="1"/>
          <w:bCs w:val="1"/>
          <w:color w:val="auto"/>
        </w:rPr>
      </w:pPr>
    </w:p>
    <w:p>
      <w:pPr>
        <w:ind w:left="566" w:hanging="566"/>
        <w:spacing w:after="0"/>
        <w:tabs>
          <w:tab w:leader="none" w:pos="566" w:val="left"/>
        </w:tabs>
        <w:numPr>
          <w:ilvl w:val="0"/>
          <w:numId w:val="335"/>
        </w:numPr>
        <w:rPr>
          <w:rFonts w:ascii="Arial" w:cs="Arial" w:eastAsia="Arial" w:hAnsi="Arial"/>
          <w:sz w:val="17"/>
          <w:szCs w:val="17"/>
          <w:b w:val="1"/>
          <w:bCs w:val="1"/>
          <w:color w:val="auto"/>
        </w:rPr>
      </w:pPr>
      <w:r>
        <w:rPr>
          <w:rFonts w:ascii="Arial" w:cs="Arial" w:eastAsia="Arial" w:hAnsi="Arial"/>
          <w:sz w:val="17"/>
          <w:szCs w:val="17"/>
          <w:b w:val="1"/>
          <w:bCs w:val="1"/>
          <w:color w:val="auto"/>
        </w:rPr>
        <w:t>Compliance with Legal Re quirements.</w:t>
      </w:r>
    </w:p>
    <w:p>
      <w:pPr>
        <w:spacing w:after="0" w:line="189" w:lineRule="exact"/>
        <w:rPr>
          <w:rFonts w:ascii="Arial" w:cs="Arial" w:eastAsia="Arial" w:hAnsi="Arial"/>
          <w:sz w:val="17"/>
          <w:szCs w:val="17"/>
          <w:b w:val="1"/>
          <w:bCs w:val="1"/>
          <w:color w:val="auto"/>
        </w:rPr>
      </w:pPr>
    </w:p>
    <w:p>
      <w:pPr>
        <w:ind w:left="6" w:right="80" w:firstLine="563"/>
        <w:spacing w:after="0" w:line="216" w:lineRule="auto"/>
        <w:tabs>
          <w:tab w:leader="none" w:pos="1063" w:val="left"/>
        </w:tabs>
        <w:numPr>
          <w:ilvl w:val="1"/>
          <w:numId w:val="335"/>
        </w:numPr>
        <w:rPr>
          <w:rFonts w:ascii="Arial" w:cs="Arial" w:eastAsia="Arial" w:hAnsi="Arial"/>
          <w:sz w:val="17"/>
          <w:szCs w:val="17"/>
          <w:color w:val="auto"/>
        </w:rPr>
      </w:pPr>
      <w:r>
        <w:rPr>
          <w:rFonts w:ascii="Arial" w:cs="Arial" w:eastAsia="Arial" w:hAnsi="Arial"/>
          <w:sz w:val="17"/>
          <w:szCs w:val="17"/>
          <w:u w:val="single" w:color="auto"/>
          <w:color w:val="auto"/>
        </w:rPr>
        <w:t>Generally</w:t>
      </w:r>
      <w:r>
        <w:rPr>
          <w:rFonts w:ascii="Arial" w:cs="Arial" w:eastAsia="Arial" w:hAnsi="Arial"/>
          <w:sz w:val="17"/>
          <w:szCs w:val="17"/>
          <w:color w:val="auto"/>
        </w:rPr>
        <w:t>. The granting of the Shares and the granting and settlement of the RSUs, and any other obligations of the Company under this Agreement, shall be subject to all applicable U.S. federal, state and local laws, rules and regulations, all applicable non-U.S. laws, rules and regulations and to such approvals by any regulatory or governmental agency as may be required. The Participant agrees to take all steps the Committee or the Company determines are reasonably necessary to comply with all applicable provisions of U.S. federal and state securities law and non-U.S. securities law in exercising his rights under this Agreement.</w:t>
      </w:r>
    </w:p>
    <w:p>
      <w:pPr>
        <w:sectPr>
          <w:pgSz w:w="11900" w:h="16838" w:orient="portrait"/>
          <w:cols w:equalWidth="0" w:num="1">
            <w:col w:w="11066"/>
          </w:cols>
          <w:pgMar w:left="394" w:top="1237" w:right="439" w:bottom="1440" w:gutter="0" w:footer="0" w:header="0"/>
        </w:sectPr>
      </w:pPr>
    </w:p>
    <w:bookmarkStart w:id="406" w:name="page407"/>
    <w:bookmarkEnd w:id="406"/>
    <w:p>
      <w:pPr>
        <w:ind w:left="6" w:right="80" w:firstLine="563"/>
        <w:spacing w:after="0" w:line="224" w:lineRule="auto"/>
        <w:tabs>
          <w:tab w:leader="none" w:pos="1061" w:val="left"/>
        </w:tabs>
        <w:numPr>
          <w:ilvl w:val="1"/>
          <w:numId w:val="336"/>
        </w:numPr>
        <w:rPr>
          <w:rFonts w:ascii="Arial" w:cs="Arial" w:eastAsia="Arial" w:hAnsi="Arial"/>
          <w:sz w:val="16"/>
          <w:szCs w:val="16"/>
          <w:color w:val="auto"/>
        </w:rPr>
      </w:pPr>
      <w:r>
        <w:rPr>
          <w:rFonts w:ascii="Arial" w:cs="Arial" w:eastAsia="Arial" w:hAnsi="Arial"/>
          <w:sz w:val="16"/>
          <w:szCs w:val="16"/>
          <w:u w:val="single" w:color="auto"/>
          <w:color w:val="auto"/>
        </w:rPr>
        <w:t>Taxes and Withholding</w:t>
      </w:r>
      <w:r>
        <w:rPr>
          <w:rFonts w:ascii="Arial" w:cs="Arial" w:eastAsia="Arial" w:hAnsi="Arial"/>
          <w:sz w:val="16"/>
          <w:szCs w:val="16"/>
          <w:color w:val="auto"/>
        </w:rPr>
        <w:t>. The grant of the Shares and the vesting and settlement of the RSUs shall be subject to the Participant satisfying any applicable U.S. federal, state and local tax withholding obligations and non-U.S. tax withholding obligations. The Participant shall be required to pay to the Company, and the Company shall have the right and is hereby authorized to withhold any cash, shares of Class A Common Stock, other securities or other property or from any compensation or other amounts owing to the Participant, the amount (in cash, Class A Common Stock, other securities or other property) of any required withholding taxes in respect of the Shares or in respect of the RSUs, settlement of the RSUs or any payment or transfer of the RSUs, and to take any such other action as the Committee or the Company deem necessary to satisfy all obligations for the payment of such withholding taxes. In its sole discretion, the Company may permit the Participant to satisfy, in whole or in part, the tax obligations by (A) withholding shares of Class A Common Stock from the Shares having a Fair Market Value equal to such withholding liability and (B) withholding shares of Class A Common Stock that would otherwise be deliverable to the Participant upon settlement of the RSUs with a Fair Market Value equal to such withholding liability.</w:t>
      </w:r>
    </w:p>
    <w:p>
      <w:pPr>
        <w:spacing w:after="0" w:line="153" w:lineRule="exact"/>
        <w:rPr>
          <w:rFonts w:ascii="Arial" w:cs="Arial" w:eastAsia="Arial" w:hAnsi="Arial"/>
          <w:sz w:val="16"/>
          <w:szCs w:val="16"/>
          <w:color w:val="auto"/>
        </w:rPr>
      </w:pPr>
    </w:p>
    <w:p>
      <w:pPr>
        <w:ind w:left="6" w:right="60" w:hanging="6"/>
        <w:spacing w:after="0" w:line="222" w:lineRule="auto"/>
        <w:tabs>
          <w:tab w:leader="none" w:pos="492" w:val="left"/>
        </w:tabs>
        <w:numPr>
          <w:ilvl w:val="0"/>
          <w:numId w:val="33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Clawback. </w:t>
      </w:r>
      <w:r>
        <w:rPr>
          <w:rFonts w:ascii="Arial" w:cs="Arial" w:eastAsia="Arial" w:hAnsi="Arial"/>
          <w:sz w:val="16"/>
          <w:szCs w:val="16"/>
          <w:color w:val="auto"/>
        </w:rPr>
        <w:t>Notwithstanding anything to the contrary contained herein, the Committee may cancel the Shares and RSU award if the Participant, without</w:t>
      </w:r>
      <w:r>
        <w:rPr>
          <w:rFonts w:ascii="Arial" w:cs="Arial" w:eastAsia="Arial" w:hAnsi="Arial"/>
          <w:sz w:val="16"/>
          <w:szCs w:val="16"/>
          <w:b w:val="1"/>
          <w:bCs w:val="1"/>
          <w:color w:val="auto"/>
        </w:rPr>
        <w:t xml:space="preserve"> </w:t>
      </w:r>
      <w:r>
        <w:rPr>
          <w:rFonts w:ascii="Arial" w:cs="Arial" w:eastAsia="Arial" w:hAnsi="Arial"/>
          <w:sz w:val="16"/>
          <w:szCs w:val="16"/>
          <w:color w:val="auto"/>
        </w:rPr>
        <w:t>the consent of the Company, has engaged in or engages in activity that is in conflict with or adverse to the interest of the Company or any Affiliate while employed by or providing services to the Company or any Affiliate, including fraud or conduct contributing to any financial restatements or irregularities, or violates a non-competition, non-solicitation, non-disparagement, non-disclosure or confidentiality covenant or agreement with the Company or any Affiliate, as determined by the Committee. In such event, the Participant will forfeit any compensation, gain or other value realized previously or thereafter on the vesting or settlement of the RSUs, the sale or other transfer of the Shares and the RSUs, or the sale of shares of Class A Common Stock acquired in respect of the RSUs, and must promptly repay such amounts to the Company. If the Participant receives any amount in excess of what the Participant should have received with respect to the Shares or under the terms of the RSUs for any reason (including without limitation by reason of a financial restatement, mistake in calculations or other administrative error), all as determined by the Committee, then the Participant shall be required to promptly repay any such excess amount to the Company. To the extent required by applicable law and/or the rules and regulations of NASDAQ or any other securities exchange or inter-dealer quotation system on which the Class A Common Stock is listed or quoted, or if so required pursuant to a written policy adopted by the Company, the Shares and the RSUs shall be subject (including on a retroactive basis) to clawback, forfeiture or similar requirements (and such requirements shall be deemed incorporated by reference into this Agreement).</w:t>
      </w:r>
    </w:p>
    <w:p>
      <w:pPr>
        <w:spacing w:after="0" w:line="167" w:lineRule="exact"/>
        <w:rPr>
          <w:rFonts w:ascii="Arial" w:cs="Arial" w:eastAsia="Arial" w:hAnsi="Arial"/>
          <w:sz w:val="16"/>
          <w:szCs w:val="16"/>
          <w:b w:val="1"/>
          <w:bCs w:val="1"/>
          <w:color w:val="auto"/>
        </w:rPr>
      </w:pPr>
    </w:p>
    <w:p>
      <w:pPr>
        <w:ind w:left="566" w:hanging="566"/>
        <w:spacing w:after="0"/>
        <w:tabs>
          <w:tab w:leader="none" w:pos="566" w:val="left"/>
        </w:tabs>
        <w:numPr>
          <w:ilvl w:val="0"/>
          <w:numId w:val="337"/>
        </w:numPr>
        <w:rPr>
          <w:rFonts w:ascii="Arial" w:cs="Arial" w:eastAsia="Arial" w:hAnsi="Arial"/>
          <w:sz w:val="17"/>
          <w:szCs w:val="17"/>
          <w:b w:val="1"/>
          <w:bCs w:val="1"/>
          <w:color w:val="auto"/>
        </w:rPr>
      </w:pPr>
      <w:r>
        <w:rPr>
          <w:rFonts w:ascii="Arial" w:cs="Arial" w:eastAsia="Arial" w:hAnsi="Arial"/>
          <w:sz w:val="17"/>
          <w:szCs w:val="17"/>
          <w:b w:val="1"/>
          <w:bCs w:val="1"/>
          <w:color w:val="auto"/>
        </w:rPr>
        <w:t>Contractual Obligations.</w:t>
      </w:r>
    </w:p>
    <w:p>
      <w:pPr>
        <w:spacing w:after="0" w:line="153" w:lineRule="exact"/>
        <w:rPr>
          <w:rFonts w:ascii="Arial" w:cs="Arial" w:eastAsia="Arial" w:hAnsi="Arial"/>
          <w:sz w:val="17"/>
          <w:szCs w:val="17"/>
          <w:b w:val="1"/>
          <w:bCs w:val="1"/>
          <w:color w:val="auto"/>
        </w:rPr>
      </w:pPr>
    </w:p>
    <w:p>
      <w:pPr>
        <w:ind w:left="6" w:firstLine="563"/>
        <w:spacing w:after="0" w:line="262" w:lineRule="auto"/>
        <w:tabs>
          <w:tab w:leader="none" w:pos="1063" w:val="left"/>
        </w:tabs>
        <w:numPr>
          <w:ilvl w:val="1"/>
          <w:numId w:val="337"/>
        </w:numPr>
        <w:rPr>
          <w:rFonts w:ascii="Arial" w:cs="Arial" w:eastAsia="Arial" w:hAnsi="Arial"/>
          <w:sz w:val="17"/>
          <w:szCs w:val="17"/>
          <w:color w:val="auto"/>
        </w:rPr>
      </w:pPr>
      <w:r>
        <w:rPr>
          <w:rFonts w:ascii="Arial" w:cs="Arial" w:eastAsia="Arial" w:hAnsi="Arial"/>
          <w:sz w:val="17"/>
          <w:szCs w:val="17"/>
          <w:color w:val="auto"/>
        </w:rPr>
        <w:t xml:space="preserve">Nothing in this Agreement shall supersede, modify, replace or cancel any existing contractual obligations, including but not limited to restrictive covenants, applicable to you in </w:t>
      </w:r>
      <w:r>
        <w:rPr>
          <w:rFonts w:ascii="Arial" w:cs="Arial" w:eastAsia="Arial" w:hAnsi="Arial"/>
          <w:sz w:val="17"/>
          <w:szCs w:val="17"/>
          <w:i w:val="1"/>
          <w:iCs w:val="1"/>
          <w:u w:val="single" w:color="auto"/>
          <w:color w:val="auto"/>
        </w:rPr>
        <w:t>any</w:t>
      </w:r>
      <w:r>
        <w:rPr>
          <w:rFonts w:ascii="Arial" w:cs="Arial" w:eastAsia="Arial" w:hAnsi="Arial"/>
          <w:sz w:val="17"/>
          <w:szCs w:val="17"/>
          <w:color w:val="auto"/>
        </w:rPr>
        <w:t xml:space="preserve"> employment agreement, offer letter, prior equity award agreement or any other agreement or contract with the Company or its Affiliates.</w:t>
      </w:r>
    </w:p>
    <w:p>
      <w:pPr>
        <w:spacing w:after="0" w:line="164" w:lineRule="exact"/>
        <w:rPr>
          <w:rFonts w:ascii="Arial" w:cs="Arial" w:eastAsia="Arial" w:hAnsi="Arial"/>
          <w:sz w:val="17"/>
          <w:szCs w:val="17"/>
          <w:color w:val="auto"/>
        </w:rPr>
      </w:pPr>
    </w:p>
    <w:p>
      <w:pPr>
        <w:ind w:left="6" w:right="100" w:firstLine="563"/>
        <w:spacing w:after="0" w:line="216" w:lineRule="auto"/>
        <w:tabs>
          <w:tab w:leader="none" w:pos="1061" w:val="left"/>
        </w:tabs>
        <w:numPr>
          <w:ilvl w:val="1"/>
          <w:numId w:val="337"/>
        </w:numPr>
        <w:rPr>
          <w:rFonts w:ascii="Arial" w:cs="Arial" w:eastAsia="Arial" w:hAnsi="Arial"/>
          <w:sz w:val="17"/>
          <w:szCs w:val="17"/>
          <w:color w:val="auto"/>
        </w:rPr>
      </w:pPr>
      <w:r>
        <w:rPr>
          <w:rFonts w:ascii="Arial" w:cs="Arial" w:eastAsia="Arial" w:hAnsi="Arial"/>
          <w:sz w:val="17"/>
          <w:szCs w:val="17"/>
          <w:color w:val="auto"/>
        </w:rPr>
        <w:t>In the event that the Participant violates any of the contractual obligations referred to in this Section 8, in addition to any other remedy which may be available at law or in equity, the RSUs shall be automatically forfeited effective as of the date on which such violation first occurs. The foregoing rights and remedies are in addition to any other rights and remedies that may be available to the Company and shall not prevent (and the Participant shall not assert that they shall prevent) the Company from bringing one or more actions in any applicable jurisdiction to recover damages as a result of the Participant’s breach of such restrictive covenants.</w:t>
      </w:r>
    </w:p>
    <w:p>
      <w:pPr>
        <w:sectPr>
          <w:pgSz w:w="11900" w:h="16838" w:orient="portrait"/>
          <w:cols w:equalWidth="0" w:num="1">
            <w:col w:w="11086"/>
          </w:cols>
          <w:pgMar w:left="394" w:top="1438" w:right="419" w:bottom="1440" w:gutter="0" w:footer="0" w:header="0"/>
        </w:sectPr>
      </w:pPr>
    </w:p>
    <w:bookmarkStart w:id="407" w:name="page408"/>
    <w:bookmarkEnd w:id="407"/>
    <w:p>
      <w:pPr>
        <w:ind w:left="566" w:hanging="566"/>
        <w:spacing w:after="0"/>
        <w:tabs>
          <w:tab w:leader="none" w:pos="566" w:val="left"/>
        </w:tabs>
        <w:numPr>
          <w:ilvl w:val="0"/>
          <w:numId w:val="338"/>
        </w:numPr>
        <w:rPr>
          <w:rFonts w:ascii="Arial" w:cs="Arial" w:eastAsia="Arial" w:hAnsi="Arial"/>
          <w:sz w:val="17"/>
          <w:szCs w:val="17"/>
          <w:b w:val="1"/>
          <w:bCs w:val="1"/>
          <w:color w:val="auto"/>
        </w:rPr>
      </w:pPr>
      <w:r>
        <w:rPr>
          <w:rFonts w:ascii="Arial" w:cs="Arial" w:eastAsia="Arial" w:hAnsi="Arial"/>
          <w:sz w:val="17"/>
          <w:szCs w:val="17"/>
          <w:b w:val="1"/>
          <w:bCs w:val="1"/>
          <w:color w:val="auto"/>
        </w:rPr>
        <w:t>Miscellaneous.</w:t>
      </w:r>
    </w:p>
    <w:p>
      <w:pPr>
        <w:spacing w:after="0" w:line="201" w:lineRule="exact"/>
        <w:rPr>
          <w:rFonts w:ascii="Arial" w:cs="Arial" w:eastAsia="Arial" w:hAnsi="Arial"/>
          <w:sz w:val="17"/>
          <w:szCs w:val="17"/>
          <w:b w:val="1"/>
          <w:bCs w:val="1"/>
          <w:color w:val="auto"/>
        </w:rPr>
      </w:pPr>
    </w:p>
    <w:p>
      <w:pPr>
        <w:ind w:left="6" w:right="80" w:firstLine="563"/>
        <w:spacing w:after="0" w:line="220" w:lineRule="auto"/>
        <w:tabs>
          <w:tab w:leader="none" w:pos="1063" w:val="left"/>
        </w:tabs>
        <w:numPr>
          <w:ilvl w:val="1"/>
          <w:numId w:val="338"/>
        </w:numPr>
        <w:rPr>
          <w:rFonts w:ascii="Arial" w:cs="Arial" w:eastAsia="Arial" w:hAnsi="Arial"/>
          <w:sz w:val="17"/>
          <w:szCs w:val="17"/>
          <w:color w:val="auto"/>
        </w:rPr>
      </w:pPr>
      <w:r>
        <w:rPr>
          <w:rFonts w:ascii="Arial" w:cs="Arial" w:eastAsia="Arial" w:hAnsi="Arial"/>
          <w:sz w:val="17"/>
          <w:szCs w:val="17"/>
          <w:u w:val="single" w:color="auto"/>
          <w:color w:val="auto"/>
        </w:rPr>
        <w:t>Transferability</w:t>
      </w:r>
      <w:r>
        <w:rPr>
          <w:rFonts w:ascii="Arial" w:cs="Arial" w:eastAsia="Arial" w:hAnsi="Arial"/>
          <w:sz w:val="17"/>
          <w:szCs w:val="17"/>
          <w:color w:val="auto"/>
        </w:rPr>
        <w:t>. The RSUs may not be assigned, alienated, pledged, attached, sold or otherwise transferred or encumbered (a “</w:t>
      </w:r>
      <w:r>
        <w:rPr>
          <w:rFonts w:ascii="Arial" w:cs="Arial" w:eastAsia="Arial" w:hAnsi="Arial"/>
          <w:sz w:val="17"/>
          <w:szCs w:val="17"/>
          <w:u w:val="single" w:color="auto"/>
          <w:color w:val="auto"/>
        </w:rPr>
        <w:t>Transfer</w:t>
      </w:r>
      <w:r>
        <w:rPr>
          <w:rFonts w:ascii="Arial" w:cs="Arial" w:eastAsia="Arial" w:hAnsi="Arial"/>
          <w:sz w:val="17"/>
          <w:szCs w:val="17"/>
          <w:color w:val="auto"/>
        </w:rPr>
        <w:t>”) by the Participant other than by will or by the laws of descent and distribution, pursuant to a qualified domestic relations order or as otherwise permitted under Section 15(b) of the Plan. Any attempted Transfer of the RSUs contrary to the provisions hereof, and the levy of any execution, attachment or similar process upon the RSUs, shall be null and void and without effect.</w:t>
      </w:r>
    </w:p>
    <w:p>
      <w:pPr>
        <w:spacing w:after="0" w:line="242" w:lineRule="exact"/>
        <w:rPr>
          <w:rFonts w:ascii="Arial" w:cs="Arial" w:eastAsia="Arial" w:hAnsi="Arial"/>
          <w:sz w:val="17"/>
          <w:szCs w:val="17"/>
          <w:color w:val="auto"/>
        </w:rPr>
      </w:pPr>
    </w:p>
    <w:p>
      <w:pPr>
        <w:ind w:left="6" w:firstLine="563"/>
        <w:spacing w:after="0" w:line="257" w:lineRule="auto"/>
        <w:tabs>
          <w:tab w:leader="none" w:pos="1061" w:val="left"/>
        </w:tabs>
        <w:numPr>
          <w:ilvl w:val="1"/>
          <w:numId w:val="338"/>
        </w:numPr>
        <w:rPr>
          <w:rFonts w:ascii="Arial" w:cs="Arial" w:eastAsia="Arial" w:hAnsi="Arial"/>
          <w:sz w:val="17"/>
          <w:szCs w:val="17"/>
          <w:color w:val="auto"/>
        </w:rPr>
      </w:pPr>
      <w:r>
        <w:rPr>
          <w:rFonts w:ascii="Arial" w:cs="Arial" w:eastAsia="Arial" w:hAnsi="Arial"/>
          <w:sz w:val="17"/>
          <w:szCs w:val="17"/>
          <w:u w:val="single" w:color="auto"/>
          <w:color w:val="auto"/>
        </w:rPr>
        <w:t>Waiver</w:t>
      </w:r>
      <w:r>
        <w:rPr>
          <w:rFonts w:ascii="Arial" w:cs="Arial" w:eastAsia="Arial" w:hAnsi="Arial"/>
          <w:sz w:val="17"/>
          <w:szCs w:val="17"/>
          <w:color w:val="auto"/>
        </w:rPr>
        <w:t>. Any right of the Company contained in this Agreement may be waived in writing by the Committee. No waiver of any right hereunder by any party shall operate as a waiver of any other right, or as a waiver of the same right with respect to any subsequent occasion for its exercise, or as a waiver of any right to damages. No waiver by any party of any breach of this Agreement shall be held to constitute a waiver of any other breach or a waiver of the continuation of the same breach.</w:t>
      </w:r>
    </w:p>
    <w:p>
      <w:pPr>
        <w:spacing w:after="0" w:line="165" w:lineRule="exact"/>
        <w:rPr>
          <w:rFonts w:ascii="Arial" w:cs="Arial" w:eastAsia="Arial" w:hAnsi="Arial"/>
          <w:sz w:val="17"/>
          <w:szCs w:val="17"/>
          <w:color w:val="auto"/>
        </w:rPr>
      </w:pPr>
    </w:p>
    <w:p>
      <w:pPr>
        <w:ind w:left="1126" w:hanging="557"/>
        <w:spacing w:after="0"/>
        <w:tabs>
          <w:tab w:leader="none" w:pos="1126" w:val="left"/>
        </w:tabs>
        <w:numPr>
          <w:ilvl w:val="1"/>
          <w:numId w:val="338"/>
        </w:numPr>
        <w:rPr>
          <w:rFonts w:ascii="Arial" w:cs="Arial" w:eastAsia="Arial" w:hAnsi="Arial"/>
          <w:sz w:val="17"/>
          <w:szCs w:val="17"/>
          <w:color w:val="auto"/>
        </w:rPr>
      </w:pPr>
      <w:r>
        <w:rPr>
          <w:rFonts w:ascii="Arial" w:cs="Arial" w:eastAsia="Arial" w:hAnsi="Arial"/>
          <w:sz w:val="17"/>
          <w:szCs w:val="17"/>
          <w:u w:val="single" w:color="auto"/>
          <w:color w:val="auto"/>
        </w:rPr>
        <w:t>Section 409A</w:t>
      </w:r>
      <w:r>
        <w:rPr>
          <w:rFonts w:ascii="Arial" w:cs="Arial" w:eastAsia="Arial" w:hAnsi="Arial"/>
          <w:sz w:val="17"/>
          <w:szCs w:val="17"/>
          <w:color w:val="auto"/>
        </w:rPr>
        <w:t>. The RSUs are intended to be exempt from, or compliant with,</w:t>
      </w:r>
    </w:p>
    <w:p>
      <w:pPr>
        <w:ind w:left="6" w:right="220"/>
        <w:spacing w:after="0" w:line="223" w:lineRule="auto"/>
        <w:rPr>
          <w:sz w:val="20"/>
          <w:szCs w:val="20"/>
          <w:color w:val="auto"/>
        </w:rPr>
      </w:pPr>
      <w:r>
        <w:rPr>
          <w:rFonts w:ascii="Arial" w:cs="Arial" w:eastAsia="Arial" w:hAnsi="Arial"/>
          <w:sz w:val="16"/>
          <w:szCs w:val="16"/>
          <w:color w:val="auto"/>
        </w:rPr>
        <w:t>Section 409A of the Internal Revenue Code (“Code”). Notwithstanding the foregoing or any provision of the Plan or this Agreement, if any provision of the Plan or this Agreement contravenes Section 409A of the Code or could cause the Participant to incur any tax, interest or penalties under Section 409A of the Code, the Committee may, in its sole discretion and without the Participant’s consent, modify such provision to (i) comply with, or avoid being subject to, Section 409A of the Code, or to avoid the incurrence of taxes, interest and penalties under Section 409A of the Code, and/or (ii) maintain, to the maximum extent practicable, the original intent and economic benefit to the Participant of the applicable provision without materially increasing the cost to the Company or contravening the provisions of Section 409A of the Code. This Section 9(c) does not create an obligation on the part of the Company to modify the Plan or this Agreement and does not guarantee that the RSUs will not be subject to interest and penalties under Section 409A.</w:t>
      </w:r>
    </w:p>
    <w:p>
      <w:pPr>
        <w:spacing w:after="0" w:line="174" w:lineRule="exact"/>
        <w:rPr>
          <w:sz w:val="20"/>
          <w:szCs w:val="20"/>
          <w:color w:val="auto"/>
        </w:rPr>
      </w:pPr>
    </w:p>
    <w:p>
      <w:pPr>
        <w:ind w:left="6" w:right="160" w:firstLine="563"/>
        <w:spacing w:after="0" w:line="248" w:lineRule="auto"/>
        <w:tabs>
          <w:tab w:leader="none" w:pos="1061" w:val="left"/>
        </w:tabs>
        <w:numPr>
          <w:ilvl w:val="0"/>
          <w:numId w:val="339"/>
        </w:numPr>
        <w:rPr>
          <w:rFonts w:ascii="Arial" w:cs="Arial" w:eastAsia="Arial" w:hAnsi="Arial"/>
          <w:sz w:val="17"/>
          <w:szCs w:val="17"/>
          <w:color w:val="auto"/>
        </w:rPr>
      </w:pPr>
      <w:r>
        <w:rPr>
          <w:rFonts w:ascii="Arial" w:cs="Arial" w:eastAsia="Arial" w:hAnsi="Arial"/>
          <w:sz w:val="17"/>
          <w:szCs w:val="17"/>
          <w:u w:val="single" w:color="auto"/>
          <w:color w:val="auto"/>
        </w:rPr>
        <w:t>General Assets</w:t>
      </w:r>
      <w:r>
        <w:rPr>
          <w:rFonts w:ascii="Arial" w:cs="Arial" w:eastAsia="Arial" w:hAnsi="Arial"/>
          <w:sz w:val="17"/>
          <w:szCs w:val="17"/>
          <w:color w:val="auto"/>
        </w:rPr>
        <w:t>. All amounts credited in respect of the RSUs to the book-entry account under this Agreement shall continue for all purposes to be part of the general assets of the Company. The Participant’s interest in such account shall make the Participant only a general, unsecured creditor of the Company.</w:t>
      </w:r>
    </w:p>
    <w:p>
      <w:pPr>
        <w:spacing w:after="0" w:line="187" w:lineRule="exact"/>
        <w:rPr>
          <w:rFonts w:ascii="Arial" w:cs="Arial" w:eastAsia="Arial" w:hAnsi="Arial"/>
          <w:sz w:val="17"/>
          <w:szCs w:val="17"/>
          <w:color w:val="auto"/>
        </w:rPr>
      </w:pPr>
    </w:p>
    <w:p>
      <w:pPr>
        <w:ind w:left="6" w:right="260" w:firstLine="563"/>
        <w:spacing w:after="0" w:line="278" w:lineRule="auto"/>
        <w:tabs>
          <w:tab w:leader="none" w:pos="1063" w:val="left"/>
        </w:tabs>
        <w:numPr>
          <w:ilvl w:val="0"/>
          <w:numId w:val="339"/>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notices provided for in this Agreement or the Plan shall be in writing and shall be deemed sufficiently given if either hand delivered or if sent by fax, pdf/email or overnight courier, or by postage paid first class mail. Notices sent by mail shall be deemed received three business days after mailing but in no event later than the date of actual receipt. Notices shall be directed, if to the Participant, at the Participant’s address indicated by the Company’s records, or if to the Company, to the attention of the General Counsel at the Company’s principal executive office.</w:t>
      </w:r>
    </w:p>
    <w:p>
      <w:pPr>
        <w:spacing w:after="0" w:line="165" w:lineRule="exact"/>
        <w:rPr>
          <w:rFonts w:ascii="Arial" w:cs="Arial" w:eastAsia="Arial" w:hAnsi="Arial"/>
          <w:sz w:val="16"/>
          <w:szCs w:val="16"/>
          <w:color w:val="auto"/>
        </w:rPr>
      </w:pPr>
    </w:p>
    <w:p>
      <w:pPr>
        <w:ind w:left="6" w:right="60" w:firstLine="563"/>
        <w:spacing w:after="0" w:line="277" w:lineRule="auto"/>
        <w:tabs>
          <w:tab w:leader="none" w:pos="1056" w:val="left"/>
        </w:tabs>
        <w:numPr>
          <w:ilvl w:val="0"/>
          <w:numId w:val="339"/>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64" w:lineRule="exact"/>
        <w:rPr>
          <w:rFonts w:ascii="Arial" w:cs="Arial" w:eastAsia="Arial" w:hAnsi="Arial"/>
          <w:sz w:val="17"/>
          <w:szCs w:val="17"/>
          <w:color w:val="auto"/>
        </w:rPr>
      </w:pPr>
    </w:p>
    <w:p>
      <w:pPr>
        <w:ind w:left="6" w:right="80" w:firstLine="563"/>
        <w:spacing w:after="0" w:line="270" w:lineRule="auto"/>
        <w:tabs>
          <w:tab w:leader="none" w:pos="1061" w:val="left"/>
        </w:tabs>
        <w:numPr>
          <w:ilvl w:val="0"/>
          <w:numId w:val="339"/>
        </w:numPr>
        <w:rPr>
          <w:rFonts w:ascii="Arial" w:cs="Arial" w:eastAsia="Arial" w:hAnsi="Arial"/>
          <w:sz w:val="16"/>
          <w:szCs w:val="16"/>
          <w:color w:val="auto"/>
        </w:rPr>
      </w:pPr>
      <w:r>
        <w:rPr>
          <w:rFonts w:ascii="Arial" w:cs="Arial" w:eastAsia="Arial" w:hAnsi="Arial"/>
          <w:sz w:val="16"/>
          <w:szCs w:val="16"/>
          <w:u w:val="single" w:color="auto"/>
          <w:color w:val="auto"/>
        </w:rPr>
        <w:t>No Rights to Employment or Service</w:t>
      </w:r>
      <w:r>
        <w:rPr>
          <w:rFonts w:ascii="Arial" w:cs="Arial" w:eastAsia="Arial" w:hAnsi="Arial"/>
          <w:sz w:val="16"/>
          <w:szCs w:val="16"/>
          <w:color w:val="auto"/>
        </w:rPr>
        <w:t>. Nothing contained in this Agreement shall be construed as giving the Participant any right to be retained, in any position, as an employee, consultant or director of the Company or its Affiliates or shall interfere with or restrict in any way the rights of the Company or its Affiliates, which are hereby expressly reserved, to remove, terminate or discharge the Participant at any time for any reason whatsoever.</w:t>
      </w:r>
    </w:p>
    <w:p>
      <w:pPr>
        <w:sectPr>
          <w:pgSz w:w="11900" w:h="16838" w:orient="portrait"/>
          <w:cols w:equalWidth="0" w:num="1">
            <w:col w:w="11086"/>
          </w:cols>
          <w:pgMar w:left="394" w:top="1231" w:right="419" w:bottom="1440" w:gutter="0" w:footer="0" w:header="0"/>
        </w:sectPr>
      </w:pPr>
    </w:p>
    <w:bookmarkStart w:id="408" w:name="page409"/>
    <w:bookmarkEnd w:id="408"/>
    <w:p>
      <w:pPr>
        <w:ind w:left="-560" w:right="320" w:firstLine="563"/>
        <w:spacing w:after="0" w:line="262" w:lineRule="auto"/>
        <w:tabs>
          <w:tab w:leader="none" w:pos="495" w:val="left"/>
        </w:tabs>
        <w:numPr>
          <w:ilvl w:val="0"/>
          <w:numId w:val="340"/>
        </w:numPr>
        <w:rPr>
          <w:rFonts w:ascii="Arial" w:cs="Arial" w:eastAsia="Arial" w:hAnsi="Arial"/>
          <w:sz w:val="17"/>
          <w:szCs w:val="17"/>
          <w:color w:val="auto"/>
        </w:rPr>
      </w:pPr>
      <w:r>
        <w:rPr>
          <w:rFonts w:ascii="Arial" w:cs="Arial" w:eastAsia="Arial" w:hAnsi="Arial"/>
          <w:sz w:val="17"/>
          <w:szCs w:val="17"/>
          <w:u w:val="single" w:color="auto"/>
          <w:color w:val="auto"/>
        </w:rPr>
        <w:t>Fractional Shares</w:t>
      </w:r>
      <w:r>
        <w:rPr>
          <w:rFonts w:ascii="Arial" w:cs="Arial" w:eastAsia="Arial" w:hAnsi="Arial"/>
          <w:sz w:val="17"/>
          <w:szCs w:val="17"/>
          <w:color w:val="auto"/>
        </w:rPr>
        <w:t>. In lieu of issuing a fraction of a share of Class A Common Stock resulting from adjustment of the Shares or the RSUs pursuant to Section 12 of the Plan or otherwise, the Company shall be entitled to pay to the Participant an amount in cash equal to the Fair Market Value of such fractional share.</w:t>
      </w:r>
    </w:p>
    <w:p>
      <w:pPr>
        <w:spacing w:after="0" w:line="188" w:lineRule="exact"/>
        <w:rPr>
          <w:rFonts w:ascii="Arial" w:cs="Arial" w:eastAsia="Arial" w:hAnsi="Arial"/>
          <w:sz w:val="17"/>
          <w:szCs w:val="17"/>
          <w:color w:val="auto"/>
        </w:rPr>
      </w:pPr>
    </w:p>
    <w:p>
      <w:pPr>
        <w:ind w:left="-560" w:right="480" w:firstLine="563"/>
        <w:spacing w:after="0" w:line="277" w:lineRule="auto"/>
        <w:tabs>
          <w:tab w:leader="none" w:pos="492" w:val="left"/>
        </w:tabs>
        <w:numPr>
          <w:ilvl w:val="0"/>
          <w:numId w:val="340"/>
        </w:numPr>
        <w:rPr>
          <w:rFonts w:ascii="Arial" w:cs="Arial" w:eastAsia="Arial" w:hAnsi="Arial"/>
          <w:sz w:val="17"/>
          <w:szCs w:val="17"/>
          <w:color w:val="auto"/>
        </w:rPr>
      </w:pPr>
      <w:r>
        <w:rPr>
          <w:rFonts w:ascii="Arial" w:cs="Arial" w:eastAsia="Arial" w:hAnsi="Arial"/>
          <w:sz w:val="17"/>
          <w:szCs w:val="17"/>
          <w:u w:val="single" w:color="auto"/>
          <w:color w:val="auto"/>
        </w:rPr>
        <w:t>Beneficiary</w:t>
      </w:r>
      <w:r>
        <w:rPr>
          <w:rFonts w:ascii="Arial" w:cs="Arial" w:eastAsia="Arial" w:hAnsi="Arial"/>
          <w:sz w:val="17"/>
          <w:szCs w:val="17"/>
          <w:color w:val="auto"/>
        </w:rPr>
        <w:t>. The Participant may file with the Committee a written designation of a beneficiary on such form as may be prescribed by the Committee and may, from time to time, amend or revoke such designation.</w:t>
      </w:r>
    </w:p>
    <w:p>
      <w:pPr>
        <w:spacing w:after="0" w:line="164" w:lineRule="exact"/>
        <w:rPr>
          <w:rFonts w:ascii="Arial" w:cs="Arial" w:eastAsia="Arial" w:hAnsi="Arial"/>
          <w:sz w:val="17"/>
          <w:szCs w:val="17"/>
          <w:color w:val="auto"/>
        </w:rPr>
      </w:pPr>
    </w:p>
    <w:p>
      <w:pPr>
        <w:ind w:left="-560" w:right="200" w:firstLine="563"/>
        <w:spacing w:after="0" w:line="277" w:lineRule="auto"/>
        <w:tabs>
          <w:tab w:leader="none" w:pos="492" w:val="left"/>
        </w:tabs>
        <w:numPr>
          <w:ilvl w:val="0"/>
          <w:numId w:val="340"/>
        </w:numPr>
        <w:rPr>
          <w:rFonts w:ascii="Arial" w:cs="Arial" w:eastAsia="Arial" w:hAnsi="Arial"/>
          <w:sz w:val="17"/>
          <w:szCs w:val="17"/>
          <w:color w:val="auto"/>
        </w:rPr>
      </w:pPr>
      <w:r>
        <w:rPr>
          <w:rFonts w:ascii="Arial" w:cs="Arial" w:eastAsia="Arial" w:hAnsi="Arial"/>
          <w:sz w:val="17"/>
          <w:szCs w:val="17"/>
          <w:u w:val="single" w:color="auto"/>
          <w:color w:val="auto"/>
        </w:rPr>
        <w:t>Successors</w:t>
      </w:r>
      <w:r>
        <w:rPr>
          <w:rFonts w:ascii="Arial" w:cs="Arial" w:eastAsia="Arial" w:hAnsi="Arial"/>
          <w:sz w:val="17"/>
          <w:szCs w:val="17"/>
          <w:color w:val="auto"/>
        </w:rPr>
        <w:t>. The terms of this Agreement shall be binding upon and inure to the benefit of the Company and its successors and assigns, and of the Participant and the beneficiaries, executors, administrators, heirs and successors of the Participant.</w:t>
      </w:r>
    </w:p>
    <w:p>
      <w:pPr>
        <w:spacing w:after="0" w:line="164" w:lineRule="exact"/>
        <w:rPr>
          <w:rFonts w:ascii="Arial" w:cs="Arial" w:eastAsia="Arial" w:hAnsi="Arial"/>
          <w:sz w:val="17"/>
          <w:szCs w:val="17"/>
          <w:color w:val="auto"/>
        </w:rPr>
      </w:pPr>
    </w:p>
    <w:p>
      <w:pPr>
        <w:ind w:left="-560" w:right="320" w:firstLine="563"/>
        <w:spacing w:after="0" w:line="220" w:lineRule="auto"/>
        <w:tabs>
          <w:tab w:leader="none" w:pos="495" w:val="left"/>
        </w:tabs>
        <w:numPr>
          <w:ilvl w:val="0"/>
          <w:numId w:val="340"/>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and the Plan contain the entire agreement and understanding of the parties hereto with respect to the subject matter contained herein and supersede all prior communications, representations and negotiations in respect thereto, except as set forth in Section 8 hereof. No change, modification or waiver of any provision of this Agreement shall be valid unless the same be in writing and signed by the parties hereto, except for any changes permitted without consent under Section 12 or 14 of the Plan.</w:t>
      </w:r>
    </w:p>
    <w:p>
      <w:pPr>
        <w:spacing w:after="0" w:line="183" w:lineRule="exact"/>
        <w:rPr>
          <w:rFonts w:ascii="Arial" w:cs="Arial" w:eastAsia="Arial" w:hAnsi="Arial"/>
          <w:sz w:val="17"/>
          <w:szCs w:val="17"/>
          <w:color w:val="auto"/>
        </w:rPr>
      </w:pPr>
    </w:p>
    <w:p>
      <w:pPr>
        <w:ind w:left="-560" w:right="100" w:firstLine="563"/>
        <w:spacing w:after="0" w:line="248" w:lineRule="auto"/>
        <w:tabs>
          <w:tab w:leader="none" w:pos="492" w:val="left"/>
        </w:tabs>
        <w:numPr>
          <w:ilvl w:val="0"/>
          <w:numId w:val="340"/>
        </w:numPr>
        <w:rPr>
          <w:rFonts w:ascii="Arial" w:cs="Arial" w:eastAsia="Arial" w:hAnsi="Arial"/>
          <w:sz w:val="17"/>
          <w:szCs w:val="17"/>
          <w:color w:val="auto"/>
        </w:rPr>
      </w:pPr>
      <w:r>
        <w:rPr>
          <w:rFonts w:ascii="Arial" w:cs="Arial" w:eastAsia="Arial" w:hAnsi="Arial"/>
          <w:sz w:val="17"/>
          <w:szCs w:val="17"/>
          <w:u w:val="single" w:color="auto"/>
          <w:color w:val="auto"/>
        </w:rPr>
        <w:t>Governing Law and Venue</w:t>
      </w:r>
      <w:r>
        <w:rPr>
          <w:rFonts w:ascii="Arial" w:cs="Arial" w:eastAsia="Arial" w:hAnsi="Arial"/>
          <w:sz w:val="17"/>
          <w:szCs w:val="17"/>
          <w:color w:val="auto"/>
        </w:rPr>
        <w:t>. This Agreement shall be construed and interpreted in accordance with the laws of the State of Delaware, without regard to principles of conflicts of laws thereof, or principles of conflicts of laws of any other jurisdiction which could cause the application of the laws of any jurisdiction other than the State of Delaware.</w:t>
      </w:r>
    </w:p>
    <w:p>
      <w:pPr>
        <w:spacing w:after="0" w:line="163" w:lineRule="exact"/>
        <w:rPr>
          <w:rFonts w:ascii="Arial" w:cs="Arial" w:eastAsia="Arial" w:hAnsi="Arial"/>
          <w:sz w:val="17"/>
          <w:szCs w:val="17"/>
          <w:color w:val="auto"/>
        </w:rPr>
      </w:pPr>
    </w:p>
    <w:p>
      <w:pPr>
        <w:ind w:firstLine="572"/>
        <w:spacing w:after="0" w:line="225" w:lineRule="auto"/>
        <w:tabs>
          <w:tab w:leader="none" w:pos="1052" w:val="left"/>
        </w:tabs>
        <w:numPr>
          <w:ilvl w:val="2"/>
          <w:numId w:val="340"/>
        </w:numPr>
        <w:rPr>
          <w:rFonts w:ascii="Arial" w:cs="Arial" w:eastAsia="Arial" w:hAnsi="Arial"/>
          <w:sz w:val="16"/>
          <w:szCs w:val="16"/>
          <w:color w:val="auto"/>
        </w:rPr>
      </w:pPr>
      <w:r>
        <w:rPr>
          <w:rFonts w:ascii="Arial" w:cs="Arial" w:eastAsia="Arial" w:hAnsi="Arial"/>
          <w:sz w:val="16"/>
          <w:szCs w:val="16"/>
          <w:u w:val="single" w:color="auto"/>
          <w:color w:val="auto"/>
        </w:rPr>
        <w:t>Dispute Resolution; Consent to Jurisdiction</w:t>
      </w:r>
      <w:r>
        <w:rPr>
          <w:rFonts w:ascii="Arial" w:cs="Arial" w:eastAsia="Arial" w:hAnsi="Arial"/>
          <w:sz w:val="16"/>
          <w:szCs w:val="16"/>
          <w:color w:val="auto"/>
        </w:rPr>
        <w:t>. All disputes between or among any Persons arising out of or in any way connected with the Plan, this Agreement, the Shares or the RSUs shall be solely and finally settled by the Committee, acting in good faith, the determination of which shall be final. Any matters not covered by the preceding sentence shall be solely and finally settled in accordance with the Plan, and the Participant and the Company consent to the personal jurisdiction of the United States Federal and state courts sitting in Wilmington, Delaware as the exclusive jurisdiction with respect to matters arising out of or related to the enforcement of the Committee’s determinations and resolution of matters, if any, related to the Plan or this Agreement not required to be resolved by the Committee. Each such Person hereby irrevocably consents to the service of process of any of the aforementioned courts in any such suit, action or proceeding by the mailing of copies thereof by registered or certified mail, postage prepaid, to the last known address of such Person, such service to become effective ten (10) days after such mailing.</w:t>
      </w:r>
    </w:p>
    <w:p>
      <w:pPr>
        <w:spacing w:after="0" w:line="242" w:lineRule="exact"/>
        <w:rPr>
          <w:rFonts w:ascii="Arial" w:cs="Arial" w:eastAsia="Arial" w:hAnsi="Arial"/>
          <w:sz w:val="16"/>
          <w:szCs w:val="16"/>
          <w:color w:val="auto"/>
        </w:rPr>
      </w:pPr>
    </w:p>
    <w:p>
      <w:pPr>
        <w:ind w:right="140" w:firstLine="572"/>
        <w:spacing w:after="0" w:line="224" w:lineRule="auto"/>
        <w:tabs>
          <w:tab w:leader="none" w:pos="1053" w:val="left"/>
        </w:tabs>
        <w:numPr>
          <w:ilvl w:val="2"/>
          <w:numId w:val="340"/>
        </w:numPr>
        <w:rPr>
          <w:rFonts w:ascii="Arial" w:cs="Arial" w:eastAsia="Arial" w:hAnsi="Arial"/>
          <w:sz w:val="16"/>
          <w:szCs w:val="16"/>
          <w:color w:val="auto"/>
        </w:rPr>
      </w:pPr>
      <w:r>
        <w:rPr>
          <w:rFonts w:ascii="Arial" w:cs="Arial" w:eastAsia="Arial" w:hAnsi="Arial"/>
          <w:sz w:val="16"/>
          <w:szCs w:val="16"/>
          <w:u w:val="single" w:color="auto"/>
          <w:color w:val="auto"/>
        </w:rPr>
        <w:t>Waiver of Jury Trial</w:t>
      </w:r>
      <w:r>
        <w:rPr>
          <w:rFonts w:ascii="Arial" w:cs="Arial" w:eastAsia="Arial" w:hAnsi="Arial"/>
          <w:sz w:val="16"/>
          <w:szCs w:val="16"/>
          <w:color w:val="auto"/>
        </w:rPr>
        <w:t>. Each party hereto hereby waives, to the fullest extent permitted by applicable law, any right it may have to a trial by jury in any legal proceeding directly or indirectly arising out of or relating to this Agreement or the transactions contemplated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w:t>
      </w:r>
    </w:p>
    <w:p>
      <w:pPr>
        <w:spacing w:after="0" w:line="1" w:lineRule="exact"/>
        <w:rPr>
          <w:rFonts w:ascii="Arial" w:cs="Arial" w:eastAsia="Arial" w:hAnsi="Arial"/>
          <w:sz w:val="16"/>
          <w:szCs w:val="16"/>
          <w:color w:val="auto"/>
        </w:rPr>
      </w:pPr>
    </w:p>
    <w:p>
      <w:pPr>
        <w:ind w:left="280" w:hanging="277"/>
        <w:spacing w:after="0"/>
        <w:tabs>
          <w:tab w:leader="none" w:pos="280" w:val="left"/>
        </w:tabs>
        <w:numPr>
          <w:ilvl w:val="1"/>
          <w:numId w:val="340"/>
        </w:numPr>
        <w:rPr>
          <w:rFonts w:ascii="Arial" w:cs="Arial" w:eastAsia="Arial" w:hAnsi="Arial"/>
          <w:sz w:val="15"/>
          <w:szCs w:val="15"/>
          <w:color w:val="auto"/>
        </w:rPr>
      </w:pPr>
      <w:r>
        <w:rPr>
          <w:rFonts w:ascii="Arial" w:cs="Arial" w:eastAsia="Arial" w:hAnsi="Arial"/>
          <w:sz w:val="15"/>
          <w:szCs w:val="15"/>
          <w:color w:val="auto"/>
        </w:rPr>
        <w:t>acknowledges that it and the other parties hereto have been induced to enter into this Agreement by, among other things, the mutual waivers and</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certifications in this section.</w:t>
      </w:r>
    </w:p>
    <w:p>
      <w:pPr>
        <w:spacing w:after="0" w:line="205" w:lineRule="exact"/>
        <w:rPr>
          <w:sz w:val="20"/>
          <w:szCs w:val="20"/>
          <w:color w:val="auto"/>
        </w:rPr>
      </w:pPr>
    </w:p>
    <w:p>
      <w:pPr>
        <w:ind w:left="-560" w:right="260" w:firstLine="563"/>
        <w:spacing w:after="0" w:line="277" w:lineRule="auto"/>
        <w:tabs>
          <w:tab w:leader="none" w:pos="496" w:val="left"/>
        </w:tabs>
        <w:numPr>
          <w:ilvl w:val="0"/>
          <w:numId w:val="341"/>
        </w:numPr>
        <w:rPr>
          <w:rFonts w:ascii="Arial" w:cs="Arial" w:eastAsia="Arial" w:hAnsi="Arial"/>
          <w:sz w:val="17"/>
          <w:szCs w:val="17"/>
          <w:color w:val="auto"/>
        </w:rPr>
      </w:pPr>
      <w:r>
        <w:rPr>
          <w:rFonts w:ascii="Arial" w:cs="Arial" w:eastAsia="Arial" w:hAnsi="Arial"/>
          <w:sz w:val="17"/>
          <w:szCs w:val="17"/>
          <w:u w:val="single" w:color="auto"/>
          <w:color w:val="auto"/>
        </w:rPr>
        <w:t>Headings; Gender</w:t>
      </w:r>
      <w:r>
        <w:rPr>
          <w:rFonts w:ascii="Arial" w:cs="Arial" w:eastAsia="Arial" w:hAnsi="Arial"/>
          <w:sz w:val="17"/>
          <w:szCs w:val="17"/>
          <w:color w:val="auto"/>
        </w:rPr>
        <w:t>. The headings of the Sections hereof are provided for convenience only and are not to serve as a basis for interpretation or construction, and shall not constitute a part, of this</w:t>
      </w:r>
    </w:p>
    <w:p>
      <w:pPr>
        <w:sectPr>
          <w:pgSz w:w="11900" w:h="16838" w:orient="portrait"/>
          <w:cols w:equalWidth="0" w:num="1">
            <w:col w:w="10520"/>
          </w:cols>
          <w:pgMar w:left="960" w:top="1237" w:right="419" w:bottom="1440" w:gutter="0" w:footer="0" w:header="0"/>
        </w:sectPr>
      </w:pPr>
    </w:p>
    <w:bookmarkStart w:id="409" w:name="page410"/>
    <w:bookmarkEnd w:id="409"/>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Agreement. Masculine pronouns and other words of masculine gender shall refer to both men and women as appropriate.</w:t>
      </w:r>
    </w:p>
    <w:p>
      <w:pPr>
        <w:spacing w:after="0" w:line="219" w:lineRule="exact"/>
        <w:rPr>
          <w:sz w:val="20"/>
          <w:szCs w:val="20"/>
          <w:color w:val="auto"/>
        </w:rPr>
      </w:pPr>
    </w:p>
    <w:p>
      <w:pPr>
        <w:jc w:val="both"/>
        <w:ind w:right="120" w:firstLine="563"/>
        <w:spacing w:after="0" w:line="248" w:lineRule="auto"/>
        <w:tabs>
          <w:tab w:leader="none" w:pos="1055" w:val="left"/>
        </w:tabs>
        <w:numPr>
          <w:ilvl w:val="0"/>
          <w:numId w:val="342"/>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one or more counterparts (including via facsimile and electronic image scan (pdf)), each of which shall be deemed to be an original, but all of which together shall constitute one and the same instrument and shall become effective when one or more counterparts have been signed by each of the parties and delivered to the other parties.</w:t>
      </w:r>
    </w:p>
    <w:p>
      <w:pPr>
        <w:spacing w:after="0" w:line="175" w:lineRule="exact"/>
        <w:rPr>
          <w:rFonts w:ascii="Arial" w:cs="Arial" w:eastAsia="Arial" w:hAnsi="Arial"/>
          <w:sz w:val="17"/>
          <w:szCs w:val="17"/>
          <w:color w:val="auto"/>
        </w:rPr>
      </w:pPr>
    </w:p>
    <w:p>
      <w:pPr>
        <w:ind w:firstLine="563"/>
        <w:spacing w:after="0" w:line="278" w:lineRule="auto"/>
        <w:tabs>
          <w:tab w:leader="none" w:pos="1055" w:val="left"/>
        </w:tabs>
        <w:numPr>
          <w:ilvl w:val="0"/>
          <w:numId w:val="342"/>
        </w:numPr>
        <w:rPr>
          <w:rFonts w:ascii="Arial" w:cs="Arial" w:eastAsia="Arial" w:hAnsi="Arial"/>
          <w:sz w:val="16"/>
          <w:szCs w:val="16"/>
          <w:color w:val="auto"/>
        </w:rPr>
      </w:pPr>
      <w:r>
        <w:rPr>
          <w:rFonts w:ascii="Arial" w:cs="Arial" w:eastAsia="Arial" w:hAnsi="Arial"/>
          <w:sz w:val="16"/>
          <w:szCs w:val="16"/>
          <w:u w:val="single" w:color="auto"/>
          <w:color w:val="auto"/>
        </w:rPr>
        <w:t>Electronic Signature and Delivery</w:t>
      </w:r>
      <w:r>
        <w:rPr>
          <w:rFonts w:ascii="Arial" w:cs="Arial" w:eastAsia="Arial" w:hAnsi="Arial"/>
          <w:sz w:val="16"/>
          <w:szCs w:val="16"/>
          <w:color w:val="auto"/>
        </w:rPr>
        <w:t>. This Agreement may be accepted by return signature or by electronic confirmation. By accepting this Agreement, the Participant consents to the electronic delivery of prospectuses, annual reports and other information required to be delivered by U.S. Securities and Exchange Commission rules (which consent may be revoked in writing by the Participant at any time upon three business days’ notice to the Company, in which case subsequent prospectuses, annual reports and other information will be delivered in hard copy to the Participant).</w:t>
      </w:r>
    </w:p>
    <w:p>
      <w:pPr>
        <w:spacing w:after="0" w:line="177" w:lineRule="exact"/>
        <w:rPr>
          <w:rFonts w:ascii="Arial" w:cs="Arial" w:eastAsia="Arial" w:hAnsi="Arial"/>
          <w:sz w:val="16"/>
          <w:szCs w:val="16"/>
          <w:color w:val="auto"/>
        </w:rPr>
      </w:pPr>
    </w:p>
    <w:p>
      <w:pPr>
        <w:ind w:right="280" w:firstLine="563"/>
        <w:spacing w:after="0" w:line="286" w:lineRule="auto"/>
        <w:tabs>
          <w:tab w:leader="none" w:pos="1055" w:val="left"/>
        </w:tabs>
        <w:numPr>
          <w:ilvl w:val="0"/>
          <w:numId w:val="342"/>
        </w:numPr>
        <w:rPr>
          <w:rFonts w:ascii="Arial" w:cs="Arial" w:eastAsia="Arial" w:hAnsi="Arial"/>
          <w:sz w:val="16"/>
          <w:szCs w:val="16"/>
          <w:color w:val="auto"/>
        </w:rPr>
      </w:pPr>
      <w:r>
        <w:rPr>
          <w:rFonts w:ascii="Arial" w:cs="Arial" w:eastAsia="Arial" w:hAnsi="Arial"/>
          <w:sz w:val="16"/>
          <w:szCs w:val="16"/>
          <w:u w:val="single" w:color="auto"/>
          <w:color w:val="auto"/>
        </w:rPr>
        <w:t>Electronic Participation in Plan</w:t>
      </w:r>
      <w:r>
        <w:rPr>
          <w:rFonts w:ascii="Arial" w:cs="Arial" w:eastAsia="Arial" w:hAnsi="Arial"/>
          <w:sz w:val="16"/>
          <w:szCs w:val="16"/>
          <w:color w:val="auto"/>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200" w:lineRule="exact"/>
        <w:rPr>
          <w:sz w:val="20"/>
          <w:szCs w:val="20"/>
          <w:color w:val="auto"/>
        </w:rPr>
      </w:pPr>
    </w:p>
    <w:p>
      <w:pPr>
        <w:spacing w:after="0" w:line="308" w:lineRule="exact"/>
        <w:rPr>
          <w:sz w:val="20"/>
          <w:szCs w:val="20"/>
          <w:color w:val="auto"/>
        </w:rPr>
      </w:pPr>
    </w:p>
    <w:p>
      <w:pPr>
        <w:ind w:left="2300"/>
        <w:spacing w:after="0"/>
        <w:rPr>
          <w:sz w:val="20"/>
          <w:szCs w:val="20"/>
          <w:color w:val="auto"/>
        </w:rPr>
      </w:pPr>
      <w:r>
        <w:rPr>
          <w:rFonts w:ascii="Arial" w:cs="Arial" w:eastAsia="Arial" w:hAnsi="Arial"/>
          <w:sz w:val="17"/>
          <w:szCs w:val="17"/>
          <w:b w:val="1"/>
          <w:bCs w:val="1"/>
          <w:color w:val="auto"/>
        </w:rPr>
        <w:t>[Remainder of page intentionally left blank]</w:t>
      </w:r>
    </w:p>
    <w:p>
      <w:pPr>
        <w:sectPr>
          <w:pgSz w:w="11900" w:h="16838" w:orient="portrait"/>
          <w:cols w:equalWidth="0" w:num="1">
            <w:col w:w="11020"/>
          </w:cols>
          <w:pgMar w:left="400" w:top="1440" w:right="479" w:bottom="1440" w:gutter="0" w:footer="0" w:header="0"/>
        </w:sectPr>
      </w:pPr>
    </w:p>
    <w:bookmarkStart w:id="410" w:name="page411"/>
    <w:bookmarkEnd w:id="410"/>
    <w:p>
      <w:pPr>
        <w:spacing w:after="0" w:line="251" w:lineRule="auto"/>
        <w:rPr>
          <w:sz w:val="20"/>
          <w:szCs w:val="20"/>
          <w:color w:val="auto"/>
        </w:rPr>
      </w:pPr>
      <w:r>
        <w:rPr>
          <w:rFonts w:ascii="Arial" w:cs="Arial" w:eastAsia="Arial" w:hAnsi="Arial"/>
          <w:sz w:val="17"/>
          <w:szCs w:val="17"/>
          <w:color w:val="auto"/>
        </w:rPr>
        <w:t xml:space="preserve">To accept or reject your Restricted Stock award, please complete the on-line form (“Accept or Reject Your Grant”) as promptly as possible, but, in any case, within thirty (30) days after the Grant Date. If you accept your award you will be deemed to have agreed to the terms and conditions set forth in this Agreement and the terms and conditions of the Plan, all of which are made part of this Agreement. Your Agreement is available to you online in your Schwab Equity Award Center (EAC) account via this link </w:t>
      </w:r>
      <w:r>
        <w:rPr>
          <w:rFonts w:ascii="Arial" w:cs="Arial" w:eastAsia="Arial" w:hAnsi="Arial"/>
          <w:sz w:val="17"/>
          <w:szCs w:val="17"/>
          <w:u w:val="single" w:color="auto"/>
          <w:color w:val="0000FF"/>
        </w:rPr>
        <w:t>https://www.schwab.com/public/eac/home</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00"/>
        <w:spacing w:after="0"/>
        <w:rPr>
          <w:sz w:val="20"/>
          <w:szCs w:val="20"/>
          <w:color w:val="auto"/>
        </w:rPr>
      </w:pPr>
      <w:r>
        <w:rPr>
          <w:rFonts w:ascii="Arial" w:cs="Arial" w:eastAsia="Arial" w:hAnsi="Arial"/>
          <w:sz w:val="17"/>
          <w:szCs w:val="17"/>
          <w:color w:val="auto"/>
        </w:rPr>
        <w:t>VIRTU FINANCIAL, INC.</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400"/>
        <w:spacing w:after="0"/>
        <w:tabs>
          <w:tab w:leader="none" w:pos="5240" w:val="left"/>
        </w:tabs>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Douglas A. Cifu</w:t>
      </w:r>
      <w:r>
        <w:rPr>
          <w:sz w:val="20"/>
          <w:szCs w:val="20"/>
          <w:color w:val="auto"/>
        </w:rPr>
        <w:tab/>
      </w:r>
      <w:r>
        <w:rPr>
          <w:rFonts w:ascii="Arial" w:cs="Arial" w:eastAsia="Arial" w:hAnsi="Arial"/>
          <w:sz w:val="16"/>
          <w:szCs w:val="16"/>
          <w:color w:val="auto"/>
        </w:rPr>
        <w:t>Name: Douglas A. Cifu</w:t>
      </w:r>
    </w:p>
    <w:p>
      <w:pPr>
        <w:ind w:left="3620"/>
        <w:spacing w:after="0"/>
        <w:rPr>
          <w:sz w:val="20"/>
          <w:szCs w:val="20"/>
          <w:color w:val="auto"/>
        </w:rPr>
      </w:pPr>
      <w:r>
        <w:rPr>
          <w:rFonts w:ascii="Arial" w:cs="Arial" w:eastAsia="Arial" w:hAnsi="Arial"/>
          <w:sz w:val="17"/>
          <w:szCs w:val="17"/>
          <w:color w:val="auto"/>
        </w:rPr>
        <w:t>Title: Chief Executive Officer</w:t>
      </w:r>
    </w:p>
    <w:p>
      <w:pPr>
        <w:sectPr>
          <w:pgSz w:w="11900" w:h="16838" w:orient="portrait"/>
          <w:cols w:equalWidth="0" w:num="1">
            <w:col w:w="10900"/>
          </w:cols>
          <w:pgMar w:left="400" w:top="1233" w:right="599" w:bottom="1440" w:gutter="0" w:footer="0" w:header="0"/>
        </w:sectPr>
      </w:pPr>
    </w:p>
    <w:bookmarkStart w:id="411" w:name="page412"/>
    <w:bookmarkEnd w:id="411"/>
    <w:p>
      <w:pPr>
        <w:ind w:left="3386"/>
        <w:spacing w:after="0"/>
        <w:rPr>
          <w:sz w:val="20"/>
          <w:szCs w:val="20"/>
          <w:color w:val="auto"/>
        </w:rPr>
      </w:pPr>
      <w:r>
        <w:rPr>
          <w:rFonts w:ascii="Arial" w:cs="Arial" w:eastAsia="Arial" w:hAnsi="Arial"/>
          <w:sz w:val="17"/>
          <w:szCs w:val="17"/>
          <w:b w:val="1"/>
          <w:bCs w:val="1"/>
          <w:color w:val="auto"/>
        </w:rPr>
        <w:t>VIRTU FINANCIAL, INC. AMENDED AND RESTATED</w:t>
      </w:r>
    </w:p>
    <w:p>
      <w:pPr>
        <w:spacing w:after="0" w:line="8" w:lineRule="exact"/>
        <w:rPr>
          <w:sz w:val="20"/>
          <w:szCs w:val="20"/>
          <w:color w:val="auto"/>
        </w:rPr>
      </w:pPr>
    </w:p>
    <w:p>
      <w:pPr>
        <w:ind w:left="3926"/>
        <w:spacing w:after="0"/>
        <w:rPr>
          <w:sz w:val="20"/>
          <w:szCs w:val="20"/>
          <w:color w:val="auto"/>
        </w:rPr>
      </w:pPr>
      <w:r>
        <w:rPr>
          <w:rFonts w:ascii="Arial" w:cs="Arial" w:eastAsia="Arial" w:hAnsi="Arial"/>
          <w:sz w:val="17"/>
          <w:szCs w:val="17"/>
          <w:b w:val="1"/>
          <w:bCs w:val="1"/>
          <w:color w:val="auto"/>
        </w:rPr>
        <w:t>2015 MANAGEMENT INCENTIVE PLAN</w:t>
      </w:r>
    </w:p>
    <w:p>
      <w:pPr>
        <w:ind w:left="566" w:right="2400" w:firstLine="1945"/>
        <w:spacing w:after="0" w:line="283" w:lineRule="auto"/>
        <w:rPr>
          <w:sz w:val="20"/>
          <w:szCs w:val="20"/>
          <w:color w:val="auto"/>
        </w:rPr>
      </w:pPr>
      <w:r>
        <w:rPr>
          <w:rFonts w:ascii="Arial" w:cs="Arial" w:eastAsia="Arial" w:hAnsi="Arial"/>
          <w:sz w:val="17"/>
          <w:szCs w:val="17"/>
          <w:b w:val="1"/>
          <w:bCs w:val="1"/>
          <w:u w:val="single" w:color="auto"/>
          <w:color w:val="auto"/>
        </w:rPr>
        <w:t xml:space="preserve">RESTRICTED STOCK UNIT AND COMMON STOCK AWARD AGREEMENT </w:t>
      </w:r>
      <w:r>
        <w:rPr>
          <w:rFonts w:ascii="Arial" w:cs="Arial" w:eastAsia="Arial" w:hAnsi="Arial"/>
          <w:sz w:val="17"/>
          <w:szCs w:val="17"/>
          <w:color w:val="auto"/>
        </w:rPr>
        <w:t>THIS RESTRICTED STOCK UNIT AND COMMON STOCK AWARD AGREEMENT (the</w:t>
      </w:r>
    </w:p>
    <w:p>
      <w:pPr>
        <w:spacing w:after="0" w:line="1" w:lineRule="exact"/>
        <w:rPr>
          <w:sz w:val="20"/>
          <w:szCs w:val="20"/>
          <w:color w:val="auto"/>
        </w:rPr>
      </w:pPr>
    </w:p>
    <w:p>
      <w:pPr>
        <w:ind w:left="6" w:right="180"/>
        <w:spacing w:after="0" w:line="26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Agreement</w:t>
      </w:r>
      <w:r>
        <w:rPr>
          <w:rFonts w:ascii="Arial" w:cs="Arial" w:eastAsia="Arial" w:hAnsi="Arial"/>
          <w:sz w:val="17"/>
          <w:szCs w:val="17"/>
          <w:color w:val="auto"/>
        </w:rPr>
        <w:t>”), is entered into as of February 3, 2022 (the “</w:t>
      </w:r>
      <w:r>
        <w:rPr>
          <w:rFonts w:ascii="Arial" w:cs="Arial" w:eastAsia="Arial" w:hAnsi="Arial"/>
          <w:sz w:val="17"/>
          <w:szCs w:val="17"/>
          <w:u w:val="single" w:color="auto"/>
          <w:color w:val="auto"/>
        </w:rPr>
        <w:t>Date of Grant</w:t>
      </w:r>
      <w:r>
        <w:rPr>
          <w:rFonts w:ascii="Arial" w:cs="Arial" w:eastAsia="Arial" w:hAnsi="Arial"/>
          <w:sz w:val="17"/>
          <w:szCs w:val="17"/>
          <w:color w:val="auto"/>
        </w:rPr>
        <w:t>”), by and between Virtu Financial,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and Stephen Cavoli (the “</w:t>
      </w:r>
      <w:r>
        <w:rPr>
          <w:rFonts w:ascii="Arial" w:cs="Arial" w:eastAsia="Arial" w:hAnsi="Arial"/>
          <w:sz w:val="17"/>
          <w:szCs w:val="17"/>
          <w:u w:val="single" w:color="auto"/>
          <w:color w:val="auto"/>
        </w:rPr>
        <w:t>Participant</w:t>
      </w:r>
      <w:r>
        <w:rPr>
          <w:rFonts w:ascii="Arial" w:cs="Arial" w:eastAsia="Arial" w:hAnsi="Arial"/>
          <w:sz w:val="17"/>
          <w:szCs w:val="17"/>
          <w:color w:val="auto"/>
        </w:rPr>
        <w:t>”).</w:t>
      </w:r>
    </w:p>
    <w:p>
      <w:pPr>
        <w:spacing w:after="0" w:line="107" w:lineRule="exact"/>
        <w:rPr>
          <w:sz w:val="20"/>
          <w:szCs w:val="20"/>
          <w:color w:val="auto"/>
        </w:rPr>
      </w:pPr>
    </w:p>
    <w:p>
      <w:pPr>
        <w:ind w:left="566"/>
        <w:spacing w:after="0"/>
        <w:rPr>
          <w:sz w:val="20"/>
          <w:szCs w:val="20"/>
          <w:color w:val="auto"/>
        </w:rPr>
      </w:pPr>
      <w:r>
        <w:rPr>
          <w:rFonts w:ascii="Arial" w:cs="Arial" w:eastAsia="Arial" w:hAnsi="Arial"/>
          <w:sz w:val="16"/>
          <w:szCs w:val="16"/>
          <w:color w:val="auto"/>
        </w:rPr>
        <w:t>WHEREAS, the Company has adopted the Virtu Financial, Inc. Amended and Restated 2015 Management Incentive Plan (the “</w:t>
      </w:r>
      <w:r>
        <w:rPr>
          <w:rFonts w:ascii="Arial" w:cs="Arial" w:eastAsia="Arial" w:hAnsi="Arial"/>
          <w:sz w:val="16"/>
          <w:szCs w:val="16"/>
          <w:u w:val="single" w:color="auto"/>
          <w:color w:val="auto"/>
        </w:rPr>
        <w:t>Plan</w:t>
      </w:r>
      <w:r>
        <w:rPr>
          <w:rFonts w:ascii="Arial" w:cs="Arial" w:eastAsia="Arial" w:hAnsi="Arial"/>
          <w:sz w:val="16"/>
          <w:szCs w:val="16"/>
          <w:color w:val="auto"/>
        </w:rPr>
        <w:t>”), pursuant to</w:t>
      </w:r>
    </w:p>
    <w:p>
      <w:pPr>
        <w:spacing w:after="0" w:line="31" w:lineRule="exact"/>
        <w:rPr>
          <w:sz w:val="20"/>
          <w:szCs w:val="20"/>
          <w:color w:val="auto"/>
        </w:rPr>
      </w:pPr>
    </w:p>
    <w:p>
      <w:pPr>
        <w:ind w:left="6"/>
        <w:spacing w:after="0"/>
        <w:rPr>
          <w:sz w:val="20"/>
          <w:szCs w:val="20"/>
          <w:color w:val="auto"/>
        </w:rPr>
      </w:pPr>
      <w:r>
        <w:rPr>
          <w:rFonts w:ascii="Arial" w:cs="Arial" w:eastAsia="Arial" w:hAnsi="Arial"/>
          <w:sz w:val="17"/>
          <w:szCs w:val="17"/>
          <w:color w:val="auto"/>
        </w:rPr>
        <w:t>which shares of Class A Common Stock and</w:t>
      </w:r>
    </w:p>
    <w:p>
      <w:pPr>
        <w:spacing w:after="0" w:line="6" w:lineRule="exact"/>
        <w:rPr>
          <w:sz w:val="20"/>
          <w:szCs w:val="20"/>
          <w:color w:val="auto"/>
        </w:rPr>
      </w:pPr>
    </w:p>
    <w:p>
      <w:pPr>
        <w:ind w:left="6"/>
        <w:spacing w:after="0"/>
        <w:rPr>
          <w:sz w:val="20"/>
          <w:szCs w:val="20"/>
          <w:color w:val="auto"/>
        </w:rPr>
      </w:pPr>
      <w:r>
        <w:rPr>
          <w:rFonts w:ascii="Arial" w:cs="Arial" w:eastAsia="Arial" w:hAnsi="Arial"/>
          <w:sz w:val="17"/>
          <w:szCs w:val="17"/>
          <w:color w:val="auto"/>
        </w:rPr>
        <w:t>Restricted Stock Units (“</w:t>
      </w:r>
      <w:r>
        <w:rPr>
          <w:rFonts w:ascii="Arial" w:cs="Arial" w:eastAsia="Arial" w:hAnsi="Arial"/>
          <w:sz w:val="17"/>
          <w:szCs w:val="17"/>
          <w:u w:val="single" w:color="auto"/>
          <w:color w:val="auto"/>
        </w:rPr>
        <w:t>RSUs</w:t>
      </w:r>
      <w:r>
        <w:rPr>
          <w:rFonts w:ascii="Arial" w:cs="Arial" w:eastAsia="Arial" w:hAnsi="Arial"/>
          <w:sz w:val="17"/>
          <w:szCs w:val="17"/>
          <w:color w:val="auto"/>
        </w:rPr>
        <w:t>”) may be granted; and</w:t>
      </w:r>
    </w:p>
    <w:p>
      <w:pPr>
        <w:spacing w:after="0" w:line="134" w:lineRule="exact"/>
        <w:rPr>
          <w:sz w:val="20"/>
          <w:szCs w:val="20"/>
          <w:color w:val="auto"/>
        </w:rPr>
      </w:pPr>
    </w:p>
    <w:p>
      <w:pPr>
        <w:jc w:val="both"/>
        <w:ind w:left="6" w:right="240" w:firstLine="568"/>
        <w:spacing w:after="0" w:line="270" w:lineRule="auto"/>
        <w:rPr>
          <w:sz w:val="20"/>
          <w:szCs w:val="20"/>
          <w:color w:val="auto"/>
        </w:rPr>
      </w:pPr>
      <w:r>
        <w:rPr>
          <w:rFonts w:ascii="Arial" w:cs="Arial" w:eastAsia="Arial" w:hAnsi="Arial"/>
          <w:sz w:val="16"/>
          <w:szCs w:val="16"/>
          <w:color w:val="auto"/>
        </w:rPr>
        <w:t>WHEREAS, the Compensation Committee of the Board of Directors of the Company has determined that it is in the best interests of the Company and its stockholders to grant the shares of Class A Common Stock in recognition of Participant’s service to the Company and its Affiliates from January 1, 2021 through December 31, 2021, and RSUs provided for herein to the Participant subject to the terms set forth herein.</w:t>
      </w:r>
    </w:p>
    <w:p>
      <w:pPr>
        <w:spacing w:after="0" w:line="89" w:lineRule="exact"/>
        <w:rPr>
          <w:sz w:val="20"/>
          <w:szCs w:val="20"/>
          <w:color w:val="auto"/>
        </w:rPr>
      </w:pPr>
    </w:p>
    <w:p>
      <w:pPr>
        <w:ind w:left="6" w:right="40" w:firstLine="568"/>
        <w:spacing w:after="0" w:line="347" w:lineRule="auto"/>
        <w:rPr>
          <w:sz w:val="20"/>
          <w:szCs w:val="20"/>
          <w:color w:val="auto"/>
        </w:rPr>
      </w:pPr>
      <w:r>
        <w:rPr>
          <w:rFonts w:ascii="Arial" w:cs="Arial" w:eastAsia="Arial" w:hAnsi="Arial"/>
          <w:sz w:val="15"/>
          <w:szCs w:val="15"/>
          <w:color w:val="auto"/>
        </w:rPr>
        <w:t>NOW, THEREFORE, for and in consideration of the premises and the covenants of the parties contained in this Agreement, and for other good and valuable consideration, the receipt of which is hereby acknowledged, the parties hereto, for themselves, their successors and assigns, hereby agree as follows:</w:t>
      </w:r>
    </w:p>
    <w:p>
      <w:pPr>
        <w:spacing w:after="0" w:line="99" w:lineRule="exact"/>
        <w:rPr>
          <w:sz w:val="20"/>
          <w:szCs w:val="20"/>
          <w:color w:val="auto"/>
        </w:rPr>
      </w:pPr>
    </w:p>
    <w:p>
      <w:pPr>
        <w:ind w:left="566" w:hanging="566"/>
        <w:spacing w:after="0"/>
        <w:tabs>
          <w:tab w:leader="none" w:pos="566" w:val="left"/>
        </w:tabs>
        <w:numPr>
          <w:ilvl w:val="0"/>
          <w:numId w:val="343"/>
        </w:numPr>
        <w:rPr>
          <w:rFonts w:ascii="Arial" w:cs="Arial" w:eastAsia="Arial" w:hAnsi="Arial"/>
          <w:sz w:val="17"/>
          <w:szCs w:val="17"/>
          <w:b w:val="1"/>
          <w:bCs w:val="1"/>
          <w:color w:val="auto"/>
        </w:rPr>
      </w:pPr>
      <w:r>
        <w:rPr>
          <w:rFonts w:ascii="Arial" w:cs="Arial" w:eastAsia="Arial" w:hAnsi="Arial"/>
          <w:sz w:val="17"/>
          <w:szCs w:val="17"/>
          <w:b w:val="1"/>
          <w:bCs w:val="1"/>
          <w:color w:val="auto"/>
        </w:rPr>
        <w:t>Grant of Common Stock and Restricted Stock Units.</w:t>
      </w:r>
    </w:p>
    <w:p>
      <w:pPr>
        <w:spacing w:after="0" w:line="142" w:lineRule="exact"/>
        <w:rPr>
          <w:rFonts w:ascii="Arial" w:cs="Arial" w:eastAsia="Arial" w:hAnsi="Arial"/>
          <w:sz w:val="17"/>
          <w:szCs w:val="17"/>
          <w:b w:val="1"/>
          <w:bCs w:val="1"/>
          <w:color w:val="auto"/>
        </w:rPr>
      </w:pPr>
    </w:p>
    <w:p>
      <w:pPr>
        <w:ind w:left="6" w:right="80" w:firstLine="563"/>
        <w:spacing w:after="0" w:line="247" w:lineRule="auto"/>
        <w:tabs>
          <w:tab w:leader="none" w:pos="1063" w:val="left"/>
        </w:tabs>
        <w:numPr>
          <w:ilvl w:val="1"/>
          <w:numId w:val="343"/>
        </w:numPr>
        <w:rPr>
          <w:rFonts w:ascii="Arial" w:cs="Arial" w:eastAsia="Arial" w:hAnsi="Arial"/>
          <w:sz w:val="15"/>
          <w:szCs w:val="15"/>
          <w:color w:val="auto"/>
        </w:rPr>
      </w:pPr>
      <w:r>
        <w:rPr>
          <w:rFonts w:ascii="Arial" w:cs="Arial" w:eastAsia="Arial" w:hAnsi="Arial"/>
          <w:sz w:val="15"/>
          <w:szCs w:val="15"/>
          <w:u w:val="single" w:color="auto"/>
          <w:color w:val="auto"/>
        </w:rPr>
        <w:t>Grant</w:t>
      </w:r>
      <w:r>
        <w:rPr>
          <w:rFonts w:ascii="Arial" w:cs="Arial" w:eastAsia="Arial" w:hAnsi="Arial"/>
          <w:sz w:val="15"/>
          <w:szCs w:val="15"/>
          <w:color w:val="auto"/>
        </w:rPr>
        <w:t>. The Company hereby grants to the Participant a total number of shares of Class A Common Stock equal to approximately $500,000 divided by the Issue Price (the “</w:t>
      </w:r>
      <w:r>
        <w:rPr>
          <w:rFonts w:ascii="Arial" w:cs="Arial" w:eastAsia="Arial" w:hAnsi="Arial"/>
          <w:sz w:val="15"/>
          <w:szCs w:val="15"/>
          <w:u w:val="single" w:color="auto"/>
          <w:color w:val="auto"/>
        </w:rPr>
        <w:t>Shares</w:t>
      </w:r>
      <w:r>
        <w:rPr>
          <w:rFonts w:ascii="Arial" w:cs="Arial" w:eastAsia="Arial" w:hAnsi="Arial"/>
          <w:sz w:val="15"/>
          <w:szCs w:val="15"/>
          <w:color w:val="auto"/>
        </w:rPr>
        <w:t>”), and a total number of RSUs equal to approximately $750,000 divided by the Issue Price, in each case on the terms and conditions set forth in this Agreement and as otherwise provided in the Plan. The RSUs shall be credited to a separate book-entry account maintained for the Participant on the books of the Company, which may be maintained by a third party. The “</w:t>
      </w:r>
      <w:r>
        <w:rPr>
          <w:rFonts w:ascii="Arial" w:cs="Arial" w:eastAsia="Arial" w:hAnsi="Arial"/>
          <w:sz w:val="15"/>
          <w:szCs w:val="15"/>
          <w:u w:val="single" w:color="auto"/>
          <w:color w:val="auto"/>
        </w:rPr>
        <w:t>Issue Price</w:t>
      </w:r>
      <w:r>
        <w:rPr>
          <w:rFonts w:ascii="Arial" w:cs="Arial" w:eastAsia="Arial" w:hAnsi="Arial"/>
          <w:sz w:val="15"/>
          <w:szCs w:val="15"/>
          <w:color w:val="auto"/>
        </w:rPr>
        <w:t>” shall mean the volume weighted average price of shares of the Company’s Class A Common Stock traded during the three days preceding the Date of Grant, as determined by the Company.</w:t>
      </w:r>
    </w:p>
    <w:p>
      <w:pPr>
        <w:spacing w:after="0" w:line="154" w:lineRule="exact"/>
        <w:rPr>
          <w:rFonts w:ascii="Arial" w:cs="Arial" w:eastAsia="Arial" w:hAnsi="Arial"/>
          <w:sz w:val="15"/>
          <w:szCs w:val="15"/>
          <w:color w:val="auto"/>
        </w:rPr>
      </w:pPr>
    </w:p>
    <w:p>
      <w:pPr>
        <w:ind w:left="6" w:firstLine="563"/>
        <w:spacing w:after="0" w:line="213" w:lineRule="auto"/>
        <w:tabs>
          <w:tab w:leader="none" w:pos="1061" w:val="left"/>
        </w:tabs>
        <w:numPr>
          <w:ilvl w:val="1"/>
          <w:numId w:val="343"/>
        </w:numPr>
        <w:rPr>
          <w:rFonts w:ascii="Arial" w:cs="Arial" w:eastAsia="Arial" w:hAnsi="Arial"/>
          <w:sz w:val="17"/>
          <w:szCs w:val="17"/>
          <w:color w:val="auto"/>
        </w:rPr>
      </w:pPr>
      <w:r>
        <w:rPr>
          <w:rFonts w:ascii="Arial" w:cs="Arial" w:eastAsia="Arial" w:hAnsi="Arial"/>
          <w:sz w:val="17"/>
          <w:szCs w:val="17"/>
          <w:u w:val="single" w:color="auto"/>
          <w:color w:val="auto"/>
        </w:rPr>
        <w:t>Incorporation by Reference</w:t>
      </w:r>
      <w:r>
        <w:rPr>
          <w:rFonts w:ascii="Arial" w:cs="Arial" w:eastAsia="Arial" w:hAnsi="Arial"/>
          <w:sz w:val="17"/>
          <w:szCs w:val="17"/>
          <w:color w:val="auto"/>
        </w:rPr>
        <w:t>. The provisions of the Plan are incorporated herein by reference. Except as otherwise expressly set forth herein, this Agreement shall be construed in accordance with the provisions of the Plan and any interpretations, amendments, rules and regulations promulgated by the Committee from time to time pursuant to the Plan. Any capitalized terms not otherwise defined in this Agreement shall have the definitions set forth in the Plan. The Committee shall have final authority to interpret and construe the Plan and this Agreement and to make any and all determinations under them, and its decision shall be binding and conclusive upon the Participant and his legal representative in respect of any questions arising under the Plan or this Agreement. The Participant acknowledges that he has received a copy of the Plan and has had an opportunity to review the Plan and agrees to be bound by all the terms and provisions of the Plan.</w:t>
      </w:r>
    </w:p>
    <w:p>
      <w:pPr>
        <w:spacing w:after="0" w:line="164" w:lineRule="exact"/>
        <w:rPr>
          <w:rFonts w:ascii="Arial" w:cs="Arial" w:eastAsia="Arial" w:hAnsi="Arial"/>
          <w:sz w:val="17"/>
          <w:szCs w:val="17"/>
          <w:color w:val="auto"/>
        </w:rPr>
      </w:pPr>
    </w:p>
    <w:p>
      <w:pPr>
        <w:ind w:left="566" w:hanging="566"/>
        <w:spacing w:after="0"/>
        <w:tabs>
          <w:tab w:leader="none" w:pos="566" w:val="left"/>
        </w:tabs>
        <w:numPr>
          <w:ilvl w:val="0"/>
          <w:numId w:val="343"/>
        </w:numPr>
        <w:rPr>
          <w:rFonts w:ascii="Arial" w:cs="Arial" w:eastAsia="Arial" w:hAnsi="Arial"/>
          <w:sz w:val="17"/>
          <w:szCs w:val="17"/>
          <w:b w:val="1"/>
          <w:bCs w:val="1"/>
          <w:color w:val="auto"/>
        </w:rPr>
      </w:pPr>
      <w:r>
        <w:rPr>
          <w:rFonts w:ascii="Arial" w:cs="Arial" w:eastAsia="Arial" w:hAnsi="Arial"/>
          <w:sz w:val="17"/>
          <w:szCs w:val="17"/>
          <w:b w:val="1"/>
          <w:bCs w:val="1"/>
          <w:color w:val="auto"/>
        </w:rPr>
        <w:t>Vesting and Settlement.</w:t>
      </w:r>
    </w:p>
    <w:p>
      <w:pPr>
        <w:spacing w:after="0" w:line="201" w:lineRule="exact"/>
        <w:rPr>
          <w:rFonts w:ascii="Arial" w:cs="Arial" w:eastAsia="Arial" w:hAnsi="Arial"/>
          <w:sz w:val="17"/>
          <w:szCs w:val="17"/>
          <w:b w:val="1"/>
          <w:bCs w:val="1"/>
          <w:color w:val="auto"/>
        </w:rPr>
      </w:pPr>
    </w:p>
    <w:p>
      <w:pPr>
        <w:ind w:left="1126" w:hanging="557"/>
        <w:spacing w:after="0"/>
        <w:tabs>
          <w:tab w:leader="none" w:pos="1126" w:val="left"/>
        </w:tabs>
        <w:numPr>
          <w:ilvl w:val="1"/>
          <w:numId w:val="343"/>
        </w:numPr>
        <w:rPr>
          <w:rFonts w:ascii="Arial" w:cs="Arial" w:eastAsia="Arial" w:hAnsi="Arial"/>
          <w:sz w:val="17"/>
          <w:szCs w:val="17"/>
          <w:color w:val="auto"/>
        </w:rPr>
      </w:pPr>
      <w:r>
        <w:rPr>
          <w:rFonts w:ascii="Arial" w:cs="Arial" w:eastAsia="Arial" w:hAnsi="Arial"/>
          <w:sz w:val="17"/>
          <w:szCs w:val="17"/>
          <w:color w:val="auto"/>
        </w:rPr>
        <w:t>The Shares shall be one hundred percent (100%) vested as of the Date of Grant.</w:t>
      </w:r>
    </w:p>
    <w:p>
      <w:pPr>
        <w:spacing w:after="0" w:line="195" w:lineRule="exact"/>
        <w:rPr>
          <w:rFonts w:ascii="Arial" w:cs="Arial" w:eastAsia="Arial" w:hAnsi="Arial"/>
          <w:sz w:val="17"/>
          <w:szCs w:val="17"/>
          <w:color w:val="auto"/>
        </w:rPr>
      </w:pPr>
    </w:p>
    <w:p>
      <w:pPr>
        <w:ind w:left="6" w:right="180" w:firstLine="563"/>
        <w:spacing w:after="0" w:line="330" w:lineRule="auto"/>
        <w:tabs>
          <w:tab w:leader="none" w:pos="1061" w:val="left"/>
        </w:tabs>
        <w:numPr>
          <w:ilvl w:val="1"/>
          <w:numId w:val="343"/>
        </w:numPr>
        <w:rPr>
          <w:rFonts w:ascii="Arial" w:cs="Arial" w:eastAsia="Arial" w:hAnsi="Arial"/>
          <w:sz w:val="15"/>
          <w:szCs w:val="15"/>
          <w:color w:val="auto"/>
        </w:rPr>
      </w:pPr>
      <w:r>
        <w:rPr>
          <w:rFonts w:ascii="Arial" w:cs="Arial" w:eastAsia="Arial" w:hAnsi="Arial"/>
          <w:sz w:val="15"/>
          <w:szCs w:val="15"/>
          <w:color w:val="auto"/>
        </w:rPr>
        <w:t>Except as may otherwise be provided herein, subject to the Participant’s continued employment or service with the Company or an Affiliate, the RSUs shall vest in equal installments on each of the first three (3) anniversaries of the Date of Grant (each such date, a “</w:t>
      </w:r>
      <w:r>
        <w:rPr>
          <w:rFonts w:ascii="Arial" w:cs="Arial" w:eastAsia="Arial" w:hAnsi="Arial"/>
          <w:sz w:val="15"/>
          <w:szCs w:val="15"/>
          <w:u w:val="single" w:color="auto"/>
          <w:color w:val="auto"/>
        </w:rPr>
        <w:t>Vesting Date</w:t>
      </w:r>
      <w:r>
        <w:rPr>
          <w:rFonts w:ascii="Arial" w:cs="Arial" w:eastAsia="Arial" w:hAnsi="Arial"/>
          <w:sz w:val="15"/>
          <w:szCs w:val="15"/>
          <w:color w:val="auto"/>
        </w:rPr>
        <w:t>”). Upon</w:t>
      </w:r>
    </w:p>
    <w:p>
      <w:pPr>
        <w:sectPr>
          <w:pgSz w:w="11900" w:h="16838" w:orient="portrait"/>
          <w:cols w:equalWidth="0" w:num="1">
            <w:col w:w="10986"/>
          </w:cols>
          <w:pgMar w:left="394" w:top="1243" w:right="519" w:bottom="1440" w:gutter="0" w:footer="0" w:header="0"/>
        </w:sectPr>
      </w:pPr>
    </w:p>
    <w:bookmarkStart w:id="412" w:name="page413"/>
    <w:bookmarkEnd w:id="412"/>
    <w:p>
      <w:pPr>
        <w:ind w:left="6" w:right="420"/>
        <w:spacing w:after="0" w:line="262" w:lineRule="auto"/>
        <w:rPr>
          <w:sz w:val="20"/>
          <w:szCs w:val="20"/>
          <w:color w:val="auto"/>
        </w:rPr>
      </w:pPr>
      <w:r>
        <w:rPr>
          <w:rFonts w:ascii="Arial" w:cs="Arial" w:eastAsia="Arial" w:hAnsi="Arial"/>
          <w:sz w:val="17"/>
          <w:szCs w:val="17"/>
          <w:color w:val="auto"/>
        </w:rPr>
        <w:t>each Vesting Date, such portion of the RSUs that vest on such date shall no longer be subject to the transfer restrictions pursuant to Section 9(a) hereof or cancellation pursuant to Section 4 hereof. Any fractional RSUs resulting from the application of the vesting schedule shall be aggregated and the RSUs resulting from such aggregation shall vest on the final Vesting Date.</w:t>
      </w:r>
    </w:p>
    <w:p>
      <w:pPr>
        <w:spacing w:after="0" w:line="189" w:lineRule="exact"/>
        <w:rPr>
          <w:sz w:val="20"/>
          <w:szCs w:val="20"/>
          <w:color w:val="auto"/>
        </w:rPr>
      </w:pPr>
    </w:p>
    <w:p>
      <w:pPr>
        <w:ind w:left="6" w:right="260" w:firstLine="563"/>
        <w:spacing w:after="0" w:line="277" w:lineRule="auto"/>
        <w:tabs>
          <w:tab w:leader="none" w:pos="1063" w:val="left"/>
        </w:tabs>
        <w:numPr>
          <w:ilvl w:val="1"/>
          <w:numId w:val="344"/>
        </w:numPr>
        <w:rPr>
          <w:rFonts w:ascii="Arial" w:cs="Arial" w:eastAsia="Arial" w:hAnsi="Arial"/>
          <w:sz w:val="17"/>
          <w:szCs w:val="17"/>
          <w:color w:val="auto"/>
        </w:rPr>
      </w:pPr>
      <w:r>
        <w:rPr>
          <w:rFonts w:ascii="Arial" w:cs="Arial" w:eastAsia="Arial" w:hAnsi="Arial"/>
          <w:sz w:val="17"/>
          <w:szCs w:val="17"/>
          <w:color w:val="auto"/>
        </w:rPr>
        <w:t>Vested RSUs shall be settled within ten (10) days following the Vesting Date for such RSUs in shares of Class A Common Stock, or cash, as determined by the Committee in its sole discretion.</w:t>
      </w:r>
    </w:p>
    <w:p>
      <w:pPr>
        <w:spacing w:after="0" w:line="158" w:lineRule="exact"/>
        <w:rPr>
          <w:rFonts w:ascii="Arial" w:cs="Arial" w:eastAsia="Arial" w:hAnsi="Arial"/>
          <w:sz w:val="17"/>
          <w:szCs w:val="17"/>
          <w:color w:val="auto"/>
        </w:rPr>
      </w:pPr>
    </w:p>
    <w:p>
      <w:pPr>
        <w:jc w:val="both"/>
        <w:ind w:left="6" w:right="260" w:hanging="6"/>
        <w:spacing w:after="0" w:line="290" w:lineRule="auto"/>
        <w:tabs>
          <w:tab w:leader="none" w:pos="492" w:val="left"/>
        </w:tabs>
        <w:numPr>
          <w:ilvl w:val="0"/>
          <w:numId w:val="34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Dividend Equivalents. </w:t>
      </w:r>
      <w:r>
        <w:rPr>
          <w:rFonts w:ascii="Arial" w:cs="Arial" w:eastAsia="Arial" w:hAnsi="Arial"/>
          <w:sz w:val="16"/>
          <w:szCs w:val="16"/>
          <w:color w:val="auto"/>
        </w:rPr>
        <w:t>In the event of any issuance of a cash dividend on the shares of Class A Common Stock (a “</w:t>
      </w:r>
      <w:r>
        <w:rPr>
          <w:rFonts w:ascii="Arial" w:cs="Arial" w:eastAsia="Arial" w:hAnsi="Arial"/>
          <w:sz w:val="16"/>
          <w:szCs w:val="16"/>
          <w:u w:val="single" w:color="auto"/>
          <w:color w:val="auto"/>
        </w:rPr>
        <w:t>Dividend</w:t>
      </w:r>
      <w:r>
        <w:rPr>
          <w:rFonts w:ascii="Arial" w:cs="Arial" w:eastAsia="Arial" w:hAnsi="Arial"/>
          <w:sz w:val="16"/>
          <w:szCs w:val="16"/>
          <w:color w:val="auto"/>
        </w:rPr>
        <w:t>”), the Participant shall</w:t>
      </w:r>
      <w:r>
        <w:rPr>
          <w:rFonts w:ascii="Arial" w:cs="Arial" w:eastAsia="Arial" w:hAnsi="Arial"/>
          <w:sz w:val="16"/>
          <w:szCs w:val="16"/>
          <w:b w:val="1"/>
          <w:bCs w:val="1"/>
          <w:color w:val="auto"/>
        </w:rPr>
        <w:t xml:space="preserve"> </w:t>
      </w:r>
      <w:r>
        <w:rPr>
          <w:rFonts w:ascii="Arial" w:cs="Arial" w:eastAsia="Arial" w:hAnsi="Arial"/>
          <w:sz w:val="16"/>
          <w:szCs w:val="16"/>
          <w:color w:val="auto"/>
        </w:rPr>
        <w:t>be entitled to receive, with respect to each RSU granted pursuant to this Agreement and outstanding as of the record date for such Dividend, payment of an amount equal to the Dividend at the same time as the Dividend is paid to holders of shares of Class A Common Stock generally.</w:t>
      </w:r>
    </w:p>
    <w:p>
      <w:pPr>
        <w:spacing w:after="0" w:line="149" w:lineRule="exact"/>
        <w:rPr>
          <w:rFonts w:ascii="Arial" w:cs="Arial" w:eastAsia="Arial" w:hAnsi="Arial"/>
          <w:sz w:val="16"/>
          <w:szCs w:val="16"/>
          <w:b w:val="1"/>
          <w:bCs w:val="1"/>
          <w:color w:val="auto"/>
        </w:rPr>
      </w:pPr>
    </w:p>
    <w:p>
      <w:pPr>
        <w:ind w:left="6" w:hanging="6"/>
        <w:spacing w:after="0" w:line="207" w:lineRule="auto"/>
        <w:tabs>
          <w:tab w:leader="none" w:pos="492" w:val="left"/>
        </w:tabs>
        <w:numPr>
          <w:ilvl w:val="0"/>
          <w:numId w:val="34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Termination of Employment or Service. </w:t>
      </w:r>
      <w:r>
        <w:rPr>
          <w:rFonts w:ascii="Arial" w:cs="Arial" w:eastAsia="Arial" w:hAnsi="Arial"/>
          <w:sz w:val="17"/>
          <w:szCs w:val="17"/>
          <w:color w:val="auto"/>
        </w:rPr>
        <w:t>If the Participant’s employment or service with the Company and its Affiliates terminates for any reason, all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unvested RSUs shall be cancelled immediately and the Participant shall not be entitled to receive any payments with respect thereto;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of the Participant’s Retirement (as defined below) and compliance with the terms thereof, the RSUs shall continue vesting in accordance with the terms of this Agreement as if the Participant remained employed through each Vesting Date (subject to the forfeiture provisions of the Plan and the clawback provisions set forth herein). For purposes of this Agreement, “</w:t>
      </w:r>
      <w:r>
        <w:rPr>
          <w:rFonts w:ascii="Arial" w:cs="Arial" w:eastAsia="Arial" w:hAnsi="Arial"/>
          <w:sz w:val="17"/>
          <w:szCs w:val="17"/>
          <w:u w:val="single" w:color="auto"/>
          <w:color w:val="auto"/>
        </w:rPr>
        <w:t>Retirement</w:t>
      </w:r>
      <w:r>
        <w:rPr>
          <w:rFonts w:ascii="Arial" w:cs="Arial" w:eastAsia="Arial" w:hAnsi="Arial"/>
          <w:sz w:val="17"/>
          <w:szCs w:val="17"/>
          <w:color w:val="auto"/>
        </w:rPr>
        <w:t>” means a determination by the Company, in its sole and absolute discretion, that the Participant has had a retirement from the Company and its Affiliates upon a voluntary resignation of employment by the Participant (i) after the Participant completed a minimum of five (5) full years of service as an employee of the Company and its Affiliates (regardless of whether such service is continuous), (ii) the Participant having attained the age of fifty (50) at the time of termination, (iii) the sum of the Participant’s years of service and age equals or exceeds sixty-five (65) at the time of termination, (iv) the Participant has entered into and complies with the terms of a non-compete agreement with a term equal to the greater of</w:t>
      </w:r>
    </w:p>
    <w:p>
      <w:pPr>
        <w:spacing w:after="0" w:line="3" w:lineRule="exact"/>
        <w:rPr>
          <w:rFonts w:ascii="Arial" w:cs="Arial" w:eastAsia="Arial" w:hAnsi="Arial"/>
          <w:sz w:val="17"/>
          <w:szCs w:val="17"/>
          <w:b w:val="1"/>
          <w:bCs w:val="1"/>
          <w:color w:val="auto"/>
        </w:rPr>
      </w:pPr>
    </w:p>
    <w:p>
      <w:pPr>
        <w:ind w:left="6" w:right="40"/>
        <w:spacing w:after="0" w:line="239" w:lineRule="auto"/>
        <w:rPr>
          <w:rFonts w:ascii="Arial" w:cs="Arial" w:eastAsia="Arial" w:hAnsi="Arial"/>
          <w:sz w:val="17"/>
          <w:szCs w:val="17"/>
          <w:b w:val="1"/>
          <w:bCs w:val="1"/>
          <w:color w:val="auto"/>
        </w:rPr>
      </w:pPr>
      <w:r>
        <w:rPr>
          <w:rFonts w:ascii="Arial" w:cs="Arial" w:eastAsia="Arial" w:hAnsi="Arial"/>
          <w:sz w:val="17"/>
          <w:szCs w:val="17"/>
          <w:color w:val="auto"/>
        </w:rPr>
        <w:t>(x) two years and (y) the remaining period up to and including the Vesting Date in a form to be provided by the Company and (v) the Participant has duly executed, delivered and not revoked a customary release and waiver of all claims in a form acceptable to the Company. For the avoidance of doubt, any failure to comply with the terms of such non-compete agreement will result in the forfeiture of any unvested RSUs.</w:t>
      </w:r>
    </w:p>
    <w:p>
      <w:pPr>
        <w:spacing w:after="0" w:line="165" w:lineRule="exact"/>
        <w:rPr>
          <w:rFonts w:ascii="Arial" w:cs="Arial" w:eastAsia="Arial" w:hAnsi="Arial"/>
          <w:sz w:val="17"/>
          <w:szCs w:val="17"/>
          <w:b w:val="1"/>
          <w:bCs w:val="1"/>
          <w:color w:val="auto"/>
        </w:rPr>
      </w:pPr>
    </w:p>
    <w:p>
      <w:pPr>
        <w:ind w:left="6" w:right="40" w:hanging="6"/>
        <w:spacing w:after="0" w:line="232" w:lineRule="auto"/>
        <w:tabs>
          <w:tab w:leader="none" w:pos="492" w:val="left"/>
        </w:tabs>
        <w:numPr>
          <w:ilvl w:val="0"/>
          <w:numId w:val="34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Rights as a Stockholder. </w:t>
      </w:r>
      <w:r>
        <w:rPr>
          <w:rFonts w:ascii="Arial" w:cs="Arial" w:eastAsia="Arial" w:hAnsi="Arial"/>
          <w:sz w:val="16"/>
          <w:szCs w:val="16"/>
          <w:color w:val="auto"/>
        </w:rPr>
        <w:t>The Participant shall not be deemed for any purpose to be the owner of any shares of Class A Common Stock constituting the</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or underlying the RSUs unless, until and to the extent that (i) the Company shall have issued and delivered to the Participant the shares of Class A Common Stock constituting the Shares or underlying the RSUs and (ii) the Participant’s name shall have been entered as a stockholder of record with respect to such shares of Class A Common Stock on the books of the Company. The Company shall cause the actions described in clauses (i) and (ii) of the preceding sentence to occur promptly following settlement as contemplated by this Agreement, subject to compliance with applicable laws.</w:t>
      </w:r>
    </w:p>
    <w:p>
      <w:pPr>
        <w:spacing w:after="0" w:line="164" w:lineRule="exact"/>
        <w:rPr>
          <w:rFonts w:ascii="Arial" w:cs="Arial" w:eastAsia="Arial" w:hAnsi="Arial"/>
          <w:sz w:val="16"/>
          <w:szCs w:val="16"/>
          <w:b w:val="1"/>
          <w:bCs w:val="1"/>
          <w:color w:val="auto"/>
        </w:rPr>
      </w:pPr>
    </w:p>
    <w:p>
      <w:pPr>
        <w:ind w:left="566" w:hanging="566"/>
        <w:spacing w:after="0"/>
        <w:tabs>
          <w:tab w:leader="none" w:pos="566" w:val="left"/>
        </w:tabs>
        <w:numPr>
          <w:ilvl w:val="0"/>
          <w:numId w:val="345"/>
        </w:numPr>
        <w:rPr>
          <w:rFonts w:ascii="Arial" w:cs="Arial" w:eastAsia="Arial" w:hAnsi="Arial"/>
          <w:sz w:val="17"/>
          <w:szCs w:val="17"/>
          <w:b w:val="1"/>
          <w:bCs w:val="1"/>
          <w:color w:val="auto"/>
        </w:rPr>
      </w:pPr>
      <w:r>
        <w:rPr>
          <w:rFonts w:ascii="Arial" w:cs="Arial" w:eastAsia="Arial" w:hAnsi="Arial"/>
          <w:sz w:val="17"/>
          <w:szCs w:val="17"/>
          <w:b w:val="1"/>
          <w:bCs w:val="1"/>
          <w:color w:val="auto"/>
        </w:rPr>
        <w:t>Compliance with Legal Re quirements.</w:t>
      </w:r>
    </w:p>
    <w:p>
      <w:pPr>
        <w:spacing w:after="0" w:line="189" w:lineRule="exact"/>
        <w:rPr>
          <w:rFonts w:ascii="Arial" w:cs="Arial" w:eastAsia="Arial" w:hAnsi="Arial"/>
          <w:sz w:val="17"/>
          <w:szCs w:val="17"/>
          <w:b w:val="1"/>
          <w:bCs w:val="1"/>
          <w:color w:val="auto"/>
        </w:rPr>
      </w:pPr>
    </w:p>
    <w:p>
      <w:pPr>
        <w:ind w:left="6" w:right="80" w:firstLine="563"/>
        <w:spacing w:after="0" w:line="216" w:lineRule="auto"/>
        <w:tabs>
          <w:tab w:leader="none" w:pos="1063" w:val="left"/>
        </w:tabs>
        <w:numPr>
          <w:ilvl w:val="1"/>
          <w:numId w:val="345"/>
        </w:numPr>
        <w:rPr>
          <w:rFonts w:ascii="Arial" w:cs="Arial" w:eastAsia="Arial" w:hAnsi="Arial"/>
          <w:sz w:val="17"/>
          <w:szCs w:val="17"/>
          <w:color w:val="auto"/>
        </w:rPr>
      </w:pPr>
      <w:r>
        <w:rPr>
          <w:rFonts w:ascii="Arial" w:cs="Arial" w:eastAsia="Arial" w:hAnsi="Arial"/>
          <w:sz w:val="17"/>
          <w:szCs w:val="17"/>
          <w:u w:val="single" w:color="auto"/>
          <w:color w:val="auto"/>
        </w:rPr>
        <w:t>Generally</w:t>
      </w:r>
      <w:r>
        <w:rPr>
          <w:rFonts w:ascii="Arial" w:cs="Arial" w:eastAsia="Arial" w:hAnsi="Arial"/>
          <w:sz w:val="17"/>
          <w:szCs w:val="17"/>
          <w:color w:val="auto"/>
        </w:rPr>
        <w:t>. The granting of the Shares and the granting and settlement of the RSUs, and any other obligations of the Company under this Agreement, shall be subject to all applicable U.S. federal, state and local laws, rules and regulations, all applicable non-U.S. laws, rules and regulations and to such approvals by any regulatory or governmental agency as may be required. The Participant agrees to take all steps the Committee or the Company determines are reasonably necessary to comply with all applicable provisions of U.S. federal and state securities law and non-U.S. securities law in exercising his rights under this Agreement.</w:t>
      </w:r>
    </w:p>
    <w:p>
      <w:pPr>
        <w:sectPr>
          <w:pgSz w:w="11900" w:h="16838" w:orient="portrait"/>
          <w:cols w:equalWidth="0" w:num="1">
            <w:col w:w="11066"/>
          </w:cols>
          <w:pgMar w:left="394" w:top="1237" w:right="439" w:bottom="1440" w:gutter="0" w:footer="0" w:header="0"/>
        </w:sectPr>
      </w:pPr>
    </w:p>
    <w:bookmarkStart w:id="413" w:name="page414"/>
    <w:bookmarkEnd w:id="413"/>
    <w:p>
      <w:pPr>
        <w:ind w:left="6" w:right="80" w:firstLine="563"/>
        <w:spacing w:after="0" w:line="224" w:lineRule="auto"/>
        <w:tabs>
          <w:tab w:leader="none" w:pos="1061" w:val="left"/>
        </w:tabs>
        <w:numPr>
          <w:ilvl w:val="1"/>
          <w:numId w:val="346"/>
        </w:numPr>
        <w:rPr>
          <w:rFonts w:ascii="Arial" w:cs="Arial" w:eastAsia="Arial" w:hAnsi="Arial"/>
          <w:sz w:val="16"/>
          <w:szCs w:val="16"/>
          <w:color w:val="auto"/>
        </w:rPr>
      </w:pPr>
      <w:r>
        <w:rPr>
          <w:rFonts w:ascii="Arial" w:cs="Arial" w:eastAsia="Arial" w:hAnsi="Arial"/>
          <w:sz w:val="16"/>
          <w:szCs w:val="16"/>
          <w:u w:val="single" w:color="auto"/>
          <w:color w:val="auto"/>
        </w:rPr>
        <w:t>Taxes and Withholding</w:t>
      </w:r>
      <w:r>
        <w:rPr>
          <w:rFonts w:ascii="Arial" w:cs="Arial" w:eastAsia="Arial" w:hAnsi="Arial"/>
          <w:sz w:val="16"/>
          <w:szCs w:val="16"/>
          <w:color w:val="auto"/>
        </w:rPr>
        <w:t>. The grant of the Shares and the vesting and settlement of the RSUs shall be subject to the Participant satisfying any applicable U.S. federal, state and local tax withholding obligations and non-U.S. tax withholding obligations. The Participant shall be required to pay to the Company, and the Company shall have the right and is hereby authorized to withhold any cash, shares of Class A Common Stock, other securities or other property or from any compensation or other amounts owing to the Participant, the amount (in cash, Class A Common Stock, other securities or other property) of any required withholding taxes in respect of the Shares or in respect of the RSUs, settlement of the RSUs or any payment or transfer of the RSUs, and to take any such other action as the Committee or the Company deem necessary to satisfy all obligations for the payment of such withholding taxes. In its sole discretion, the Company may permit the Participant to satisfy, in whole or in part, the tax obligations by (A) withholding shares of Class A Common Stock from the Shares having a Fair Market Value equal to such withholding liability and (B) withholding shares of Class A Common Stock that would otherwise be deliverable to the Participant upon settlement of the RSUs with a Fair Market Value equal to such withholding liability.</w:t>
      </w:r>
    </w:p>
    <w:p>
      <w:pPr>
        <w:spacing w:after="0" w:line="153" w:lineRule="exact"/>
        <w:rPr>
          <w:rFonts w:ascii="Arial" w:cs="Arial" w:eastAsia="Arial" w:hAnsi="Arial"/>
          <w:sz w:val="16"/>
          <w:szCs w:val="16"/>
          <w:color w:val="auto"/>
        </w:rPr>
      </w:pPr>
    </w:p>
    <w:p>
      <w:pPr>
        <w:ind w:left="6" w:right="60" w:hanging="6"/>
        <w:spacing w:after="0" w:line="222" w:lineRule="auto"/>
        <w:tabs>
          <w:tab w:leader="none" w:pos="492" w:val="left"/>
        </w:tabs>
        <w:numPr>
          <w:ilvl w:val="0"/>
          <w:numId w:val="34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Clawback. </w:t>
      </w:r>
      <w:r>
        <w:rPr>
          <w:rFonts w:ascii="Arial" w:cs="Arial" w:eastAsia="Arial" w:hAnsi="Arial"/>
          <w:sz w:val="16"/>
          <w:szCs w:val="16"/>
          <w:color w:val="auto"/>
        </w:rPr>
        <w:t>Notwithstanding anything to the contrary contained herein, the Committee may cancel the Shares and RSU award if the Participant, without</w:t>
      </w:r>
      <w:r>
        <w:rPr>
          <w:rFonts w:ascii="Arial" w:cs="Arial" w:eastAsia="Arial" w:hAnsi="Arial"/>
          <w:sz w:val="16"/>
          <w:szCs w:val="16"/>
          <w:b w:val="1"/>
          <w:bCs w:val="1"/>
          <w:color w:val="auto"/>
        </w:rPr>
        <w:t xml:space="preserve"> </w:t>
      </w:r>
      <w:r>
        <w:rPr>
          <w:rFonts w:ascii="Arial" w:cs="Arial" w:eastAsia="Arial" w:hAnsi="Arial"/>
          <w:sz w:val="16"/>
          <w:szCs w:val="16"/>
          <w:color w:val="auto"/>
        </w:rPr>
        <w:t>the consent of the Company, has engaged in or engages in activity that is in conflict with or adverse to the interest of the Company or any Affiliate while employed by or providing services to the Company or any Affiliate, including fraud or conduct contributing to any financial restatements or irregularities, or violates a non-competition, non-solicitation, non-disparagement, non-disclosure or confidentiality covenant or agreement with the Company or any Affiliate, as determined by the Committee. In such event, the Participant will forfeit any compensation, gain or other value realized previously or thereafter on the vesting or settlement of the RSUs, the sale or other transfer of the Shares and the RSUs, or the sale of shares of Class A Common Stock acquired in respect of the RSUs, and must promptly repay such amounts to the Company. If the Participant receives any amount in excess of what the Participant should have received with respect to the Shares or under the terms of the RSUs for any reason (including without limitation by reason of a financial restatement, mistake in calculations or other administrative error), all as determined by the Committee, then the Participant shall be required to promptly repay any such excess amount to the Company. To the extent required by applicable law and/or the rules and regulations of NASDAQ or any other securities exchange or inter-dealer quotation system on which the Class A Common Stock is listed or quoted, or if so required pursuant to a written policy adopted by the Company, the Shares and the RSUs shall be subject (including on a retroactive basis) to clawback, forfeiture or similar requirements (and such requirements shall be deemed incorporated by reference into this Agreement).</w:t>
      </w:r>
    </w:p>
    <w:p>
      <w:pPr>
        <w:spacing w:after="0" w:line="167" w:lineRule="exact"/>
        <w:rPr>
          <w:rFonts w:ascii="Arial" w:cs="Arial" w:eastAsia="Arial" w:hAnsi="Arial"/>
          <w:sz w:val="16"/>
          <w:szCs w:val="16"/>
          <w:b w:val="1"/>
          <w:bCs w:val="1"/>
          <w:color w:val="auto"/>
        </w:rPr>
      </w:pPr>
    </w:p>
    <w:p>
      <w:pPr>
        <w:ind w:left="566" w:hanging="566"/>
        <w:spacing w:after="0"/>
        <w:tabs>
          <w:tab w:leader="none" w:pos="566" w:val="left"/>
        </w:tabs>
        <w:numPr>
          <w:ilvl w:val="0"/>
          <w:numId w:val="347"/>
        </w:numPr>
        <w:rPr>
          <w:rFonts w:ascii="Arial" w:cs="Arial" w:eastAsia="Arial" w:hAnsi="Arial"/>
          <w:sz w:val="17"/>
          <w:szCs w:val="17"/>
          <w:b w:val="1"/>
          <w:bCs w:val="1"/>
          <w:color w:val="auto"/>
        </w:rPr>
      </w:pPr>
      <w:r>
        <w:rPr>
          <w:rFonts w:ascii="Arial" w:cs="Arial" w:eastAsia="Arial" w:hAnsi="Arial"/>
          <w:sz w:val="17"/>
          <w:szCs w:val="17"/>
          <w:b w:val="1"/>
          <w:bCs w:val="1"/>
          <w:color w:val="auto"/>
        </w:rPr>
        <w:t>Contractual Obligations.</w:t>
      </w:r>
    </w:p>
    <w:p>
      <w:pPr>
        <w:spacing w:after="0" w:line="153" w:lineRule="exact"/>
        <w:rPr>
          <w:rFonts w:ascii="Arial" w:cs="Arial" w:eastAsia="Arial" w:hAnsi="Arial"/>
          <w:sz w:val="17"/>
          <w:szCs w:val="17"/>
          <w:b w:val="1"/>
          <w:bCs w:val="1"/>
          <w:color w:val="auto"/>
        </w:rPr>
      </w:pPr>
    </w:p>
    <w:p>
      <w:pPr>
        <w:ind w:left="6" w:firstLine="563"/>
        <w:spacing w:after="0" w:line="262" w:lineRule="auto"/>
        <w:tabs>
          <w:tab w:leader="none" w:pos="1063" w:val="left"/>
        </w:tabs>
        <w:numPr>
          <w:ilvl w:val="1"/>
          <w:numId w:val="347"/>
        </w:numPr>
        <w:rPr>
          <w:rFonts w:ascii="Arial" w:cs="Arial" w:eastAsia="Arial" w:hAnsi="Arial"/>
          <w:sz w:val="17"/>
          <w:szCs w:val="17"/>
          <w:color w:val="auto"/>
        </w:rPr>
      </w:pPr>
      <w:r>
        <w:rPr>
          <w:rFonts w:ascii="Arial" w:cs="Arial" w:eastAsia="Arial" w:hAnsi="Arial"/>
          <w:sz w:val="17"/>
          <w:szCs w:val="17"/>
          <w:color w:val="auto"/>
        </w:rPr>
        <w:t xml:space="preserve">Nothing in this Agreement shall supersede, modify, replace or cancel any existing contractual obligations, including but not limited to restrictive covenants, applicable to you in </w:t>
      </w:r>
      <w:r>
        <w:rPr>
          <w:rFonts w:ascii="Arial" w:cs="Arial" w:eastAsia="Arial" w:hAnsi="Arial"/>
          <w:sz w:val="17"/>
          <w:szCs w:val="17"/>
          <w:i w:val="1"/>
          <w:iCs w:val="1"/>
          <w:u w:val="single" w:color="auto"/>
          <w:color w:val="auto"/>
        </w:rPr>
        <w:t>any</w:t>
      </w:r>
      <w:r>
        <w:rPr>
          <w:rFonts w:ascii="Arial" w:cs="Arial" w:eastAsia="Arial" w:hAnsi="Arial"/>
          <w:sz w:val="17"/>
          <w:szCs w:val="17"/>
          <w:color w:val="auto"/>
        </w:rPr>
        <w:t xml:space="preserve"> employment agreement, offer letter, prior equity award agreement or any other agreement or contract with the Company or its Affiliates.</w:t>
      </w:r>
    </w:p>
    <w:p>
      <w:pPr>
        <w:spacing w:after="0" w:line="164" w:lineRule="exact"/>
        <w:rPr>
          <w:rFonts w:ascii="Arial" w:cs="Arial" w:eastAsia="Arial" w:hAnsi="Arial"/>
          <w:sz w:val="17"/>
          <w:szCs w:val="17"/>
          <w:color w:val="auto"/>
        </w:rPr>
      </w:pPr>
    </w:p>
    <w:p>
      <w:pPr>
        <w:ind w:left="6" w:right="100" w:firstLine="563"/>
        <w:spacing w:after="0" w:line="216" w:lineRule="auto"/>
        <w:tabs>
          <w:tab w:leader="none" w:pos="1061" w:val="left"/>
        </w:tabs>
        <w:numPr>
          <w:ilvl w:val="1"/>
          <w:numId w:val="347"/>
        </w:numPr>
        <w:rPr>
          <w:rFonts w:ascii="Arial" w:cs="Arial" w:eastAsia="Arial" w:hAnsi="Arial"/>
          <w:sz w:val="17"/>
          <w:szCs w:val="17"/>
          <w:color w:val="auto"/>
        </w:rPr>
      </w:pPr>
      <w:r>
        <w:rPr>
          <w:rFonts w:ascii="Arial" w:cs="Arial" w:eastAsia="Arial" w:hAnsi="Arial"/>
          <w:sz w:val="17"/>
          <w:szCs w:val="17"/>
          <w:color w:val="auto"/>
        </w:rPr>
        <w:t>In the event that the Participant violates any of the contractual obligations referred to in this Section 8, in addition to any other remedy which may be available at law or in equity, the RSUs shall be automatically forfeited effective as of the date on which such violation first occurs. The foregoing rights and remedies are in addition to any other rights and remedies that may be available to the Company and shall not prevent (and the Participant shall not assert that they shall prevent) the Company from bringing one or more actions in any applicable jurisdiction to recover damages as a result of the Participant’s breach of such restrictive covenants.</w:t>
      </w:r>
    </w:p>
    <w:p>
      <w:pPr>
        <w:sectPr>
          <w:pgSz w:w="11900" w:h="16838" w:orient="portrait"/>
          <w:cols w:equalWidth="0" w:num="1">
            <w:col w:w="11086"/>
          </w:cols>
          <w:pgMar w:left="394" w:top="1438" w:right="419" w:bottom="1440" w:gutter="0" w:footer="0" w:header="0"/>
        </w:sectPr>
      </w:pPr>
    </w:p>
    <w:bookmarkStart w:id="414" w:name="page415"/>
    <w:bookmarkEnd w:id="414"/>
    <w:p>
      <w:pPr>
        <w:ind w:left="566" w:hanging="566"/>
        <w:spacing w:after="0"/>
        <w:tabs>
          <w:tab w:leader="none" w:pos="566" w:val="left"/>
        </w:tabs>
        <w:numPr>
          <w:ilvl w:val="0"/>
          <w:numId w:val="348"/>
        </w:numPr>
        <w:rPr>
          <w:rFonts w:ascii="Arial" w:cs="Arial" w:eastAsia="Arial" w:hAnsi="Arial"/>
          <w:sz w:val="17"/>
          <w:szCs w:val="17"/>
          <w:b w:val="1"/>
          <w:bCs w:val="1"/>
          <w:color w:val="auto"/>
        </w:rPr>
      </w:pPr>
      <w:r>
        <w:rPr>
          <w:rFonts w:ascii="Arial" w:cs="Arial" w:eastAsia="Arial" w:hAnsi="Arial"/>
          <w:sz w:val="17"/>
          <w:szCs w:val="17"/>
          <w:b w:val="1"/>
          <w:bCs w:val="1"/>
          <w:color w:val="auto"/>
        </w:rPr>
        <w:t>Miscellaneous.</w:t>
      </w:r>
    </w:p>
    <w:p>
      <w:pPr>
        <w:spacing w:after="0" w:line="201" w:lineRule="exact"/>
        <w:rPr>
          <w:rFonts w:ascii="Arial" w:cs="Arial" w:eastAsia="Arial" w:hAnsi="Arial"/>
          <w:sz w:val="17"/>
          <w:szCs w:val="17"/>
          <w:b w:val="1"/>
          <w:bCs w:val="1"/>
          <w:color w:val="auto"/>
        </w:rPr>
      </w:pPr>
    </w:p>
    <w:p>
      <w:pPr>
        <w:ind w:left="6" w:right="80" w:firstLine="563"/>
        <w:spacing w:after="0" w:line="220" w:lineRule="auto"/>
        <w:tabs>
          <w:tab w:leader="none" w:pos="1063" w:val="left"/>
        </w:tabs>
        <w:numPr>
          <w:ilvl w:val="1"/>
          <w:numId w:val="348"/>
        </w:numPr>
        <w:rPr>
          <w:rFonts w:ascii="Arial" w:cs="Arial" w:eastAsia="Arial" w:hAnsi="Arial"/>
          <w:sz w:val="17"/>
          <w:szCs w:val="17"/>
          <w:color w:val="auto"/>
        </w:rPr>
      </w:pPr>
      <w:r>
        <w:rPr>
          <w:rFonts w:ascii="Arial" w:cs="Arial" w:eastAsia="Arial" w:hAnsi="Arial"/>
          <w:sz w:val="17"/>
          <w:szCs w:val="17"/>
          <w:u w:val="single" w:color="auto"/>
          <w:color w:val="auto"/>
        </w:rPr>
        <w:t>Transferability</w:t>
      </w:r>
      <w:r>
        <w:rPr>
          <w:rFonts w:ascii="Arial" w:cs="Arial" w:eastAsia="Arial" w:hAnsi="Arial"/>
          <w:sz w:val="17"/>
          <w:szCs w:val="17"/>
          <w:color w:val="auto"/>
        </w:rPr>
        <w:t>. The RSUs may not be assigned, alienated, pledged, attached, sold or otherwise transferred or encumbered (a “</w:t>
      </w:r>
      <w:r>
        <w:rPr>
          <w:rFonts w:ascii="Arial" w:cs="Arial" w:eastAsia="Arial" w:hAnsi="Arial"/>
          <w:sz w:val="17"/>
          <w:szCs w:val="17"/>
          <w:u w:val="single" w:color="auto"/>
          <w:color w:val="auto"/>
        </w:rPr>
        <w:t>Transfer</w:t>
      </w:r>
      <w:r>
        <w:rPr>
          <w:rFonts w:ascii="Arial" w:cs="Arial" w:eastAsia="Arial" w:hAnsi="Arial"/>
          <w:sz w:val="17"/>
          <w:szCs w:val="17"/>
          <w:color w:val="auto"/>
        </w:rPr>
        <w:t>”) by the Participant other than by will or by the laws of descent and distribution, pursuant to a qualified domestic relations order or as otherwise permitted under Section 15(b) of the Plan. Any attempted Transfer of the RSUs contrary to the provisions hereof, and the levy of any execution, attachment or similar process upon the RSUs, shall be null and void and without effect.</w:t>
      </w:r>
    </w:p>
    <w:p>
      <w:pPr>
        <w:spacing w:after="0" w:line="242" w:lineRule="exact"/>
        <w:rPr>
          <w:rFonts w:ascii="Arial" w:cs="Arial" w:eastAsia="Arial" w:hAnsi="Arial"/>
          <w:sz w:val="17"/>
          <w:szCs w:val="17"/>
          <w:color w:val="auto"/>
        </w:rPr>
      </w:pPr>
    </w:p>
    <w:p>
      <w:pPr>
        <w:ind w:left="6" w:firstLine="563"/>
        <w:spacing w:after="0" w:line="257" w:lineRule="auto"/>
        <w:tabs>
          <w:tab w:leader="none" w:pos="1061" w:val="left"/>
        </w:tabs>
        <w:numPr>
          <w:ilvl w:val="1"/>
          <w:numId w:val="348"/>
        </w:numPr>
        <w:rPr>
          <w:rFonts w:ascii="Arial" w:cs="Arial" w:eastAsia="Arial" w:hAnsi="Arial"/>
          <w:sz w:val="17"/>
          <w:szCs w:val="17"/>
          <w:color w:val="auto"/>
        </w:rPr>
      </w:pPr>
      <w:r>
        <w:rPr>
          <w:rFonts w:ascii="Arial" w:cs="Arial" w:eastAsia="Arial" w:hAnsi="Arial"/>
          <w:sz w:val="17"/>
          <w:szCs w:val="17"/>
          <w:u w:val="single" w:color="auto"/>
          <w:color w:val="auto"/>
        </w:rPr>
        <w:t>Waiver</w:t>
      </w:r>
      <w:r>
        <w:rPr>
          <w:rFonts w:ascii="Arial" w:cs="Arial" w:eastAsia="Arial" w:hAnsi="Arial"/>
          <w:sz w:val="17"/>
          <w:szCs w:val="17"/>
          <w:color w:val="auto"/>
        </w:rPr>
        <w:t>. Any right of the Company contained in this Agreement may be waived in writing by the Committee. No waiver of any right hereunder by any party shall operate as a waiver of any other right, or as a waiver of the same right with respect to any subsequent occasion for its exercise, or as a waiver of any right to damages. No waiver by any party of any breach of this Agreement shall be held to constitute a waiver of any other breach or a waiver of the continuation of the same breach.</w:t>
      </w:r>
    </w:p>
    <w:p>
      <w:pPr>
        <w:spacing w:after="0" w:line="165" w:lineRule="exact"/>
        <w:rPr>
          <w:rFonts w:ascii="Arial" w:cs="Arial" w:eastAsia="Arial" w:hAnsi="Arial"/>
          <w:sz w:val="17"/>
          <w:szCs w:val="17"/>
          <w:color w:val="auto"/>
        </w:rPr>
      </w:pPr>
    </w:p>
    <w:p>
      <w:pPr>
        <w:ind w:left="1126" w:hanging="557"/>
        <w:spacing w:after="0"/>
        <w:tabs>
          <w:tab w:leader="none" w:pos="1126" w:val="left"/>
        </w:tabs>
        <w:numPr>
          <w:ilvl w:val="1"/>
          <w:numId w:val="348"/>
        </w:numPr>
        <w:rPr>
          <w:rFonts w:ascii="Arial" w:cs="Arial" w:eastAsia="Arial" w:hAnsi="Arial"/>
          <w:sz w:val="17"/>
          <w:szCs w:val="17"/>
          <w:color w:val="auto"/>
        </w:rPr>
      </w:pPr>
      <w:r>
        <w:rPr>
          <w:rFonts w:ascii="Arial" w:cs="Arial" w:eastAsia="Arial" w:hAnsi="Arial"/>
          <w:sz w:val="17"/>
          <w:szCs w:val="17"/>
          <w:u w:val="single" w:color="auto"/>
          <w:color w:val="auto"/>
        </w:rPr>
        <w:t>Section 409A</w:t>
      </w:r>
      <w:r>
        <w:rPr>
          <w:rFonts w:ascii="Arial" w:cs="Arial" w:eastAsia="Arial" w:hAnsi="Arial"/>
          <w:sz w:val="17"/>
          <w:szCs w:val="17"/>
          <w:color w:val="auto"/>
        </w:rPr>
        <w:t>. The RSUs are intended to be exempt from, or compliant with,</w:t>
      </w:r>
    </w:p>
    <w:p>
      <w:pPr>
        <w:ind w:left="6" w:right="220"/>
        <w:spacing w:after="0" w:line="223" w:lineRule="auto"/>
        <w:rPr>
          <w:sz w:val="20"/>
          <w:szCs w:val="20"/>
          <w:color w:val="auto"/>
        </w:rPr>
      </w:pPr>
      <w:r>
        <w:rPr>
          <w:rFonts w:ascii="Arial" w:cs="Arial" w:eastAsia="Arial" w:hAnsi="Arial"/>
          <w:sz w:val="16"/>
          <w:szCs w:val="16"/>
          <w:color w:val="auto"/>
        </w:rPr>
        <w:t>Section 409A of the Internal Revenue Code (“Code”). Notwithstanding the foregoing or any provision of the Plan or this Agreement, if any provision of the Plan or this Agreement contravenes Section 409A of the Code or could cause the Participant to incur any tax, interest or penalties under Section 409A of the Code, the Committee may, in its sole discretion and without the Participant’s consent, modify such provision to (i) comply with, or avoid being subject to, Section 409A of the Code, or to avoid the incurrence of taxes, interest and penalties under Section 409A of the Code, and/or (ii) maintain, to the maximum extent practicable, the original intent and economic benefit to the Participant of the applicable provision without materially increasing the cost to the Company or contravening the provisions of Section 409A of the Code. This Section 9(c) does not create an obligation on the part of the Company to modify the Plan or this Agreement and does not guarantee that the RSUs will not be subject to interest and penalties under Section 409A.</w:t>
      </w:r>
    </w:p>
    <w:p>
      <w:pPr>
        <w:spacing w:after="0" w:line="174" w:lineRule="exact"/>
        <w:rPr>
          <w:sz w:val="20"/>
          <w:szCs w:val="20"/>
          <w:color w:val="auto"/>
        </w:rPr>
      </w:pPr>
    </w:p>
    <w:p>
      <w:pPr>
        <w:ind w:left="6" w:right="160" w:firstLine="563"/>
        <w:spacing w:after="0" w:line="248" w:lineRule="auto"/>
        <w:tabs>
          <w:tab w:leader="none" w:pos="1061" w:val="left"/>
        </w:tabs>
        <w:numPr>
          <w:ilvl w:val="0"/>
          <w:numId w:val="349"/>
        </w:numPr>
        <w:rPr>
          <w:rFonts w:ascii="Arial" w:cs="Arial" w:eastAsia="Arial" w:hAnsi="Arial"/>
          <w:sz w:val="17"/>
          <w:szCs w:val="17"/>
          <w:color w:val="auto"/>
        </w:rPr>
      </w:pPr>
      <w:r>
        <w:rPr>
          <w:rFonts w:ascii="Arial" w:cs="Arial" w:eastAsia="Arial" w:hAnsi="Arial"/>
          <w:sz w:val="17"/>
          <w:szCs w:val="17"/>
          <w:u w:val="single" w:color="auto"/>
          <w:color w:val="auto"/>
        </w:rPr>
        <w:t>General Assets</w:t>
      </w:r>
      <w:r>
        <w:rPr>
          <w:rFonts w:ascii="Arial" w:cs="Arial" w:eastAsia="Arial" w:hAnsi="Arial"/>
          <w:sz w:val="17"/>
          <w:szCs w:val="17"/>
          <w:color w:val="auto"/>
        </w:rPr>
        <w:t>. All amounts credited in respect of the RSUs to the book-entry account under this Agreement shall continue for all purposes to be part of the general assets of the Company. The Participant’s interest in such account shall make the Participant only a general, unsecured creditor of the Company.</w:t>
      </w:r>
    </w:p>
    <w:p>
      <w:pPr>
        <w:spacing w:after="0" w:line="187" w:lineRule="exact"/>
        <w:rPr>
          <w:rFonts w:ascii="Arial" w:cs="Arial" w:eastAsia="Arial" w:hAnsi="Arial"/>
          <w:sz w:val="17"/>
          <w:szCs w:val="17"/>
          <w:color w:val="auto"/>
        </w:rPr>
      </w:pPr>
    </w:p>
    <w:p>
      <w:pPr>
        <w:ind w:left="6" w:right="260" w:firstLine="563"/>
        <w:spacing w:after="0" w:line="278" w:lineRule="auto"/>
        <w:tabs>
          <w:tab w:leader="none" w:pos="1063" w:val="left"/>
        </w:tabs>
        <w:numPr>
          <w:ilvl w:val="0"/>
          <w:numId w:val="349"/>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notices provided for in this Agreement or the Plan shall be in writing and shall be deemed sufficiently given if either hand delivered or if sent by fax, pdf/email or overnight courier, or by postage paid first class mail. Notices sent by mail shall be deemed received three business days after mailing but in no event later than the date of actual receipt. Notices shall be directed, if to the Participant, at the Participant’s address indicated by the Company’s records, or if to the Company, to the attention of the General Counsel at the Company’s principal executive office.</w:t>
      </w:r>
    </w:p>
    <w:p>
      <w:pPr>
        <w:spacing w:after="0" w:line="165" w:lineRule="exact"/>
        <w:rPr>
          <w:rFonts w:ascii="Arial" w:cs="Arial" w:eastAsia="Arial" w:hAnsi="Arial"/>
          <w:sz w:val="16"/>
          <w:szCs w:val="16"/>
          <w:color w:val="auto"/>
        </w:rPr>
      </w:pPr>
    </w:p>
    <w:p>
      <w:pPr>
        <w:ind w:left="6" w:right="60" w:firstLine="563"/>
        <w:spacing w:after="0" w:line="277" w:lineRule="auto"/>
        <w:tabs>
          <w:tab w:leader="none" w:pos="1056" w:val="left"/>
        </w:tabs>
        <w:numPr>
          <w:ilvl w:val="0"/>
          <w:numId w:val="349"/>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64" w:lineRule="exact"/>
        <w:rPr>
          <w:rFonts w:ascii="Arial" w:cs="Arial" w:eastAsia="Arial" w:hAnsi="Arial"/>
          <w:sz w:val="17"/>
          <w:szCs w:val="17"/>
          <w:color w:val="auto"/>
        </w:rPr>
      </w:pPr>
    </w:p>
    <w:p>
      <w:pPr>
        <w:ind w:left="6" w:right="80" w:firstLine="563"/>
        <w:spacing w:after="0" w:line="270" w:lineRule="auto"/>
        <w:tabs>
          <w:tab w:leader="none" w:pos="1061" w:val="left"/>
        </w:tabs>
        <w:numPr>
          <w:ilvl w:val="0"/>
          <w:numId w:val="349"/>
        </w:numPr>
        <w:rPr>
          <w:rFonts w:ascii="Arial" w:cs="Arial" w:eastAsia="Arial" w:hAnsi="Arial"/>
          <w:sz w:val="16"/>
          <w:szCs w:val="16"/>
          <w:color w:val="auto"/>
        </w:rPr>
      </w:pPr>
      <w:r>
        <w:rPr>
          <w:rFonts w:ascii="Arial" w:cs="Arial" w:eastAsia="Arial" w:hAnsi="Arial"/>
          <w:sz w:val="16"/>
          <w:szCs w:val="16"/>
          <w:u w:val="single" w:color="auto"/>
          <w:color w:val="auto"/>
        </w:rPr>
        <w:t>No Rights to Employment or Service</w:t>
      </w:r>
      <w:r>
        <w:rPr>
          <w:rFonts w:ascii="Arial" w:cs="Arial" w:eastAsia="Arial" w:hAnsi="Arial"/>
          <w:sz w:val="16"/>
          <w:szCs w:val="16"/>
          <w:color w:val="auto"/>
        </w:rPr>
        <w:t>. Nothing contained in this Agreement shall be construed as giving the Participant any right to be retained, in any position, as an employee, consultant or director of the Company or its Affiliates or shall interfere with or restrict in any way the rights of the Company or its Affiliates, which are hereby expressly reserved, to remove, terminate or discharge the Participant at any time for any reason whatsoever.</w:t>
      </w:r>
    </w:p>
    <w:p>
      <w:pPr>
        <w:sectPr>
          <w:pgSz w:w="11900" w:h="16838" w:orient="portrait"/>
          <w:cols w:equalWidth="0" w:num="1">
            <w:col w:w="11086"/>
          </w:cols>
          <w:pgMar w:left="394" w:top="1231" w:right="419" w:bottom="1440" w:gutter="0" w:footer="0" w:header="0"/>
        </w:sectPr>
      </w:pPr>
    </w:p>
    <w:bookmarkStart w:id="415" w:name="page416"/>
    <w:bookmarkEnd w:id="415"/>
    <w:p>
      <w:pPr>
        <w:ind w:left="-560" w:right="320" w:firstLine="563"/>
        <w:spacing w:after="0" w:line="262" w:lineRule="auto"/>
        <w:tabs>
          <w:tab w:leader="none" w:pos="495" w:val="left"/>
        </w:tabs>
        <w:numPr>
          <w:ilvl w:val="0"/>
          <w:numId w:val="350"/>
        </w:numPr>
        <w:rPr>
          <w:rFonts w:ascii="Arial" w:cs="Arial" w:eastAsia="Arial" w:hAnsi="Arial"/>
          <w:sz w:val="17"/>
          <w:szCs w:val="17"/>
          <w:color w:val="auto"/>
        </w:rPr>
      </w:pPr>
      <w:r>
        <w:rPr>
          <w:rFonts w:ascii="Arial" w:cs="Arial" w:eastAsia="Arial" w:hAnsi="Arial"/>
          <w:sz w:val="17"/>
          <w:szCs w:val="17"/>
          <w:u w:val="single" w:color="auto"/>
          <w:color w:val="auto"/>
        </w:rPr>
        <w:t>Fractional Shares</w:t>
      </w:r>
      <w:r>
        <w:rPr>
          <w:rFonts w:ascii="Arial" w:cs="Arial" w:eastAsia="Arial" w:hAnsi="Arial"/>
          <w:sz w:val="17"/>
          <w:szCs w:val="17"/>
          <w:color w:val="auto"/>
        </w:rPr>
        <w:t>. In lieu of issuing a fraction of a share of Class A Common Stock resulting from adjustment of the Shares or the RSUs pursuant to Section 12 of the Plan or otherwise, the Company shall be entitled to pay to the Participant an amount in cash equal to the Fair Market Value of such fractional share.</w:t>
      </w:r>
    </w:p>
    <w:p>
      <w:pPr>
        <w:spacing w:after="0" w:line="188" w:lineRule="exact"/>
        <w:rPr>
          <w:rFonts w:ascii="Arial" w:cs="Arial" w:eastAsia="Arial" w:hAnsi="Arial"/>
          <w:sz w:val="17"/>
          <w:szCs w:val="17"/>
          <w:color w:val="auto"/>
        </w:rPr>
      </w:pPr>
    </w:p>
    <w:p>
      <w:pPr>
        <w:ind w:left="-560" w:right="480" w:firstLine="563"/>
        <w:spacing w:after="0" w:line="277" w:lineRule="auto"/>
        <w:tabs>
          <w:tab w:leader="none" w:pos="492" w:val="left"/>
        </w:tabs>
        <w:numPr>
          <w:ilvl w:val="0"/>
          <w:numId w:val="350"/>
        </w:numPr>
        <w:rPr>
          <w:rFonts w:ascii="Arial" w:cs="Arial" w:eastAsia="Arial" w:hAnsi="Arial"/>
          <w:sz w:val="17"/>
          <w:szCs w:val="17"/>
          <w:color w:val="auto"/>
        </w:rPr>
      </w:pPr>
      <w:r>
        <w:rPr>
          <w:rFonts w:ascii="Arial" w:cs="Arial" w:eastAsia="Arial" w:hAnsi="Arial"/>
          <w:sz w:val="17"/>
          <w:szCs w:val="17"/>
          <w:u w:val="single" w:color="auto"/>
          <w:color w:val="auto"/>
        </w:rPr>
        <w:t>Beneficiary</w:t>
      </w:r>
      <w:r>
        <w:rPr>
          <w:rFonts w:ascii="Arial" w:cs="Arial" w:eastAsia="Arial" w:hAnsi="Arial"/>
          <w:sz w:val="17"/>
          <w:szCs w:val="17"/>
          <w:color w:val="auto"/>
        </w:rPr>
        <w:t>. The Participant may file with the Committee a written designation of a beneficiary on such form as may be prescribed by the Committee and may, from time to time, amend or revoke such designation.</w:t>
      </w:r>
    </w:p>
    <w:p>
      <w:pPr>
        <w:spacing w:after="0" w:line="164" w:lineRule="exact"/>
        <w:rPr>
          <w:rFonts w:ascii="Arial" w:cs="Arial" w:eastAsia="Arial" w:hAnsi="Arial"/>
          <w:sz w:val="17"/>
          <w:szCs w:val="17"/>
          <w:color w:val="auto"/>
        </w:rPr>
      </w:pPr>
    </w:p>
    <w:p>
      <w:pPr>
        <w:ind w:left="-560" w:right="200" w:firstLine="563"/>
        <w:spacing w:after="0" w:line="277" w:lineRule="auto"/>
        <w:tabs>
          <w:tab w:leader="none" w:pos="492" w:val="left"/>
        </w:tabs>
        <w:numPr>
          <w:ilvl w:val="0"/>
          <w:numId w:val="350"/>
        </w:numPr>
        <w:rPr>
          <w:rFonts w:ascii="Arial" w:cs="Arial" w:eastAsia="Arial" w:hAnsi="Arial"/>
          <w:sz w:val="17"/>
          <w:szCs w:val="17"/>
          <w:color w:val="auto"/>
        </w:rPr>
      </w:pPr>
      <w:r>
        <w:rPr>
          <w:rFonts w:ascii="Arial" w:cs="Arial" w:eastAsia="Arial" w:hAnsi="Arial"/>
          <w:sz w:val="17"/>
          <w:szCs w:val="17"/>
          <w:u w:val="single" w:color="auto"/>
          <w:color w:val="auto"/>
        </w:rPr>
        <w:t>Successors</w:t>
      </w:r>
      <w:r>
        <w:rPr>
          <w:rFonts w:ascii="Arial" w:cs="Arial" w:eastAsia="Arial" w:hAnsi="Arial"/>
          <w:sz w:val="17"/>
          <w:szCs w:val="17"/>
          <w:color w:val="auto"/>
        </w:rPr>
        <w:t>. The terms of this Agreement shall be binding upon and inure to the benefit of the Company and its successors and assigns, and of the Participant and the beneficiaries, executors, administrators, heirs and successors of the Participant.</w:t>
      </w:r>
    </w:p>
    <w:p>
      <w:pPr>
        <w:spacing w:after="0" w:line="164" w:lineRule="exact"/>
        <w:rPr>
          <w:rFonts w:ascii="Arial" w:cs="Arial" w:eastAsia="Arial" w:hAnsi="Arial"/>
          <w:sz w:val="17"/>
          <w:szCs w:val="17"/>
          <w:color w:val="auto"/>
        </w:rPr>
      </w:pPr>
    </w:p>
    <w:p>
      <w:pPr>
        <w:ind w:left="-560" w:right="320" w:firstLine="563"/>
        <w:spacing w:after="0" w:line="220" w:lineRule="auto"/>
        <w:tabs>
          <w:tab w:leader="none" w:pos="495" w:val="left"/>
        </w:tabs>
        <w:numPr>
          <w:ilvl w:val="0"/>
          <w:numId w:val="350"/>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and the Plan contain the entire agreement and understanding of the parties hereto with respect to the subject matter contained herein and supersede all prior communications, representations and negotiations in respect thereto, except as set forth in Section 8 hereof. No change, modification or waiver of any provision of this Agreement shall be valid unless the same be in writing and signed by the parties hereto, except for any changes permitted without consent under Section 12 or 14 of the Plan.</w:t>
      </w:r>
    </w:p>
    <w:p>
      <w:pPr>
        <w:spacing w:after="0" w:line="183" w:lineRule="exact"/>
        <w:rPr>
          <w:rFonts w:ascii="Arial" w:cs="Arial" w:eastAsia="Arial" w:hAnsi="Arial"/>
          <w:sz w:val="17"/>
          <w:szCs w:val="17"/>
          <w:color w:val="auto"/>
        </w:rPr>
      </w:pPr>
    </w:p>
    <w:p>
      <w:pPr>
        <w:ind w:left="-560" w:right="100" w:firstLine="563"/>
        <w:spacing w:after="0" w:line="248" w:lineRule="auto"/>
        <w:tabs>
          <w:tab w:leader="none" w:pos="492" w:val="left"/>
        </w:tabs>
        <w:numPr>
          <w:ilvl w:val="0"/>
          <w:numId w:val="350"/>
        </w:numPr>
        <w:rPr>
          <w:rFonts w:ascii="Arial" w:cs="Arial" w:eastAsia="Arial" w:hAnsi="Arial"/>
          <w:sz w:val="17"/>
          <w:szCs w:val="17"/>
          <w:color w:val="auto"/>
        </w:rPr>
      </w:pPr>
      <w:r>
        <w:rPr>
          <w:rFonts w:ascii="Arial" w:cs="Arial" w:eastAsia="Arial" w:hAnsi="Arial"/>
          <w:sz w:val="17"/>
          <w:szCs w:val="17"/>
          <w:u w:val="single" w:color="auto"/>
          <w:color w:val="auto"/>
        </w:rPr>
        <w:t>Governing Law and Venue</w:t>
      </w:r>
      <w:r>
        <w:rPr>
          <w:rFonts w:ascii="Arial" w:cs="Arial" w:eastAsia="Arial" w:hAnsi="Arial"/>
          <w:sz w:val="17"/>
          <w:szCs w:val="17"/>
          <w:color w:val="auto"/>
        </w:rPr>
        <w:t>. This Agreement shall be construed and interpreted in accordance with the laws of the State of Delaware, without regard to principles of conflicts of laws thereof, or principles of conflicts of laws of any other jurisdiction which could cause the application of the laws of any jurisdiction other than the State of Delaware.</w:t>
      </w:r>
    </w:p>
    <w:p>
      <w:pPr>
        <w:spacing w:after="0" w:line="163" w:lineRule="exact"/>
        <w:rPr>
          <w:rFonts w:ascii="Arial" w:cs="Arial" w:eastAsia="Arial" w:hAnsi="Arial"/>
          <w:sz w:val="17"/>
          <w:szCs w:val="17"/>
          <w:color w:val="auto"/>
        </w:rPr>
      </w:pPr>
    </w:p>
    <w:p>
      <w:pPr>
        <w:ind w:firstLine="572"/>
        <w:spacing w:after="0" w:line="225" w:lineRule="auto"/>
        <w:tabs>
          <w:tab w:leader="none" w:pos="1052" w:val="left"/>
        </w:tabs>
        <w:numPr>
          <w:ilvl w:val="2"/>
          <w:numId w:val="350"/>
        </w:numPr>
        <w:rPr>
          <w:rFonts w:ascii="Arial" w:cs="Arial" w:eastAsia="Arial" w:hAnsi="Arial"/>
          <w:sz w:val="16"/>
          <w:szCs w:val="16"/>
          <w:color w:val="auto"/>
        </w:rPr>
      </w:pPr>
      <w:r>
        <w:rPr>
          <w:rFonts w:ascii="Arial" w:cs="Arial" w:eastAsia="Arial" w:hAnsi="Arial"/>
          <w:sz w:val="16"/>
          <w:szCs w:val="16"/>
          <w:u w:val="single" w:color="auto"/>
          <w:color w:val="auto"/>
        </w:rPr>
        <w:t>Dispute Resolution; Consent to Jurisdiction</w:t>
      </w:r>
      <w:r>
        <w:rPr>
          <w:rFonts w:ascii="Arial" w:cs="Arial" w:eastAsia="Arial" w:hAnsi="Arial"/>
          <w:sz w:val="16"/>
          <w:szCs w:val="16"/>
          <w:color w:val="auto"/>
        </w:rPr>
        <w:t>. All disputes between or among any Persons arising out of or in any way connected with the Plan, this Agreement, the Shares or the RSUs shall be solely and finally settled by the Committee, acting in good faith, the determination of which shall be final. Any matters not covered by the preceding sentence shall be solely and finally settled in accordance with the Plan, and the Participant and the Company consent to the personal jurisdiction of the United States Federal and state courts sitting in Wilmington, Delaware as the exclusive jurisdiction with respect to matters arising out of or related to the enforcement of the Committee’s determinations and resolution of matters, if any, related to the Plan or this Agreement not required to be resolved by the Committee. Each such Person hereby irrevocably consents to the service of process of any of the aforementioned courts in any such suit, action or proceeding by the mailing of copies thereof by registered or certified mail, postage prepaid, to the last known address of such Person, such service to become effective ten (10) days after such mailing.</w:t>
      </w:r>
    </w:p>
    <w:p>
      <w:pPr>
        <w:spacing w:after="0" w:line="242" w:lineRule="exact"/>
        <w:rPr>
          <w:rFonts w:ascii="Arial" w:cs="Arial" w:eastAsia="Arial" w:hAnsi="Arial"/>
          <w:sz w:val="16"/>
          <w:szCs w:val="16"/>
          <w:color w:val="auto"/>
        </w:rPr>
      </w:pPr>
    </w:p>
    <w:p>
      <w:pPr>
        <w:ind w:right="140" w:firstLine="572"/>
        <w:spacing w:after="0" w:line="224" w:lineRule="auto"/>
        <w:tabs>
          <w:tab w:leader="none" w:pos="1053" w:val="left"/>
        </w:tabs>
        <w:numPr>
          <w:ilvl w:val="2"/>
          <w:numId w:val="350"/>
        </w:numPr>
        <w:rPr>
          <w:rFonts w:ascii="Arial" w:cs="Arial" w:eastAsia="Arial" w:hAnsi="Arial"/>
          <w:sz w:val="16"/>
          <w:szCs w:val="16"/>
          <w:color w:val="auto"/>
        </w:rPr>
      </w:pPr>
      <w:r>
        <w:rPr>
          <w:rFonts w:ascii="Arial" w:cs="Arial" w:eastAsia="Arial" w:hAnsi="Arial"/>
          <w:sz w:val="16"/>
          <w:szCs w:val="16"/>
          <w:u w:val="single" w:color="auto"/>
          <w:color w:val="auto"/>
        </w:rPr>
        <w:t>Waiver of Jury Trial</w:t>
      </w:r>
      <w:r>
        <w:rPr>
          <w:rFonts w:ascii="Arial" w:cs="Arial" w:eastAsia="Arial" w:hAnsi="Arial"/>
          <w:sz w:val="16"/>
          <w:szCs w:val="16"/>
          <w:color w:val="auto"/>
        </w:rPr>
        <w:t>. Each party hereto hereby waives, to the fullest extent permitted by applicable law, any right it may have to a trial by jury in any legal proceeding directly or indirectly arising out of or relating to this Agreement or the transactions contemplated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w:t>
      </w:r>
    </w:p>
    <w:p>
      <w:pPr>
        <w:spacing w:after="0" w:line="1" w:lineRule="exact"/>
        <w:rPr>
          <w:rFonts w:ascii="Arial" w:cs="Arial" w:eastAsia="Arial" w:hAnsi="Arial"/>
          <w:sz w:val="16"/>
          <w:szCs w:val="16"/>
          <w:color w:val="auto"/>
        </w:rPr>
      </w:pPr>
    </w:p>
    <w:p>
      <w:pPr>
        <w:ind w:left="280" w:hanging="277"/>
        <w:spacing w:after="0"/>
        <w:tabs>
          <w:tab w:leader="none" w:pos="280" w:val="left"/>
        </w:tabs>
        <w:numPr>
          <w:ilvl w:val="1"/>
          <w:numId w:val="350"/>
        </w:numPr>
        <w:rPr>
          <w:rFonts w:ascii="Arial" w:cs="Arial" w:eastAsia="Arial" w:hAnsi="Arial"/>
          <w:sz w:val="15"/>
          <w:szCs w:val="15"/>
          <w:color w:val="auto"/>
        </w:rPr>
      </w:pPr>
      <w:r>
        <w:rPr>
          <w:rFonts w:ascii="Arial" w:cs="Arial" w:eastAsia="Arial" w:hAnsi="Arial"/>
          <w:sz w:val="15"/>
          <w:szCs w:val="15"/>
          <w:color w:val="auto"/>
        </w:rPr>
        <w:t>acknowledges that it and the other parties hereto have been induced to enter into this Agreement by, among other things, the mutual waivers and</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certifications in this section.</w:t>
      </w:r>
    </w:p>
    <w:p>
      <w:pPr>
        <w:spacing w:after="0" w:line="205" w:lineRule="exact"/>
        <w:rPr>
          <w:sz w:val="20"/>
          <w:szCs w:val="20"/>
          <w:color w:val="auto"/>
        </w:rPr>
      </w:pPr>
    </w:p>
    <w:p>
      <w:pPr>
        <w:ind w:left="-560" w:right="260" w:firstLine="563"/>
        <w:spacing w:after="0" w:line="277" w:lineRule="auto"/>
        <w:tabs>
          <w:tab w:leader="none" w:pos="496" w:val="left"/>
        </w:tabs>
        <w:numPr>
          <w:ilvl w:val="0"/>
          <w:numId w:val="351"/>
        </w:numPr>
        <w:rPr>
          <w:rFonts w:ascii="Arial" w:cs="Arial" w:eastAsia="Arial" w:hAnsi="Arial"/>
          <w:sz w:val="17"/>
          <w:szCs w:val="17"/>
          <w:color w:val="auto"/>
        </w:rPr>
      </w:pPr>
      <w:r>
        <w:rPr>
          <w:rFonts w:ascii="Arial" w:cs="Arial" w:eastAsia="Arial" w:hAnsi="Arial"/>
          <w:sz w:val="17"/>
          <w:szCs w:val="17"/>
          <w:u w:val="single" w:color="auto"/>
          <w:color w:val="auto"/>
        </w:rPr>
        <w:t>Headings; Gender</w:t>
      </w:r>
      <w:r>
        <w:rPr>
          <w:rFonts w:ascii="Arial" w:cs="Arial" w:eastAsia="Arial" w:hAnsi="Arial"/>
          <w:sz w:val="17"/>
          <w:szCs w:val="17"/>
          <w:color w:val="auto"/>
        </w:rPr>
        <w:t>. The headings of the Sections hereof are provided for convenience only and are not to serve as a basis for interpretation or construction, and shall not constitute a part, of this</w:t>
      </w:r>
    </w:p>
    <w:p>
      <w:pPr>
        <w:sectPr>
          <w:pgSz w:w="11900" w:h="16838" w:orient="portrait"/>
          <w:cols w:equalWidth="0" w:num="1">
            <w:col w:w="10520"/>
          </w:cols>
          <w:pgMar w:left="960" w:top="1237" w:right="419" w:bottom="1440" w:gutter="0" w:footer="0" w:header="0"/>
        </w:sectPr>
      </w:pPr>
    </w:p>
    <w:bookmarkStart w:id="416" w:name="page417"/>
    <w:bookmarkEnd w:id="416"/>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Agreement. Masculine pronouns and other words of masculine gender shall refer to both men and women as appropriate.</w:t>
      </w:r>
    </w:p>
    <w:p>
      <w:pPr>
        <w:spacing w:after="0" w:line="219" w:lineRule="exact"/>
        <w:rPr>
          <w:sz w:val="20"/>
          <w:szCs w:val="20"/>
          <w:color w:val="auto"/>
        </w:rPr>
      </w:pPr>
    </w:p>
    <w:p>
      <w:pPr>
        <w:jc w:val="both"/>
        <w:ind w:right="120" w:firstLine="563"/>
        <w:spacing w:after="0" w:line="248" w:lineRule="auto"/>
        <w:tabs>
          <w:tab w:leader="none" w:pos="1055" w:val="left"/>
        </w:tabs>
        <w:numPr>
          <w:ilvl w:val="0"/>
          <w:numId w:val="352"/>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one or more counterparts (including via facsimile and electronic image scan (pdf)), each of which shall be deemed to be an original, but all of which together shall constitute one and the same instrument and shall become effective when one or more counterparts have been signed by each of the parties and delivered to the other parties.</w:t>
      </w:r>
    </w:p>
    <w:p>
      <w:pPr>
        <w:spacing w:after="0" w:line="175" w:lineRule="exact"/>
        <w:rPr>
          <w:rFonts w:ascii="Arial" w:cs="Arial" w:eastAsia="Arial" w:hAnsi="Arial"/>
          <w:sz w:val="17"/>
          <w:szCs w:val="17"/>
          <w:color w:val="auto"/>
        </w:rPr>
      </w:pPr>
    </w:p>
    <w:p>
      <w:pPr>
        <w:ind w:firstLine="563"/>
        <w:spacing w:after="0" w:line="278" w:lineRule="auto"/>
        <w:tabs>
          <w:tab w:leader="none" w:pos="1055" w:val="left"/>
        </w:tabs>
        <w:numPr>
          <w:ilvl w:val="0"/>
          <w:numId w:val="352"/>
        </w:numPr>
        <w:rPr>
          <w:rFonts w:ascii="Arial" w:cs="Arial" w:eastAsia="Arial" w:hAnsi="Arial"/>
          <w:sz w:val="16"/>
          <w:szCs w:val="16"/>
          <w:color w:val="auto"/>
        </w:rPr>
      </w:pPr>
      <w:r>
        <w:rPr>
          <w:rFonts w:ascii="Arial" w:cs="Arial" w:eastAsia="Arial" w:hAnsi="Arial"/>
          <w:sz w:val="16"/>
          <w:szCs w:val="16"/>
          <w:u w:val="single" w:color="auto"/>
          <w:color w:val="auto"/>
        </w:rPr>
        <w:t>Electronic Signature and Delivery</w:t>
      </w:r>
      <w:r>
        <w:rPr>
          <w:rFonts w:ascii="Arial" w:cs="Arial" w:eastAsia="Arial" w:hAnsi="Arial"/>
          <w:sz w:val="16"/>
          <w:szCs w:val="16"/>
          <w:color w:val="auto"/>
        </w:rPr>
        <w:t>. This Agreement may be accepted by return signature or by electronic confirmation. By accepting this Agreement, the Participant consents to the electronic delivery of prospectuses, annual reports and other information required to be delivered by U.S. Securities and Exchange Commission rules (which consent may be revoked in writing by the Participant at any time upon three business days’ notice to the Company, in which case subsequent prospectuses, annual reports and other information will be delivered in hard copy to the Participant).</w:t>
      </w:r>
    </w:p>
    <w:p>
      <w:pPr>
        <w:spacing w:after="0" w:line="177" w:lineRule="exact"/>
        <w:rPr>
          <w:rFonts w:ascii="Arial" w:cs="Arial" w:eastAsia="Arial" w:hAnsi="Arial"/>
          <w:sz w:val="16"/>
          <w:szCs w:val="16"/>
          <w:color w:val="auto"/>
        </w:rPr>
      </w:pPr>
    </w:p>
    <w:p>
      <w:pPr>
        <w:ind w:right="280" w:firstLine="563"/>
        <w:spacing w:after="0" w:line="286" w:lineRule="auto"/>
        <w:tabs>
          <w:tab w:leader="none" w:pos="1055" w:val="left"/>
        </w:tabs>
        <w:numPr>
          <w:ilvl w:val="0"/>
          <w:numId w:val="352"/>
        </w:numPr>
        <w:rPr>
          <w:rFonts w:ascii="Arial" w:cs="Arial" w:eastAsia="Arial" w:hAnsi="Arial"/>
          <w:sz w:val="16"/>
          <w:szCs w:val="16"/>
          <w:color w:val="auto"/>
        </w:rPr>
      </w:pPr>
      <w:r>
        <w:rPr>
          <w:rFonts w:ascii="Arial" w:cs="Arial" w:eastAsia="Arial" w:hAnsi="Arial"/>
          <w:sz w:val="16"/>
          <w:szCs w:val="16"/>
          <w:u w:val="single" w:color="auto"/>
          <w:color w:val="auto"/>
        </w:rPr>
        <w:t>Electronic Participation in Plan</w:t>
      </w:r>
      <w:r>
        <w:rPr>
          <w:rFonts w:ascii="Arial" w:cs="Arial" w:eastAsia="Arial" w:hAnsi="Arial"/>
          <w:sz w:val="16"/>
          <w:szCs w:val="16"/>
          <w:color w:val="auto"/>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200" w:lineRule="exact"/>
        <w:rPr>
          <w:sz w:val="20"/>
          <w:szCs w:val="20"/>
          <w:color w:val="auto"/>
        </w:rPr>
      </w:pPr>
    </w:p>
    <w:p>
      <w:pPr>
        <w:spacing w:after="0" w:line="308" w:lineRule="exact"/>
        <w:rPr>
          <w:sz w:val="20"/>
          <w:szCs w:val="20"/>
          <w:color w:val="auto"/>
        </w:rPr>
      </w:pPr>
    </w:p>
    <w:p>
      <w:pPr>
        <w:ind w:left="2300"/>
        <w:spacing w:after="0"/>
        <w:rPr>
          <w:sz w:val="20"/>
          <w:szCs w:val="20"/>
          <w:color w:val="auto"/>
        </w:rPr>
      </w:pPr>
      <w:r>
        <w:rPr>
          <w:rFonts w:ascii="Arial" w:cs="Arial" w:eastAsia="Arial" w:hAnsi="Arial"/>
          <w:sz w:val="17"/>
          <w:szCs w:val="17"/>
          <w:b w:val="1"/>
          <w:bCs w:val="1"/>
          <w:color w:val="auto"/>
        </w:rPr>
        <w:t>[Remainder of page intentionally left blank]</w:t>
      </w:r>
    </w:p>
    <w:p>
      <w:pPr>
        <w:sectPr>
          <w:pgSz w:w="11900" w:h="16838" w:orient="portrait"/>
          <w:cols w:equalWidth="0" w:num="1">
            <w:col w:w="11020"/>
          </w:cols>
          <w:pgMar w:left="400" w:top="1440" w:right="479" w:bottom="1440" w:gutter="0" w:footer="0" w:header="0"/>
        </w:sectPr>
      </w:pPr>
    </w:p>
    <w:bookmarkStart w:id="417" w:name="page418"/>
    <w:bookmarkEnd w:id="417"/>
    <w:p>
      <w:pPr>
        <w:spacing w:after="0" w:line="251" w:lineRule="auto"/>
        <w:rPr>
          <w:sz w:val="20"/>
          <w:szCs w:val="20"/>
          <w:color w:val="auto"/>
        </w:rPr>
      </w:pPr>
      <w:r>
        <w:rPr>
          <w:rFonts w:ascii="Arial" w:cs="Arial" w:eastAsia="Arial" w:hAnsi="Arial"/>
          <w:sz w:val="17"/>
          <w:szCs w:val="17"/>
          <w:color w:val="auto"/>
        </w:rPr>
        <w:t>To accept or reject your Restricted Stock award, please complete the on-line form (“Accept or Reject Your Grant”) as promptly as possible, but, in any case, within thirty (30) days after the Grant Date. If you accept your award you will be deemed to have agreed to the terms and conditions set forth in this Agreement and the terms and conditions of the Plan, all of which are made part of this Agreement. Your Agreement is available to you online in your Schwab Equity Award Center (EAC) account via this link https://www.schwab.com/public/eac/home.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00"/>
        <w:spacing w:after="0"/>
        <w:rPr>
          <w:sz w:val="20"/>
          <w:szCs w:val="20"/>
          <w:color w:val="auto"/>
        </w:rPr>
      </w:pPr>
      <w:r>
        <w:rPr>
          <w:rFonts w:ascii="Arial" w:cs="Arial" w:eastAsia="Arial" w:hAnsi="Arial"/>
          <w:sz w:val="17"/>
          <w:szCs w:val="17"/>
          <w:color w:val="auto"/>
        </w:rPr>
        <w:t>VIRTU FINANCIAL, INC.</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400"/>
        <w:spacing w:after="0"/>
        <w:tabs>
          <w:tab w:leader="none" w:pos="5240" w:val="left"/>
        </w:tabs>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Douglas A. Cifu</w:t>
      </w:r>
      <w:r>
        <w:rPr>
          <w:sz w:val="20"/>
          <w:szCs w:val="20"/>
          <w:color w:val="auto"/>
        </w:rPr>
        <w:tab/>
      </w:r>
      <w:r>
        <w:rPr>
          <w:rFonts w:ascii="Arial" w:cs="Arial" w:eastAsia="Arial" w:hAnsi="Arial"/>
          <w:sz w:val="16"/>
          <w:szCs w:val="16"/>
          <w:color w:val="auto"/>
        </w:rPr>
        <w:t>Name: Douglas A. Cifu</w:t>
      </w:r>
    </w:p>
    <w:p>
      <w:pPr>
        <w:ind w:left="3620"/>
        <w:spacing w:after="0"/>
        <w:rPr>
          <w:sz w:val="20"/>
          <w:szCs w:val="20"/>
          <w:color w:val="auto"/>
        </w:rPr>
      </w:pPr>
      <w:r>
        <w:rPr>
          <w:rFonts w:ascii="Arial" w:cs="Arial" w:eastAsia="Arial" w:hAnsi="Arial"/>
          <w:sz w:val="17"/>
          <w:szCs w:val="17"/>
          <w:color w:val="auto"/>
        </w:rPr>
        <w:t>Title: Chief Executive Officer</w:t>
      </w:r>
    </w:p>
    <w:p>
      <w:pPr>
        <w:sectPr>
          <w:pgSz w:w="11900" w:h="16838" w:orient="portrait"/>
          <w:cols w:equalWidth="0" w:num="1">
            <w:col w:w="10900"/>
          </w:cols>
          <w:pgMar w:left="400" w:top="1233" w:right="599" w:bottom="1440" w:gutter="0" w:footer="0" w:header="0"/>
        </w:sectPr>
      </w:pPr>
    </w:p>
    <w:bookmarkStart w:id="418" w:name="page419"/>
    <w:bookmarkEnd w:id="418"/>
    <w:p>
      <w:pPr>
        <w:jc w:val="right"/>
        <w:spacing w:after="0"/>
        <w:rPr>
          <w:sz w:val="20"/>
          <w:szCs w:val="20"/>
          <w:color w:val="auto"/>
        </w:rPr>
      </w:pPr>
      <w:r>
        <w:rPr>
          <w:rFonts w:ascii="Arial" w:cs="Arial" w:eastAsia="Arial" w:hAnsi="Arial"/>
          <w:sz w:val="16"/>
          <w:szCs w:val="16"/>
          <w:b w:val="1"/>
          <w:bCs w:val="1"/>
          <w:color w:val="auto"/>
        </w:rPr>
        <w:t>EXHIBIT 21.1</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Subsidiaries of Virtu Financial, Inc.</w:t>
      </w:r>
    </w:p>
    <w:p>
      <w:pPr>
        <w:spacing w:after="0" w:line="223" w:lineRule="exact"/>
        <w:rPr>
          <w:sz w:val="20"/>
          <w:szCs w:val="20"/>
          <w:color w:val="auto"/>
        </w:rPr>
      </w:pPr>
    </w:p>
    <w:p>
      <w:pPr>
        <w:ind w:right="200" w:firstLine="568"/>
        <w:spacing w:after="0" w:line="257" w:lineRule="auto"/>
        <w:rPr>
          <w:sz w:val="20"/>
          <w:szCs w:val="20"/>
          <w:color w:val="auto"/>
        </w:rPr>
      </w:pPr>
      <w:r>
        <w:rPr>
          <w:rFonts w:ascii="Arial" w:cs="Arial" w:eastAsia="Arial" w:hAnsi="Arial"/>
          <w:sz w:val="16"/>
          <w:szCs w:val="16"/>
          <w:color w:val="auto"/>
        </w:rPr>
        <w:t>The following are subsidiaries of Virtu Financial, Inc. as of December 31, 2021 and the jurisdictions in which they are organized. The names of particular subsidiaries have been omitted because, considered in the aggregate as a single subsidiary, they would not constitute, as of December 31, 2021, a "significant subsidiary" as that term is defined in Rule 1-02(w) of regulation S-X under the Securities Exchange Act of 1934.</w:t>
      </w:r>
    </w:p>
    <w:p>
      <w:pPr>
        <w:spacing w:after="0" w:line="96" w:lineRule="exact"/>
        <w:rPr>
          <w:sz w:val="20"/>
          <w:szCs w:val="20"/>
          <w:color w:val="auto"/>
        </w:rPr>
      </w:pPr>
    </w:p>
    <w:tbl>
      <w:tblPr>
        <w:tblLayout w:type="fixed"/>
        <w:tblInd w:w="40" w:type="dxa"/>
        <w:tblCellMar>
          <w:top w:w="0" w:type="dxa"/>
          <w:left w:w="0" w:type="dxa"/>
          <w:bottom w:w="0" w:type="dxa"/>
          <w:right w:w="0" w:type="dxa"/>
        </w:tblCellMar>
      </w:tblPr>
      <w:tr>
        <w:trPr>
          <w:trHeight w:val="201"/>
        </w:trPr>
        <w:tc>
          <w:tcPr>
            <w:tcW w:w="52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Name</w:t>
            </w:r>
          </w:p>
        </w:tc>
        <w:tc>
          <w:tcPr>
            <w:tcW w:w="5880" w:type="dxa"/>
            <w:vAlign w:val="bottom"/>
            <w:shd w:val="clear" w:color="auto" w:fill="CCEEFF"/>
          </w:tcPr>
          <w:p>
            <w:pPr>
              <w:jc w:val="center"/>
              <w:ind w:left="1821"/>
              <w:spacing w:after="0"/>
              <w:rPr>
                <w:sz w:val="20"/>
                <w:szCs w:val="20"/>
                <w:color w:val="auto"/>
              </w:rPr>
            </w:pPr>
            <w:r>
              <w:rPr>
                <w:rFonts w:ascii="Arial" w:cs="Arial" w:eastAsia="Arial" w:hAnsi="Arial"/>
                <w:sz w:val="16"/>
                <w:szCs w:val="16"/>
                <w:b w:val="1"/>
                <w:bCs w:val="1"/>
                <w:color w:val="auto"/>
                <w:w w:val="89"/>
              </w:rPr>
              <w:t>Jurisdiction of Organization</w:t>
            </w:r>
          </w:p>
        </w:tc>
      </w:tr>
      <w:tr>
        <w:trPr>
          <w:trHeight w:val="201"/>
        </w:trPr>
        <w:tc>
          <w:tcPr>
            <w:tcW w:w="5260" w:type="dxa"/>
            <w:vAlign w:val="bottom"/>
          </w:tcPr>
          <w:p>
            <w:pPr>
              <w:spacing w:after="0"/>
              <w:rPr>
                <w:sz w:val="20"/>
                <w:szCs w:val="20"/>
                <w:color w:val="auto"/>
              </w:rPr>
            </w:pPr>
            <w:r>
              <w:rPr>
                <w:rFonts w:ascii="Arial" w:cs="Arial" w:eastAsia="Arial" w:hAnsi="Arial"/>
                <w:sz w:val="16"/>
                <w:szCs w:val="16"/>
                <w:color w:val="auto"/>
              </w:rPr>
              <w:t>Virtu Financial LLC</w:t>
            </w:r>
          </w:p>
        </w:tc>
        <w:tc>
          <w:tcPr>
            <w:tcW w:w="5880" w:type="dxa"/>
            <w:vAlign w:val="bottom"/>
          </w:tcPr>
          <w:p>
            <w:pPr>
              <w:jc w:val="center"/>
              <w:ind w:left="1801"/>
              <w:spacing w:after="0"/>
              <w:rPr>
                <w:sz w:val="20"/>
                <w:szCs w:val="20"/>
                <w:color w:val="auto"/>
              </w:rPr>
            </w:pPr>
            <w:r>
              <w:rPr>
                <w:rFonts w:ascii="Arial" w:cs="Arial" w:eastAsia="Arial" w:hAnsi="Arial"/>
                <w:sz w:val="16"/>
                <w:szCs w:val="16"/>
                <w:color w:val="auto"/>
                <w:w w:val="88"/>
              </w:rPr>
              <w:t>Delaware</w:t>
            </w:r>
          </w:p>
        </w:tc>
      </w:tr>
      <w:tr>
        <w:trPr>
          <w:trHeight w:val="202"/>
        </w:trPr>
        <w:tc>
          <w:tcPr>
            <w:tcW w:w="5260" w:type="dxa"/>
            <w:vAlign w:val="bottom"/>
            <w:shd w:val="clear" w:color="auto" w:fill="CCEEFF"/>
          </w:tcPr>
          <w:p>
            <w:pPr>
              <w:spacing w:after="0"/>
              <w:rPr>
                <w:sz w:val="20"/>
                <w:szCs w:val="20"/>
                <w:color w:val="auto"/>
              </w:rPr>
            </w:pPr>
            <w:r>
              <w:rPr>
                <w:rFonts w:ascii="Arial" w:cs="Arial" w:eastAsia="Arial" w:hAnsi="Arial"/>
                <w:sz w:val="16"/>
                <w:szCs w:val="16"/>
                <w:color w:val="auto"/>
              </w:rPr>
              <w:t>VFH Parent LLC</w:t>
            </w:r>
          </w:p>
        </w:tc>
        <w:tc>
          <w:tcPr>
            <w:tcW w:w="5880" w:type="dxa"/>
            <w:vAlign w:val="bottom"/>
            <w:shd w:val="clear" w:color="auto" w:fill="CCEEFF"/>
          </w:tcPr>
          <w:p>
            <w:pPr>
              <w:jc w:val="center"/>
              <w:ind w:left="1801"/>
              <w:spacing w:after="0"/>
              <w:rPr>
                <w:sz w:val="20"/>
                <w:szCs w:val="20"/>
                <w:color w:val="auto"/>
              </w:rPr>
            </w:pPr>
            <w:r>
              <w:rPr>
                <w:rFonts w:ascii="Arial" w:cs="Arial" w:eastAsia="Arial" w:hAnsi="Arial"/>
                <w:sz w:val="16"/>
                <w:szCs w:val="16"/>
                <w:color w:val="auto"/>
                <w:w w:val="88"/>
              </w:rPr>
              <w:t>Delaware</w:t>
            </w:r>
          </w:p>
        </w:tc>
      </w:tr>
      <w:tr>
        <w:trPr>
          <w:trHeight w:val="201"/>
        </w:trPr>
        <w:tc>
          <w:tcPr>
            <w:tcW w:w="5260" w:type="dxa"/>
            <w:vAlign w:val="bottom"/>
          </w:tcPr>
          <w:p>
            <w:pPr>
              <w:spacing w:after="0"/>
              <w:rPr>
                <w:sz w:val="20"/>
                <w:szCs w:val="20"/>
                <w:color w:val="auto"/>
              </w:rPr>
            </w:pPr>
            <w:r>
              <w:rPr>
                <w:rFonts w:ascii="Arial" w:cs="Arial" w:eastAsia="Arial" w:hAnsi="Arial"/>
                <w:sz w:val="16"/>
                <w:szCs w:val="16"/>
                <w:color w:val="auto"/>
              </w:rPr>
              <w:t>Virtu Financial Operating LLC</w:t>
            </w:r>
          </w:p>
        </w:tc>
        <w:tc>
          <w:tcPr>
            <w:tcW w:w="5880" w:type="dxa"/>
            <w:vAlign w:val="bottom"/>
          </w:tcPr>
          <w:p>
            <w:pPr>
              <w:jc w:val="center"/>
              <w:ind w:left="1801"/>
              <w:spacing w:after="0"/>
              <w:rPr>
                <w:sz w:val="20"/>
                <w:szCs w:val="20"/>
                <w:color w:val="auto"/>
              </w:rPr>
            </w:pPr>
            <w:r>
              <w:rPr>
                <w:rFonts w:ascii="Arial" w:cs="Arial" w:eastAsia="Arial" w:hAnsi="Arial"/>
                <w:sz w:val="16"/>
                <w:szCs w:val="16"/>
                <w:color w:val="auto"/>
                <w:w w:val="88"/>
              </w:rPr>
              <w:t>Delaware</w:t>
            </w:r>
          </w:p>
        </w:tc>
      </w:tr>
      <w:tr>
        <w:trPr>
          <w:trHeight w:val="202"/>
        </w:trPr>
        <w:tc>
          <w:tcPr>
            <w:tcW w:w="5260" w:type="dxa"/>
            <w:vAlign w:val="bottom"/>
            <w:shd w:val="clear" w:color="auto" w:fill="CCEEFF"/>
          </w:tcPr>
          <w:p>
            <w:pPr>
              <w:spacing w:after="0"/>
              <w:rPr>
                <w:sz w:val="20"/>
                <w:szCs w:val="20"/>
                <w:color w:val="auto"/>
              </w:rPr>
            </w:pPr>
            <w:r>
              <w:rPr>
                <w:rFonts w:ascii="Arial" w:cs="Arial" w:eastAsia="Arial" w:hAnsi="Arial"/>
                <w:sz w:val="16"/>
                <w:szCs w:val="16"/>
                <w:color w:val="auto"/>
              </w:rPr>
              <w:t>Virtu Financial Global Markets LLC</w:t>
            </w:r>
          </w:p>
        </w:tc>
        <w:tc>
          <w:tcPr>
            <w:tcW w:w="5880" w:type="dxa"/>
            <w:vAlign w:val="bottom"/>
            <w:shd w:val="clear" w:color="auto" w:fill="CCEEFF"/>
          </w:tcPr>
          <w:p>
            <w:pPr>
              <w:jc w:val="center"/>
              <w:ind w:left="1801"/>
              <w:spacing w:after="0"/>
              <w:rPr>
                <w:sz w:val="20"/>
                <w:szCs w:val="20"/>
                <w:color w:val="auto"/>
              </w:rPr>
            </w:pPr>
            <w:r>
              <w:rPr>
                <w:rFonts w:ascii="Arial" w:cs="Arial" w:eastAsia="Arial" w:hAnsi="Arial"/>
                <w:sz w:val="16"/>
                <w:szCs w:val="16"/>
                <w:color w:val="auto"/>
                <w:w w:val="88"/>
              </w:rPr>
              <w:t>Delaware</w:t>
            </w:r>
          </w:p>
        </w:tc>
      </w:tr>
      <w:tr>
        <w:trPr>
          <w:trHeight w:val="201"/>
        </w:trPr>
        <w:tc>
          <w:tcPr>
            <w:tcW w:w="5260" w:type="dxa"/>
            <w:vAlign w:val="bottom"/>
          </w:tcPr>
          <w:p>
            <w:pPr>
              <w:spacing w:after="0"/>
              <w:rPr>
                <w:sz w:val="20"/>
                <w:szCs w:val="20"/>
                <w:color w:val="auto"/>
              </w:rPr>
            </w:pPr>
            <w:r>
              <w:rPr>
                <w:rFonts w:ascii="Arial" w:cs="Arial" w:eastAsia="Arial" w:hAnsi="Arial"/>
                <w:sz w:val="16"/>
                <w:szCs w:val="16"/>
                <w:color w:val="auto"/>
              </w:rPr>
              <w:t>Virtu KCG Holdings LLC</w:t>
            </w:r>
          </w:p>
        </w:tc>
        <w:tc>
          <w:tcPr>
            <w:tcW w:w="5880" w:type="dxa"/>
            <w:vAlign w:val="bottom"/>
          </w:tcPr>
          <w:p>
            <w:pPr>
              <w:jc w:val="center"/>
              <w:ind w:left="1801"/>
              <w:spacing w:after="0"/>
              <w:rPr>
                <w:sz w:val="20"/>
                <w:szCs w:val="20"/>
                <w:color w:val="auto"/>
              </w:rPr>
            </w:pPr>
            <w:r>
              <w:rPr>
                <w:rFonts w:ascii="Arial" w:cs="Arial" w:eastAsia="Arial" w:hAnsi="Arial"/>
                <w:sz w:val="16"/>
                <w:szCs w:val="16"/>
                <w:color w:val="auto"/>
                <w:w w:val="88"/>
              </w:rPr>
              <w:t>Delaware</w:t>
            </w:r>
          </w:p>
        </w:tc>
      </w:tr>
      <w:tr>
        <w:trPr>
          <w:trHeight w:val="202"/>
        </w:trPr>
        <w:tc>
          <w:tcPr>
            <w:tcW w:w="5260" w:type="dxa"/>
            <w:vAlign w:val="bottom"/>
            <w:shd w:val="clear" w:color="auto" w:fill="CCEEFF"/>
          </w:tcPr>
          <w:p>
            <w:pPr>
              <w:spacing w:after="0"/>
              <w:rPr>
                <w:sz w:val="20"/>
                <w:szCs w:val="20"/>
                <w:color w:val="auto"/>
              </w:rPr>
            </w:pPr>
            <w:r>
              <w:rPr>
                <w:rFonts w:ascii="Arial" w:cs="Arial" w:eastAsia="Arial" w:hAnsi="Arial"/>
                <w:sz w:val="16"/>
                <w:szCs w:val="16"/>
                <w:color w:val="auto"/>
              </w:rPr>
              <w:t>Virtu Americas LLC</w:t>
            </w:r>
          </w:p>
        </w:tc>
        <w:tc>
          <w:tcPr>
            <w:tcW w:w="5880" w:type="dxa"/>
            <w:vAlign w:val="bottom"/>
            <w:shd w:val="clear" w:color="auto" w:fill="CCEEFF"/>
          </w:tcPr>
          <w:p>
            <w:pPr>
              <w:jc w:val="center"/>
              <w:ind w:left="1801"/>
              <w:spacing w:after="0"/>
              <w:rPr>
                <w:sz w:val="20"/>
                <w:szCs w:val="20"/>
                <w:color w:val="auto"/>
              </w:rPr>
            </w:pPr>
            <w:r>
              <w:rPr>
                <w:rFonts w:ascii="Arial" w:cs="Arial" w:eastAsia="Arial" w:hAnsi="Arial"/>
                <w:sz w:val="16"/>
                <w:szCs w:val="16"/>
                <w:color w:val="auto"/>
                <w:w w:val="88"/>
              </w:rPr>
              <w:t>Delaware</w:t>
            </w:r>
          </w:p>
        </w:tc>
      </w:tr>
    </w:tbl>
    <w:p>
      <w:pPr>
        <w:sectPr>
          <w:pgSz w:w="11900" w:h="16838" w:orient="portrait"/>
          <w:cols w:equalWidth="0" w:num="1">
            <w:col w:w="11260"/>
          </w:cols>
          <w:pgMar w:left="320" w:top="975" w:right="319" w:bottom="1440" w:gutter="0" w:footer="0" w:header="0"/>
        </w:sectPr>
      </w:pPr>
    </w:p>
    <w:bookmarkStart w:id="419" w:name="page420"/>
    <w:bookmarkEnd w:id="419"/>
    <w:p>
      <w:pPr>
        <w:jc w:val="right"/>
        <w:spacing w:after="0"/>
        <w:rPr>
          <w:sz w:val="20"/>
          <w:szCs w:val="20"/>
          <w:color w:val="auto"/>
        </w:rPr>
      </w:pPr>
      <w:r>
        <w:rPr>
          <w:rFonts w:ascii="Arial" w:cs="Arial" w:eastAsia="Arial" w:hAnsi="Arial"/>
          <w:sz w:val="17"/>
          <w:szCs w:val="17"/>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140" w:lineRule="exact"/>
        <w:rPr>
          <w:sz w:val="20"/>
          <w:szCs w:val="20"/>
          <w:color w:val="auto"/>
        </w:rPr>
      </w:pPr>
    </w:p>
    <w:p>
      <w:pPr>
        <w:ind w:right="120"/>
        <w:spacing w:after="0" w:line="257" w:lineRule="auto"/>
        <w:rPr>
          <w:sz w:val="20"/>
          <w:szCs w:val="20"/>
          <w:color w:val="auto"/>
        </w:rPr>
      </w:pPr>
      <w:r>
        <w:rPr>
          <w:rFonts w:ascii="Arial" w:cs="Arial" w:eastAsia="Arial" w:hAnsi="Arial"/>
          <w:sz w:val="16"/>
          <w:szCs w:val="16"/>
          <w:color w:val="auto"/>
        </w:rPr>
        <w:t>We hereby consent to the incorporation by reference in the Registration Statements on Form S-3 (No. 333-213157), Form S-3ASR (No. 333-255659), and Forms S-8 (Nos. 333-248537, 333-203478, 333-219110, and 333-230012) of Virtu Financial, Inc. of our report dated February 18, 2022 relating to the financial statements and the effectiveness of internal control over financial reporting, which appears in this Form 10-K.</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/s/ PricewaterhouseCoopers LLP</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February 18, 2022</w:t>
      </w:r>
    </w:p>
    <w:p>
      <w:pPr>
        <w:sectPr>
          <w:pgSz w:w="11900" w:h="16838" w:orient="portrait"/>
          <w:cols w:equalWidth="0" w:num="1">
            <w:col w:w="11260"/>
          </w:cols>
          <w:pgMar w:left="320" w:top="125" w:right="319" w:bottom="1440" w:gutter="0" w:footer="0" w:header="0"/>
        </w:sectPr>
      </w:pPr>
    </w:p>
    <w:bookmarkStart w:id="420" w:name="page421"/>
    <w:bookmarkEnd w:id="420"/>
    <w:p>
      <w:pPr>
        <w:jc w:val="right"/>
        <w:spacing w:after="0"/>
        <w:rPr>
          <w:sz w:val="20"/>
          <w:szCs w:val="20"/>
          <w:color w:val="auto"/>
        </w:rPr>
      </w:pPr>
      <w:r>
        <w:rPr>
          <w:rFonts w:ascii="Arial" w:cs="Arial" w:eastAsia="Arial" w:hAnsi="Arial"/>
          <w:sz w:val="16"/>
          <w:szCs w:val="16"/>
          <w:b w:val="1"/>
          <w:bCs w:val="1"/>
          <w:color w:val="auto"/>
        </w:rPr>
        <w:t>EXHIBIT 31.1</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CEO CERTIFICATION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PURSUANT TO SECTION 302 OF THE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SARBANES — 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I, Douglas A. Cifu, certify that:</w:t>
      </w:r>
    </w:p>
    <w:p>
      <w:pPr>
        <w:spacing w:after="0" w:line="219" w:lineRule="exact"/>
        <w:rPr>
          <w:sz w:val="20"/>
          <w:szCs w:val="20"/>
          <w:color w:val="auto"/>
        </w:rPr>
      </w:pPr>
    </w:p>
    <w:p>
      <w:pPr>
        <w:ind w:left="560" w:right="280" w:hanging="281"/>
        <w:spacing w:after="0" w:line="268" w:lineRule="auto"/>
        <w:tabs>
          <w:tab w:leader="none" w:pos="560" w:val="left"/>
        </w:tabs>
        <w:numPr>
          <w:ilvl w:val="0"/>
          <w:numId w:val="353"/>
        </w:numPr>
        <w:rPr>
          <w:rFonts w:ascii="Arial" w:cs="Arial" w:eastAsia="Arial" w:hAnsi="Arial"/>
          <w:sz w:val="16"/>
          <w:szCs w:val="16"/>
          <w:color w:val="auto"/>
        </w:rPr>
      </w:pPr>
      <w:r>
        <w:rPr>
          <w:rFonts w:ascii="Arial" w:cs="Arial" w:eastAsia="Arial" w:hAnsi="Arial"/>
          <w:sz w:val="16"/>
          <w:szCs w:val="16"/>
          <w:color w:val="auto"/>
        </w:rPr>
        <w:t>I have reviewed this Annual Report on Form 10-K for the period ending December 31, 2021 of Virtu Financial, Inc. (the “registrant”) as filed with the Securities and Exchange Commission on the date hereof;</w:t>
      </w:r>
    </w:p>
    <w:p>
      <w:pPr>
        <w:spacing w:after="0" w:line="181" w:lineRule="exact"/>
        <w:rPr>
          <w:rFonts w:ascii="Arial" w:cs="Arial" w:eastAsia="Arial" w:hAnsi="Arial"/>
          <w:sz w:val="16"/>
          <w:szCs w:val="16"/>
          <w:color w:val="auto"/>
        </w:rPr>
      </w:pPr>
    </w:p>
    <w:p>
      <w:pPr>
        <w:ind w:left="560" w:right="220" w:hanging="281"/>
        <w:spacing w:after="0" w:line="302" w:lineRule="auto"/>
        <w:tabs>
          <w:tab w:leader="none" w:pos="560" w:val="left"/>
        </w:tabs>
        <w:numPr>
          <w:ilvl w:val="0"/>
          <w:numId w:val="35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7" w:lineRule="exact"/>
        <w:rPr>
          <w:rFonts w:ascii="Arial" w:cs="Arial" w:eastAsia="Arial" w:hAnsi="Arial"/>
          <w:sz w:val="15"/>
          <w:szCs w:val="15"/>
          <w:color w:val="auto"/>
        </w:rPr>
      </w:pPr>
    </w:p>
    <w:p>
      <w:pPr>
        <w:ind w:left="560" w:right="220" w:hanging="281"/>
        <w:spacing w:after="0" w:line="268" w:lineRule="auto"/>
        <w:tabs>
          <w:tab w:leader="none" w:pos="560" w:val="left"/>
        </w:tabs>
        <w:numPr>
          <w:ilvl w:val="0"/>
          <w:numId w:val="35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6"/>
          <w:szCs w:val="16"/>
          <w:color w:val="auto"/>
        </w:rPr>
      </w:pPr>
    </w:p>
    <w:p>
      <w:pPr>
        <w:ind w:left="560" w:right="40" w:hanging="281"/>
        <w:spacing w:after="0" w:line="341" w:lineRule="auto"/>
        <w:tabs>
          <w:tab w:leader="none" w:pos="560" w:val="left"/>
        </w:tabs>
        <w:numPr>
          <w:ilvl w:val="0"/>
          <w:numId w:val="353"/>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4" w:lineRule="exact"/>
        <w:rPr>
          <w:rFonts w:ascii="Arial" w:cs="Arial" w:eastAsia="Arial" w:hAnsi="Arial"/>
          <w:sz w:val="14"/>
          <w:szCs w:val="14"/>
          <w:color w:val="auto"/>
        </w:rPr>
      </w:pPr>
    </w:p>
    <w:p>
      <w:pPr>
        <w:jc w:val="both"/>
        <w:ind w:left="980" w:right="40" w:hanging="417"/>
        <w:spacing w:after="0" w:line="257" w:lineRule="auto"/>
        <w:tabs>
          <w:tab w:leader="none" w:pos="977" w:val="left"/>
        </w:tabs>
        <w:numPr>
          <w:ilvl w:val="1"/>
          <w:numId w:val="35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0" w:lineRule="exact"/>
        <w:rPr>
          <w:rFonts w:ascii="Arial" w:cs="Arial" w:eastAsia="Arial" w:hAnsi="Arial"/>
          <w:sz w:val="16"/>
          <w:szCs w:val="16"/>
          <w:color w:val="auto"/>
        </w:rPr>
      </w:pPr>
    </w:p>
    <w:p>
      <w:pPr>
        <w:ind w:left="980" w:right="80" w:hanging="417"/>
        <w:spacing w:after="0" w:line="257" w:lineRule="auto"/>
        <w:tabs>
          <w:tab w:leader="none" w:pos="974" w:val="left"/>
        </w:tabs>
        <w:numPr>
          <w:ilvl w:val="1"/>
          <w:numId w:val="35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0" w:lineRule="exact"/>
        <w:rPr>
          <w:rFonts w:ascii="Arial" w:cs="Arial" w:eastAsia="Arial" w:hAnsi="Arial"/>
          <w:sz w:val="16"/>
          <w:szCs w:val="16"/>
          <w:color w:val="auto"/>
        </w:rPr>
      </w:pPr>
    </w:p>
    <w:p>
      <w:pPr>
        <w:ind w:left="980" w:right="500" w:hanging="417"/>
        <w:spacing w:after="0" w:line="268" w:lineRule="auto"/>
        <w:tabs>
          <w:tab w:leader="none" w:pos="977" w:val="left"/>
        </w:tabs>
        <w:numPr>
          <w:ilvl w:val="1"/>
          <w:numId w:val="3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6"/>
          <w:szCs w:val="16"/>
          <w:color w:val="auto"/>
        </w:rPr>
      </w:pPr>
    </w:p>
    <w:p>
      <w:pPr>
        <w:ind w:left="980" w:right="160" w:hanging="417"/>
        <w:spacing w:after="0" w:line="257" w:lineRule="auto"/>
        <w:tabs>
          <w:tab w:leader="none" w:pos="974" w:val="left"/>
        </w:tabs>
        <w:numPr>
          <w:ilvl w:val="1"/>
          <w:numId w:val="35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Arial" w:cs="Arial" w:eastAsia="Arial" w:hAnsi="Arial"/>
          <w:sz w:val="16"/>
          <w:szCs w:val="16"/>
          <w:color w:val="auto"/>
        </w:rPr>
      </w:pPr>
    </w:p>
    <w:p>
      <w:pPr>
        <w:ind w:left="560" w:right="140" w:hanging="281"/>
        <w:spacing w:after="0" w:line="268" w:lineRule="auto"/>
        <w:tabs>
          <w:tab w:leader="none" w:pos="560" w:val="left"/>
        </w:tabs>
        <w:numPr>
          <w:ilvl w:val="0"/>
          <w:numId w:val="35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7" w:lineRule="exact"/>
        <w:rPr>
          <w:rFonts w:ascii="Arial" w:cs="Arial" w:eastAsia="Arial" w:hAnsi="Arial"/>
          <w:sz w:val="16"/>
          <w:szCs w:val="16"/>
          <w:color w:val="auto"/>
        </w:rPr>
      </w:pPr>
    </w:p>
    <w:p>
      <w:pPr>
        <w:ind w:left="980" w:right="20" w:hanging="417"/>
        <w:spacing w:after="0" w:line="268" w:lineRule="auto"/>
        <w:tabs>
          <w:tab w:leader="none" w:pos="977" w:val="left"/>
        </w:tabs>
        <w:numPr>
          <w:ilvl w:val="1"/>
          <w:numId w:val="35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6"/>
          <w:szCs w:val="16"/>
          <w:color w:val="auto"/>
        </w:rPr>
      </w:pPr>
    </w:p>
    <w:p>
      <w:pPr>
        <w:ind w:left="980" w:right="300" w:hanging="417"/>
        <w:spacing w:after="0" w:line="268" w:lineRule="auto"/>
        <w:tabs>
          <w:tab w:leader="none" w:pos="974" w:val="left"/>
        </w:tabs>
        <w:numPr>
          <w:ilvl w:val="1"/>
          <w:numId w:val="35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60"/>
          </w:cols>
          <w:pgMar w:left="320" w:top="797" w:right="319" w:bottom="1440" w:gutter="0" w:footer="0" w:header="0"/>
        </w:sectPr>
      </w:pPr>
    </w:p>
    <w:p>
      <w:pPr>
        <w:spacing w:after="0" w:line="3" w:lineRule="exact"/>
        <w:rPr>
          <w:sz w:val="20"/>
          <w:szCs w:val="20"/>
          <w:color w:val="auto"/>
        </w:rPr>
      </w:pPr>
    </w:p>
    <w:p>
      <w:pPr>
        <w:ind w:left="20"/>
        <w:spacing w:after="0"/>
        <w:rPr>
          <w:sz w:val="20"/>
          <w:szCs w:val="20"/>
          <w:color w:val="auto"/>
        </w:rPr>
      </w:pPr>
      <w:r>
        <w:rPr>
          <w:rFonts w:ascii="Arial" w:cs="Arial" w:eastAsia="Arial" w:hAnsi="Arial"/>
          <w:sz w:val="14"/>
          <w:szCs w:val="14"/>
          <w:color w:val="auto"/>
        </w:rPr>
        <w:t>Date: February 18, 2022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1"/>
        </w:trPr>
        <w:tc>
          <w:tcPr>
            <w:tcW w:w="600" w:type="dxa"/>
            <w:vAlign w:val="bottom"/>
          </w:tcPr>
          <w:p>
            <w:pPr>
              <w:spacing w:after="0"/>
              <w:rPr>
                <w:sz w:val="20"/>
                <w:szCs w:val="20"/>
                <w:color w:val="auto"/>
              </w:rPr>
            </w:pPr>
            <w:r>
              <w:rPr>
                <w:rFonts w:ascii="Arial" w:cs="Arial" w:eastAsia="Arial" w:hAnsi="Arial"/>
                <w:sz w:val="16"/>
                <w:szCs w:val="16"/>
                <w:color w:val="auto"/>
              </w:rPr>
              <w:t>By:</w:t>
            </w:r>
          </w:p>
        </w:tc>
        <w:tc>
          <w:tcPr>
            <w:tcW w:w="50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Douglas A. Cifu</w:t>
            </w:r>
          </w:p>
        </w:tc>
      </w:tr>
      <w:tr>
        <w:trPr>
          <w:trHeight w:val="193"/>
        </w:trPr>
        <w:tc>
          <w:tcPr>
            <w:tcW w:w="600" w:type="dxa"/>
            <w:vAlign w:val="bottom"/>
          </w:tcPr>
          <w:p>
            <w:pPr>
              <w:spacing w:after="0"/>
              <w:rPr>
                <w:sz w:val="16"/>
                <w:szCs w:val="16"/>
                <w:color w:val="auto"/>
              </w:rPr>
            </w:pPr>
          </w:p>
        </w:tc>
        <w:tc>
          <w:tcPr>
            <w:tcW w:w="5000" w:type="dxa"/>
            <w:vAlign w:val="bottom"/>
          </w:tcPr>
          <w:p>
            <w:pPr>
              <w:spacing w:after="0"/>
              <w:rPr>
                <w:sz w:val="20"/>
                <w:szCs w:val="20"/>
                <w:color w:val="auto"/>
              </w:rPr>
            </w:pPr>
            <w:r>
              <w:rPr>
                <w:rFonts w:ascii="Arial" w:cs="Arial" w:eastAsia="Arial" w:hAnsi="Arial"/>
                <w:sz w:val="16"/>
                <w:szCs w:val="16"/>
                <w:color w:val="auto"/>
              </w:rPr>
              <w:t>Douglas A. Cifu</w:t>
            </w:r>
          </w:p>
        </w:tc>
      </w:tr>
      <w:tr>
        <w:trPr>
          <w:trHeight w:val="201"/>
        </w:trPr>
        <w:tc>
          <w:tcPr>
            <w:tcW w:w="600" w:type="dxa"/>
            <w:vAlign w:val="bottom"/>
          </w:tcPr>
          <w:p>
            <w:pPr>
              <w:spacing w:after="0"/>
              <w:rPr>
                <w:sz w:val="17"/>
                <w:szCs w:val="17"/>
                <w:color w:val="auto"/>
              </w:rPr>
            </w:pPr>
          </w:p>
        </w:tc>
        <w:tc>
          <w:tcPr>
            <w:tcW w:w="5000" w:type="dxa"/>
            <w:vAlign w:val="bottom"/>
          </w:tcPr>
          <w:p>
            <w:pPr>
              <w:spacing w:after="0"/>
              <w:rPr>
                <w:sz w:val="20"/>
                <w:szCs w:val="20"/>
                <w:color w:val="auto"/>
              </w:rPr>
            </w:pPr>
            <w:r>
              <w:rPr>
                <w:rFonts w:ascii="Arial" w:cs="Arial" w:eastAsia="Arial" w:hAnsi="Arial"/>
                <w:sz w:val="16"/>
                <w:szCs w:val="16"/>
                <w:color w:val="auto"/>
              </w:rPr>
              <w:t>Chief Executive Officer</w:t>
            </w:r>
          </w:p>
        </w:tc>
      </w:tr>
    </w:tbl>
    <w:p>
      <w:pPr>
        <w:sectPr>
          <w:pgSz w:w="11900" w:h="16838" w:orient="portrait"/>
          <w:cols w:equalWidth="0" w:num="2">
            <w:col w:w="4900" w:space="720"/>
            <w:col w:w="5640"/>
          </w:cols>
          <w:pgMar w:left="320" w:top="797" w:right="319" w:bottom="1440" w:gutter="0" w:footer="0" w:header="0"/>
          <w:type w:val="continuous"/>
        </w:sectPr>
      </w:pPr>
    </w:p>
    <w:bookmarkStart w:id="421" w:name="page422"/>
    <w:bookmarkEnd w:id="421"/>
    <w:p>
      <w:pPr>
        <w:jc w:val="right"/>
        <w:spacing w:after="0"/>
        <w:rPr>
          <w:sz w:val="20"/>
          <w:szCs w:val="20"/>
          <w:color w:val="auto"/>
        </w:rPr>
      </w:pPr>
      <w:r>
        <w:rPr>
          <w:rFonts w:ascii="Arial" w:cs="Arial" w:eastAsia="Arial" w:hAnsi="Arial"/>
          <w:sz w:val="16"/>
          <w:szCs w:val="16"/>
          <w:b w:val="1"/>
          <w:bCs w:val="1"/>
          <w:color w:val="auto"/>
        </w:rPr>
        <w:t>EXHIBIT 31.2</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CFO CERTIFICATION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PURSUANT TO SECTION 302 OF THE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SARBANES — 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I, Sean Galvin, certify that:</w:t>
      </w:r>
    </w:p>
    <w:p>
      <w:pPr>
        <w:spacing w:after="0" w:line="195" w:lineRule="exact"/>
        <w:rPr>
          <w:sz w:val="20"/>
          <w:szCs w:val="20"/>
          <w:color w:val="auto"/>
        </w:rPr>
      </w:pPr>
    </w:p>
    <w:p>
      <w:pPr>
        <w:ind w:left="560" w:right="280" w:hanging="281"/>
        <w:spacing w:after="0" w:line="268" w:lineRule="auto"/>
        <w:tabs>
          <w:tab w:leader="none" w:pos="560" w:val="left"/>
        </w:tabs>
        <w:numPr>
          <w:ilvl w:val="0"/>
          <w:numId w:val="354"/>
        </w:numPr>
        <w:rPr>
          <w:rFonts w:ascii="Arial" w:cs="Arial" w:eastAsia="Arial" w:hAnsi="Arial"/>
          <w:sz w:val="16"/>
          <w:szCs w:val="16"/>
          <w:color w:val="auto"/>
        </w:rPr>
      </w:pPr>
      <w:r>
        <w:rPr>
          <w:rFonts w:ascii="Arial" w:cs="Arial" w:eastAsia="Arial" w:hAnsi="Arial"/>
          <w:sz w:val="16"/>
          <w:szCs w:val="16"/>
          <w:color w:val="auto"/>
        </w:rPr>
        <w:t>I have reviewed this Annual Report on Form 10-K for the period ending December 31, 2021 of Virtu Financial, Inc. (the “registrant”) as filed with the Securities and Exchange Commission on the date hereof;</w:t>
      </w:r>
    </w:p>
    <w:p>
      <w:pPr>
        <w:spacing w:after="0" w:line="181" w:lineRule="exact"/>
        <w:rPr>
          <w:rFonts w:ascii="Arial" w:cs="Arial" w:eastAsia="Arial" w:hAnsi="Arial"/>
          <w:sz w:val="16"/>
          <w:szCs w:val="16"/>
          <w:color w:val="auto"/>
        </w:rPr>
      </w:pPr>
    </w:p>
    <w:p>
      <w:pPr>
        <w:ind w:left="560" w:right="220" w:hanging="281"/>
        <w:spacing w:after="0" w:line="302" w:lineRule="auto"/>
        <w:tabs>
          <w:tab w:leader="none" w:pos="560" w:val="left"/>
        </w:tabs>
        <w:numPr>
          <w:ilvl w:val="0"/>
          <w:numId w:val="35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7" w:lineRule="exact"/>
        <w:rPr>
          <w:rFonts w:ascii="Arial" w:cs="Arial" w:eastAsia="Arial" w:hAnsi="Arial"/>
          <w:sz w:val="15"/>
          <w:szCs w:val="15"/>
          <w:color w:val="auto"/>
        </w:rPr>
      </w:pPr>
    </w:p>
    <w:p>
      <w:pPr>
        <w:ind w:left="560" w:right="220" w:hanging="281"/>
        <w:spacing w:after="0" w:line="268" w:lineRule="auto"/>
        <w:tabs>
          <w:tab w:leader="none" w:pos="560" w:val="left"/>
        </w:tabs>
        <w:numPr>
          <w:ilvl w:val="0"/>
          <w:numId w:val="35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6"/>
          <w:szCs w:val="16"/>
          <w:color w:val="auto"/>
        </w:rPr>
      </w:pPr>
    </w:p>
    <w:p>
      <w:pPr>
        <w:ind w:left="560" w:right="40" w:hanging="281"/>
        <w:spacing w:after="0" w:line="341" w:lineRule="auto"/>
        <w:tabs>
          <w:tab w:leader="none" w:pos="560" w:val="left"/>
        </w:tabs>
        <w:numPr>
          <w:ilvl w:val="0"/>
          <w:numId w:val="354"/>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0" w:lineRule="exact"/>
        <w:rPr>
          <w:rFonts w:ascii="Arial" w:cs="Arial" w:eastAsia="Arial" w:hAnsi="Arial"/>
          <w:sz w:val="14"/>
          <w:szCs w:val="14"/>
          <w:color w:val="auto"/>
        </w:rPr>
      </w:pPr>
    </w:p>
    <w:p>
      <w:pPr>
        <w:jc w:val="both"/>
        <w:ind w:left="980" w:right="40" w:hanging="417"/>
        <w:spacing w:after="0" w:line="257" w:lineRule="auto"/>
        <w:tabs>
          <w:tab w:leader="none" w:pos="977" w:val="left"/>
        </w:tabs>
        <w:numPr>
          <w:ilvl w:val="1"/>
          <w:numId w:val="35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0" w:lineRule="exact"/>
        <w:rPr>
          <w:rFonts w:ascii="Arial" w:cs="Arial" w:eastAsia="Arial" w:hAnsi="Arial"/>
          <w:sz w:val="16"/>
          <w:szCs w:val="16"/>
          <w:color w:val="auto"/>
        </w:rPr>
      </w:pPr>
    </w:p>
    <w:p>
      <w:pPr>
        <w:ind w:left="980" w:right="80" w:hanging="417"/>
        <w:spacing w:after="0" w:line="257" w:lineRule="auto"/>
        <w:tabs>
          <w:tab w:leader="none" w:pos="974" w:val="left"/>
        </w:tabs>
        <w:numPr>
          <w:ilvl w:val="1"/>
          <w:numId w:val="35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0" w:lineRule="exact"/>
        <w:rPr>
          <w:rFonts w:ascii="Arial" w:cs="Arial" w:eastAsia="Arial" w:hAnsi="Arial"/>
          <w:sz w:val="16"/>
          <w:szCs w:val="16"/>
          <w:color w:val="auto"/>
        </w:rPr>
      </w:pPr>
    </w:p>
    <w:p>
      <w:pPr>
        <w:ind w:left="980" w:right="500" w:hanging="417"/>
        <w:spacing w:after="0" w:line="268" w:lineRule="auto"/>
        <w:tabs>
          <w:tab w:leader="none" w:pos="977" w:val="left"/>
        </w:tabs>
        <w:numPr>
          <w:ilvl w:val="1"/>
          <w:numId w:val="3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6"/>
          <w:szCs w:val="16"/>
          <w:color w:val="auto"/>
        </w:rPr>
      </w:pPr>
    </w:p>
    <w:p>
      <w:pPr>
        <w:ind w:left="980" w:right="160" w:hanging="417"/>
        <w:spacing w:after="0" w:line="257" w:lineRule="auto"/>
        <w:tabs>
          <w:tab w:leader="none" w:pos="974" w:val="left"/>
        </w:tabs>
        <w:numPr>
          <w:ilvl w:val="1"/>
          <w:numId w:val="35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Arial" w:cs="Arial" w:eastAsia="Arial" w:hAnsi="Arial"/>
          <w:sz w:val="16"/>
          <w:szCs w:val="16"/>
          <w:color w:val="auto"/>
        </w:rPr>
      </w:pPr>
    </w:p>
    <w:p>
      <w:pPr>
        <w:ind w:left="560" w:right="140" w:hanging="281"/>
        <w:spacing w:after="0" w:line="268" w:lineRule="auto"/>
        <w:tabs>
          <w:tab w:leader="none" w:pos="560" w:val="left"/>
        </w:tabs>
        <w:numPr>
          <w:ilvl w:val="0"/>
          <w:numId w:val="35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7" w:lineRule="exact"/>
        <w:rPr>
          <w:rFonts w:ascii="Arial" w:cs="Arial" w:eastAsia="Arial" w:hAnsi="Arial"/>
          <w:sz w:val="16"/>
          <w:szCs w:val="16"/>
          <w:color w:val="auto"/>
        </w:rPr>
      </w:pPr>
    </w:p>
    <w:p>
      <w:pPr>
        <w:ind w:left="980" w:right="20" w:hanging="417"/>
        <w:spacing w:after="0" w:line="268" w:lineRule="auto"/>
        <w:tabs>
          <w:tab w:leader="none" w:pos="977" w:val="left"/>
        </w:tabs>
        <w:numPr>
          <w:ilvl w:val="1"/>
          <w:numId w:val="35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6"/>
          <w:szCs w:val="16"/>
          <w:color w:val="auto"/>
        </w:rPr>
      </w:pPr>
    </w:p>
    <w:p>
      <w:pPr>
        <w:ind w:left="980" w:right="300" w:hanging="417"/>
        <w:spacing w:after="0" w:line="268" w:lineRule="auto"/>
        <w:tabs>
          <w:tab w:leader="none" w:pos="974" w:val="left"/>
        </w:tabs>
        <w:numPr>
          <w:ilvl w:val="1"/>
          <w:numId w:val="35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 w:lineRule="exact"/>
        <w:rPr>
          <w:sz w:val="20"/>
          <w:szCs w:val="20"/>
          <w:color w:val="auto"/>
        </w:rPr>
      </w:pPr>
    </w:p>
    <w:tbl>
      <w:tblPr>
        <w:tblLayout w:type="fixed"/>
        <w:tblInd w:w="20" w:type="dxa"/>
        <w:tblCellMar>
          <w:top w:w="0" w:type="dxa"/>
          <w:left w:w="0" w:type="dxa"/>
          <w:bottom w:w="0" w:type="dxa"/>
          <w:right w:w="0" w:type="dxa"/>
        </w:tblCellMar>
      </w:tblPr>
      <w:tr>
        <w:trPr>
          <w:trHeight w:val="201"/>
        </w:trPr>
        <w:tc>
          <w:tcPr>
            <w:tcW w:w="3600" w:type="dxa"/>
            <w:vAlign w:val="bottom"/>
          </w:tcPr>
          <w:p>
            <w:pPr>
              <w:spacing w:after="0"/>
              <w:rPr>
                <w:sz w:val="20"/>
                <w:szCs w:val="20"/>
                <w:color w:val="auto"/>
              </w:rPr>
            </w:pPr>
            <w:r>
              <w:rPr>
                <w:rFonts w:ascii="Arial" w:cs="Arial" w:eastAsia="Arial" w:hAnsi="Arial"/>
                <w:sz w:val="16"/>
                <w:szCs w:val="16"/>
                <w:color w:val="auto"/>
              </w:rPr>
              <w:t>Date: February 18, 2022</w:t>
            </w:r>
          </w:p>
        </w:tc>
        <w:tc>
          <w:tcPr>
            <w:tcW w:w="2620" w:type="dxa"/>
            <w:vAlign w:val="bottom"/>
          </w:tcPr>
          <w:p>
            <w:pPr>
              <w:ind w:left="2040"/>
              <w:spacing w:after="0"/>
              <w:rPr>
                <w:sz w:val="20"/>
                <w:szCs w:val="20"/>
                <w:color w:val="auto"/>
              </w:rPr>
            </w:pPr>
            <w:r>
              <w:rPr>
                <w:rFonts w:ascii="Arial" w:cs="Arial" w:eastAsia="Arial" w:hAnsi="Arial"/>
                <w:sz w:val="16"/>
                <w:szCs w:val="16"/>
                <w:color w:val="auto"/>
              </w:rPr>
              <w:t>By:</w:t>
            </w:r>
          </w:p>
        </w:tc>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Sean P. Galvin</w:t>
            </w:r>
          </w:p>
        </w:tc>
      </w:tr>
      <w:tr>
        <w:trPr>
          <w:trHeight w:val="193"/>
        </w:trPr>
        <w:tc>
          <w:tcPr>
            <w:tcW w:w="360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4980" w:type="dxa"/>
            <w:vAlign w:val="bottom"/>
          </w:tcPr>
          <w:p>
            <w:pPr>
              <w:ind w:left="20"/>
              <w:spacing w:after="0"/>
              <w:rPr>
                <w:sz w:val="20"/>
                <w:szCs w:val="20"/>
                <w:color w:val="auto"/>
              </w:rPr>
            </w:pPr>
            <w:r>
              <w:rPr>
                <w:rFonts w:ascii="Arial" w:cs="Arial" w:eastAsia="Arial" w:hAnsi="Arial"/>
                <w:sz w:val="16"/>
                <w:szCs w:val="16"/>
                <w:color w:val="auto"/>
              </w:rPr>
              <w:t>Sean Galvin</w:t>
            </w:r>
          </w:p>
        </w:tc>
      </w:tr>
      <w:tr>
        <w:trPr>
          <w:trHeight w:val="201"/>
        </w:trPr>
        <w:tc>
          <w:tcPr>
            <w:tcW w:w="360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4980" w:type="dxa"/>
            <w:vAlign w:val="bottom"/>
          </w:tcPr>
          <w:p>
            <w:pPr>
              <w:ind w:left="20"/>
              <w:spacing w:after="0"/>
              <w:rPr>
                <w:sz w:val="20"/>
                <w:szCs w:val="20"/>
                <w:color w:val="auto"/>
              </w:rPr>
            </w:pPr>
            <w:r>
              <w:rPr>
                <w:rFonts w:ascii="Arial" w:cs="Arial" w:eastAsia="Arial" w:hAnsi="Arial"/>
                <w:sz w:val="16"/>
                <w:szCs w:val="16"/>
                <w:color w:val="auto"/>
              </w:rPr>
              <w:t>Chief Financial Officer</w:t>
            </w:r>
          </w:p>
        </w:tc>
      </w:tr>
    </w:tbl>
    <w:p>
      <w:pPr>
        <w:sectPr>
          <w:pgSz w:w="11900" w:h="16838" w:orient="portrait"/>
          <w:cols w:equalWidth="0" w:num="1">
            <w:col w:w="11260"/>
          </w:cols>
          <w:pgMar w:left="320" w:top="797" w:right="319" w:bottom="1440" w:gutter="0" w:footer="0" w:header="0"/>
        </w:sectPr>
      </w:pPr>
    </w:p>
    <w:bookmarkStart w:id="422" w:name="page423"/>
    <w:bookmarkEnd w:id="422"/>
    <w:p>
      <w:pPr>
        <w:jc w:val="right"/>
        <w:spacing w:after="0"/>
        <w:rPr>
          <w:sz w:val="20"/>
          <w:szCs w:val="20"/>
          <w:color w:val="auto"/>
        </w:rPr>
      </w:pPr>
      <w:r>
        <w:rPr>
          <w:rFonts w:ascii="Arial" w:cs="Arial" w:eastAsia="Arial" w:hAnsi="Arial"/>
          <w:sz w:val="16"/>
          <w:szCs w:val="16"/>
          <w:b w:val="1"/>
          <w:bCs w:val="1"/>
          <w:color w:val="auto"/>
        </w:rPr>
        <w:t>EXHIBIT 32.1</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CERTIFICATION PURSUANT TO</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906 OF THE SARBANES-OXLEY ACT OF 2002</w:t>
      </w:r>
    </w:p>
    <w:p>
      <w:pPr>
        <w:spacing w:after="0" w:line="184" w:lineRule="exact"/>
        <w:rPr>
          <w:sz w:val="20"/>
          <w:szCs w:val="20"/>
          <w:color w:val="auto"/>
        </w:rPr>
      </w:pPr>
    </w:p>
    <w:p>
      <w:pPr>
        <w:jc w:val="both"/>
        <w:ind w:right="80"/>
        <w:spacing w:after="0" w:line="257" w:lineRule="auto"/>
        <w:rPr>
          <w:sz w:val="20"/>
          <w:szCs w:val="20"/>
          <w:color w:val="auto"/>
        </w:rPr>
      </w:pPr>
      <w:r>
        <w:rPr>
          <w:rFonts w:ascii="Arial" w:cs="Arial" w:eastAsia="Arial" w:hAnsi="Arial"/>
          <w:sz w:val="16"/>
          <w:szCs w:val="16"/>
          <w:color w:val="auto"/>
        </w:rPr>
        <w:t>In connection with the Annual Report on Form 10-K of Virtu Financial, Inc. (the “Company”) for the period ended December 31, 2021 as filed with the Securities and Exchange Commission on the date hereof (the “Report”), I, Douglas A. Cifu, certify, pursuant to 18 U.S.C. Section 1350, as adopted pursuant to Section 906 of the Sarbanes-Oxley Act of 2002, in my capacity as an officer of the Company that, to my knowledge:</w:t>
      </w:r>
    </w:p>
    <w:p>
      <w:pPr>
        <w:spacing w:after="0" w:line="190" w:lineRule="exact"/>
        <w:rPr>
          <w:sz w:val="20"/>
          <w:szCs w:val="20"/>
          <w:color w:val="auto"/>
        </w:rPr>
      </w:pPr>
    </w:p>
    <w:p>
      <w:pPr>
        <w:ind w:left="1140" w:hanging="151"/>
        <w:spacing w:after="0"/>
        <w:tabs>
          <w:tab w:leader="none" w:pos="1140" w:val="left"/>
        </w:tabs>
        <w:numPr>
          <w:ilvl w:val="0"/>
          <w:numId w:val="355"/>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and</w:t>
      </w:r>
    </w:p>
    <w:p>
      <w:pPr>
        <w:spacing w:after="0" w:line="194" w:lineRule="exact"/>
        <w:rPr>
          <w:rFonts w:ascii="Arial" w:cs="Arial" w:eastAsia="Arial" w:hAnsi="Arial"/>
          <w:sz w:val="16"/>
          <w:szCs w:val="16"/>
          <w:color w:val="auto"/>
        </w:rPr>
      </w:pPr>
    </w:p>
    <w:p>
      <w:pPr>
        <w:ind w:left="1140" w:hanging="151"/>
        <w:spacing w:after="0"/>
        <w:tabs>
          <w:tab w:leader="none" w:pos="1140" w:val="left"/>
        </w:tabs>
        <w:numPr>
          <w:ilvl w:val="0"/>
          <w:numId w:val="355"/>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242" w:lineRule="exact"/>
        <w:rPr>
          <w:sz w:val="20"/>
          <w:szCs w:val="20"/>
          <w:color w:val="auto"/>
        </w:rPr>
      </w:pPr>
    </w:p>
    <w:p>
      <w:pPr>
        <w:ind w:left="5760"/>
        <w:spacing w:after="0"/>
        <w:rPr>
          <w:sz w:val="20"/>
          <w:szCs w:val="20"/>
          <w:color w:val="auto"/>
        </w:rPr>
      </w:pPr>
      <w:r>
        <w:rPr>
          <w:rFonts w:ascii="Arial" w:cs="Arial" w:eastAsia="Arial" w:hAnsi="Arial"/>
          <w:sz w:val="16"/>
          <w:szCs w:val="16"/>
          <w:color w:val="auto"/>
        </w:rPr>
        <w:t>/s/ Douglas A. Cifu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3642360</wp:posOffset>
            </wp:positionH>
            <wp:positionV relativeFrom="paragraph">
              <wp:posOffset>11430</wp:posOffset>
            </wp:positionV>
            <wp:extent cx="3480435" cy="76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7">
                      <a:extLst>
                        <a:ext uri="{28A0092B-C50C-407E-A947-70E740481C1C}"/>
                      </a:extLst>
                    </a:blip>
                    <a:srcRect/>
                    <a:stretch>
                      <a:fillRect/>
                    </a:stretch>
                  </pic:blipFill>
                  <pic:spPr bwMode="auto">
                    <a:xfrm>
                      <a:off x="0" y="0"/>
                      <a:ext cx="3480435" cy="7620"/>
                    </a:xfrm>
                    <a:prstGeom prst="rect">
                      <a:avLst/>
                    </a:prstGeom>
                    <a:noFill/>
                  </pic:spPr>
                </pic:pic>
              </a:graphicData>
            </a:graphic>
          </wp:anchor>
        </w:drawing>
      </w:r>
    </w:p>
    <w:p>
      <w:pPr>
        <w:spacing w:after="0" w:line="9" w:lineRule="exact"/>
        <w:rPr>
          <w:sz w:val="20"/>
          <w:szCs w:val="20"/>
          <w:color w:val="auto"/>
        </w:rPr>
      </w:pPr>
    </w:p>
    <w:p>
      <w:pPr>
        <w:ind w:left="5760"/>
        <w:spacing w:after="0"/>
        <w:rPr>
          <w:sz w:val="20"/>
          <w:szCs w:val="20"/>
          <w:color w:val="auto"/>
        </w:rPr>
      </w:pPr>
      <w:r>
        <w:rPr>
          <w:rFonts w:ascii="Arial" w:cs="Arial" w:eastAsia="Arial" w:hAnsi="Arial"/>
          <w:sz w:val="16"/>
          <w:szCs w:val="16"/>
          <w:color w:val="auto"/>
        </w:rPr>
        <w:t>Douglas A. Cifu</w:t>
      </w:r>
    </w:p>
    <w:p>
      <w:pPr>
        <w:spacing w:after="0" w:line="17" w:lineRule="exact"/>
        <w:rPr>
          <w:sz w:val="20"/>
          <w:szCs w:val="20"/>
          <w:color w:val="auto"/>
        </w:rPr>
      </w:pPr>
    </w:p>
    <w:p>
      <w:pPr>
        <w:ind w:left="5760"/>
        <w:spacing w:after="0"/>
        <w:rPr>
          <w:sz w:val="20"/>
          <w:szCs w:val="20"/>
          <w:color w:val="auto"/>
        </w:rPr>
      </w:pPr>
      <w:r>
        <w:rPr>
          <w:rFonts w:ascii="Arial" w:cs="Arial" w:eastAsia="Arial" w:hAnsi="Arial"/>
          <w:sz w:val="16"/>
          <w:szCs w:val="16"/>
          <w:color w:val="auto"/>
        </w:rPr>
        <w:t>Chief Executive Officer</w:t>
      </w:r>
    </w:p>
    <w:p>
      <w:pPr>
        <w:spacing w:after="0" w:line="219" w:lineRule="exact"/>
        <w:rPr>
          <w:sz w:val="20"/>
          <w:szCs w:val="20"/>
          <w:color w:val="auto"/>
        </w:rPr>
      </w:pPr>
    </w:p>
    <w:p>
      <w:pPr>
        <w:ind w:left="5760"/>
        <w:spacing w:after="0"/>
        <w:rPr>
          <w:sz w:val="20"/>
          <w:szCs w:val="20"/>
          <w:color w:val="auto"/>
        </w:rPr>
      </w:pPr>
      <w:r>
        <w:rPr>
          <w:rFonts w:ascii="Arial" w:cs="Arial" w:eastAsia="Arial" w:hAnsi="Arial"/>
          <w:sz w:val="16"/>
          <w:szCs w:val="16"/>
          <w:color w:val="auto"/>
        </w:rPr>
        <w:t>Date: February 18, 2022</w:t>
      </w:r>
    </w:p>
    <w:p>
      <w:pPr>
        <w:sectPr>
          <w:pgSz w:w="11900" w:h="16838" w:orient="portrait"/>
          <w:cols w:equalWidth="0" w:num="1">
            <w:col w:w="11260"/>
          </w:cols>
          <w:pgMar w:left="320" w:top="797" w:right="319" w:bottom="1440" w:gutter="0" w:footer="0" w:header="0"/>
        </w:sectPr>
      </w:pPr>
    </w:p>
    <w:bookmarkStart w:id="423" w:name="page424"/>
    <w:bookmarkEnd w:id="423"/>
    <w:p>
      <w:pPr>
        <w:jc w:val="right"/>
        <w:spacing w:after="0"/>
        <w:rPr>
          <w:sz w:val="20"/>
          <w:szCs w:val="20"/>
          <w:color w:val="auto"/>
        </w:rPr>
      </w:pPr>
      <w:r>
        <w:rPr>
          <w:rFonts w:ascii="Arial" w:cs="Arial" w:eastAsia="Arial" w:hAnsi="Arial"/>
          <w:sz w:val="16"/>
          <w:szCs w:val="16"/>
          <w:b w:val="1"/>
          <w:bCs w:val="1"/>
          <w:color w:val="auto"/>
        </w:rPr>
        <w:t>EXHIBIT 32.2</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CERTIFICATION PURSUANT TO</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906 OF THE SARBANES-OXLEY ACT OF 2002</w:t>
      </w:r>
    </w:p>
    <w:p>
      <w:pPr>
        <w:spacing w:after="0" w:line="184"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In connection with the Annual Report on Form 10-K of Virtu Financial, Inc. (the “Company”) for the period ended December 31, 2021 as filed with the Securities and Exchange Commission on the date hereof (the “Report”), I, Sean P. Galvin, certify, pursuant to 18 U.S.C. Section 1350, as adopted pursuant to Section 906 of the Sarbanes-Oxley Act of 2002, in my capacity as an officer of the Company that, to my knowledge:</w:t>
      </w:r>
    </w:p>
    <w:p>
      <w:pPr>
        <w:spacing w:after="0" w:line="167" w:lineRule="exact"/>
        <w:rPr>
          <w:sz w:val="20"/>
          <w:szCs w:val="20"/>
          <w:color w:val="auto"/>
        </w:rPr>
      </w:pPr>
    </w:p>
    <w:p>
      <w:pPr>
        <w:ind w:left="1140" w:hanging="151"/>
        <w:spacing w:after="0"/>
        <w:tabs>
          <w:tab w:leader="none" w:pos="1140" w:val="left"/>
        </w:tabs>
        <w:numPr>
          <w:ilvl w:val="0"/>
          <w:numId w:val="35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and</w:t>
      </w:r>
    </w:p>
    <w:p>
      <w:pPr>
        <w:spacing w:after="0" w:line="194" w:lineRule="exact"/>
        <w:rPr>
          <w:rFonts w:ascii="Arial" w:cs="Arial" w:eastAsia="Arial" w:hAnsi="Arial"/>
          <w:sz w:val="16"/>
          <w:szCs w:val="16"/>
          <w:color w:val="auto"/>
        </w:rPr>
      </w:pPr>
    </w:p>
    <w:p>
      <w:pPr>
        <w:ind w:left="1140" w:hanging="151"/>
        <w:spacing w:after="0"/>
        <w:tabs>
          <w:tab w:leader="none" w:pos="1140" w:val="left"/>
        </w:tabs>
        <w:numPr>
          <w:ilvl w:val="0"/>
          <w:numId w:val="356"/>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242"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/s/ Sean P. Galvin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3627755</wp:posOffset>
            </wp:positionH>
            <wp:positionV relativeFrom="paragraph">
              <wp:posOffset>11430</wp:posOffset>
            </wp:positionV>
            <wp:extent cx="3503295" cy="76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8">
                      <a:extLst>
                        <a:ext uri="{28A0092B-C50C-407E-A947-70E740481C1C}"/>
                      </a:extLst>
                    </a:blip>
                    <a:srcRect/>
                    <a:stretch>
                      <a:fillRect/>
                    </a:stretch>
                  </pic:blipFill>
                  <pic:spPr bwMode="auto">
                    <a:xfrm>
                      <a:off x="0" y="0"/>
                      <a:ext cx="3503295" cy="7620"/>
                    </a:xfrm>
                    <a:prstGeom prst="rect">
                      <a:avLst/>
                    </a:prstGeom>
                    <a:noFill/>
                  </pic:spPr>
                </pic:pic>
              </a:graphicData>
            </a:graphic>
          </wp:anchor>
        </w:drawing>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Sean Galvin</w:t>
      </w:r>
    </w:p>
    <w:p>
      <w:pPr>
        <w:spacing w:after="0" w:line="17"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Chief Financial Officer</w:t>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Date: February 18, 2022</w:t>
      </w:r>
    </w:p>
    <w:sectPr>
      <w:pgSz w:w="11900" w:h="16838" w:orient="portrait"/>
      <w:cols w:equalWidth="0" w:num="1">
        <w:col w:w="11260"/>
      </w:cols>
      <w:pgMar w:left="320" w:top="79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0757D0"/>
    <w:multiLevelType w:val="hybridMultilevel"/>
    <w:lvl w:ilvl="0">
      <w:lvlJc w:val="left"/>
      <w:lvlText w:val="☒"/>
      <w:numFmt w:val="bullet"/>
      <w:start w:val="1"/>
    </w:lvl>
  </w:abstractNum>
  <w:abstractNum w:abstractNumId="1">
    <w:nsid w:val="5015CD1A"/>
    <w:multiLevelType w:val="hybridMultilevel"/>
    <w:lvl w:ilvl="0">
      <w:lvlJc w:val="left"/>
      <w:lvlText w:val="☐"/>
      <w:numFmt w:val="bullet"/>
      <w:start w:val="1"/>
    </w:lvl>
  </w:abstractNum>
  <w:abstractNum w:abstractNumId="2">
    <w:nsid w:val="424479DA"/>
    <w:multiLevelType w:val="hybridMultilevel"/>
    <w:lvl w:ilvl="0">
      <w:lvlJc w:val="left"/>
      <w:lvlText w:val="•"/>
      <w:numFmt w:val="bullet"/>
      <w:start w:val="1"/>
    </w:lvl>
  </w:abstractNum>
  <w:abstractNum w:abstractNumId="3">
    <w:nsid w:val="1A9A9E69"/>
    <w:multiLevelType w:val="hybridMultilevel"/>
    <w:lvl w:ilvl="0">
      <w:lvlJc w:val="left"/>
      <w:lvlText w:val="•"/>
      <w:numFmt w:val="bullet"/>
      <w:start w:val="1"/>
    </w:lvl>
  </w:abstractNum>
  <w:abstractNum w:abstractNumId="4">
    <w:nsid w:val="475E256A"/>
    <w:multiLevelType w:val="hybridMultilevel"/>
    <w:lvl w:ilvl="0">
      <w:lvlJc w:val="left"/>
      <w:lvlText w:val="•"/>
      <w:numFmt w:val="bullet"/>
      <w:start w:val="1"/>
    </w:lvl>
    <w:lvl w:ilvl="1">
      <w:lvlJc w:val="left"/>
      <w:lvlText w:val="◦"/>
      <w:numFmt w:val="bullet"/>
      <w:start w:val="1"/>
    </w:lvl>
  </w:abstractNum>
  <w:abstractNum w:abstractNumId="5">
    <w:nsid w:val="368DB37E"/>
    <w:multiLevelType w:val="hybridMultilevel"/>
    <w:lvl w:ilvl="0">
      <w:lvlJc w:val="left"/>
      <w:lvlText w:val="•"/>
      <w:numFmt w:val="bullet"/>
      <w:start w:val="1"/>
    </w:lvl>
    <w:lvl w:ilvl="1">
      <w:lvlJc w:val="left"/>
      <w:lvlText w:val="◦"/>
      <w:numFmt w:val="bullet"/>
      <w:start w:val="1"/>
    </w:lvl>
  </w:abstractNum>
  <w:abstractNum w:abstractNumId="6">
    <w:nsid w:val="6A3B714C"/>
    <w:multiLevelType w:val="hybridMultilevel"/>
    <w:lvl w:ilvl="0">
      <w:lvlJc w:val="left"/>
      <w:lvlText w:val="◦"/>
      <w:numFmt w:val="bullet"/>
      <w:start w:val="1"/>
    </w:lvl>
  </w:abstractNum>
  <w:abstractNum w:abstractNumId="7">
    <w:nsid w:val="327B517E"/>
    <w:multiLevelType w:val="hybridMultilevel"/>
    <w:lvl w:ilvl="0">
      <w:lvlJc w:val="left"/>
      <w:lvlText w:val="•"/>
      <w:numFmt w:val="bullet"/>
      <w:start w:val="1"/>
    </w:lvl>
  </w:abstractNum>
  <w:abstractNum w:abstractNumId="8">
    <w:nsid w:val="1F461B51"/>
    <w:multiLevelType w:val="hybridMultilevel"/>
    <w:lvl w:ilvl="0">
      <w:lvlJc w:val="left"/>
      <w:lvlText w:val="•"/>
      <w:numFmt w:val="bullet"/>
      <w:start w:val="1"/>
    </w:lvl>
  </w:abstractNum>
  <w:abstractNum w:abstractNumId="9">
    <w:nsid w:val="29BACF25"/>
    <w:multiLevelType w:val="hybridMultilevel"/>
    <w:lvl w:ilvl="0">
      <w:lvlJc w:val="left"/>
      <w:lvlText w:val="•"/>
      <w:numFmt w:val="bullet"/>
      <w:start w:val="1"/>
    </w:lvl>
  </w:abstractNum>
  <w:abstractNum w:abstractNumId="10">
    <w:nsid w:val="5D5BABB3"/>
    <w:multiLevelType w:val="hybridMultilevel"/>
    <w:lvl w:ilvl="0">
      <w:lvlJc w:val="left"/>
      <w:lvlText w:val="•"/>
      <w:numFmt w:val="bullet"/>
      <w:start w:val="1"/>
    </w:lvl>
  </w:abstractNum>
  <w:abstractNum w:abstractNumId="11">
    <w:nsid w:val="51BF6B48"/>
    <w:multiLevelType w:val="hybridMultilevel"/>
    <w:lvl w:ilvl="0">
      <w:lvlJc w:val="left"/>
      <w:lvlText w:val="•"/>
      <w:numFmt w:val="bullet"/>
      <w:start w:val="1"/>
    </w:lvl>
  </w:abstractNum>
  <w:abstractNum w:abstractNumId="12">
    <w:nsid w:val="7E0F6384"/>
    <w:multiLevelType w:val="hybridMultilevel"/>
    <w:lvl w:ilvl="0">
      <w:lvlJc w:val="left"/>
      <w:lvlText w:val="•"/>
      <w:numFmt w:val="bullet"/>
      <w:start w:val="1"/>
    </w:lvl>
  </w:abstractNum>
  <w:abstractNum w:abstractNumId="13">
    <w:nsid w:val="2B4B8B53"/>
    <w:multiLevelType w:val="hybridMultilevel"/>
    <w:lvl w:ilvl="0">
      <w:lvlJc w:val="left"/>
      <w:lvlText w:val="•"/>
      <w:numFmt w:val="bullet"/>
      <w:start w:val="1"/>
    </w:lvl>
  </w:abstractNum>
  <w:abstractNum w:abstractNumId="14">
    <w:nsid w:val="72E3413A"/>
    <w:multiLevelType w:val="hybridMultilevel"/>
    <w:lvl w:ilvl="0">
      <w:lvlJc w:val="left"/>
      <w:lvlText w:val="•"/>
      <w:numFmt w:val="bullet"/>
      <w:start w:val="1"/>
    </w:lvl>
  </w:abstractNum>
  <w:abstractNum w:abstractNumId="15">
    <w:nsid w:val="116AE494"/>
    <w:multiLevelType w:val="hybridMultilevel"/>
    <w:lvl w:ilvl="0">
      <w:lvlJc w:val="left"/>
      <w:lvlText w:val="•"/>
      <w:numFmt w:val="bullet"/>
      <w:start w:val="1"/>
    </w:lvl>
  </w:abstractNum>
  <w:abstractNum w:abstractNumId="16">
    <w:nsid w:val="3494B2FB"/>
    <w:multiLevelType w:val="hybridMultilevel"/>
    <w:lvl w:ilvl="0">
      <w:lvlJc w:val="left"/>
      <w:lvlText w:val="•"/>
      <w:numFmt w:val="bullet"/>
      <w:start w:val="1"/>
    </w:lvl>
  </w:abstractNum>
  <w:abstractNum w:abstractNumId="17">
    <w:nsid w:val="B13A31"/>
    <w:multiLevelType w:val="hybridMultilevel"/>
    <w:lvl w:ilvl="0">
      <w:lvlJc w:val="left"/>
      <w:lvlText w:val="•"/>
      <w:numFmt w:val="bullet"/>
      <w:start w:val="1"/>
    </w:lvl>
  </w:abstractNum>
  <w:abstractNum w:abstractNumId="18">
    <w:nsid w:val="64429599"/>
    <w:multiLevelType w:val="hybridMultilevel"/>
    <w:lvl w:ilvl="0">
      <w:lvlJc w:val="left"/>
      <w:lvlText w:val="•"/>
      <w:numFmt w:val="bullet"/>
      <w:start w:val="1"/>
    </w:lvl>
  </w:abstractNum>
  <w:abstractNum w:abstractNumId="19">
    <w:nsid w:val="631F1690"/>
    <w:multiLevelType w:val="hybridMultilevel"/>
    <w:lvl w:ilvl="0">
      <w:lvlJc w:val="left"/>
      <w:lvlText w:val="(%1)"/>
      <w:numFmt w:val="lowerRoman"/>
      <w:start w:val="1"/>
    </w:lvl>
  </w:abstractNum>
  <w:abstractNum w:abstractNumId="20">
    <w:nsid w:val="25973E32"/>
    <w:multiLevelType w:val="hybridMultilevel"/>
    <w:lvl w:ilvl="0">
      <w:lvlJc w:val="left"/>
      <w:lvlText w:val="•"/>
      <w:numFmt w:val="bullet"/>
      <w:start w:val="1"/>
    </w:lvl>
  </w:abstractNum>
  <w:abstractNum w:abstractNumId="21">
    <w:nsid w:val="EAD6F57"/>
    <w:multiLevelType w:val="hybridMultilevel"/>
    <w:lvl w:ilvl="0">
      <w:lvlJc w:val="left"/>
      <w:lvlText w:val="•"/>
      <w:numFmt w:val="bullet"/>
      <w:start w:val="1"/>
    </w:lvl>
  </w:abstractNum>
  <w:abstractNum w:abstractNumId="22">
    <w:nsid w:val="6EC9D844"/>
    <w:multiLevelType w:val="hybridMultilevel"/>
    <w:lvl w:ilvl="0">
      <w:lvlJc w:val="left"/>
      <w:lvlText w:val="•"/>
      <w:numFmt w:val="bullet"/>
      <w:start w:val="1"/>
    </w:lvl>
  </w:abstractNum>
  <w:abstractNum w:abstractNumId="23">
    <w:nsid w:val="5C49EAEE"/>
    <w:multiLevelType w:val="hybridMultilevel"/>
    <w:lvl w:ilvl="0">
      <w:lvlJc w:val="left"/>
      <w:lvlText w:val="•"/>
      <w:numFmt w:val="bullet"/>
      <w:start w:val="1"/>
    </w:lvl>
  </w:abstractNum>
  <w:abstractNum w:abstractNumId="24">
    <w:nsid w:val="64AF49B"/>
    <w:multiLevelType w:val="hybridMultilevel"/>
    <w:lvl w:ilvl="0">
      <w:lvlJc w:val="left"/>
      <w:lvlText w:val="•"/>
      <w:numFmt w:val="bullet"/>
      <w:start w:val="1"/>
    </w:lvl>
  </w:abstractNum>
  <w:abstractNum w:abstractNumId="25">
    <w:nsid w:val="397C46BC"/>
    <w:multiLevelType w:val="hybridMultilevel"/>
    <w:lvl w:ilvl="0">
      <w:lvlJc w:val="left"/>
      <w:lvlText w:val="•"/>
      <w:numFmt w:val="bullet"/>
      <w:start w:val="1"/>
    </w:lvl>
  </w:abstractNum>
  <w:abstractNum w:abstractNumId="26">
    <w:nsid w:val="7E448DE9"/>
    <w:multiLevelType w:val="hybridMultilevel"/>
    <w:lvl w:ilvl="0">
      <w:lvlJc w:val="left"/>
      <w:lvlText w:val="(%1)"/>
      <w:numFmt w:val="decimal"/>
      <w:start w:val="1"/>
    </w:lvl>
  </w:abstractNum>
  <w:abstractNum w:abstractNumId="27">
    <w:nsid w:val="5A9CC3E5"/>
    <w:multiLevelType w:val="hybridMultilevel"/>
    <w:lvl w:ilvl="0">
      <w:lvlJc w:val="left"/>
      <w:lvlText w:val="(%1)"/>
      <w:numFmt w:val="decimal"/>
      <w:start w:val="1"/>
    </w:lvl>
  </w:abstractNum>
  <w:abstractNum w:abstractNumId="28">
    <w:nsid w:val="1AFE3625"/>
    <w:multiLevelType w:val="hybridMultilevel"/>
    <w:lvl w:ilvl="0">
      <w:lvlJc w:val="left"/>
      <w:lvlText w:val="(%1)"/>
      <w:numFmt w:val="lowerRoman"/>
      <w:start w:val="1"/>
    </w:lvl>
  </w:abstractNum>
  <w:abstractNum w:abstractNumId="29">
    <w:nsid w:val="3CA88ECF"/>
    <w:multiLevelType w:val="hybridMultilevel"/>
    <w:lvl w:ilvl="0">
      <w:lvlJc w:val="left"/>
      <w:lvlText w:val="•"/>
      <w:numFmt w:val="bullet"/>
      <w:start w:val="1"/>
    </w:lvl>
  </w:abstractNum>
  <w:abstractNum w:abstractNumId="30">
    <w:nsid w:val="6EBE4208"/>
    <w:multiLevelType w:val="hybridMultilevel"/>
    <w:lvl w:ilvl="0">
      <w:lvlJc w:val="left"/>
      <w:lvlText w:val="(%1)"/>
      <w:numFmt w:val="decimal"/>
      <w:start w:val="1"/>
    </w:lvl>
  </w:abstractNum>
  <w:abstractNum w:abstractNumId="31">
    <w:nsid w:val="C058DF5"/>
    <w:multiLevelType w:val="hybridMultilevel"/>
    <w:lvl w:ilvl="0">
      <w:lvlJc w:val="left"/>
      <w:lvlText w:val="(%1)"/>
      <w:numFmt w:val="decimal"/>
      <w:start w:val="1"/>
    </w:lvl>
  </w:abstractNum>
  <w:abstractNum w:abstractNumId="32">
    <w:nsid w:val="CBE5BE9"/>
    <w:multiLevelType w:val="hybridMultilevel"/>
    <w:lvl w:ilvl="0">
      <w:lvlJc w:val="left"/>
      <w:lvlText w:val="(%1)"/>
      <w:numFmt w:val="decimal"/>
      <w:start w:val="2"/>
    </w:lvl>
  </w:abstractNum>
  <w:abstractNum w:abstractNumId="33">
    <w:nsid w:val="3102BBE2"/>
    <w:multiLevelType w:val="hybridMultilevel"/>
    <w:lvl w:ilvl="0">
      <w:lvlJc w:val="left"/>
      <w:lvlText w:val="(%1)"/>
      <w:numFmt w:val="decimal"/>
      <w:start w:val="1"/>
    </w:lvl>
  </w:abstractNum>
  <w:abstractNum w:abstractNumId="34">
    <w:nsid w:val="26A02C5E"/>
    <w:multiLevelType w:val="hybridMultilevel"/>
    <w:lvl w:ilvl="0">
      <w:lvlJc w:val="left"/>
      <w:lvlText w:val="(%1)"/>
      <w:numFmt w:val="decimal"/>
      <w:start w:val="1"/>
    </w:lvl>
  </w:abstractNum>
  <w:abstractNum w:abstractNumId="35">
    <w:nsid w:val="541C8153"/>
    <w:multiLevelType w:val="hybridMultilevel"/>
    <w:lvl w:ilvl="0">
      <w:lvlJc w:val="left"/>
      <w:lvlText w:val="(%1)"/>
      <w:numFmt w:val="decimal"/>
      <w:start w:val="1"/>
    </w:lvl>
  </w:abstractNum>
  <w:abstractNum w:abstractNumId="36">
    <w:nsid w:val="67906F60"/>
    <w:multiLevelType w:val="hybridMultilevel"/>
    <w:lvl w:ilvl="0">
      <w:lvlJc w:val="left"/>
      <w:lvlText w:val="(%1)"/>
      <w:numFmt w:val="decimal"/>
      <w:start w:val="1"/>
    </w:lvl>
  </w:abstractNum>
  <w:abstractNum w:abstractNumId="37">
    <w:nsid w:val="10DB9DAA"/>
    <w:multiLevelType w:val="hybridMultilevel"/>
    <w:lvl w:ilvl="0">
      <w:lvlJc w:val="left"/>
      <w:lvlText w:val="(%1)"/>
      <w:numFmt w:val="decimal"/>
      <w:start w:val="1"/>
    </w:lvl>
  </w:abstractNum>
  <w:abstractNum w:abstractNumId="38">
    <w:nsid w:val="697D2D2"/>
    <w:multiLevelType w:val="hybridMultilevel"/>
    <w:lvl w:ilvl="0">
      <w:lvlJc w:val="left"/>
      <w:lvlText w:val="(%1)"/>
      <w:numFmt w:val="lowerRoman"/>
      <w:start w:val="1"/>
    </w:lvl>
  </w:abstractNum>
  <w:abstractNum w:abstractNumId="39">
    <w:nsid w:val="6D68AB2"/>
    <w:multiLevelType w:val="hybridMultilevel"/>
    <w:lvl w:ilvl="0">
      <w:lvlJc w:val="left"/>
      <w:lvlText w:val="(%1)"/>
      <w:numFmt w:val="decimal"/>
      <w:start w:val="1"/>
    </w:lvl>
  </w:abstractNum>
  <w:abstractNum w:abstractNumId="40">
    <w:nsid w:val="3A966CD0"/>
    <w:multiLevelType w:val="hybridMultilevel"/>
    <w:lvl w:ilvl="0">
      <w:lvlJc w:val="left"/>
      <w:lvlText w:val="(%1)"/>
      <w:numFmt w:val="decimal"/>
      <w:start w:val="1"/>
    </w:lvl>
  </w:abstractNum>
  <w:abstractNum w:abstractNumId="41">
    <w:nsid w:val="63F37E85"/>
    <w:multiLevelType w:val="hybridMultilevel"/>
    <w:lvl w:ilvl="0">
      <w:lvlJc w:val="left"/>
      <w:lvlText w:val="•"/>
      <w:numFmt w:val="bullet"/>
      <w:start w:val="1"/>
    </w:lvl>
  </w:abstractNum>
  <w:abstractNum w:abstractNumId="42">
    <w:nsid w:val="5895F5FA"/>
    <w:multiLevelType w:val="hybridMultilevel"/>
    <w:lvl w:ilvl="0">
      <w:lvlJc w:val="left"/>
      <w:lvlText w:val="%1."/>
      <w:numFmt w:val="decimal"/>
      <w:start w:val="1"/>
    </w:lvl>
    <w:lvl w:ilvl="1">
      <w:lvlJc w:val="left"/>
      <w:lvlText w:val="(%2)"/>
      <w:numFmt w:val="lowerLetter"/>
      <w:start w:val="1"/>
    </w:lvl>
  </w:abstractNum>
  <w:abstractNum w:abstractNumId="43">
    <w:nsid w:val="38A5D054"/>
    <w:multiLevelType w:val="hybridMultilevel"/>
    <w:lvl w:ilvl="0">
      <w:lvlJc w:val="left"/>
      <w:lvlText w:val="%1."/>
      <w:numFmt w:val="decimal"/>
      <w:start w:val="3"/>
    </w:lvl>
    <w:lvl w:ilvl="1">
      <w:lvlJc w:val="left"/>
      <w:lvlText w:val="(%2)"/>
      <w:numFmt w:val="lowerLetter"/>
      <w:start w:val="1"/>
    </w:lvl>
  </w:abstractNum>
  <w:abstractNum w:abstractNumId="44">
    <w:nsid w:val="F3F09D8"/>
    <w:multiLevelType w:val="hybridMultilevel"/>
    <w:lvl w:ilvl="0">
      <w:lvlJc w:val="left"/>
      <w:lvlText w:val="%1."/>
      <w:numFmt w:val="decimal"/>
      <w:start w:val="8"/>
    </w:lvl>
    <w:lvl w:ilvl="1">
      <w:lvlJc w:val="left"/>
      <w:lvlText w:val="(%2)"/>
      <w:numFmt w:val="lowerLetter"/>
      <w:start w:val="1"/>
    </w:lvl>
  </w:abstractNum>
  <w:abstractNum w:abstractNumId="45">
    <w:nsid w:val="4B793735"/>
    <w:multiLevelType w:val="hybridMultilevel"/>
    <w:lvl w:ilvl="0">
      <w:lvlJc w:val="left"/>
      <w:lvlText w:val="(%1)"/>
      <w:numFmt w:val="lowerLetter"/>
      <w:start w:val="6"/>
    </w:lvl>
    <w:lvl w:ilvl="1">
      <w:lvlJc w:val="left"/>
      <w:lvlText w:val="(%2)"/>
      <w:numFmt w:val="lowerRoman"/>
      <w:start w:val="1"/>
    </w:lvl>
  </w:abstractNum>
  <w:abstractNum w:abstractNumId="46">
    <w:nsid w:val="4A10B4E8"/>
    <w:multiLevelType w:val="hybridMultilevel"/>
    <w:lvl w:ilvl="0">
      <w:lvlJc w:val="left"/>
      <w:lvlText w:val="(%1)"/>
      <w:numFmt w:val="upperLetter"/>
      <w:start w:val="2"/>
    </w:lvl>
  </w:abstractNum>
  <w:abstractNum w:abstractNumId="47">
    <w:nsid w:val="43D3BCD4"/>
    <w:multiLevelType w:val="hybridMultilevel"/>
    <w:lvl w:ilvl="0">
      <w:lvlJc w:val="left"/>
      <w:lvlText w:val="(%1)"/>
      <w:numFmt w:val="lowerLetter"/>
      <w:start w:val="13"/>
    </w:lvl>
  </w:abstractNum>
  <w:abstractNum w:abstractNumId="48">
    <w:nsid w:val="4C2A716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49">
    <w:nsid w:val="2E534A8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50">
    <w:nsid w:val="26F2D364"/>
    <w:multiLevelType w:val="hybridMultilevel"/>
    <w:lvl w:ilvl="0">
      <w:lvlJc w:val="left"/>
      <w:lvlText w:val="%1"/>
      <w:numFmt w:val="decimal"/>
      <w:start w:val="1"/>
    </w:lvl>
    <w:lvl w:ilvl="1">
      <w:lvlJc w:val="left"/>
      <w:lvlText w:val="(%2)"/>
      <w:numFmt w:val="lowerLetter"/>
      <w:start w:val="3"/>
    </w:lvl>
  </w:abstractNum>
  <w:abstractNum w:abstractNumId="51">
    <w:nsid w:val="71C1AF98"/>
    <w:multiLevelType w:val="hybridMultilevel"/>
    <w:lvl w:ilvl="0">
      <w:lvlJc w:val="left"/>
      <w:lvlText w:val="%1."/>
      <w:numFmt w:val="decimal"/>
      <w:start w:val="3"/>
    </w:lvl>
    <w:lvl w:ilvl="1">
      <w:lvlJc w:val="left"/>
      <w:lvlText w:val="(%2)"/>
      <w:numFmt w:val="lowerLetter"/>
      <w:start w:val="1"/>
    </w:lvl>
  </w:abstractNum>
  <w:abstractNum w:abstractNumId="52">
    <w:nsid w:val="3D00B9D9"/>
    <w:multiLevelType w:val="hybridMultilevel"/>
    <w:lvl w:ilvl="0">
      <w:lvlJc w:val="left"/>
      <w:lvlText w:val="%1."/>
      <w:numFmt w:val="decimal"/>
      <w:start w:val="7"/>
    </w:lvl>
    <w:lvl w:ilvl="1">
      <w:lvlJc w:val="left"/>
      <w:lvlText w:val="(%2)"/>
      <w:numFmt w:val="lowerLetter"/>
      <w:start w:val="1"/>
    </w:lvl>
  </w:abstractNum>
  <w:abstractNum w:abstractNumId="53">
    <w:nsid w:val="15BCABA8"/>
    <w:multiLevelType w:val="hybridMultilevel"/>
    <w:lvl w:ilvl="0">
      <w:lvlJc w:val="left"/>
      <w:lvlText w:val="(%1)"/>
      <w:numFmt w:val="lowerLetter"/>
      <w:start w:val="3"/>
    </w:lvl>
  </w:abstractNum>
  <w:abstractNum w:abstractNumId="54">
    <w:nsid w:val="4E0B9A87"/>
    <w:multiLevelType w:val="hybridMultilevel"/>
    <w:lvl w:ilvl="0">
      <w:lvlJc w:val="left"/>
      <w:lvlText w:val="(%1)"/>
      <w:numFmt w:val="lowerLetter"/>
      <w:start w:val="4"/>
    </w:lvl>
  </w:abstractNum>
  <w:abstractNum w:abstractNumId="55">
    <w:nsid w:val="434BAE75"/>
    <w:multiLevelType w:val="hybridMultilevel"/>
    <w:lvl w:ilvl="0">
      <w:lvlJc w:val="left"/>
      <w:lvlText w:val="(%1)"/>
      <w:numFmt w:val="lowerLetter"/>
      <w:start w:val="11"/>
    </w:lvl>
    <w:lvl w:ilvl="1">
      <w:lvlJc w:val="left"/>
      <w:lvlText w:val="(%2)"/>
      <w:numFmt w:val="upperLetter"/>
      <w:start w:val="1"/>
    </w:lvl>
    <w:lvl w:ilvl="2">
      <w:lvlJc w:val="left"/>
      <w:lvlText w:val="(%3)"/>
      <w:numFmt w:val="lowerRoman"/>
      <w:start w:val="1"/>
    </w:lvl>
  </w:abstractNum>
  <w:abstractNum w:abstractNumId="56">
    <w:nsid w:val="4F38F265"/>
    <w:multiLevelType w:val="hybridMultilevel"/>
    <w:lvl w:ilvl="0">
      <w:lvlJc w:val="left"/>
      <w:lvlText w:val="(%1)"/>
      <w:numFmt w:val="lowerLetter"/>
      <w:start w:val="13"/>
    </w:lvl>
  </w:abstractNum>
  <w:abstractNum w:abstractNumId="57">
    <w:nsid w:val="4C502870"/>
    <w:multiLevelType w:val="hybridMultilevel"/>
    <w:lvl w:ilvl="0">
      <w:lvlJc w:val="left"/>
      <w:lvlText w:val="(%1)"/>
      <w:numFmt w:val="lowerLetter"/>
      <w:start w:val="16"/>
    </w:lvl>
  </w:abstractNum>
  <w:abstractNum w:abstractNumId="58">
    <w:nsid w:val="1DE8725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59">
    <w:nsid w:val="6A37288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60">
    <w:nsid w:val="8F8B73F"/>
    <w:multiLevelType w:val="hybridMultilevel"/>
    <w:lvl w:ilvl="0">
      <w:lvlJc w:val="left"/>
      <w:lvlText w:val="%1"/>
      <w:numFmt w:val="decimal"/>
      <w:start w:val="1"/>
    </w:lvl>
    <w:lvl w:ilvl="1">
      <w:lvlJc w:val="left"/>
      <w:lvlText w:val="(%2)"/>
      <w:numFmt w:val="lowerLetter"/>
      <w:start w:val="3"/>
    </w:lvl>
  </w:abstractNum>
  <w:abstractNum w:abstractNumId="61">
    <w:nsid w:val="CA6B462"/>
    <w:multiLevelType w:val="hybridMultilevel"/>
    <w:lvl w:ilvl="0">
      <w:lvlJc w:val="left"/>
      <w:lvlText w:val="%1."/>
      <w:numFmt w:val="decimal"/>
      <w:start w:val="3"/>
    </w:lvl>
    <w:lvl w:ilvl="1">
      <w:lvlJc w:val="left"/>
      <w:lvlText w:val="(%2)"/>
      <w:numFmt w:val="lowerLetter"/>
      <w:start w:val="1"/>
    </w:lvl>
  </w:abstractNum>
  <w:abstractNum w:abstractNumId="62">
    <w:nsid w:val="763CB680"/>
    <w:multiLevelType w:val="hybridMultilevel"/>
    <w:lvl w:ilvl="0">
      <w:lvlJc w:val="left"/>
      <w:lvlText w:val="%1."/>
      <w:numFmt w:val="decimal"/>
      <w:start w:val="7"/>
    </w:lvl>
    <w:lvl w:ilvl="1">
      <w:lvlJc w:val="left"/>
      <w:lvlText w:val="(%2)"/>
      <w:numFmt w:val="lowerLetter"/>
      <w:start w:val="1"/>
    </w:lvl>
  </w:abstractNum>
  <w:abstractNum w:abstractNumId="63">
    <w:nsid w:val="15B71329"/>
    <w:multiLevelType w:val="hybridMultilevel"/>
    <w:lvl w:ilvl="0">
      <w:lvlJc w:val="left"/>
      <w:lvlText w:val="(%1)"/>
      <w:numFmt w:val="lowerLetter"/>
      <w:start w:val="3"/>
    </w:lvl>
  </w:abstractNum>
  <w:abstractNum w:abstractNumId="64">
    <w:nsid w:val="3DA97044"/>
    <w:multiLevelType w:val="hybridMultilevel"/>
    <w:lvl w:ilvl="0">
      <w:lvlJc w:val="left"/>
      <w:lvlText w:val="(%1)"/>
      <w:numFmt w:val="lowerLetter"/>
      <w:start w:val="4"/>
    </w:lvl>
  </w:abstractNum>
  <w:abstractNum w:abstractNumId="65">
    <w:nsid w:val="1CDCE2DE"/>
    <w:multiLevelType w:val="hybridMultilevel"/>
    <w:lvl w:ilvl="0">
      <w:lvlJc w:val="left"/>
      <w:lvlText w:val="(%1)"/>
      <w:numFmt w:val="lowerLetter"/>
      <w:start w:val="11"/>
    </w:lvl>
    <w:lvl w:ilvl="1">
      <w:lvlJc w:val="left"/>
      <w:lvlText w:val="(%2)"/>
      <w:numFmt w:val="upperLetter"/>
      <w:start w:val="1"/>
    </w:lvl>
    <w:lvl w:ilvl="2">
      <w:lvlJc w:val="left"/>
      <w:lvlText w:val="(%3)"/>
      <w:numFmt w:val="lowerRoman"/>
      <w:start w:val="1"/>
    </w:lvl>
  </w:abstractNum>
  <w:abstractNum w:abstractNumId="66">
    <w:nsid w:val="69D3947C"/>
    <w:multiLevelType w:val="hybridMultilevel"/>
    <w:lvl w:ilvl="0">
      <w:lvlJc w:val="left"/>
      <w:lvlText w:val="(%1)"/>
      <w:numFmt w:val="lowerLetter"/>
      <w:start w:val="13"/>
    </w:lvl>
  </w:abstractNum>
  <w:abstractNum w:abstractNumId="67">
    <w:nsid w:val="2539DFA5"/>
    <w:multiLevelType w:val="hybridMultilevel"/>
    <w:lvl w:ilvl="0">
      <w:lvlJc w:val="left"/>
      <w:lvlText w:val="(%1)"/>
      <w:numFmt w:val="lowerLetter"/>
      <w:start w:val="16"/>
    </w:lvl>
  </w:abstractNum>
  <w:abstractNum w:abstractNumId="68">
    <w:nsid w:val="2DB88089"/>
    <w:multiLevelType w:val="hybridMultilevel"/>
    <w:lvl w:ilvl="0">
      <w:lvlJc w:val="left"/>
      <w:lvlText w:val="1"/>
      <w:numFmt w:val="bullet"/>
      <w:start w:val="1"/>
    </w:lvl>
  </w:abstractNum>
  <w:abstractNum w:abstractNumId="69">
    <w:nsid w:val="706B674E"/>
    <w:multiLevelType w:val="hybridMultilevel"/>
    <w:lvl w:ilvl="0">
      <w:lvlJc w:val="left"/>
      <w:lvlText w:val="(%1)"/>
      <w:numFmt w:val="lowerLetter"/>
      <w:start w:val="25"/>
    </w:lvl>
  </w:abstractNum>
  <w:abstractNum w:abstractNumId="70">
    <w:nsid w:val="2C106A57"/>
    <w:multiLevelType w:val="hybridMultilevel"/>
    <w:lvl w:ilvl="0">
      <w:lvlJc w:val="left"/>
      <w:lvlText w:val="(%1)"/>
      <w:numFmt w:val="lowerRoman"/>
      <w:start w:val="1"/>
    </w:lvl>
  </w:abstractNum>
  <w:abstractNum w:abstractNumId="71">
    <w:nsid w:val="684EED59"/>
    <w:multiLevelType w:val="hybridMultilevel"/>
    <w:lvl w:ilvl="0">
      <w:lvlJc w:val="left"/>
      <w:lvlText w:val="(%1)"/>
      <w:numFmt w:val="decimal"/>
      <w:start w:val="1"/>
    </w:lvl>
  </w:abstractNum>
  <w:abstractNum w:abstractNumId="72">
    <w:nsid w:val="545EE5D3"/>
    <w:multiLevelType w:val="hybridMultilevel"/>
    <w:lvl w:ilvl="0">
      <w:lvlJc w:val="left"/>
      <w:lvlText w:val="(%1)"/>
      <w:numFmt w:val="decimal"/>
      <w:start w:val="1"/>
    </w:lvl>
  </w:abstractNum>
  <w:abstractNum w:abstractNumId="73">
    <w:nsid w:val="4A66051"/>
    <w:multiLevelType w:val="hybridMultilevel"/>
    <w:lvl w:ilvl="0">
      <w:lvlJc w:val="left"/>
      <w:lvlText w:val="(%1)"/>
      <w:numFmt w:val="lowerRoman"/>
      <w:start w:val="2"/>
    </w:lvl>
  </w:abstractNum>
  <w:abstractNum w:abstractNumId="74">
    <w:nsid w:val="20F4BDAD"/>
    <w:multiLevelType w:val="hybridMultilevel"/>
    <w:lvl w:ilvl="0">
      <w:lvlJc w:val="left"/>
      <w:lvlText w:val="(%1)"/>
      <w:numFmt w:val="decimal"/>
      <w:start w:val="1"/>
    </w:lvl>
  </w:abstractNum>
  <w:abstractNum w:abstractNumId="75">
    <w:nsid w:val="639DEFAC"/>
    <w:multiLevelType w:val="hybridMultilevel"/>
    <w:lvl w:ilvl="0">
      <w:lvlJc w:val="left"/>
      <w:lvlText w:val="(%1)"/>
      <w:numFmt w:val="lowerLetter"/>
      <w:start w:val="1"/>
    </w:lvl>
  </w:abstractNum>
  <w:abstractNum w:abstractNumId="76">
    <w:nsid w:val="501F9786"/>
    <w:multiLevelType w:val="hybridMultilevel"/>
    <w:lvl w:ilvl="0">
      <w:lvlJc w:val="left"/>
      <w:lvlText w:val="%1"/>
      <w:numFmt w:val="lowerLetter"/>
      <w:start w:val="1"/>
    </w:lvl>
    <w:lvl w:ilvl="1">
      <w:lvlJc w:val="left"/>
      <w:lvlText w:val="(%2)"/>
      <w:numFmt w:val="lowerLetter"/>
      <w:start w:val="5"/>
    </w:lvl>
  </w:abstractNum>
  <w:abstractNum w:abstractNumId="77">
    <w:nsid w:val="6B057295"/>
    <w:multiLevelType w:val="hybridMultilevel"/>
    <w:lvl w:ilvl="0">
      <w:lvlJc w:val="left"/>
      <w:lvlText w:val="(%1)"/>
      <w:numFmt w:val="lowerLetter"/>
      <w:start w:val="35"/>
    </w:lvl>
    <w:lvl w:ilvl="1">
      <w:lvlJc w:val="left"/>
      <w:lvlText w:val="%2"/>
      <w:numFmt w:val="lowerLetter"/>
      <w:start w:val="1"/>
    </w:lvl>
  </w:abstractNum>
  <w:abstractNum w:abstractNumId="78">
    <w:nsid w:val="2771AC80"/>
    <w:multiLevelType w:val="hybridMultilevel"/>
    <w:lvl w:ilvl="0">
      <w:lvlJc w:val="left"/>
      <w:lvlText w:val="(%1)"/>
      <w:numFmt w:val="lowerLetter"/>
      <w:start w:val="1"/>
    </w:lvl>
    <w:lvl w:ilvl="1">
      <w:lvlJc w:val="left"/>
      <w:lvlText w:val="(%2)"/>
      <w:numFmt w:val="lowerLetter"/>
      <w:start w:val="9"/>
    </w:lvl>
  </w:abstractNum>
  <w:abstractNum w:abstractNumId="79">
    <w:nsid w:val="1C4A08EC"/>
    <w:multiLevelType w:val="hybridMultilevel"/>
    <w:lvl w:ilvl="0">
      <w:lvlJc w:val="left"/>
      <w:lvlText w:val="(%1)"/>
      <w:numFmt w:val="lowerRoman"/>
      <w:start w:val="2"/>
    </w:lvl>
  </w:abstractNum>
  <w:abstractNum w:abstractNumId="80">
    <w:nsid w:val="1958BD17"/>
    <w:multiLevelType w:val="hybridMultilevel"/>
    <w:lvl w:ilvl="0">
      <w:lvlJc w:val="left"/>
      <w:lvlText w:val="(%1)"/>
      <w:numFmt w:val="lowerRoman"/>
      <w:start w:val="12"/>
    </w:lvl>
  </w:abstractNum>
  <w:abstractNum w:abstractNumId="81">
    <w:nsid w:val="4E647FE4"/>
    <w:multiLevelType w:val="hybridMultilevel"/>
    <w:lvl w:ilvl="0">
      <w:lvlJc w:val="left"/>
      <w:lvlText w:val="(%1)"/>
      <w:numFmt w:val="lowerLetter"/>
      <w:start w:val="2"/>
    </w:lvl>
    <w:lvl w:ilvl="1">
      <w:lvlJc w:val="left"/>
      <w:lvlText w:val="(%2)"/>
      <w:numFmt w:val="lowerRoman"/>
      <w:start w:val="1"/>
    </w:lvl>
  </w:abstractNum>
  <w:abstractNum w:abstractNumId="82">
    <w:nsid w:val="E0BB885"/>
    <w:multiLevelType w:val="hybridMultilevel"/>
    <w:lvl w:ilvl="0">
      <w:lvlJc w:val="left"/>
      <w:lvlText w:val="(%1)"/>
      <w:numFmt w:val="lowerRoman"/>
      <w:start w:val="6"/>
    </w:lvl>
  </w:abstractNum>
  <w:abstractNum w:abstractNumId="83">
    <w:nsid w:val="565976F1"/>
    <w:multiLevelType w:val="hybridMultilevel"/>
    <w:lvl w:ilvl="0">
      <w:lvlJc w:val="left"/>
      <w:lvlText w:val="(%1)"/>
      <w:numFmt w:val="upperLetter"/>
      <w:start w:val="9"/>
    </w:lvl>
  </w:abstractNum>
  <w:abstractNum w:abstractNumId="84">
    <w:nsid w:val="64212B8C"/>
    <w:multiLevelType w:val="hybridMultilevel"/>
    <w:lvl w:ilvl="0">
      <w:lvlJc w:val="left"/>
      <w:lvlText w:val="(%1)"/>
      <w:numFmt w:val="upperLetter"/>
      <w:start w:val="35"/>
    </w:lvl>
  </w:abstractNum>
  <w:abstractNum w:abstractNumId="85">
    <w:nsid w:val="5C17530C"/>
    <w:multiLevelType w:val="hybridMultilevel"/>
    <w:lvl w:ilvl="0">
      <w:lvlJc w:val="left"/>
      <w:lvlText w:val="(%1)"/>
      <w:numFmt w:val="upperLetter"/>
      <w:start w:val="61"/>
    </w:lvl>
  </w:abstractNum>
  <w:abstractNum w:abstractNumId="86">
    <w:nsid w:val="19A52566"/>
    <w:multiLevelType w:val="hybridMultilevel"/>
    <w:lvl w:ilvl="0">
      <w:lvlJc w:val="left"/>
      <w:lvlText w:val="(%1)"/>
      <w:numFmt w:val="lowerLetter"/>
      <w:start w:val="1"/>
    </w:lvl>
  </w:abstractNum>
  <w:abstractNum w:abstractNumId="87">
    <w:nsid w:val="335A1DF1"/>
    <w:multiLevelType w:val="hybridMultilevel"/>
    <w:lvl w:ilvl="0">
      <w:lvlJc w:val="left"/>
      <w:lvlText w:val="(%1)"/>
      <w:numFmt w:val="lowerLetter"/>
      <w:start w:val="2"/>
    </w:lvl>
  </w:abstractNum>
  <w:abstractNum w:abstractNumId="88">
    <w:nsid w:val="28677B7C"/>
    <w:multiLevelType w:val="hybridMultilevel"/>
    <w:lvl w:ilvl="0">
      <w:lvlJc w:val="left"/>
      <w:lvlText w:val="(%1)"/>
      <w:numFmt w:val="lowerLetter"/>
      <w:start w:val="7"/>
    </w:lvl>
  </w:abstractNum>
  <w:abstractNum w:abstractNumId="89">
    <w:nsid w:val="378D97C0"/>
    <w:multiLevelType w:val="hybridMultilevel"/>
    <w:lvl w:ilvl="0">
      <w:lvlJc w:val="left"/>
      <w:lvlText w:val="(%1)"/>
      <w:numFmt w:val="lowerLetter"/>
      <w:start w:val="1"/>
    </w:lvl>
  </w:abstractNum>
  <w:abstractNum w:abstractNumId="90">
    <w:nsid w:val="1D91467C"/>
    <w:multiLevelType w:val="hybridMultilevel"/>
    <w:lvl w:ilvl="0">
      <w:lvlJc w:val="left"/>
      <w:lvlText w:val="(%1)"/>
      <w:numFmt w:val="lowerLetter"/>
      <w:start w:val="2"/>
    </w:lvl>
  </w:abstractNum>
  <w:abstractNum w:abstractNumId="91">
    <w:nsid w:val="316032BB"/>
    <w:multiLevelType w:val="hybridMultilevel"/>
    <w:lvl w:ilvl="0">
      <w:lvlJc w:val="left"/>
      <w:lvlText w:val="(%1)"/>
      <w:numFmt w:val="lowerLetter"/>
      <w:start w:val="1"/>
    </w:lvl>
    <w:lvl w:ilvl="1">
      <w:lvlJc w:val="left"/>
      <w:lvlText w:val="(%2)"/>
      <w:numFmt w:val="lowerRoman"/>
      <w:start w:val="1"/>
    </w:lvl>
  </w:abstractNum>
  <w:abstractNum w:abstractNumId="92">
    <w:nsid w:val="44344C22"/>
    <w:multiLevelType w:val="hybridMultilevel"/>
    <w:lvl w:ilvl="0">
      <w:lvlJc w:val="left"/>
      <w:lvlText w:val="(%1)"/>
      <w:numFmt w:val="lowerLetter"/>
      <w:start w:val="2"/>
    </w:lvl>
    <w:lvl w:ilvl="1">
      <w:lvlJc w:val="left"/>
      <w:lvlText w:val="(%2)"/>
      <w:numFmt w:val="lowerRoman"/>
      <w:start w:val="1"/>
    </w:lvl>
  </w:abstractNum>
  <w:abstractNum w:abstractNumId="93">
    <w:nsid w:val="13CDFCFC"/>
    <w:multiLevelType w:val="hybridMultilevel"/>
    <w:lvl w:ilvl="0">
      <w:lvlJc w:val="left"/>
      <w:lvlText w:val="(%1)"/>
      <w:numFmt w:val="lowerRoman"/>
      <w:start w:val="4"/>
    </w:lvl>
  </w:abstractNum>
  <w:abstractNum w:abstractNumId="94">
    <w:nsid w:val="471745E4"/>
    <w:multiLevelType w:val="hybridMultilevel"/>
    <w:lvl w:ilvl="0">
      <w:lvlJc w:val="left"/>
      <w:lvlText w:val="(%1)"/>
      <w:numFmt w:val="lowerRoman"/>
      <w:start w:val="11"/>
    </w:lvl>
  </w:abstractNum>
  <w:abstractNum w:abstractNumId="95">
    <w:nsid w:val="1DDBC66"/>
    <w:multiLevelType w:val="hybridMultilevel"/>
    <w:lvl w:ilvl="0">
      <w:lvlJc w:val="left"/>
      <w:lvlText w:val="(%1)"/>
      <w:numFmt w:val="lowerLetter"/>
      <w:start w:val="1"/>
    </w:lvl>
  </w:abstractNum>
  <w:abstractNum w:abstractNumId="96">
    <w:nsid w:val="30AADFDA"/>
    <w:multiLevelType w:val="hybridMultilevel"/>
    <w:lvl w:ilvl="0">
      <w:lvlJc w:val="left"/>
      <w:lvlText w:val="(%1)"/>
      <w:numFmt w:val="lowerLetter"/>
      <w:start w:val="25"/>
    </w:lvl>
  </w:abstractNum>
  <w:abstractNum w:abstractNumId="97">
    <w:nsid w:val="30EADA61"/>
    <w:multiLevelType w:val="hybridMultilevel"/>
    <w:lvl w:ilvl="0">
      <w:lvlJc w:val="left"/>
      <w:lvlText w:val="(%1)"/>
      <w:numFmt w:val="lowerLetter"/>
      <w:start w:val="1"/>
    </w:lvl>
  </w:abstractNum>
  <w:abstractNum w:abstractNumId="98">
    <w:nsid w:val="27179C0B"/>
    <w:multiLevelType w:val="hybridMultilevel"/>
    <w:lvl w:ilvl="0">
      <w:lvlJc w:val="left"/>
      <w:lvlText w:val="(%1)"/>
      <w:numFmt w:val="lowerLetter"/>
      <w:start w:val="7"/>
    </w:lvl>
  </w:abstractNum>
  <w:abstractNum w:abstractNumId="99">
    <w:nsid w:val="5E636063"/>
    <w:multiLevelType w:val="hybridMultilevel"/>
    <w:lvl w:ilvl="0">
      <w:lvlJc w:val="left"/>
      <w:lvlText w:val="(%1)"/>
      <w:numFmt w:val="lowerLetter"/>
      <w:start w:val="1"/>
    </w:lvl>
  </w:abstractNum>
  <w:abstractNum w:abstractNumId="100">
    <w:nsid w:val="215641AF"/>
    <w:multiLevelType w:val="hybridMultilevel"/>
    <w:lvl w:ilvl="0">
      <w:lvlJc w:val="left"/>
      <w:lvlText w:val="(%1)"/>
      <w:numFmt w:val="lowerLetter"/>
      <w:start w:val="2"/>
    </w:lvl>
  </w:abstractNum>
  <w:abstractNum w:abstractNumId="101">
    <w:nsid w:val="53280662"/>
    <w:multiLevelType w:val="hybridMultilevel"/>
    <w:lvl w:ilvl="0">
      <w:lvlJc w:val="left"/>
      <w:lvlText w:val="(%1)"/>
      <w:numFmt w:val="lowerLetter"/>
      <w:start w:val="1"/>
    </w:lvl>
  </w:abstractNum>
  <w:abstractNum w:abstractNumId="102">
    <w:nsid w:val="46B24DBC"/>
    <w:multiLevelType w:val="hybridMultilevel"/>
    <w:lvl w:ilvl="0">
      <w:lvlJc w:val="left"/>
      <w:lvlText w:val="(%1)"/>
      <w:numFmt w:val="lowerLetter"/>
      <w:start w:val="2"/>
    </w:lvl>
  </w:abstractNum>
  <w:abstractNum w:abstractNumId="103">
    <w:nsid w:val="75B52783"/>
    <w:multiLevelType w:val="hybridMultilevel"/>
    <w:lvl w:ilvl="0">
      <w:lvlJc w:val="left"/>
      <w:lvlText w:val="(%1)"/>
      <w:numFmt w:val="lowerLetter"/>
      <w:start w:val="4"/>
    </w:lvl>
  </w:abstractNum>
  <w:abstractNum w:abstractNumId="104">
    <w:nsid w:val="57CE66B4"/>
    <w:multiLevelType w:val="hybridMultilevel"/>
    <w:lvl w:ilvl="0">
      <w:lvlJc w:val="left"/>
      <w:lvlText w:val="(%1)"/>
      <w:numFmt w:val="lowerLetter"/>
      <w:start w:val="1"/>
    </w:lvl>
  </w:abstractNum>
  <w:abstractNum w:abstractNumId="105">
    <w:nsid w:val="67A70B69"/>
    <w:multiLevelType w:val="hybridMultilevel"/>
    <w:lvl w:ilvl="0">
      <w:lvlJc w:val="left"/>
      <w:lvlText w:val="(%1)"/>
      <w:numFmt w:val="lowerLetter"/>
      <w:start w:val="2"/>
    </w:lvl>
  </w:abstractNum>
  <w:abstractNum w:abstractNumId="106">
    <w:nsid w:val="5953172F"/>
    <w:multiLevelType w:val="hybridMultilevel"/>
    <w:lvl w:ilvl="0">
      <w:lvlJc w:val="left"/>
      <w:lvlText w:val="(%1)"/>
      <w:numFmt w:val="lowerLetter"/>
      <w:start w:val="1"/>
    </w:lvl>
  </w:abstractNum>
  <w:abstractNum w:abstractNumId="107">
    <w:nsid w:val="27EDFE3A"/>
    <w:multiLevelType w:val="hybridMultilevel"/>
    <w:lvl w:ilvl="0">
      <w:lvlJc w:val="left"/>
      <w:lvlText w:val="(%1)"/>
      <w:numFmt w:val="lowerRoman"/>
      <w:start w:val="1"/>
    </w:lvl>
  </w:abstractNum>
  <w:abstractNum w:abstractNumId="108">
    <w:nsid w:val="52AC7DFF"/>
    <w:multiLevelType w:val="hybridMultilevel"/>
    <w:lvl w:ilvl="0">
      <w:lvlJc w:val="left"/>
      <w:lvlText w:val="(%1)"/>
      <w:numFmt w:val="lowerLetter"/>
      <w:start w:val="1"/>
    </w:lvl>
  </w:abstractNum>
  <w:abstractNum w:abstractNumId="109">
    <w:nsid w:val="C4C3AF"/>
    <w:multiLevelType w:val="hybridMultilevel"/>
    <w:lvl w:ilvl="0">
      <w:lvlJc w:val="left"/>
      <w:lvlText w:val="(%1)"/>
      <w:numFmt w:val="lowerLetter"/>
      <w:start w:val="2"/>
    </w:lvl>
  </w:abstractNum>
  <w:abstractNum w:abstractNumId="110">
    <w:nsid w:val="44380727"/>
    <w:multiLevelType w:val="hybridMultilevel"/>
    <w:lvl w:ilvl="0">
      <w:lvlJc w:val="left"/>
      <w:lvlText w:val="(%1)"/>
      <w:numFmt w:val="lowerLetter"/>
      <w:start w:val="1"/>
    </w:lvl>
  </w:abstractNum>
  <w:abstractNum w:abstractNumId="111">
    <w:nsid w:val="6C053B16"/>
    <w:multiLevelType w:val="hybridMultilevel"/>
    <w:lvl w:ilvl="0">
      <w:lvlJc w:val="left"/>
      <w:lvlText w:val="(%1)"/>
      <w:numFmt w:val="lowerRoman"/>
      <w:start w:val="1"/>
    </w:lvl>
  </w:abstractNum>
  <w:abstractNum w:abstractNumId="112">
    <w:nsid w:val="4F294393"/>
    <w:multiLevelType w:val="hybridMultilevel"/>
    <w:lvl w:ilvl="0">
      <w:lvlJc w:val="left"/>
      <w:lvlText w:val="(%1)"/>
      <w:numFmt w:val="lowerLetter"/>
      <w:start w:val="4"/>
    </w:lvl>
  </w:abstractNum>
  <w:abstractNum w:abstractNumId="113">
    <w:nsid w:val="5243BFAC"/>
    <w:multiLevelType w:val="hybridMultilevel"/>
    <w:lvl w:ilvl="0">
      <w:lvlJc w:val="left"/>
      <w:lvlText w:val="(%1)"/>
      <w:numFmt w:val="lowerLetter"/>
      <w:start w:val="1"/>
    </w:lvl>
  </w:abstractNum>
  <w:abstractNum w:abstractNumId="114">
    <w:nsid w:val="425EB207"/>
    <w:multiLevelType w:val="hybridMultilevel"/>
    <w:lvl w:ilvl="0">
      <w:lvlJc w:val="left"/>
      <w:lvlText w:val="(%1)"/>
      <w:numFmt w:val="lowerLetter"/>
      <w:start w:val="1"/>
    </w:lvl>
  </w:abstractNum>
  <w:abstractNum w:abstractNumId="115">
    <w:nsid w:val="334A6F1F"/>
    <w:multiLevelType w:val="hybridMultilevel"/>
    <w:lvl w:ilvl="0">
      <w:lvlJc w:val="left"/>
      <w:lvlText w:val="(%1)"/>
      <w:numFmt w:val="lowerLetter"/>
      <w:start w:val="1"/>
    </w:lvl>
  </w:abstractNum>
  <w:abstractNum w:abstractNumId="116">
    <w:nsid w:val="2E5B12B8"/>
    <w:multiLevelType w:val="hybridMultilevel"/>
    <w:lvl w:ilvl="0">
      <w:lvlJc w:val="left"/>
      <w:lvlText w:val="(%1)"/>
      <w:numFmt w:val="lowerLetter"/>
      <w:start w:val="2"/>
    </w:lvl>
  </w:abstractNum>
  <w:abstractNum w:abstractNumId="117">
    <w:nsid w:val="5C03D76D"/>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118">
    <w:nsid w:val="66A48D11"/>
    <w:multiLevelType w:val="hybridMultilevel"/>
    <w:lvl w:ilvl="0">
      <w:lvlJc w:val="left"/>
      <w:lvlText w:val="(%1)"/>
      <w:numFmt w:val="upperLetter"/>
      <w:start w:val="2"/>
    </w:lvl>
  </w:abstractNum>
  <w:abstractNum w:abstractNumId="119">
    <w:nsid w:val="56C28E34"/>
    <w:multiLevelType w:val="hybridMultilevel"/>
    <w:lvl w:ilvl="0">
      <w:lvlJc w:val="left"/>
      <w:lvlText w:val="(%1)"/>
      <w:numFmt w:val="decimal"/>
      <w:start w:val="2"/>
    </w:lvl>
  </w:abstractNum>
  <w:abstractNum w:abstractNumId="120">
    <w:nsid w:val="13916F2D"/>
    <w:multiLevelType w:val="hybridMultilevel"/>
    <w:lvl w:ilvl="0">
      <w:lvlJc w:val="left"/>
      <w:lvlText w:val="(%1)"/>
      <w:numFmt w:val="decimal"/>
      <w:start w:val="3"/>
    </w:lvl>
  </w:abstractNum>
  <w:abstractNum w:abstractNumId="121">
    <w:nsid w:val="435D38D"/>
    <w:multiLevelType w:val="hybridMultilevel"/>
    <w:lvl w:ilvl="0">
      <w:lvlJc w:val="left"/>
      <w:lvlText w:val="%1"/>
      <w:numFmt w:val="upperLetter"/>
      <w:start w:val="1"/>
    </w:lvl>
    <w:lvl w:ilvl="1">
      <w:lvlJc w:val="left"/>
      <w:lvlText w:val="(%2)"/>
      <w:numFmt w:val="upperLetter"/>
      <w:start w:val="3"/>
    </w:lvl>
  </w:abstractNum>
  <w:abstractNum w:abstractNumId="122">
    <w:nsid w:val="822C0EF"/>
    <w:multiLevelType w:val="hybridMultilevel"/>
    <w:lvl w:ilvl="0">
      <w:lvlJc w:val="left"/>
      <w:lvlText w:val="(%1)"/>
      <w:numFmt w:val="upperLetter"/>
      <w:start w:val="9"/>
    </w:lvl>
    <w:lvl w:ilvl="1">
      <w:lvlJc w:val="left"/>
      <w:lvlText w:val="%2"/>
      <w:numFmt w:val="upperLetter"/>
      <w:start w:val="1"/>
    </w:lvl>
  </w:abstractNum>
  <w:abstractNum w:abstractNumId="123">
    <w:nsid w:val="57C5BB4F"/>
    <w:multiLevelType w:val="hybridMultilevel"/>
    <w:lvl w:ilvl="0">
      <w:lvlJc w:val="left"/>
      <w:lvlText w:val="(%1)"/>
      <w:numFmt w:val="decimal"/>
      <w:start w:val="2"/>
    </w:lvl>
  </w:abstractNum>
  <w:abstractNum w:abstractNumId="124">
    <w:nsid w:val="1803D089"/>
    <w:multiLevelType w:val="hybridMultilevel"/>
    <w:lvl w:ilvl="0">
      <w:lvlJc w:val="left"/>
      <w:lvlText w:val="(%1)"/>
      <w:numFmt w:val="upperLetter"/>
      <w:start w:val="4"/>
    </w:lvl>
  </w:abstractNum>
  <w:abstractNum w:abstractNumId="125">
    <w:nsid w:val="4F3A06D4"/>
    <w:multiLevelType w:val="hybridMultilevel"/>
    <w:lvl w:ilvl="0">
      <w:lvlJc w:val="left"/>
      <w:lvlText w:val="(%1)"/>
      <w:numFmt w:val="decimal"/>
      <w:start w:val="2"/>
    </w:lvl>
  </w:abstractNum>
  <w:abstractNum w:abstractNumId="126">
    <w:nsid w:val="59A377B6"/>
    <w:multiLevelType w:val="hybridMultilevel"/>
    <w:lvl w:ilvl="0">
      <w:lvlJc w:val="left"/>
      <w:lvlText w:val="(%1)"/>
      <w:numFmt w:val="upperLetter"/>
      <w:start w:val="5"/>
    </w:lvl>
  </w:abstractNum>
  <w:abstractNum w:abstractNumId="127">
    <w:nsid w:val="48AEB063"/>
    <w:multiLevelType w:val="hybridMultilevel"/>
    <w:lvl w:ilvl="0">
      <w:lvlJc w:val="left"/>
      <w:lvlText w:val="%1"/>
      <w:numFmt w:val="lowerLetter"/>
      <w:start w:val="1"/>
    </w:lvl>
    <w:lvl w:ilvl="1">
      <w:lvlJc w:val="left"/>
      <w:lvlText w:val="(%2)"/>
      <w:numFmt w:val="upperLetter"/>
      <w:start w:val="8"/>
    </w:lvl>
  </w:abstractNum>
  <w:abstractNum w:abstractNumId="128">
    <w:nsid w:val="24E135"/>
    <w:multiLevelType w:val="hybridMultilevel"/>
    <w:lvl w:ilvl="0">
      <w:lvlJc w:val="left"/>
      <w:lvlText w:val="(%1)"/>
      <w:numFmt w:val="lowerLetter"/>
      <w:start w:val="2"/>
    </w:lvl>
    <w:lvl w:ilvl="1">
      <w:lvlJc w:val="left"/>
      <w:lvlText w:val="%2"/>
      <w:numFmt w:val="upperLetter"/>
      <w:start w:val="1"/>
    </w:lvl>
  </w:abstractNum>
  <w:abstractNum w:abstractNumId="129">
    <w:nsid w:val="BB13C1"/>
    <w:multiLevelType w:val="hybridMultilevel"/>
    <w:lvl w:ilvl="0">
      <w:lvlJc w:val="left"/>
      <w:lvlText w:val="(%1)"/>
      <w:numFmt w:val="lowerLetter"/>
      <w:start w:val="3"/>
    </w:lvl>
  </w:abstractNum>
  <w:abstractNum w:abstractNumId="130">
    <w:nsid w:val="271210C7"/>
    <w:multiLevelType w:val="hybridMultilevel"/>
    <w:lvl w:ilvl="0">
      <w:lvlJc w:val="left"/>
      <w:lvlText w:val="(%1)"/>
      <w:numFmt w:val="lowerLetter"/>
      <w:start w:val="5"/>
    </w:lvl>
  </w:abstractNum>
  <w:abstractNum w:abstractNumId="131">
    <w:nsid w:val="217B22E4"/>
    <w:multiLevelType w:val="hybridMultilevel"/>
    <w:lvl w:ilvl="0">
      <w:lvlJc w:val="left"/>
      <w:lvlText w:val="(%1)"/>
      <w:numFmt w:val="lowerLetter"/>
      <w:start w:val="7"/>
    </w:lvl>
  </w:abstractNum>
  <w:abstractNum w:abstractNumId="132">
    <w:nsid w:val="53E31A24"/>
    <w:multiLevelType w:val="hybridMultilevel"/>
    <w:lvl w:ilvl="0">
      <w:lvlJc w:val="left"/>
      <w:lvlText w:val="(%1)"/>
      <w:numFmt w:val="lowerLetter"/>
      <w:start w:val="1"/>
    </w:lvl>
  </w:abstractNum>
  <w:abstractNum w:abstractNumId="133">
    <w:nsid w:val="6DC45E83"/>
    <w:multiLevelType w:val="hybridMultilevel"/>
    <w:lvl w:ilvl="0">
      <w:lvlJc w:val="left"/>
      <w:lvlText w:val="(%1)"/>
      <w:numFmt w:val="lowerLetter"/>
      <w:start w:val="3"/>
    </w:lvl>
  </w:abstractNum>
  <w:abstractNum w:abstractNumId="134">
    <w:nsid w:val="17304A67"/>
    <w:multiLevelType w:val="hybridMultilevel"/>
    <w:lvl w:ilvl="0">
      <w:lvlJc w:val="left"/>
      <w:lvlText w:val="(%1)"/>
      <w:numFmt w:val="lowerLetter"/>
      <w:start w:val="1"/>
    </w:lvl>
  </w:abstractNum>
  <w:abstractNum w:abstractNumId="135">
    <w:nsid w:val="2BB180D8"/>
    <w:multiLevelType w:val="hybridMultilevel"/>
    <w:lvl w:ilvl="0">
      <w:lvlJc w:val="left"/>
      <w:lvlText w:val="(%1)"/>
      <w:numFmt w:val="lowerLetter"/>
      <w:start w:val="2"/>
    </w:lvl>
  </w:abstractNum>
  <w:abstractNum w:abstractNumId="136">
    <w:nsid w:val="556B69ED"/>
    <w:multiLevelType w:val="hybridMultilevel"/>
    <w:lvl w:ilvl="0">
      <w:lvlJc w:val="left"/>
      <w:lvlText w:val="(%1)"/>
      <w:numFmt w:val="lowerLetter"/>
      <w:start w:val="4"/>
    </w:lvl>
  </w:abstractNum>
  <w:abstractNum w:abstractNumId="137">
    <w:nsid w:val="70836196"/>
    <w:multiLevelType w:val="hybridMultilevel"/>
    <w:lvl w:ilvl="0">
      <w:lvlJc w:val="left"/>
      <w:lvlText w:val="(%1)"/>
      <w:numFmt w:val="lowerRoman"/>
      <w:start w:val="1"/>
    </w:lvl>
  </w:abstractNum>
  <w:abstractNum w:abstractNumId="138">
    <w:nsid w:val="539F7F12"/>
    <w:multiLevelType w:val="hybridMultilevel"/>
    <w:lvl w:ilvl="0">
      <w:lvlJc w:val="left"/>
      <w:lvlText w:val="(%1)"/>
      <w:numFmt w:val="lowerLetter"/>
      <w:start w:val="2"/>
    </w:lvl>
  </w:abstractNum>
  <w:abstractNum w:abstractNumId="139">
    <w:nsid w:val="2817E7EC"/>
    <w:multiLevelType w:val="hybridMultilevel"/>
    <w:lvl w:ilvl="0">
      <w:lvlJc w:val="left"/>
      <w:lvlText w:val="(%1)"/>
      <w:numFmt w:val="lowerLetter"/>
      <w:start w:val="6"/>
    </w:lvl>
  </w:abstractNum>
  <w:abstractNum w:abstractNumId="140">
    <w:nsid w:val="71482545"/>
    <w:multiLevelType w:val="hybridMultilevel"/>
    <w:lvl w:ilvl="0">
      <w:lvlJc w:val="left"/>
      <w:lvlText w:val="(%1)"/>
      <w:numFmt w:val="lowerLetter"/>
      <w:start w:val="1"/>
    </w:lvl>
    <w:lvl w:ilvl="1">
      <w:lvlJc w:val="left"/>
      <w:lvlText w:val="(%2)"/>
      <w:numFmt w:val="lowerRoman"/>
      <w:start w:val="1"/>
    </w:lvl>
  </w:abstractNum>
  <w:abstractNum w:abstractNumId="141">
    <w:nsid w:val="17D78639"/>
    <w:multiLevelType w:val="hybridMultilevel"/>
    <w:lvl w:ilvl="0">
      <w:lvlJc w:val="left"/>
      <w:lvlText w:val="(%1)"/>
      <w:numFmt w:val="lowerLetter"/>
      <w:start w:val="2"/>
    </w:lvl>
  </w:abstractNum>
  <w:abstractNum w:abstractNumId="142">
    <w:nsid w:val="141D2302"/>
    <w:multiLevelType w:val="hybridMultilevel"/>
    <w:lvl w:ilvl="0">
      <w:lvlJc w:val="left"/>
      <w:lvlText w:val="(%1)"/>
      <w:numFmt w:val="lowerLetter"/>
      <w:start w:val="3"/>
    </w:lvl>
  </w:abstractNum>
  <w:abstractNum w:abstractNumId="143">
    <w:nsid w:val="407168D8"/>
    <w:multiLevelType w:val="hybridMultilevel"/>
    <w:lvl w:ilvl="0">
      <w:lvlJc w:val="left"/>
      <w:lvlText w:val="(%1)"/>
      <w:numFmt w:val="lowerLetter"/>
      <w:start w:val="1"/>
    </w:lvl>
  </w:abstractNum>
  <w:abstractNum w:abstractNumId="144">
    <w:nsid w:val="6A1B45E5"/>
    <w:multiLevelType w:val="hybridMultilevel"/>
    <w:lvl w:ilvl="0">
      <w:lvlJc w:val="left"/>
      <w:lvlText w:val="(%1)"/>
      <w:numFmt w:val="lowerLetter"/>
      <w:start w:val="2"/>
    </w:lvl>
  </w:abstractNum>
  <w:abstractNum w:abstractNumId="145">
    <w:nsid w:val="567BD50A"/>
    <w:multiLevelType w:val="hybridMultilevel"/>
    <w:lvl w:ilvl="0">
      <w:lvlJc w:val="left"/>
      <w:lvlText w:val="(%1)"/>
      <w:numFmt w:val="lowerRoman"/>
      <w:start w:val="1"/>
    </w:lvl>
  </w:abstractNum>
  <w:abstractNum w:abstractNumId="146">
    <w:nsid w:val="73BBD7F8"/>
    <w:multiLevelType w:val="hybridMultilevel"/>
    <w:lvl w:ilvl="0">
      <w:lvlJc w:val="left"/>
      <w:lvlText w:val="(%1)"/>
      <w:numFmt w:val="lowerRoman"/>
      <w:start w:val="2"/>
    </w:lvl>
    <w:lvl w:ilvl="1">
      <w:lvlJc w:val="left"/>
      <w:lvlText w:val="(%2)"/>
      <w:numFmt w:val="upperLetter"/>
      <w:start w:val="1"/>
    </w:lvl>
  </w:abstractNum>
  <w:abstractNum w:abstractNumId="147">
    <w:nsid w:val="1876589D"/>
    <w:multiLevelType w:val="hybridMultilevel"/>
    <w:lvl w:ilvl="0">
      <w:lvlJc w:val="left"/>
      <w:lvlText w:val="(%1)"/>
      <w:numFmt w:val="lowerLetter"/>
      <w:start w:val="6"/>
    </w:lvl>
  </w:abstractNum>
  <w:abstractNum w:abstractNumId="148">
    <w:nsid w:val="327FAC77"/>
    <w:multiLevelType w:val="hybridMultilevel"/>
    <w:lvl w:ilvl="0">
      <w:lvlJc w:val="left"/>
      <w:lvlText w:val="(%1)"/>
      <w:numFmt w:val="lowerLetter"/>
      <w:start w:val="1"/>
    </w:lvl>
  </w:abstractNum>
  <w:abstractNum w:abstractNumId="149">
    <w:nsid w:val="5A606509"/>
    <w:multiLevelType w:val="hybridMultilevel"/>
    <w:lvl w:ilvl="0">
      <w:lvlJc w:val="left"/>
      <w:lvlText w:val="(%1)"/>
      <w:numFmt w:val="lowerLetter"/>
      <w:start w:val="4"/>
    </w:lvl>
  </w:abstractNum>
  <w:abstractNum w:abstractNumId="150">
    <w:nsid w:val="6F38E6D1"/>
    <w:multiLevelType w:val="hybridMultilevel"/>
    <w:lvl w:ilvl="0">
      <w:lvlJc w:val="left"/>
      <w:lvlText w:val="%1"/>
      <w:numFmt w:val="upperLetter"/>
      <w:start w:val="1"/>
    </w:lvl>
    <w:lvl w:ilvl="1">
      <w:lvlJc w:val="left"/>
      <w:lvlText w:val="(%2)"/>
      <w:numFmt w:val="lowerLetter"/>
      <w:start w:val="1"/>
    </w:lvl>
  </w:abstractNum>
  <w:abstractNum w:abstractNumId="151">
    <w:nsid w:val="46111BA5"/>
    <w:multiLevelType w:val="hybridMultilevel"/>
    <w:lvl w:ilvl="0">
      <w:lvlJc w:val="left"/>
      <w:lvlText w:val="(%1)"/>
      <w:numFmt w:val="upperLetter"/>
      <w:start w:val="1"/>
    </w:lvl>
    <w:lvl w:ilvl="1">
      <w:lvlJc w:val="left"/>
      <w:lvlText w:val="%2"/>
      <w:numFmt w:val="lowerLetter"/>
      <w:start w:val="1"/>
    </w:lvl>
  </w:abstractNum>
  <w:abstractNum w:abstractNumId="152">
    <w:nsid w:val="5E963896"/>
    <w:multiLevelType w:val="hybridMultilevel"/>
    <w:lvl w:ilvl="0">
      <w:lvlJc w:val="left"/>
      <w:lvlText w:val="(%1)"/>
      <w:numFmt w:val="lowerLetter"/>
      <w:start w:val="1"/>
    </w:lvl>
  </w:abstractNum>
  <w:abstractNum w:abstractNumId="153">
    <w:nsid w:val="775BA7C1"/>
    <w:multiLevelType w:val="hybridMultilevel"/>
    <w:lvl w:ilvl="0">
      <w:lvlJc w:val="left"/>
      <w:lvlText w:val="(%1)"/>
      <w:numFmt w:val="lowerRoman"/>
      <w:start w:val="2"/>
    </w:lvl>
  </w:abstractNum>
  <w:abstractNum w:abstractNumId="154">
    <w:nsid w:val="1DD6D6F4"/>
    <w:multiLevelType w:val="hybridMultilevel"/>
    <w:lvl w:ilvl="0">
      <w:lvlJc w:val="left"/>
      <w:lvlText w:val="%1"/>
      <w:numFmt w:val="lowerLetter"/>
      <w:start w:val="1"/>
    </w:lvl>
    <w:lvl w:ilvl="1">
      <w:lvlJc w:val="left"/>
      <w:lvlText w:val="(%2)"/>
      <w:numFmt w:val="lowerLetter"/>
      <w:start w:val="61"/>
    </w:lvl>
  </w:abstractNum>
  <w:abstractNum w:abstractNumId="155">
    <w:nsid w:val="769A091F"/>
    <w:multiLevelType w:val="hybridMultilevel"/>
    <w:lvl w:ilvl="0">
      <w:lvlJc w:val="left"/>
      <w:lvlText w:val="(%1)"/>
      <w:numFmt w:val="lowerLetter"/>
      <w:start w:val="2"/>
    </w:lvl>
    <w:lvl w:ilvl="1">
      <w:lvlJc w:val="left"/>
      <w:lvlText w:val="(%2)"/>
      <w:numFmt w:val="lowerLetter"/>
      <w:start w:val="35"/>
    </w:lvl>
  </w:abstractNum>
  <w:abstractNum w:abstractNumId="156">
    <w:nsid w:val="4695AE95"/>
    <w:multiLevelType w:val="hybridMultilevel"/>
    <w:lvl w:ilvl="0">
      <w:lvlJc w:val="left"/>
      <w:lvlText w:val="(%1)"/>
      <w:numFmt w:val="lowerRoman"/>
      <w:start w:val="3"/>
    </w:lvl>
  </w:abstractNum>
  <w:abstractNum w:abstractNumId="157">
    <w:nsid w:val="777A4EAA"/>
    <w:multiLevelType w:val="hybridMultilevel"/>
    <w:lvl w:ilvl="0">
      <w:lvlJc w:val="left"/>
      <w:lvlText w:val="(%1)"/>
      <w:numFmt w:val="lowerLetter"/>
      <w:start w:val="3"/>
    </w:lvl>
  </w:abstractNum>
  <w:abstractNum w:abstractNumId="158">
    <w:nsid w:val="3F48B982"/>
    <w:multiLevelType w:val="hybridMultilevel"/>
    <w:lvl w:ilvl="0">
      <w:lvlJc w:val="left"/>
      <w:lvlText w:val="(%1)"/>
      <w:numFmt w:val="lowerLetter"/>
      <w:start w:val="1"/>
    </w:lvl>
  </w:abstractNum>
  <w:abstractNum w:abstractNumId="159">
    <w:nsid w:val="46BA8FCA"/>
    <w:multiLevelType w:val="hybridMultilevel"/>
    <w:lvl w:ilvl="0">
      <w:lvlJc w:val="left"/>
      <w:lvlText w:val="(%1)"/>
      <w:numFmt w:val="lowerLetter"/>
      <w:start w:val="2"/>
    </w:lvl>
  </w:abstractNum>
  <w:abstractNum w:abstractNumId="160">
    <w:nsid w:val="7835626C"/>
    <w:multiLevelType w:val="hybridMultilevel"/>
    <w:lvl w:ilvl="0">
      <w:lvlJc w:val="left"/>
      <w:lvlText w:val="(%1)"/>
      <w:numFmt w:val="lowerLetter"/>
      <w:start w:val="2"/>
    </w:lvl>
  </w:abstractNum>
  <w:abstractNum w:abstractNumId="161">
    <w:nsid w:val="665ACA49"/>
    <w:multiLevelType w:val="hybridMultilevel"/>
    <w:lvl w:ilvl="0">
      <w:lvlJc w:val="left"/>
      <w:lvlText w:val="(%1)"/>
      <w:numFmt w:val="lowerLetter"/>
      <w:start w:val="1"/>
    </w:lvl>
  </w:abstractNum>
  <w:abstractNum w:abstractNumId="162">
    <w:nsid w:val="6835B2AE"/>
    <w:multiLevelType w:val="hybridMultilevel"/>
    <w:lvl w:ilvl="0">
      <w:lvlJc w:val="left"/>
      <w:lvlText w:val="(%1)"/>
      <w:numFmt w:val="lowerLetter"/>
      <w:start w:val="4"/>
    </w:lvl>
    <w:lvl w:ilvl="1">
      <w:lvlJc w:val="left"/>
      <w:lvlText w:val="(%2)"/>
      <w:numFmt w:val="lowerRoman"/>
      <w:start w:val="1"/>
    </w:lvl>
  </w:abstractNum>
  <w:abstractNum w:abstractNumId="163">
    <w:nsid w:val="4C187C90"/>
    <w:multiLevelType w:val="hybridMultilevel"/>
    <w:lvl w:ilvl="0">
      <w:lvlJc w:val="left"/>
      <w:lvlText w:val="%1"/>
      <w:numFmt w:val="lowerLetter"/>
      <w:start w:val="1"/>
    </w:lvl>
    <w:lvl w:ilvl="1">
      <w:lvlJc w:val="left"/>
      <w:lvlText w:val="(%2)"/>
      <w:numFmt w:val="lowerRoman"/>
      <w:start w:val="4"/>
    </w:lvl>
  </w:abstractNum>
  <w:abstractNum w:abstractNumId="164">
    <w:nsid w:val="541F28CD"/>
    <w:multiLevelType w:val="hybridMultilevel"/>
    <w:lvl w:ilvl="0">
      <w:lvlJc w:val="left"/>
      <w:lvlText w:val="(%1)"/>
      <w:numFmt w:val="lowerLetter"/>
      <w:start w:val="5"/>
    </w:lvl>
    <w:lvl w:ilvl="1">
      <w:lvlJc w:val="left"/>
      <w:lvlText w:val="%2"/>
      <w:numFmt w:val="lowerRoman"/>
      <w:start w:val="1"/>
    </w:lvl>
  </w:abstractNum>
  <w:abstractNum w:abstractNumId="165">
    <w:nsid w:val="7F65FD16"/>
    <w:multiLevelType w:val="hybridMultilevel"/>
    <w:lvl w:ilvl="0">
      <w:lvlJc w:val="left"/>
      <w:lvlText w:val="(%1)"/>
      <w:numFmt w:val="lowerLetter"/>
      <w:start w:val="1"/>
    </w:lvl>
  </w:abstractNum>
  <w:abstractNum w:abstractNumId="166">
    <w:nsid w:val="77C9FD68"/>
    <w:multiLevelType w:val="hybridMultilevel"/>
    <w:lvl w:ilvl="0">
      <w:lvlJc w:val="left"/>
      <w:lvlText w:val="(%1)"/>
      <w:numFmt w:val="lowerRoman"/>
      <w:start w:val="2"/>
    </w:lvl>
  </w:abstractNum>
  <w:abstractNum w:abstractNumId="167">
    <w:nsid w:val="298A92BA"/>
    <w:multiLevelType w:val="hybridMultilevel"/>
    <w:lvl w:ilvl="0">
      <w:lvlJc w:val="left"/>
      <w:lvlText w:val="(%1)"/>
      <w:numFmt w:val="lowerRoman"/>
      <w:start w:val="1"/>
    </w:lvl>
  </w:abstractNum>
  <w:abstractNum w:abstractNumId="168">
    <w:nsid w:val="6FE95EAC"/>
    <w:multiLevelType w:val="hybridMultilevel"/>
    <w:lvl w:ilvl="0">
      <w:lvlJc w:val="left"/>
      <w:lvlText w:val="(%1)"/>
      <w:numFmt w:val="lowerRoman"/>
      <w:start w:val="2"/>
    </w:lvl>
  </w:abstractNum>
  <w:abstractNum w:abstractNumId="169">
    <w:nsid w:val="4B697C7A"/>
    <w:multiLevelType w:val="hybridMultilevel"/>
    <w:lvl w:ilvl="0">
      <w:lvlJc w:val="left"/>
      <w:lvlText w:val="(%1)"/>
      <w:numFmt w:val="lowerLetter"/>
      <w:start w:val="2"/>
    </w:lvl>
    <w:lvl w:ilvl="1">
      <w:lvlJc w:val="left"/>
      <w:lvlText w:val="(%2)"/>
      <w:numFmt w:val="lowerLetter"/>
      <w:start w:val="35"/>
    </w:lvl>
  </w:abstractNum>
  <w:abstractNum w:abstractNumId="170">
    <w:nsid w:val="51A27AA6"/>
    <w:multiLevelType w:val="hybridMultilevel"/>
    <w:lvl w:ilvl="0">
      <w:lvlJc w:val="left"/>
      <w:lvlText w:val="%1"/>
      <w:numFmt w:val="lowerLetter"/>
      <w:start w:val="1"/>
    </w:lvl>
    <w:lvl w:ilvl="1">
      <w:lvlJc w:val="left"/>
      <w:lvlText w:val="(%2)"/>
      <w:numFmt w:val="lowerLetter"/>
      <w:start w:val="61"/>
    </w:lvl>
  </w:abstractNum>
  <w:abstractNum w:abstractNumId="171">
    <w:nsid w:val="613183F2"/>
    <w:multiLevelType w:val="hybridMultilevel"/>
    <w:lvl w:ilvl="0">
      <w:lvlJc w:val="left"/>
      <w:lvlText w:val="(%1)"/>
      <w:numFmt w:val="lowerLetter"/>
      <w:start w:val="4"/>
    </w:lvl>
    <w:lvl w:ilvl="1">
      <w:lvlJc w:val="left"/>
      <w:lvlText w:val="%2"/>
      <w:numFmt w:val="lowerLetter"/>
      <w:start w:val="1"/>
    </w:lvl>
  </w:abstractNum>
  <w:abstractNum w:abstractNumId="172">
    <w:nsid w:val="634102B4"/>
    <w:multiLevelType w:val="hybridMultilevel"/>
    <w:lvl w:ilvl="0">
      <w:lvlJc w:val="left"/>
      <w:lvlText w:val="(%1)"/>
      <w:numFmt w:val="lowerLetter"/>
      <w:start w:val="6"/>
    </w:lvl>
    <w:lvl w:ilvl="1">
      <w:lvlJc w:val="left"/>
      <w:lvlText w:val="(%2)"/>
      <w:numFmt w:val="lowerRoman"/>
      <w:start w:val="1"/>
    </w:lvl>
  </w:abstractNum>
  <w:abstractNum w:abstractNumId="173">
    <w:nsid w:val="65BF9DA8"/>
    <w:multiLevelType w:val="hybridMultilevel"/>
    <w:lvl w:ilvl="0">
      <w:lvlJc w:val="left"/>
      <w:lvlText w:val="(%1)"/>
      <w:numFmt w:val="lowerLetter"/>
      <w:start w:val="10"/>
    </w:lvl>
  </w:abstractNum>
  <w:abstractNum w:abstractNumId="174">
    <w:nsid w:val="21A2ECCA"/>
    <w:multiLevelType w:val="hybridMultilevel"/>
    <w:lvl w:ilvl="0">
      <w:lvlJc w:val="left"/>
      <w:lvlText w:val="(%1)"/>
      <w:numFmt w:val="lowerLetter"/>
      <w:start w:val="1"/>
    </w:lvl>
  </w:abstractNum>
  <w:abstractNum w:abstractNumId="175">
    <w:nsid w:val="4D5C4899"/>
    <w:multiLevelType w:val="hybridMultilevel"/>
    <w:lvl w:ilvl="0">
      <w:lvlJc w:val="left"/>
      <w:lvlText w:val="(%1)"/>
      <w:numFmt w:val="lowerLetter"/>
      <w:start w:val="2"/>
    </w:lvl>
    <w:lvl w:ilvl="1">
      <w:lvlJc w:val="left"/>
      <w:lvlText w:val="(%2)"/>
      <w:numFmt w:val="lowerLetter"/>
      <w:start w:val="9"/>
    </w:lvl>
  </w:abstractNum>
  <w:abstractNum w:abstractNumId="176">
    <w:nsid w:val="3C3B72B2"/>
    <w:multiLevelType w:val="hybridMultilevel"/>
    <w:lvl w:ilvl="0">
      <w:lvlJc w:val="left"/>
      <w:lvlText w:val="%1"/>
      <w:numFmt w:val="lowerLetter"/>
      <w:start w:val="1"/>
    </w:lvl>
    <w:lvl w:ilvl="1">
      <w:lvlJc w:val="left"/>
      <w:lvlText w:val="(%2)"/>
      <w:numFmt w:val="lowerRoman"/>
      <w:start w:val="2"/>
    </w:lvl>
  </w:abstractNum>
  <w:abstractNum w:abstractNumId="177">
    <w:nsid w:val="155EC4C2"/>
    <w:multiLevelType w:val="hybridMultilevel"/>
    <w:lvl w:ilvl="0">
      <w:lvlJc w:val="left"/>
      <w:lvlText w:val="(%1)"/>
      <w:numFmt w:val="lowerLetter"/>
      <w:start w:val="4"/>
    </w:lvl>
    <w:lvl w:ilvl="1">
      <w:lvlJc w:val="left"/>
      <w:lvlText w:val="%2"/>
      <w:numFmt w:val="lowerRoman"/>
      <w:start w:val="1"/>
    </w:lvl>
  </w:abstractNum>
  <w:abstractNum w:abstractNumId="178">
    <w:nsid w:val="65D2A137"/>
    <w:multiLevelType w:val="hybridMultilevel"/>
    <w:lvl w:ilvl="0">
      <w:lvlJc w:val="left"/>
      <w:lvlText w:val="(%1)"/>
      <w:numFmt w:val="lowerLetter"/>
      <w:start w:val="1"/>
    </w:lvl>
  </w:abstractNum>
  <w:abstractNum w:abstractNumId="179">
    <w:nsid w:val="6EBB1F2A"/>
    <w:multiLevelType w:val="hybridMultilevel"/>
    <w:lvl w:ilvl="0">
      <w:lvlJc w:val="left"/>
      <w:lvlText w:val="(%1)"/>
      <w:numFmt w:val="lowerLetter"/>
      <w:start w:val="1"/>
    </w:lvl>
  </w:abstractNum>
  <w:abstractNum w:abstractNumId="180">
    <w:nsid w:val="6FBF29CB"/>
    <w:multiLevelType w:val="hybridMultilevel"/>
    <w:lvl w:ilvl="0">
      <w:lvlJc w:val="left"/>
      <w:lvlText w:val="(%1)"/>
      <w:numFmt w:val="lowerLetter"/>
      <w:start w:val="2"/>
    </w:lvl>
  </w:abstractNum>
  <w:abstractNum w:abstractNumId="181">
    <w:nsid w:val="550B8808"/>
    <w:multiLevelType w:val="hybridMultilevel"/>
    <w:lvl w:ilvl="0">
      <w:lvlJc w:val="left"/>
      <w:lvlText w:val="(%1)"/>
      <w:numFmt w:val="lowerLetter"/>
      <w:start w:val="1"/>
    </w:lvl>
  </w:abstractNum>
  <w:abstractNum w:abstractNumId="182">
    <w:nsid w:val="34CC3ACF"/>
    <w:multiLevelType w:val="hybridMultilevel"/>
    <w:lvl w:ilvl="0">
      <w:lvlJc w:val="left"/>
      <w:lvlText w:val="(%1)"/>
      <w:numFmt w:val="lowerLetter"/>
      <w:start w:val="1"/>
    </w:lvl>
  </w:abstractNum>
  <w:abstractNum w:abstractNumId="183">
    <w:nsid w:val="4E556261"/>
    <w:multiLevelType w:val="hybridMultilevel"/>
    <w:lvl w:ilvl="0">
      <w:lvlJc w:val="left"/>
      <w:lvlText w:val="(%1)"/>
      <w:numFmt w:val="lowerLetter"/>
      <w:start w:val="1"/>
    </w:lvl>
  </w:abstractNum>
  <w:abstractNum w:abstractNumId="184">
    <w:nsid w:val="4C672FC9"/>
    <w:multiLevelType w:val="hybridMultilevel"/>
    <w:lvl w:ilvl="0">
      <w:lvlJc w:val="left"/>
      <w:lvlText w:val="(%1)"/>
      <w:numFmt w:val="lowerLetter"/>
      <w:start w:val="1"/>
    </w:lvl>
  </w:abstractNum>
  <w:abstractNum w:abstractNumId="185">
    <w:nsid w:val="52A311C3"/>
    <w:multiLevelType w:val="hybridMultilevel"/>
    <w:lvl w:ilvl="0">
      <w:lvlJc w:val="left"/>
      <w:lvlText w:val="(%1)"/>
      <w:numFmt w:val="lowerLetter"/>
      <w:start w:val="1"/>
    </w:lvl>
  </w:abstractNum>
  <w:abstractNum w:abstractNumId="186">
    <w:nsid w:val="44EF6B80"/>
    <w:multiLevelType w:val="hybridMultilevel"/>
    <w:lvl w:ilvl="0">
      <w:lvlJc w:val="left"/>
      <w:lvlText w:val="(%1)"/>
      <w:numFmt w:val="lowerLetter"/>
      <w:start w:val="1"/>
    </w:lvl>
  </w:abstractNum>
  <w:abstractNum w:abstractNumId="187">
    <w:nsid w:val="12FCDE5E"/>
    <w:multiLevelType w:val="hybridMultilevel"/>
    <w:lvl w:ilvl="0">
      <w:lvlJc w:val="left"/>
      <w:lvlText w:val="(%1)"/>
      <w:numFmt w:val="lowerLetter"/>
      <w:start w:val="2"/>
    </w:lvl>
  </w:abstractNum>
  <w:abstractNum w:abstractNumId="188">
    <w:nsid w:val="4A1D606E"/>
    <w:multiLevelType w:val="hybridMultilevel"/>
    <w:lvl w:ilvl="0">
      <w:lvlJc w:val="left"/>
      <w:lvlText w:val="(%1)"/>
      <w:numFmt w:val="lowerLetter"/>
      <w:start w:val="1"/>
    </w:lvl>
  </w:abstractNum>
  <w:abstractNum w:abstractNumId="189">
    <w:nsid w:val="4382503"/>
    <w:multiLevelType w:val="hybridMultilevel"/>
    <w:lvl w:ilvl="0">
      <w:lvlJc w:val="left"/>
      <w:lvlText w:val="(%1)"/>
      <w:numFmt w:val="lowerLetter"/>
      <w:start w:val="4"/>
    </w:lvl>
  </w:abstractNum>
  <w:abstractNum w:abstractNumId="190">
    <w:nsid w:val="59B76E28"/>
    <w:multiLevelType w:val="hybridMultilevel"/>
    <w:lvl w:ilvl="0">
      <w:lvlJc w:val="left"/>
      <w:lvlText w:val="(%1)"/>
      <w:numFmt w:val="lowerLetter"/>
      <w:start w:val="10"/>
    </w:lvl>
  </w:abstractNum>
  <w:abstractNum w:abstractNumId="191">
    <w:nsid w:val="4252C2DA"/>
    <w:multiLevelType w:val="hybridMultilevel"/>
    <w:lvl w:ilvl="0">
      <w:lvlJc w:val="left"/>
      <w:lvlText w:val="(%1)"/>
      <w:numFmt w:val="lowerLetter"/>
      <w:start w:val="1"/>
    </w:lvl>
  </w:abstractNum>
  <w:abstractNum w:abstractNumId="192">
    <w:nsid w:val="6A92EF4C"/>
    <w:multiLevelType w:val="hybridMultilevel"/>
    <w:lvl w:ilvl="0">
      <w:lvlJc w:val="left"/>
      <w:lvlText w:val="(%1)"/>
      <w:numFmt w:val="lowerLetter"/>
      <w:start w:val="1"/>
    </w:lvl>
  </w:abstractNum>
  <w:abstractNum w:abstractNumId="193">
    <w:nsid w:val="41ED20D7"/>
    <w:multiLevelType w:val="hybridMultilevel"/>
    <w:lvl w:ilvl="0">
      <w:lvlJc w:val="left"/>
      <w:lvlText w:val="%1"/>
      <w:numFmt w:val="lowerLetter"/>
      <w:start w:val="1"/>
    </w:lvl>
    <w:lvl w:ilvl="1">
      <w:lvlJc w:val="left"/>
      <w:lvlText w:val="(%2)"/>
      <w:numFmt w:val="lowerLetter"/>
      <w:start w:val="3"/>
    </w:lvl>
  </w:abstractNum>
  <w:abstractNum w:abstractNumId="194">
    <w:nsid w:val="E6B3F6A"/>
    <w:multiLevelType w:val="hybridMultilevel"/>
    <w:lvl w:ilvl="0">
      <w:lvlJc w:val="left"/>
      <w:lvlText w:val="(%1)"/>
      <w:numFmt w:val="lowerLetter"/>
      <w:start w:val="61"/>
    </w:lvl>
    <w:lvl w:ilvl="1">
      <w:lvlJc w:val="left"/>
      <w:lvlText w:val="(%2)"/>
      <w:numFmt w:val="lowerLetter"/>
      <w:start w:val="5"/>
    </w:lvl>
  </w:abstractNum>
  <w:abstractNum w:abstractNumId="195">
    <w:nsid w:val="3EB21819"/>
    <w:multiLevelType w:val="hybridMultilevel"/>
    <w:lvl w:ilvl="0">
      <w:lvlJc w:val="left"/>
      <w:lvlText w:val="(%1)"/>
      <w:numFmt w:val="lowerLetter"/>
      <w:start w:val="10"/>
    </w:lvl>
  </w:abstractNum>
  <w:abstractNum w:abstractNumId="196">
    <w:nsid w:val="41531DED"/>
    <w:multiLevelType w:val="hybridMultilevel"/>
    <w:lvl w:ilvl="0">
      <w:lvlJc w:val="left"/>
      <w:lvlText w:val="(%1)"/>
      <w:numFmt w:val="lowerLetter"/>
      <w:start w:val="1"/>
    </w:lvl>
  </w:abstractNum>
  <w:abstractNum w:abstractNumId="197">
    <w:nsid w:val="6353CD2"/>
    <w:multiLevelType w:val="hybridMultilevel"/>
    <w:lvl w:ilvl="0">
      <w:lvlJc w:val="left"/>
      <w:lvlText w:val="(%1)"/>
      <w:numFmt w:val="lowerLetter"/>
      <w:start w:val="4"/>
    </w:lvl>
  </w:abstractNum>
  <w:abstractNum w:abstractNumId="198">
    <w:nsid w:val="683CAAD3"/>
    <w:multiLevelType w:val="hybridMultilevel"/>
    <w:lvl w:ilvl="0">
      <w:lvlJc w:val="left"/>
      <w:lvlText w:val="(%1)"/>
      <w:numFmt w:val="lowerLetter"/>
      <w:start w:val="1"/>
    </w:lvl>
  </w:abstractNum>
  <w:abstractNum w:abstractNumId="199">
    <w:nsid w:val="313C7C99"/>
    <w:multiLevelType w:val="hybridMultilevel"/>
    <w:lvl w:ilvl="0">
      <w:lvlJc w:val="left"/>
      <w:lvlText w:val="%1"/>
      <w:numFmt w:val="lowerLetter"/>
      <w:start w:val="1"/>
    </w:lvl>
    <w:lvl w:ilvl="1">
      <w:lvlJc w:val="left"/>
      <w:lvlText w:val="(%2)"/>
      <w:numFmt w:val="lowerLetter"/>
      <w:start w:val="1"/>
    </w:lvl>
  </w:abstractNum>
  <w:abstractNum w:abstractNumId="200">
    <w:nsid w:val="519EB94C"/>
    <w:multiLevelType w:val="hybridMultilevel"/>
    <w:lvl w:ilvl="0">
      <w:lvlJc w:val="left"/>
      <w:lvlText w:val="(%1)"/>
      <w:numFmt w:val="lowerLetter"/>
      <w:start w:val="25"/>
    </w:lvl>
    <w:lvl w:ilvl="1">
      <w:lvlJc w:val="left"/>
      <w:lvlText w:val="%2"/>
      <w:numFmt w:val="lowerLetter"/>
      <w:start w:val="1"/>
    </w:lvl>
  </w:abstractNum>
  <w:abstractNum w:abstractNumId="201">
    <w:nsid w:val="39DF2579"/>
    <w:multiLevelType w:val="hybridMultilevel"/>
    <w:lvl w:ilvl="0">
      <w:lvlJc w:val="left"/>
      <w:lvlText w:val="(%1)"/>
      <w:numFmt w:val="lowerLetter"/>
      <w:start w:val="1"/>
    </w:lvl>
  </w:abstractNum>
  <w:abstractNum w:abstractNumId="202">
    <w:nsid w:val="126E008B"/>
    <w:multiLevelType w:val="hybridMultilevel"/>
    <w:lvl w:ilvl="0">
      <w:lvlJc w:val="left"/>
      <w:lvlText w:val="(%1)"/>
      <w:numFmt w:val="lowerLetter"/>
      <w:start w:val="1"/>
    </w:lvl>
  </w:abstractNum>
  <w:abstractNum w:abstractNumId="203">
    <w:nsid w:val="34DFBC00"/>
    <w:multiLevelType w:val="hybridMultilevel"/>
    <w:lvl w:ilvl="0">
      <w:lvlJc w:val="left"/>
      <w:lvlText w:val="(%1)"/>
      <w:numFmt w:val="lowerLetter"/>
      <w:start w:val="1"/>
    </w:lvl>
  </w:abstractNum>
  <w:abstractNum w:abstractNumId="204">
    <w:nsid w:val="1F9EC322"/>
    <w:multiLevelType w:val="hybridMultilevel"/>
    <w:lvl w:ilvl="0">
      <w:lvlJc w:val="left"/>
      <w:lvlText w:val="(%1)"/>
      <w:numFmt w:val="lowerLetter"/>
      <w:start w:val="2"/>
    </w:lvl>
  </w:abstractNum>
  <w:abstractNum w:abstractNumId="205">
    <w:nsid w:val="3410ED56"/>
    <w:multiLevelType w:val="hybridMultilevel"/>
    <w:lvl w:ilvl="0">
      <w:lvlJc w:val="left"/>
      <w:lvlText w:val="(%1)"/>
      <w:numFmt w:val="lowerLetter"/>
      <w:start w:val="1"/>
    </w:lvl>
  </w:abstractNum>
  <w:abstractNum w:abstractNumId="206">
    <w:nsid w:val="23C049A"/>
    <w:multiLevelType w:val="hybridMultilevel"/>
    <w:lvl w:ilvl="0">
      <w:lvlJc w:val="left"/>
      <w:lvlText w:val="(%1)"/>
      <w:numFmt w:val="lowerRoman"/>
      <w:start w:val="1"/>
    </w:lvl>
  </w:abstractNum>
  <w:abstractNum w:abstractNumId="207">
    <w:nsid w:val="5BDA35D4"/>
    <w:multiLevelType w:val="hybridMultilevel"/>
    <w:lvl w:ilvl="0">
      <w:lvlJc w:val="left"/>
      <w:lvlText w:val="(%1)"/>
      <w:numFmt w:val="lowerRoman"/>
      <w:start w:val="5"/>
    </w:lvl>
  </w:abstractNum>
  <w:abstractNum w:abstractNumId="208">
    <w:nsid w:val="496FB218"/>
    <w:multiLevelType w:val="hybridMultilevel"/>
    <w:lvl w:ilvl="0">
      <w:lvlJc w:val="left"/>
      <w:lvlText w:val="(%1)"/>
      <w:numFmt w:val="lowerLetter"/>
      <w:start w:val="25"/>
    </w:lvl>
    <w:lvl w:ilvl="1">
      <w:lvlJc w:val="left"/>
      <w:lvlText w:val="(%2)"/>
      <w:numFmt w:val="lowerRoman"/>
      <w:start w:val="9"/>
    </w:lvl>
  </w:abstractNum>
  <w:abstractNum w:abstractNumId="209">
    <w:nsid w:val="680EA5D1"/>
    <w:multiLevelType w:val="hybridMultilevel"/>
    <w:lvl w:ilvl="0">
      <w:lvlJc w:val="left"/>
      <w:lvlText w:val="(%1)"/>
      <w:numFmt w:val="lowerRoman"/>
      <w:start w:val="10"/>
    </w:lvl>
  </w:abstractNum>
  <w:abstractNum w:abstractNumId="210">
    <w:nsid w:val="4A9554FE"/>
    <w:multiLevelType w:val="hybridMultilevel"/>
    <w:lvl w:ilvl="0">
      <w:lvlJc w:val="left"/>
      <w:lvlText w:val="(%1)"/>
      <w:numFmt w:val="lowerRoman"/>
      <w:start w:val="14"/>
    </w:lvl>
  </w:abstractNum>
  <w:abstractNum w:abstractNumId="211">
    <w:nsid w:val="392EDBE4"/>
    <w:multiLevelType w:val="hybridMultilevel"/>
    <w:lvl w:ilvl="0">
      <w:lvlJc w:val="left"/>
      <w:lvlText w:val="(%1)"/>
      <w:numFmt w:val="lowerRoman"/>
      <w:start w:val="23"/>
    </w:lvl>
  </w:abstractNum>
  <w:abstractNum w:abstractNumId="212">
    <w:nsid w:val="3D1A2DD9"/>
    <w:multiLevelType w:val="hybridMultilevel"/>
    <w:lvl w:ilvl="0">
      <w:lvlJc w:val="left"/>
      <w:lvlText w:val="%1"/>
      <w:numFmt w:val="upperLetter"/>
      <w:start w:val="1"/>
    </w:lvl>
    <w:lvl w:ilvl="1">
      <w:lvlJc w:val="left"/>
      <w:lvlText w:val="(%2)"/>
      <w:numFmt w:val="lowerRoman"/>
      <w:start w:val="25"/>
    </w:lvl>
  </w:abstractNum>
  <w:abstractNum w:abstractNumId="213">
    <w:nsid w:val="7F618FCD"/>
    <w:multiLevelType w:val="hybridMultilevel"/>
    <w:lvl w:ilvl="0">
      <w:lvlJc w:val="left"/>
      <w:lvlText w:val="(%1)"/>
      <w:numFmt w:val="upperLetter"/>
      <w:start w:val="2"/>
    </w:lvl>
    <w:lvl w:ilvl="1">
      <w:lvlJc w:val="left"/>
      <w:lvlText w:val="(%2)"/>
      <w:numFmt w:val="lowerRoman"/>
      <w:start w:val="26"/>
    </w:lvl>
  </w:abstractNum>
  <w:abstractNum w:abstractNumId="214">
    <w:nsid w:val="7843E45"/>
    <w:multiLevelType w:val="hybridMultilevel"/>
    <w:lvl w:ilvl="0">
      <w:lvlJc w:val="left"/>
      <w:lvlText w:val="(%1)"/>
      <w:numFmt w:val="lowerLetter"/>
      <w:start w:val="2"/>
    </w:lvl>
  </w:abstractNum>
  <w:abstractNum w:abstractNumId="215">
    <w:nsid w:val="9815DA3"/>
    <w:multiLevelType w:val="hybridMultilevel"/>
    <w:lvl w:ilvl="0">
      <w:lvlJc w:val="left"/>
      <w:lvlText w:val="(%1)"/>
      <w:numFmt w:val="lowerRoman"/>
      <w:start w:val="1"/>
    </w:lvl>
  </w:abstractNum>
  <w:abstractNum w:abstractNumId="216">
    <w:nsid w:val="5204A191"/>
    <w:multiLevelType w:val="hybridMultilevel"/>
    <w:lvl w:ilvl="0">
      <w:lvlJc w:val="left"/>
      <w:lvlText w:val="(%1)"/>
      <w:numFmt w:val="lowerRoman"/>
      <w:start w:val="5"/>
    </w:lvl>
  </w:abstractNum>
  <w:abstractNum w:abstractNumId="217">
    <w:nsid w:val="4C73A9C6"/>
    <w:multiLevelType w:val="hybridMultilevel"/>
    <w:lvl w:ilvl="0">
      <w:lvlJc w:val="left"/>
      <w:lvlText w:val="(%1)"/>
      <w:numFmt w:val="lowerRoman"/>
      <w:start w:val="12"/>
    </w:lvl>
  </w:abstractNum>
  <w:abstractNum w:abstractNumId="218">
    <w:nsid w:val="1C7E3C01"/>
    <w:multiLevelType w:val="hybridMultilevel"/>
    <w:lvl w:ilvl="0">
      <w:lvlJc w:val="left"/>
      <w:lvlText w:val="(%1)"/>
      <w:numFmt w:val="lowerRoman"/>
      <w:start w:val="21"/>
    </w:lvl>
  </w:abstractNum>
  <w:abstractNum w:abstractNumId="219">
    <w:nsid w:val="1C2201FF"/>
    <w:multiLevelType w:val="hybridMultilevel"/>
    <w:lvl w:ilvl="0">
      <w:lvlJc w:val="left"/>
      <w:lvlText w:val="(%1)"/>
      <w:numFmt w:val="lowerLetter"/>
      <w:start w:val="1"/>
    </w:lvl>
    <w:lvl w:ilvl="1">
      <w:lvlJc w:val="left"/>
      <w:lvlText w:val="(%2)"/>
      <w:numFmt w:val="lowerRoman"/>
      <w:start w:val="1"/>
    </w:lvl>
  </w:abstractNum>
  <w:abstractNum w:abstractNumId="220">
    <w:nsid w:val="50ABCEC9"/>
    <w:multiLevelType w:val="hybridMultilevel"/>
    <w:lvl w:ilvl="0">
      <w:lvlJc w:val="left"/>
      <w:lvlText w:val="(%1)"/>
      <w:numFmt w:val="lowerRoman"/>
      <w:start w:val="5"/>
    </w:lvl>
  </w:abstractNum>
  <w:abstractNum w:abstractNumId="221">
    <w:nsid w:val="7635AA2A"/>
    <w:multiLevelType w:val="hybridMultilevel"/>
    <w:lvl w:ilvl="0">
      <w:lvlJc w:val="left"/>
      <w:lvlText w:val="(%1)"/>
      <w:numFmt w:val="lowerLetter"/>
      <w:start w:val="2"/>
    </w:lvl>
  </w:abstractNum>
  <w:abstractNum w:abstractNumId="222">
    <w:nsid w:val="5E74C4D9"/>
    <w:multiLevelType w:val="hybridMultilevel"/>
    <w:lvl w:ilvl="0">
      <w:lvlJc w:val="left"/>
      <w:lvlText w:val="(%1)"/>
      <w:numFmt w:val="lowerLetter"/>
      <w:start w:val="1"/>
    </w:lvl>
  </w:abstractNum>
  <w:abstractNum w:abstractNumId="223">
    <w:nsid w:val="3B3EBE15"/>
    <w:multiLevelType w:val="hybridMultilevel"/>
    <w:lvl w:ilvl="0">
      <w:lvlJc w:val="left"/>
      <w:lvlText w:val="(%1)"/>
      <w:numFmt w:val="lowerLetter"/>
      <w:start w:val="3"/>
    </w:lvl>
  </w:abstractNum>
  <w:abstractNum w:abstractNumId="224">
    <w:nsid w:val="3822CB01"/>
    <w:multiLevelType w:val="hybridMultilevel"/>
    <w:lvl w:ilvl="0">
      <w:lvlJc w:val="left"/>
      <w:lvlText w:val="(%1)"/>
      <w:numFmt w:val="lowerLetter"/>
      <w:start w:val="10"/>
    </w:lvl>
  </w:abstractNum>
  <w:abstractNum w:abstractNumId="225">
    <w:nsid w:val="6CE00443"/>
    <w:multiLevelType w:val="hybridMultilevel"/>
    <w:lvl w:ilvl="0">
      <w:lvlJc w:val="left"/>
      <w:lvlText w:val="(%1)"/>
      <w:numFmt w:val="lowerLetter"/>
      <w:start w:val="20"/>
    </w:lvl>
  </w:abstractNum>
  <w:abstractNum w:abstractNumId="226">
    <w:nsid w:val="79F0D62F"/>
    <w:multiLevelType w:val="hybridMultilevel"/>
    <w:lvl w:ilvl="0">
      <w:lvlJc w:val="left"/>
      <w:lvlText w:val="%1"/>
      <w:numFmt w:val="lowerLetter"/>
      <w:start w:val="1"/>
    </w:lvl>
    <w:lvl w:ilvl="1">
      <w:lvlJc w:val="left"/>
      <w:lvlText w:val="(%2)"/>
      <w:numFmt w:val="lowerLetter"/>
      <w:start w:val="1"/>
    </w:lvl>
  </w:abstractNum>
  <w:abstractNum w:abstractNumId="227">
    <w:nsid w:val="7975E8EE"/>
    <w:multiLevelType w:val="hybridMultilevel"/>
    <w:lvl w:ilvl="0">
      <w:lvlJc w:val="left"/>
      <w:lvlText w:val="(%1)"/>
      <w:numFmt w:val="lowerLetter"/>
      <w:start w:val="35"/>
    </w:lvl>
    <w:lvl w:ilvl="1">
      <w:lvlJc w:val="left"/>
      <w:lvlText w:val="(%2)"/>
      <w:numFmt w:val="lowerLetter"/>
      <w:start w:val="4"/>
    </w:lvl>
  </w:abstractNum>
  <w:abstractNum w:abstractNumId="228">
    <w:nsid w:val="73154115"/>
    <w:multiLevelType w:val="hybridMultilevel"/>
    <w:lvl w:ilvl="0">
      <w:lvlJc w:val="left"/>
      <w:lvlText w:val="(%1)"/>
      <w:numFmt w:val="lowerLetter"/>
      <w:start w:val="11"/>
    </w:lvl>
  </w:abstractNum>
  <w:abstractNum w:abstractNumId="229">
    <w:nsid w:val="622D8102"/>
    <w:multiLevelType w:val="hybridMultilevel"/>
    <w:lvl w:ilvl="0">
      <w:lvlJc w:val="left"/>
      <w:lvlText w:val="(%1)"/>
      <w:numFmt w:val="lowerLetter"/>
      <w:start w:val="1"/>
    </w:lvl>
    <w:lvl w:ilvl="1">
      <w:lvlJc w:val="left"/>
      <w:lvlText w:val="(%2)"/>
      <w:numFmt w:val="lowerRoman"/>
      <w:start w:val="1"/>
    </w:lvl>
  </w:abstractNum>
  <w:abstractNum w:abstractNumId="230">
    <w:nsid w:val="2AB26587"/>
    <w:multiLevelType w:val="hybridMultilevel"/>
    <w:lvl w:ilvl="0">
      <w:lvlJc w:val="left"/>
      <w:lvlText w:val="(%1)"/>
      <w:numFmt w:val="lowerRoman"/>
      <w:start w:val="6"/>
    </w:lvl>
    <w:lvl w:ilvl="1">
      <w:lvlJc w:val="left"/>
      <w:lvlText w:val="(%2)"/>
      <w:numFmt w:val="upperLetter"/>
      <w:start w:val="1"/>
    </w:lvl>
  </w:abstractNum>
  <w:abstractNum w:abstractNumId="231">
    <w:nsid w:val="44B3FA61"/>
    <w:multiLevelType w:val="hybridMultilevel"/>
    <w:lvl w:ilvl="0">
      <w:lvlJc w:val="left"/>
      <w:lvlText w:val="%1"/>
      <w:numFmt w:val="lowerRoman"/>
      <w:start w:val="1"/>
    </w:lvl>
    <w:lvl w:ilvl="1">
      <w:lvlJc w:val="left"/>
      <w:lvlText w:val="(%2)"/>
      <w:numFmt w:val="upperLetter"/>
      <w:start w:val="2"/>
    </w:lvl>
  </w:abstractNum>
  <w:abstractNum w:abstractNumId="232">
    <w:nsid w:val="1C0CA67C"/>
    <w:multiLevelType w:val="hybridMultilevel"/>
    <w:lvl w:ilvl="0">
      <w:lvlJc w:val="left"/>
      <w:lvlText w:val="(%1)"/>
      <w:numFmt w:val="lowerRoman"/>
      <w:start w:val="8"/>
    </w:lvl>
    <w:lvl w:ilvl="1">
      <w:lvlJc w:val="left"/>
      <w:lvlText w:val="%2"/>
      <w:numFmt w:val="upperLetter"/>
      <w:start w:val="1"/>
    </w:lvl>
  </w:abstractNum>
  <w:abstractNum w:abstractNumId="233">
    <w:nsid w:val="3D206613"/>
    <w:multiLevelType w:val="hybridMultilevel"/>
    <w:lvl w:ilvl="0">
      <w:lvlJc w:val="left"/>
      <w:lvlText w:val="%1"/>
      <w:numFmt w:val="lowerLetter"/>
      <w:start w:val="1"/>
    </w:lvl>
    <w:lvl w:ilvl="1">
      <w:lvlJc w:val="left"/>
      <w:lvlText w:val="(%2)"/>
      <w:numFmt w:val="lowerRoman"/>
      <w:start w:val="11"/>
    </w:lvl>
  </w:abstractNum>
  <w:abstractNum w:abstractNumId="234">
    <w:nsid w:val="7993B662"/>
    <w:multiLevelType w:val="hybridMultilevel"/>
    <w:lvl w:ilvl="0">
      <w:lvlJc w:val="left"/>
      <w:lvlText w:val="(%1)"/>
      <w:numFmt w:val="lowerLetter"/>
      <w:start w:val="2"/>
    </w:lvl>
    <w:lvl w:ilvl="1">
      <w:lvlJc w:val="left"/>
      <w:lvlText w:val="(%2)"/>
      <w:numFmt w:val="lowerRoman"/>
      <w:start w:val="1"/>
    </w:lvl>
  </w:abstractNum>
  <w:abstractNum w:abstractNumId="235">
    <w:nsid w:val="3BAB699E"/>
    <w:multiLevelType w:val="hybridMultilevel"/>
    <w:lvl w:ilvl="0">
      <w:lvlJc w:val="left"/>
      <w:lvlText w:val="(%1)"/>
      <w:numFmt w:val="lowerRoman"/>
      <w:start w:val="6"/>
    </w:lvl>
  </w:abstractNum>
  <w:abstractNum w:abstractNumId="236">
    <w:nsid w:val="71315369"/>
    <w:multiLevelType w:val="hybridMultilevel"/>
    <w:lvl w:ilvl="0">
      <w:lvlJc w:val="left"/>
      <w:lvlText w:val="(%1)"/>
      <w:numFmt w:val="lowerLetter"/>
      <w:start w:val="8"/>
    </w:lvl>
  </w:abstractNum>
  <w:abstractNum w:abstractNumId="237">
    <w:nsid w:val="7BCFBAFC"/>
    <w:multiLevelType w:val="hybridMultilevel"/>
    <w:lvl w:ilvl="0">
      <w:lvlJc w:val="left"/>
      <w:lvlText w:val="(%1)"/>
      <w:numFmt w:val="lowerLetter"/>
      <w:start w:val="2"/>
    </w:lvl>
  </w:abstractNum>
  <w:abstractNum w:abstractNumId="238">
    <w:nsid w:val="17859F72"/>
    <w:multiLevelType w:val="hybridMultilevel"/>
    <w:lvl w:ilvl="0">
      <w:lvlJc w:val="left"/>
      <w:lvlText w:val="(%1)"/>
      <w:numFmt w:val="lowerRoman"/>
      <w:start w:val="3"/>
    </w:lvl>
  </w:abstractNum>
  <w:abstractNum w:abstractNumId="239">
    <w:nsid w:val="3AA10581"/>
    <w:multiLevelType w:val="hybridMultilevel"/>
    <w:lvl w:ilvl="0">
      <w:lvlJc w:val="left"/>
      <w:lvlText w:val="(%1)"/>
      <w:numFmt w:val="lowerRoman"/>
      <w:start w:val="10"/>
    </w:lvl>
  </w:abstractNum>
  <w:abstractNum w:abstractNumId="240">
    <w:nsid w:val="63DE60CD"/>
    <w:multiLevelType w:val="hybridMultilevel"/>
    <w:lvl w:ilvl="0">
      <w:lvlJc w:val="left"/>
      <w:lvlText w:val="(%1)"/>
      <w:numFmt w:val="lowerRoman"/>
      <w:start w:val="15"/>
    </w:lvl>
  </w:abstractNum>
  <w:abstractNum w:abstractNumId="241">
    <w:nsid w:val="621AF471"/>
    <w:multiLevelType w:val="hybridMultilevel"/>
    <w:lvl w:ilvl="0">
      <w:lvlJc w:val="left"/>
      <w:lvlText w:val="(%1)"/>
      <w:numFmt w:val="lowerRoman"/>
      <w:start w:val="17"/>
    </w:lvl>
  </w:abstractNum>
  <w:abstractNum w:abstractNumId="242">
    <w:nsid w:val="73CFE165"/>
    <w:multiLevelType w:val="hybridMultilevel"/>
    <w:lvl w:ilvl="0">
      <w:lvlJc w:val="left"/>
      <w:lvlText w:val="(%1)"/>
      <w:numFmt w:val="lowerLetter"/>
      <w:start w:val="1"/>
    </w:lvl>
  </w:abstractNum>
  <w:abstractNum w:abstractNumId="243">
    <w:nsid w:val="20F88EA6"/>
    <w:multiLevelType w:val="hybridMultilevel"/>
    <w:lvl w:ilvl="0">
      <w:lvlJc w:val="left"/>
      <w:lvlText w:val="%1"/>
      <w:numFmt w:val="lowerLetter"/>
      <w:start w:val="1"/>
    </w:lvl>
    <w:lvl w:ilvl="1">
      <w:lvlJc w:val="left"/>
      <w:lvlText w:val="(%2)"/>
      <w:numFmt w:val="lowerLetter"/>
      <w:start w:val="8"/>
    </w:lvl>
  </w:abstractNum>
  <w:abstractNum w:abstractNumId="244">
    <w:nsid w:val="617C843E"/>
    <w:multiLevelType w:val="hybridMultilevel"/>
    <w:lvl w:ilvl="0">
      <w:lvlJc w:val="left"/>
      <w:lvlText w:val="(%1)"/>
      <w:numFmt w:val="lowerLetter"/>
      <w:start w:val="35"/>
    </w:lvl>
    <w:lvl w:ilvl="1">
      <w:lvlJc w:val="left"/>
      <w:lvlText w:val="%2"/>
      <w:numFmt w:val="lowerLetter"/>
      <w:start w:val="1"/>
    </w:lvl>
  </w:abstractNum>
  <w:abstractNum w:abstractNumId="245">
    <w:nsid w:val="7B541FAB"/>
    <w:multiLevelType w:val="hybridMultilevel"/>
    <w:lvl w:ilvl="0">
      <w:lvlJc w:val="left"/>
      <w:lvlText w:val="(%1)"/>
      <w:numFmt w:val="lowerLetter"/>
      <w:start w:val="22"/>
    </w:lvl>
    <w:lvl w:ilvl="1">
      <w:lvlJc w:val="left"/>
      <w:lvlText w:val="(%2)"/>
      <w:numFmt w:val="lowerLetter"/>
      <w:start w:val="10"/>
    </w:lvl>
  </w:abstractNum>
  <w:abstractNum w:abstractNumId="246">
    <w:nsid w:val="2A79EC49"/>
    <w:multiLevelType w:val="hybridMultilevel"/>
    <w:lvl w:ilvl="0">
      <w:lvlJc w:val="left"/>
      <w:lvlText w:val="(%1)"/>
      <w:numFmt w:val="lowerLetter"/>
      <w:start w:val="13"/>
    </w:lvl>
  </w:abstractNum>
  <w:abstractNum w:abstractNumId="247">
    <w:nsid w:val="338125CF"/>
    <w:multiLevelType w:val="hybridMultilevel"/>
    <w:lvl w:ilvl="0">
      <w:lvlJc w:val="left"/>
      <w:lvlText w:val="(%1)"/>
      <w:numFmt w:val="lowerLetter"/>
      <w:start w:val="1"/>
    </w:lvl>
    <w:lvl w:ilvl="1">
      <w:lvlJc w:val="left"/>
      <w:lvlText w:val="(%2)"/>
      <w:numFmt w:val="lowerLetter"/>
      <w:start w:val="9"/>
    </w:lvl>
  </w:abstractNum>
  <w:abstractNum w:abstractNumId="248">
    <w:nsid w:val="47C7C971"/>
    <w:multiLevelType w:val="hybridMultilevel"/>
    <w:lvl w:ilvl="0">
      <w:lvlJc w:val="left"/>
      <w:lvlText w:val="(%1)"/>
      <w:numFmt w:val="lowerRoman"/>
      <w:start w:val="2"/>
    </w:lvl>
  </w:abstractNum>
  <w:abstractNum w:abstractNumId="249">
    <w:nsid w:val="46F8284B"/>
    <w:multiLevelType w:val="hybridMultilevel"/>
    <w:lvl w:ilvl="0">
      <w:lvlJc w:val="left"/>
      <w:lvlText w:val="%1"/>
      <w:numFmt w:val="lowerLetter"/>
      <w:start w:val="1"/>
    </w:lvl>
    <w:lvl w:ilvl="1">
      <w:lvlJc w:val="left"/>
      <w:lvlText w:val="(%2)"/>
      <w:numFmt w:val="lowerLetter"/>
      <w:start w:val="61"/>
    </w:lvl>
  </w:abstractNum>
  <w:abstractNum w:abstractNumId="250">
    <w:nsid w:val="4FA327CE"/>
    <w:multiLevelType w:val="hybridMultilevel"/>
    <w:lvl w:ilvl="0">
      <w:lvlJc w:val="left"/>
      <w:lvlText w:val="(%1)"/>
      <w:numFmt w:val="lowerLetter"/>
      <w:start w:val="2"/>
    </w:lvl>
    <w:lvl w:ilvl="1">
      <w:lvlJc w:val="left"/>
      <w:lvlText w:val="%2"/>
      <w:numFmt w:val="lowerLetter"/>
      <w:start w:val="1"/>
    </w:lvl>
  </w:abstractNum>
  <w:abstractNum w:abstractNumId="251">
    <w:nsid w:val="1873983A"/>
    <w:multiLevelType w:val="hybridMultilevel"/>
    <w:lvl w:ilvl="0">
      <w:lvlJc w:val="left"/>
      <w:lvlText w:val="(%1)"/>
      <w:numFmt w:val="lowerRoman"/>
      <w:start w:val="9"/>
    </w:lvl>
  </w:abstractNum>
  <w:abstractNum w:abstractNumId="252">
    <w:nsid w:val="3D2DD275"/>
    <w:multiLevelType w:val="hybridMultilevel"/>
    <w:lvl w:ilvl="0">
      <w:lvlJc w:val="left"/>
      <w:lvlText w:val="(%1)"/>
      <w:numFmt w:val="lowerLetter"/>
      <w:start w:val="1"/>
    </w:lvl>
  </w:abstractNum>
  <w:abstractNum w:abstractNumId="253">
    <w:nsid w:val="2E17ECA7"/>
    <w:multiLevelType w:val="hybridMultilevel"/>
    <w:lvl w:ilvl="0">
      <w:lvlJc w:val="left"/>
      <w:lvlText w:val="(%1)"/>
      <w:numFmt w:val="lowerLetter"/>
      <w:start w:val="1"/>
    </w:lvl>
    <w:lvl w:ilvl="1">
      <w:lvlJc w:val="left"/>
      <w:lvlText w:val="(%2)"/>
      <w:numFmt w:val="lowerLetter"/>
      <w:start w:val="9"/>
    </w:lvl>
  </w:abstractNum>
  <w:abstractNum w:abstractNumId="254">
    <w:nsid w:val="53B2564F"/>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255">
    <w:nsid w:val="75509D76"/>
    <w:multiLevelType w:val="hybridMultilevel"/>
    <w:lvl w:ilvl="0">
      <w:lvlJc w:val="left"/>
      <w:lvlText w:val="(%1)"/>
      <w:numFmt w:val="upperLetter"/>
      <w:start w:val="4"/>
    </w:lvl>
    <w:lvl w:ilvl="1">
      <w:lvlJc w:val="left"/>
      <w:lvlText w:val="(%2)"/>
      <w:numFmt w:val="lowerLetter"/>
      <w:start w:val="1"/>
    </w:lvl>
    <w:lvl w:ilvl="2">
      <w:lvlJc w:val="left"/>
      <w:lvlText w:val="(%3)"/>
      <w:numFmt w:val="lowerRoman"/>
      <w:start w:val="4"/>
    </w:lvl>
  </w:abstractNum>
  <w:abstractNum w:abstractNumId="256">
    <w:nsid w:val="1AF7F0EA"/>
    <w:multiLevelType w:val="hybridMultilevel"/>
    <w:lvl w:ilvl="0">
      <w:lvlJc w:val="left"/>
      <w:lvlText w:val="(%1)"/>
      <w:numFmt w:val="lowerLetter"/>
      <w:start w:val="1"/>
    </w:lvl>
  </w:abstractNum>
  <w:abstractNum w:abstractNumId="257">
    <w:nsid w:val="4DA32C7E"/>
    <w:multiLevelType w:val="hybridMultilevel"/>
    <w:lvl w:ilvl="0">
      <w:lvlJc w:val="left"/>
      <w:lvlText w:val="(%1)"/>
      <w:numFmt w:val="lowerRoman"/>
      <w:start w:val="1"/>
    </w:lvl>
  </w:abstractNum>
  <w:abstractNum w:abstractNumId="258">
    <w:nsid w:val="6EC68664"/>
    <w:multiLevelType w:val="hybridMultilevel"/>
    <w:lvl w:ilvl="0">
      <w:lvlJc w:val="left"/>
      <w:lvlText w:val="(%1)"/>
      <w:numFmt w:val="lowerLetter"/>
      <w:start w:val="2"/>
    </w:lvl>
  </w:abstractNum>
  <w:abstractNum w:abstractNumId="259">
    <w:nsid w:val="E0D31FF"/>
    <w:multiLevelType w:val="hybridMultilevel"/>
    <w:lvl w:ilvl="0">
      <w:lvlJc w:val="left"/>
      <w:lvlText w:val="(%1)"/>
      <w:numFmt w:val="lowerLetter"/>
      <w:start w:val="3"/>
    </w:lvl>
    <w:lvl w:ilvl="1">
      <w:lvlJc w:val="left"/>
      <w:lvlText w:val="(%2)"/>
      <w:numFmt w:val="lowerLetter"/>
      <w:start w:val="35"/>
    </w:lvl>
  </w:abstractNum>
  <w:abstractNum w:abstractNumId="260">
    <w:nsid w:val="2FD0AD81"/>
    <w:multiLevelType w:val="hybridMultilevel"/>
    <w:lvl w:ilvl="0">
      <w:lvlJc w:val="left"/>
      <w:lvlText w:val="(%1)"/>
      <w:numFmt w:val="lowerRoman"/>
      <w:start w:val="3"/>
    </w:lvl>
  </w:abstractNum>
  <w:abstractNum w:abstractNumId="261">
    <w:nsid w:val="1978EBEB"/>
    <w:multiLevelType w:val="hybridMultilevel"/>
    <w:lvl w:ilvl="0">
      <w:lvlJc w:val="left"/>
      <w:lvlText w:val="(%1)"/>
      <w:numFmt w:val="lowerLetter"/>
      <w:start w:val="4"/>
    </w:lvl>
  </w:abstractNum>
  <w:abstractNum w:abstractNumId="262">
    <w:nsid w:val="52C12C61"/>
    <w:multiLevelType w:val="hybridMultilevel"/>
    <w:lvl w:ilvl="0">
      <w:lvlJc w:val="left"/>
      <w:lvlText w:val="(%1)"/>
      <w:numFmt w:val="lowerLetter"/>
      <w:start w:val="1"/>
    </w:lvl>
  </w:abstractNum>
  <w:abstractNum w:abstractNumId="263">
    <w:nsid w:val="4BDD53FD"/>
    <w:multiLevelType w:val="hybridMultilevel"/>
    <w:lvl w:ilvl="0">
      <w:lvlJc w:val="left"/>
      <w:lvlText w:val="(%1)"/>
      <w:numFmt w:val="lowerLetter"/>
      <w:start w:val="2"/>
    </w:lvl>
  </w:abstractNum>
  <w:abstractNum w:abstractNumId="264">
    <w:nsid w:val="569951FE"/>
    <w:multiLevelType w:val="hybridMultilevel"/>
    <w:lvl w:ilvl="0">
      <w:lvlJc w:val="left"/>
      <w:lvlText w:val="(%1)"/>
      <w:numFmt w:val="lowerLetter"/>
      <w:start w:val="9"/>
    </w:lvl>
    <w:lvl w:ilvl="1">
      <w:lvlJc w:val="left"/>
      <w:lvlText w:val="(%2)"/>
      <w:numFmt w:val="lowerLetter"/>
      <w:start w:val="3"/>
    </w:lvl>
  </w:abstractNum>
  <w:abstractNum w:abstractNumId="265">
    <w:nsid w:val="4C54E2C3"/>
    <w:multiLevelType w:val="hybridMultilevel"/>
    <w:lvl w:ilvl="0">
      <w:lvlJc w:val="left"/>
      <w:lvlText w:val="%1"/>
      <w:numFmt w:val="upperLetter"/>
      <w:start w:val="1"/>
    </w:lvl>
    <w:lvl w:ilvl="1">
      <w:lvlJc w:val="left"/>
      <w:lvlText w:val="(%2)"/>
      <w:numFmt w:val="lowerLetter"/>
      <w:start w:val="4"/>
    </w:lvl>
  </w:abstractNum>
  <w:abstractNum w:abstractNumId="266">
    <w:nsid w:val="788BD9B"/>
    <w:multiLevelType w:val="hybridMultilevel"/>
    <w:lvl w:ilvl="0">
      <w:lvlJc w:val="left"/>
      <w:lvlText w:val="(%1)"/>
      <w:numFmt w:val="upperLetter"/>
      <w:start w:val="2"/>
    </w:lvl>
    <w:lvl w:ilvl="1">
      <w:lvlJc w:val="left"/>
      <w:lvlText w:val="%2"/>
      <w:numFmt w:val="lowerLetter"/>
      <w:start w:val="1"/>
    </w:lvl>
  </w:abstractNum>
  <w:abstractNum w:abstractNumId="267">
    <w:nsid w:val="47CAA567"/>
    <w:multiLevelType w:val="hybridMultilevel"/>
    <w:lvl w:ilvl="0">
      <w:lvlJc w:val="left"/>
      <w:lvlText w:val="%1"/>
      <w:numFmt w:val="upperLetter"/>
      <w:start w:val="1"/>
    </w:lvl>
    <w:lvl w:ilvl="1">
      <w:lvlJc w:val="left"/>
      <w:lvlText w:val="(%2)"/>
      <w:numFmt w:val="lowerLetter"/>
      <w:start w:val="1"/>
    </w:lvl>
  </w:abstractNum>
  <w:abstractNum w:abstractNumId="268">
    <w:nsid w:val="48249DBF"/>
    <w:multiLevelType w:val="hybridMultilevel"/>
    <w:lvl w:ilvl="0">
      <w:lvlJc w:val="left"/>
      <w:lvlText w:val="(%1)"/>
      <w:numFmt w:val="upperLetter"/>
      <w:start w:val="2"/>
    </w:lvl>
    <w:lvl w:ilvl="1">
      <w:lvlJc w:val="left"/>
      <w:lvlText w:val="(%2)"/>
      <w:numFmt w:val="lowerLetter"/>
      <w:start w:val="2"/>
    </w:lvl>
  </w:abstractNum>
  <w:abstractNum w:abstractNumId="269">
    <w:nsid w:val="1F0E5D0D"/>
    <w:multiLevelType w:val="hybridMultilevel"/>
    <w:lvl w:ilvl="0">
      <w:lvlJc w:val="left"/>
      <w:lvlText w:val="(%1)"/>
      <w:numFmt w:val="lowerLetter"/>
      <w:start w:val="3"/>
    </w:lvl>
  </w:abstractNum>
  <w:abstractNum w:abstractNumId="270">
    <w:nsid w:val="26BAAE9"/>
    <w:multiLevelType w:val="hybridMultilevel"/>
    <w:lvl w:ilvl="0">
      <w:lvlJc w:val="left"/>
      <w:lvlText w:val="(%1)"/>
      <w:numFmt w:val="lowerLetter"/>
      <w:start w:val="5"/>
    </w:lvl>
  </w:abstractNum>
  <w:abstractNum w:abstractNumId="271">
    <w:nsid w:val="2C02FE8C"/>
    <w:multiLevelType w:val="hybridMultilevel"/>
    <w:lvl w:ilvl="0">
      <w:lvlJc w:val="left"/>
      <w:lvlText w:val="(%1)"/>
      <w:numFmt w:val="lowerLetter"/>
      <w:start w:val="1"/>
    </w:lvl>
  </w:abstractNum>
  <w:abstractNum w:abstractNumId="272">
    <w:nsid w:val="129517E"/>
    <w:multiLevelType w:val="hybridMultilevel"/>
    <w:lvl w:ilvl="0">
      <w:lvlJc w:val="left"/>
      <w:lvlText w:val="(%1)"/>
      <w:numFmt w:val="lowerRoman"/>
      <w:start w:val="2"/>
    </w:lvl>
  </w:abstractNum>
  <w:abstractNum w:abstractNumId="273">
    <w:nsid w:val="763B8C4E"/>
    <w:multiLevelType w:val="hybridMultilevel"/>
    <w:lvl w:ilvl="0">
      <w:lvlJc w:val="left"/>
      <w:lvlText w:val="(%1)"/>
      <w:numFmt w:val="lowerRoman"/>
      <w:start w:val="3"/>
    </w:lvl>
  </w:abstractNum>
  <w:abstractNum w:abstractNumId="274">
    <w:nsid w:val="4CFB8D32"/>
    <w:multiLevelType w:val="hybridMultilevel"/>
    <w:lvl w:ilvl="0">
      <w:lvlJc w:val="left"/>
      <w:lvlText w:val="%1"/>
      <w:numFmt w:val="lowerLetter"/>
      <w:start w:val="1"/>
    </w:lvl>
    <w:lvl w:ilvl="1">
      <w:lvlJc w:val="left"/>
      <w:lvlText w:val="(%2)"/>
      <w:numFmt w:val="lowerRoman"/>
      <w:start w:val="6"/>
    </w:lvl>
  </w:abstractNum>
  <w:abstractNum w:abstractNumId="275">
    <w:nsid w:val="62A5D5BD"/>
    <w:multiLevelType w:val="hybridMultilevel"/>
    <w:lvl w:ilvl="0">
      <w:lvlJc w:val="left"/>
      <w:lvlText w:val="(%1)"/>
      <w:numFmt w:val="lowerLetter"/>
      <w:start w:val="3"/>
    </w:lvl>
    <w:lvl w:ilvl="1">
      <w:lvlJc w:val="left"/>
      <w:lvlText w:val="(%2)"/>
      <w:numFmt w:val="lowerRoman"/>
      <w:start w:val="2"/>
    </w:lvl>
  </w:abstractNum>
  <w:abstractNum w:abstractNumId="276">
    <w:nsid w:val="718FABF9"/>
    <w:multiLevelType w:val="hybridMultilevel"/>
    <w:lvl w:ilvl="0">
      <w:lvlJc w:val="left"/>
      <w:lvlText w:val="%1"/>
      <w:numFmt w:val="lowerLetter"/>
      <w:start w:val="1"/>
    </w:lvl>
    <w:lvl w:ilvl="1">
      <w:lvlJc w:val="left"/>
      <w:lvlText w:val="(%2)"/>
      <w:numFmt w:val="lowerLetter"/>
      <w:start w:val="61"/>
    </w:lvl>
  </w:abstractNum>
  <w:abstractNum w:abstractNumId="277">
    <w:nsid w:val="7775797C"/>
    <w:multiLevelType w:val="hybridMultilevel"/>
    <w:lvl w:ilvl="0">
      <w:lvlJc w:val="left"/>
      <w:lvlText w:val="(%1)"/>
      <w:numFmt w:val="lowerLetter"/>
      <w:start w:val="4"/>
    </w:lvl>
    <w:lvl w:ilvl="1">
      <w:lvlJc w:val="left"/>
      <w:lvlText w:val="%2"/>
      <w:numFmt w:val="lowerLetter"/>
      <w:start w:val="1"/>
    </w:lvl>
  </w:abstractNum>
  <w:abstractNum w:abstractNumId="278">
    <w:nsid w:val="1626FB8C"/>
    <w:multiLevelType w:val="hybridMultilevel"/>
    <w:lvl w:ilvl="0">
      <w:lvlJc w:val="left"/>
      <w:lvlText w:val="(%1)"/>
      <w:numFmt w:val="lowerLetter"/>
      <w:start w:val="1"/>
    </w:lvl>
  </w:abstractNum>
  <w:abstractNum w:abstractNumId="279">
    <w:nsid w:val="3957756A"/>
    <w:multiLevelType w:val="hybridMultilevel"/>
    <w:lvl w:ilvl="0">
      <w:lvlJc w:val="left"/>
      <w:lvlText w:val="(%1)"/>
      <w:numFmt w:val="lowerLetter"/>
      <w:start w:val="2"/>
    </w:lvl>
  </w:abstractNum>
  <w:abstractNum w:abstractNumId="280">
    <w:nsid w:val="3E6DA1C7"/>
    <w:multiLevelType w:val="hybridMultilevel"/>
    <w:lvl w:ilvl="0">
      <w:lvlJc w:val="left"/>
      <w:lvlText w:val="(%1)"/>
      <w:numFmt w:val="lowerLetter"/>
      <w:start w:val="1"/>
    </w:lvl>
  </w:abstractNum>
  <w:abstractNum w:abstractNumId="281">
    <w:nsid w:val="65CA235B"/>
    <w:multiLevelType w:val="hybridMultilevel"/>
    <w:lvl w:ilvl="0">
      <w:lvlJc w:val="left"/>
      <w:lvlText w:val="(%1)"/>
      <w:numFmt w:val="lowerLetter"/>
      <w:start w:val="3"/>
    </w:lvl>
  </w:abstractNum>
  <w:abstractNum w:abstractNumId="282">
    <w:nsid w:val="51CB0DA4"/>
    <w:multiLevelType w:val="hybridMultilevel"/>
    <w:lvl w:ilvl="0">
      <w:lvlJc w:val="left"/>
      <w:lvlText w:val="(%1)"/>
      <w:numFmt w:val="lowerLetter"/>
      <w:start w:val="1"/>
    </w:lvl>
  </w:abstractNum>
  <w:abstractNum w:abstractNumId="283">
    <w:nsid w:val="7B9B743C"/>
    <w:multiLevelType w:val="hybridMultilevel"/>
    <w:lvl w:ilvl="0">
      <w:lvlJc w:val="left"/>
      <w:lvlText w:val="(%1)"/>
      <w:numFmt w:val="upperLetter"/>
      <w:start w:val="3"/>
    </w:lvl>
    <w:lvl w:ilvl="1">
      <w:lvlJc w:val="left"/>
      <w:lvlText w:val="(%2)"/>
      <w:numFmt w:val="lowerLetter"/>
      <w:start w:val="2"/>
    </w:lvl>
  </w:abstractNum>
  <w:abstractNum w:abstractNumId="284">
    <w:nsid w:val="13E21002"/>
    <w:multiLevelType w:val="hybridMultilevel"/>
    <w:lvl w:ilvl="0">
      <w:lvlJc w:val="left"/>
      <w:lvlText w:val="(%1)"/>
      <w:numFmt w:val="lowerLetter"/>
      <w:start w:val="1"/>
    </w:lvl>
  </w:abstractNum>
  <w:abstractNum w:abstractNumId="285">
    <w:nsid w:val="257D63F4"/>
    <w:multiLevelType w:val="hybridMultilevel"/>
    <w:lvl w:ilvl="0">
      <w:lvlJc w:val="left"/>
      <w:lvlText w:val="(%1)"/>
      <w:numFmt w:val="lowerLetter"/>
      <w:start w:val="2"/>
    </w:lvl>
  </w:abstractNum>
  <w:abstractNum w:abstractNumId="286">
    <w:nsid w:val="70EC11B2"/>
    <w:multiLevelType w:val="hybridMultilevel"/>
    <w:lvl w:ilvl="0">
      <w:lvlJc w:val="left"/>
      <w:lvlText w:val="(%1)"/>
      <w:numFmt w:val="upperLetter"/>
      <w:start w:val="1"/>
    </w:lvl>
  </w:abstractNum>
  <w:abstractNum w:abstractNumId="287">
    <w:nsid w:val="2EDA00ED"/>
    <w:multiLevelType w:val="hybridMultilevel"/>
    <w:lvl w:ilvl="0">
      <w:lvlJc w:val="left"/>
      <w:lvlText w:val="(%1)"/>
      <w:numFmt w:val="lowerLetter"/>
      <w:start w:val="1"/>
    </w:lvl>
    <w:lvl w:ilvl="1">
      <w:lvlJc w:val="left"/>
      <w:lvlText w:val="(%2)"/>
      <w:numFmt w:val="lowerRoman"/>
      <w:start w:val="1"/>
    </w:lvl>
  </w:abstractNum>
  <w:abstractNum w:abstractNumId="288">
    <w:nsid w:val="73209072"/>
    <w:multiLevelType w:val="hybridMultilevel"/>
    <w:lvl w:ilvl="0">
      <w:lvlJc w:val="left"/>
      <w:lvlText w:val="(%1)"/>
      <w:numFmt w:val="lowerLetter"/>
      <w:start w:val="1"/>
    </w:lvl>
  </w:abstractNum>
  <w:abstractNum w:abstractNumId="289">
    <w:nsid w:val="5FB29816"/>
    <w:multiLevelType w:val="hybridMultilevel"/>
    <w:lvl w:ilvl="0">
      <w:lvlJc w:val="left"/>
      <w:lvlText w:val="(%1)"/>
      <w:numFmt w:val="lowerLetter"/>
      <w:start w:val="2"/>
    </w:lvl>
  </w:abstractNum>
  <w:abstractNum w:abstractNumId="290">
    <w:nsid w:val="3CE732EC"/>
    <w:multiLevelType w:val="hybridMultilevel"/>
    <w:lvl w:ilvl="0">
      <w:lvlJc w:val="left"/>
      <w:lvlText w:val="(%1)"/>
      <w:numFmt w:val="lowerRoman"/>
      <w:start w:val="2"/>
    </w:lvl>
  </w:abstractNum>
  <w:abstractNum w:abstractNumId="291">
    <w:nsid w:val="22F13DF3"/>
    <w:multiLevelType w:val="hybridMultilevel"/>
    <w:lvl w:ilvl="0">
      <w:lvlJc w:val="left"/>
      <w:lvlText w:val="%1."/>
      <w:numFmt w:val="decimal"/>
      <w:start w:val="1"/>
    </w:lvl>
    <w:lvl w:ilvl="1">
      <w:lvlJc w:val="left"/>
      <w:lvlText w:val="(%2)"/>
      <w:numFmt w:val="lowerLetter"/>
      <w:start w:val="1"/>
    </w:lvl>
  </w:abstractNum>
  <w:abstractNum w:abstractNumId="292">
    <w:nsid w:val="792B8401"/>
    <w:multiLevelType w:val="hybridMultilevel"/>
    <w:lvl w:ilvl="0">
      <w:lvlJc w:val="left"/>
      <w:lvlText w:val="%1."/>
      <w:numFmt w:val="decimal"/>
      <w:start w:val="2"/>
    </w:lvl>
    <w:lvl w:ilvl="1">
      <w:lvlJc w:val="left"/>
      <w:lvlText w:val="(%2)"/>
      <w:numFmt w:val="lowerLetter"/>
      <w:start w:val="1"/>
    </w:lvl>
  </w:abstractNum>
  <w:abstractNum w:abstractNumId="293">
    <w:nsid w:val="FA85F4D"/>
    <w:multiLevelType w:val="hybridMultilevel"/>
    <w:lvl w:ilvl="0">
      <w:lvlJc w:val="left"/>
      <w:lvlText w:val="%1"/>
      <w:numFmt w:val="decimal"/>
      <w:start w:val="1"/>
    </w:lvl>
    <w:lvl w:ilvl="1">
      <w:lvlJc w:val="left"/>
      <w:lvlText w:val="(%2)"/>
      <w:numFmt w:val="lowerLetter"/>
      <w:start w:val="3"/>
    </w:lvl>
  </w:abstractNum>
  <w:abstractNum w:abstractNumId="294">
    <w:nsid w:val="6ECE91F0"/>
    <w:multiLevelType w:val="hybridMultilevel"/>
    <w:lvl w:ilvl="0">
      <w:lvlJc w:val="left"/>
      <w:lvlText w:val="%1."/>
      <w:numFmt w:val="decimal"/>
      <w:start w:val="3"/>
    </w:lvl>
    <w:lvl w:ilvl="1">
      <w:lvlJc w:val="left"/>
      <w:lvlText w:val="%2"/>
      <w:numFmt w:val="lowerLetter"/>
      <w:start w:val="1"/>
    </w:lvl>
  </w:abstractNum>
  <w:abstractNum w:abstractNumId="295">
    <w:nsid w:val="4FC4D600"/>
    <w:multiLevelType w:val="hybridMultilevel"/>
    <w:lvl w:ilvl="0">
      <w:lvlJc w:val="left"/>
      <w:lvlText w:val="%1."/>
      <w:numFmt w:val="decimal"/>
      <w:start w:val="5"/>
    </w:lvl>
    <w:lvl w:ilvl="1">
      <w:lvlJc w:val="left"/>
      <w:lvlText w:val="(%2)"/>
      <w:numFmt w:val="lowerLetter"/>
      <w:start w:val="1"/>
    </w:lvl>
  </w:abstractNum>
  <w:abstractNum w:abstractNumId="296">
    <w:nsid w:val="5BFD4210"/>
    <w:multiLevelType w:val="hybridMultilevel"/>
    <w:lvl w:ilvl="0">
      <w:lvlJc w:val="left"/>
      <w:lvlText w:val="(%1)"/>
      <w:numFmt w:val="lowerLetter"/>
      <w:start w:val="3"/>
    </w:lvl>
  </w:abstractNum>
  <w:abstractNum w:abstractNumId="297">
    <w:nsid w:val="76574F8B"/>
    <w:multiLevelType w:val="hybridMultilevel"/>
    <w:lvl w:ilvl="0">
      <w:lvlJc w:val="left"/>
      <w:lvlText w:val="(%1)"/>
      <w:numFmt w:val="lowerLetter"/>
      <w:start w:val="12"/>
    </w:lvl>
    <w:lvl w:ilvl="1">
      <w:lvlJc w:val="left"/>
      <w:lvlText w:val="(%2)"/>
      <w:numFmt w:val="lowerRoman"/>
      <w:start w:val="1"/>
    </w:lvl>
  </w:abstractNum>
  <w:abstractNum w:abstractNumId="298">
    <w:nsid w:val="178F7B67"/>
    <w:multiLevelType w:val="hybridMultilevel"/>
    <w:lvl w:ilvl="0">
      <w:lvlJc w:val="left"/>
      <w:lvlText w:val="%1."/>
      <w:numFmt w:val="decimal"/>
      <w:start w:val="1"/>
    </w:lvl>
    <w:lvl w:ilvl="1">
      <w:lvlJc w:val="left"/>
      <w:lvlText w:val="(%2)"/>
      <w:numFmt w:val="lowerLetter"/>
      <w:start w:val="1"/>
    </w:lvl>
  </w:abstractNum>
  <w:abstractNum w:abstractNumId="299">
    <w:nsid w:val="2421DFCF"/>
    <w:multiLevelType w:val="hybridMultilevel"/>
    <w:lvl w:ilvl="0">
      <w:lvlJc w:val="left"/>
      <w:lvlText w:val="%1."/>
      <w:numFmt w:val="decimal"/>
      <w:start w:val="2"/>
    </w:lvl>
    <w:lvl w:ilvl="1">
      <w:lvlJc w:val="left"/>
      <w:lvlText w:val="(%2)"/>
      <w:numFmt w:val="lowerLetter"/>
      <w:start w:val="1"/>
    </w:lvl>
  </w:abstractNum>
  <w:abstractNum w:abstractNumId="300">
    <w:nsid w:val="1565AC99"/>
    <w:multiLevelType w:val="hybridMultilevel"/>
    <w:lvl w:ilvl="0">
      <w:lvlJc w:val="left"/>
      <w:lvlText w:val="%1"/>
      <w:numFmt w:val="decimal"/>
      <w:start w:val="1"/>
    </w:lvl>
    <w:lvl w:ilvl="1">
      <w:lvlJc w:val="left"/>
      <w:lvlText w:val="(%2)"/>
      <w:numFmt w:val="lowerLetter"/>
      <w:start w:val="3"/>
    </w:lvl>
  </w:abstractNum>
  <w:abstractNum w:abstractNumId="301">
    <w:nsid w:val="19FB2650"/>
    <w:multiLevelType w:val="hybridMultilevel"/>
    <w:lvl w:ilvl="0">
      <w:lvlJc w:val="left"/>
      <w:lvlText w:val="%1."/>
      <w:numFmt w:val="decimal"/>
      <w:start w:val="3"/>
    </w:lvl>
    <w:lvl w:ilvl="1">
      <w:lvlJc w:val="left"/>
      <w:lvlText w:val="(%2)"/>
      <w:numFmt w:val="lowerLetter"/>
      <w:start w:val="1"/>
    </w:lvl>
  </w:abstractNum>
  <w:abstractNum w:abstractNumId="302">
    <w:nsid w:val="5024DE5B"/>
    <w:multiLevelType w:val="hybridMultilevel"/>
    <w:lvl w:ilvl="0">
      <w:lvlJc w:val="left"/>
      <w:lvlText w:val="%1"/>
      <w:numFmt w:val="decimal"/>
      <w:start w:val="1"/>
    </w:lvl>
    <w:lvl w:ilvl="1">
      <w:lvlJc w:val="left"/>
      <w:lvlText w:val="(%2)"/>
      <w:numFmt w:val="lowerLetter"/>
      <w:start w:val="2"/>
    </w:lvl>
  </w:abstractNum>
  <w:abstractNum w:abstractNumId="303">
    <w:nsid w:val="168EFE17"/>
    <w:multiLevelType w:val="hybridMultilevel"/>
    <w:lvl w:ilvl="0">
      <w:lvlJc w:val="left"/>
      <w:lvlText w:val="%1."/>
      <w:numFmt w:val="decimal"/>
      <w:start w:val="7"/>
    </w:lvl>
    <w:lvl w:ilvl="1">
      <w:lvlJc w:val="left"/>
      <w:lvlText w:val="(%2)"/>
      <w:numFmt w:val="lowerLetter"/>
      <w:start w:val="1"/>
    </w:lvl>
  </w:abstractNum>
  <w:abstractNum w:abstractNumId="304">
    <w:nsid w:val="1036B29F"/>
    <w:multiLevelType w:val="hybridMultilevel"/>
    <w:lvl w:ilvl="0">
      <w:lvlJc w:val="left"/>
      <w:lvlText w:val="(%1)"/>
      <w:numFmt w:val="lowerLetter"/>
      <w:start w:val="2"/>
    </w:lvl>
  </w:abstractNum>
  <w:abstractNum w:abstractNumId="305">
    <w:nsid w:val="1D206B8E"/>
    <w:multiLevelType w:val="hybridMultilevel"/>
    <w:lvl w:ilvl="0">
      <w:lvlJc w:val="left"/>
      <w:lvlText w:val="(%1)"/>
      <w:numFmt w:val="lowerLetter"/>
      <w:start w:val="11"/>
    </w:lvl>
    <w:lvl w:ilvl="1">
      <w:lvlJc w:val="left"/>
      <w:lvlText w:val="(%2)"/>
      <w:numFmt w:val="lowerRoman"/>
      <w:start w:val="1"/>
    </w:lvl>
  </w:abstractNum>
  <w:abstractNum w:abstractNumId="306">
    <w:nsid w:val="7934D3D4"/>
    <w:multiLevelType w:val="hybridMultilevel"/>
    <w:lvl w:ilvl="0">
      <w:lvlJc w:val="left"/>
      <w:lvlText w:val="%1."/>
      <w:numFmt w:val="decimal"/>
      <w:start w:val="1"/>
    </w:lvl>
    <w:lvl w:ilvl="1">
      <w:lvlJc w:val="left"/>
      <w:lvlText w:val="(%2)"/>
      <w:numFmt w:val="lowerLetter"/>
      <w:start w:val="1"/>
    </w:lvl>
  </w:abstractNum>
  <w:abstractNum w:abstractNumId="307">
    <w:nsid w:val="1C65E98"/>
    <w:multiLevelType w:val="hybridMultilevel"/>
    <w:lvl w:ilvl="0">
      <w:lvlJc w:val="left"/>
      <w:lvlText w:val="%1."/>
      <w:numFmt w:val="decimal"/>
      <w:start w:val="2"/>
    </w:lvl>
    <w:lvl w:ilvl="1">
      <w:lvlJc w:val="left"/>
      <w:lvlText w:val="(%2)"/>
      <w:numFmt w:val="lowerLetter"/>
      <w:start w:val="1"/>
    </w:lvl>
  </w:abstractNum>
  <w:abstractNum w:abstractNumId="308">
    <w:nsid w:val="1495E50A"/>
    <w:multiLevelType w:val="hybridMultilevel"/>
    <w:lvl w:ilvl="0">
      <w:lvlJc w:val="left"/>
      <w:lvlText w:val="%1"/>
      <w:numFmt w:val="decimal"/>
      <w:start w:val="1"/>
    </w:lvl>
    <w:lvl w:ilvl="1">
      <w:lvlJc w:val="left"/>
      <w:lvlText w:val="(%2)"/>
      <w:numFmt w:val="lowerLetter"/>
      <w:start w:val="3"/>
    </w:lvl>
  </w:abstractNum>
  <w:abstractNum w:abstractNumId="309">
    <w:nsid w:val="F5BCF61"/>
    <w:multiLevelType w:val="hybridMultilevel"/>
    <w:lvl w:ilvl="0">
      <w:lvlJc w:val="left"/>
      <w:lvlText w:val="%1."/>
      <w:numFmt w:val="decimal"/>
      <w:start w:val="3"/>
    </w:lvl>
    <w:lvl w:ilvl="1">
      <w:lvlJc w:val="left"/>
      <w:lvlText w:val="(%2)"/>
      <w:numFmt w:val="lowerLetter"/>
      <w:start w:val="1"/>
    </w:lvl>
  </w:abstractNum>
  <w:abstractNum w:abstractNumId="310">
    <w:nsid w:val="3B1DD403"/>
    <w:multiLevelType w:val="hybridMultilevel"/>
    <w:lvl w:ilvl="0">
      <w:lvlJc w:val="left"/>
      <w:lvlText w:val="%1"/>
      <w:numFmt w:val="decimal"/>
      <w:start w:val="1"/>
    </w:lvl>
    <w:lvl w:ilvl="1">
      <w:lvlJc w:val="left"/>
      <w:lvlText w:val="(%2)"/>
      <w:numFmt w:val="lowerLetter"/>
      <w:start w:val="2"/>
    </w:lvl>
  </w:abstractNum>
  <w:abstractNum w:abstractNumId="311">
    <w:nsid w:val="530386D1"/>
    <w:multiLevelType w:val="hybridMultilevel"/>
    <w:lvl w:ilvl="0">
      <w:lvlJc w:val="left"/>
      <w:lvlText w:val="%1."/>
      <w:numFmt w:val="decimal"/>
      <w:start w:val="7"/>
    </w:lvl>
    <w:lvl w:ilvl="1">
      <w:lvlJc w:val="left"/>
      <w:lvlText w:val="(%2)"/>
      <w:numFmt w:val="lowerLetter"/>
      <w:start w:val="1"/>
    </w:lvl>
  </w:abstractNum>
  <w:abstractNum w:abstractNumId="312">
    <w:nsid w:val="7525F2BC"/>
    <w:multiLevelType w:val="hybridMultilevel"/>
    <w:lvl w:ilvl="0">
      <w:lvlJc w:val="left"/>
      <w:lvlText w:val="(%1)"/>
      <w:numFmt w:val="lowerLetter"/>
      <w:start w:val="2"/>
    </w:lvl>
  </w:abstractNum>
  <w:abstractNum w:abstractNumId="313">
    <w:nsid w:val="CE8E1A7"/>
    <w:multiLevelType w:val="hybridMultilevel"/>
    <w:lvl w:ilvl="0">
      <w:lvlJc w:val="left"/>
      <w:lvlText w:val="(%1)"/>
      <w:numFmt w:val="lowerLetter"/>
      <w:start w:val="11"/>
    </w:lvl>
    <w:lvl w:ilvl="1">
      <w:lvlJc w:val="left"/>
      <w:lvlText w:val="(%2)"/>
      <w:numFmt w:val="lowerRoman"/>
      <w:start w:val="1"/>
    </w:lvl>
  </w:abstractNum>
  <w:abstractNum w:abstractNumId="314">
    <w:nsid w:val="4E9EFB0D"/>
    <w:multiLevelType w:val="hybridMultilevel"/>
    <w:lvl w:ilvl="0">
      <w:lvlJc w:val="left"/>
      <w:lvlText w:val="%1."/>
      <w:numFmt w:val="decimal"/>
      <w:start w:val="1"/>
    </w:lvl>
    <w:lvl w:ilvl="1">
      <w:lvlJc w:val="left"/>
      <w:lvlText w:val="(%2)"/>
      <w:numFmt w:val="lowerLetter"/>
      <w:start w:val="1"/>
    </w:lvl>
  </w:abstractNum>
  <w:abstractNum w:abstractNumId="315">
    <w:nsid w:val="90802BE"/>
    <w:multiLevelType w:val="hybridMultilevel"/>
    <w:lvl w:ilvl="0">
      <w:lvlJc w:val="left"/>
      <w:lvlText w:val="%1"/>
      <w:numFmt w:val="decimal"/>
      <w:start w:val="1"/>
    </w:lvl>
    <w:lvl w:ilvl="1">
      <w:lvlJc w:val="left"/>
      <w:lvlText w:val="(%2)"/>
      <w:numFmt w:val="lowerLetter"/>
      <w:start w:val="3"/>
    </w:lvl>
  </w:abstractNum>
  <w:abstractNum w:abstractNumId="316">
    <w:nsid w:val="3266459B"/>
    <w:multiLevelType w:val="hybridMultilevel"/>
    <w:lvl w:ilvl="0">
      <w:lvlJc w:val="left"/>
      <w:lvlText w:val="%1."/>
      <w:numFmt w:val="decimal"/>
      <w:start w:val="3"/>
    </w:lvl>
    <w:lvl w:ilvl="1">
      <w:lvlJc w:val="left"/>
      <w:lvlText w:val="(%2)"/>
      <w:numFmt w:val="lowerLetter"/>
      <w:start w:val="1"/>
    </w:lvl>
  </w:abstractNum>
  <w:abstractNum w:abstractNumId="317">
    <w:nsid w:val="3F8B0CBF"/>
    <w:multiLevelType w:val="hybridMultilevel"/>
    <w:lvl w:ilvl="0">
      <w:lvlJc w:val="left"/>
      <w:lvlText w:val="%1"/>
      <w:numFmt w:val="decimal"/>
      <w:start w:val="1"/>
    </w:lvl>
    <w:lvl w:ilvl="1">
      <w:lvlJc w:val="left"/>
      <w:lvlText w:val="(%2)"/>
      <w:numFmt w:val="lowerLetter"/>
      <w:start w:val="2"/>
    </w:lvl>
  </w:abstractNum>
  <w:abstractNum w:abstractNumId="318">
    <w:nsid w:val="37E203AB"/>
    <w:multiLevelType w:val="hybridMultilevel"/>
    <w:lvl w:ilvl="0">
      <w:lvlJc w:val="left"/>
      <w:lvlText w:val="%1."/>
      <w:numFmt w:val="decimal"/>
      <w:start w:val="7"/>
    </w:lvl>
    <w:lvl w:ilvl="1">
      <w:lvlJc w:val="left"/>
      <w:lvlText w:val="(%2)"/>
      <w:numFmt w:val="lowerLetter"/>
      <w:start w:val="1"/>
    </w:lvl>
  </w:abstractNum>
  <w:abstractNum w:abstractNumId="319">
    <w:nsid w:val="2586D60E"/>
    <w:multiLevelType w:val="hybridMultilevel"/>
    <w:lvl w:ilvl="0">
      <w:lvlJc w:val="left"/>
      <w:lvlText w:val="%1."/>
      <w:numFmt w:val="decimal"/>
      <w:start w:val="9"/>
    </w:lvl>
    <w:lvl w:ilvl="1">
      <w:lvlJc w:val="left"/>
      <w:lvlText w:val="(%2)"/>
      <w:numFmt w:val="lowerLetter"/>
      <w:start w:val="1"/>
    </w:lvl>
  </w:abstractNum>
  <w:abstractNum w:abstractNumId="320">
    <w:nsid w:val="1F3DA4D5"/>
    <w:multiLevelType w:val="hybridMultilevel"/>
    <w:lvl w:ilvl="0">
      <w:lvlJc w:val="left"/>
      <w:lvlText w:val="(%1)"/>
      <w:numFmt w:val="lowerLetter"/>
      <w:start w:val="4"/>
    </w:lvl>
  </w:abstractNum>
  <w:abstractNum w:abstractNumId="321">
    <w:nsid w:val="74C93698"/>
    <w:multiLevelType w:val="hybridMultilevel"/>
    <w:lvl w:ilvl="0">
      <w:lvlJc w:val="left"/>
      <w:lvlText w:val="(%1)"/>
      <w:numFmt w:val="lowerLetter"/>
      <w:start w:val="8"/>
    </w:lvl>
    <w:lvl w:ilvl="1">
      <w:lvlJc w:val="left"/>
      <w:lvlText w:val="(%2)"/>
      <w:numFmt w:val="upperLetter"/>
      <w:start w:val="1"/>
    </w:lvl>
    <w:lvl w:ilvl="2">
      <w:lvlJc w:val="left"/>
      <w:lvlText w:val="(%3)"/>
      <w:numFmt w:val="lowerRoman"/>
      <w:start w:val="1"/>
    </w:lvl>
  </w:abstractNum>
  <w:abstractNum w:abstractNumId="322">
    <w:nsid w:val="48781401"/>
    <w:multiLevelType w:val="hybridMultilevel"/>
    <w:lvl w:ilvl="0">
      <w:lvlJc w:val="left"/>
      <w:lvlText w:val="(%1)"/>
      <w:numFmt w:val="lowerLetter"/>
      <w:start w:val="13"/>
    </w:lvl>
  </w:abstractNum>
  <w:abstractNum w:abstractNumId="323">
    <w:nsid w:val="186928D6"/>
    <w:multiLevelType w:val="hybridMultilevel"/>
    <w:lvl w:ilvl="0">
      <w:lvlJc w:val="left"/>
      <w:lvlText w:val="(%1)"/>
      <w:numFmt w:val="lowerLetter"/>
      <w:start w:val="14"/>
    </w:lvl>
  </w:abstractNum>
  <w:abstractNum w:abstractNumId="324">
    <w:nsid w:val="47195E5"/>
    <w:multiLevelType w:val="hybridMultilevel"/>
    <w:lvl w:ilvl="0">
      <w:lvlJc w:val="left"/>
      <w:lvlText w:val="%1."/>
      <w:numFmt w:val="decimal"/>
      <w:start w:val="1"/>
    </w:lvl>
    <w:lvl w:ilvl="1">
      <w:lvlJc w:val="left"/>
      <w:lvlText w:val="(%2)"/>
      <w:numFmt w:val="lowerLetter"/>
      <w:start w:val="1"/>
    </w:lvl>
  </w:abstractNum>
  <w:abstractNum w:abstractNumId="325">
    <w:nsid w:val="3746A5F2"/>
    <w:multiLevelType w:val="hybridMultilevel"/>
    <w:lvl w:ilvl="0">
      <w:lvlJc w:val="left"/>
      <w:lvlText w:val="%1."/>
      <w:numFmt w:val="decimal"/>
      <w:start w:val="3"/>
    </w:lvl>
    <w:lvl w:ilvl="1">
      <w:lvlJc w:val="left"/>
      <w:lvlText w:val="(%2)"/>
      <w:numFmt w:val="lowerLetter"/>
      <w:start w:val="1"/>
    </w:lvl>
  </w:abstractNum>
  <w:abstractNum w:abstractNumId="326">
    <w:nsid w:val="682DFED6"/>
    <w:multiLevelType w:val="hybridMultilevel"/>
    <w:lvl w:ilvl="0">
      <w:lvlJc w:val="left"/>
      <w:lvlText w:val="%1."/>
      <w:numFmt w:val="decimal"/>
      <w:start w:val="7"/>
    </w:lvl>
    <w:lvl w:ilvl="1">
      <w:lvlJc w:val="left"/>
      <w:lvlText w:val="(%2)"/>
      <w:numFmt w:val="lowerLetter"/>
      <w:start w:val="1"/>
    </w:lvl>
  </w:abstractNum>
  <w:abstractNum w:abstractNumId="327">
    <w:nsid w:val="606ED7F6"/>
    <w:multiLevelType w:val="hybridMultilevel"/>
    <w:lvl w:ilvl="0">
      <w:lvlJc w:val="left"/>
      <w:lvlText w:val="(%1)"/>
      <w:numFmt w:val="lowerLetter"/>
      <w:start w:val="3"/>
    </w:lvl>
  </w:abstractNum>
  <w:abstractNum w:abstractNumId="328">
    <w:nsid w:val="2D9DF57D"/>
    <w:multiLevelType w:val="hybridMultilevel"/>
    <w:lvl w:ilvl="0">
      <w:lvlJc w:val="left"/>
      <w:lvlText w:val="(%1)"/>
      <w:numFmt w:val="lowerLetter"/>
      <w:start w:val="4"/>
    </w:lvl>
  </w:abstractNum>
  <w:abstractNum w:abstractNumId="329">
    <w:nsid w:val="7FBD7A3E"/>
    <w:multiLevelType w:val="hybridMultilevel"/>
    <w:lvl w:ilvl="0">
      <w:lvlJc w:val="left"/>
      <w:lvlText w:val="(%1)"/>
      <w:numFmt w:val="lowerLetter"/>
      <w:start w:val="11"/>
    </w:lvl>
    <w:lvl w:ilvl="1">
      <w:lvlJc w:val="left"/>
      <w:lvlText w:val="(%2)"/>
      <w:numFmt w:val="upperLetter"/>
      <w:start w:val="1"/>
    </w:lvl>
    <w:lvl w:ilvl="2">
      <w:lvlJc w:val="left"/>
      <w:lvlText w:val="(%3)"/>
      <w:numFmt w:val="lowerRoman"/>
      <w:start w:val="1"/>
    </w:lvl>
  </w:abstractNum>
  <w:abstractNum w:abstractNumId="330">
    <w:nsid w:val="490B7C5"/>
    <w:multiLevelType w:val="hybridMultilevel"/>
    <w:lvl w:ilvl="0">
      <w:lvlJc w:val="left"/>
      <w:lvlText w:val="(%1)"/>
      <w:numFmt w:val="lowerLetter"/>
      <w:start w:val="13"/>
    </w:lvl>
  </w:abstractNum>
  <w:abstractNum w:abstractNumId="331">
    <w:nsid w:val="4303A216"/>
    <w:multiLevelType w:val="hybridMultilevel"/>
    <w:lvl w:ilvl="0">
      <w:lvlJc w:val="left"/>
      <w:lvlText w:val="(%1)"/>
      <w:numFmt w:val="lowerLetter"/>
      <w:start w:val="16"/>
    </w:lvl>
  </w:abstractNum>
  <w:abstractNum w:abstractNumId="332">
    <w:nsid w:val="19B8A08E"/>
    <w:multiLevelType w:val="hybridMultilevel"/>
    <w:lvl w:ilvl="0">
      <w:lvlJc w:val="left"/>
      <w:lvlText w:val="%1."/>
      <w:numFmt w:val="decimal"/>
      <w:start w:val="1"/>
    </w:lvl>
    <w:lvl w:ilvl="1">
      <w:lvlJc w:val="left"/>
      <w:lvlText w:val="(%2)"/>
      <w:numFmt w:val="lowerLetter"/>
      <w:start w:val="1"/>
    </w:lvl>
  </w:abstractNum>
  <w:abstractNum w:abstractNumId="333">
    <w:nsid w:val="54B59621"/>
    <w:multiLevelType w:val="hybridMultilevel"/>
    <w:lvl w:ilvl="0">
      <w:lvlJc w:val="left"/>
      <w:lvlText w:val="%1"/>
      <w:numFmt w:val="decimal"/>
      <w:start w:val="1"/>
    </w:lvl>
    <w:lvl w:ilvl="1">
      <w:lvlJc w:val="left"/>
      <w:lvlText w:val="(%2)"/>
      <w:numFmt w:val="lowerLetter"/>
      <w:start w:val="3"/>
    </w:lvl>
  </w:abstractNum>
  <w:abstractNum w:abstractNumId="334">
    <w:nsid w:val="5992A02E"/>
    <w:multiLevelType w:val="hybridMultilevel"/>
    <w:lvl w:ilvl="0">
      <w:lvlJc w:val="left"/>
      <w:lvlText w:val="%1."/>
      <w:numFmt w:val="decimal"/>
      <w:start w:val="3"/>
    </w:lvl>
    <w:lvl w:ilvl="1">
      <w:lvlJc w:val="left"/>
      <w:lvlText w:val="(%2)"/>
      <w:numFmt w:val="lowerLetter"/>
      <w:start w:val="1"/>
    </w:lvl>
  </w:abstractNum>
  <w:abstractNum w:abstractNumId="335">
    <w:nsid w:val="29EF532D"/>
    <w:multiLevelType w:val="hybridMultilevel"/>
    <w:lvl w:ilvl="0">
      <w:lvlJc w:val="left"/>
      <w:lvlText w:val="%1"/>
      <w:numFmt w:val="decimal"/>
      <w:start w:val="1"/>
    </w:lvl>
    <w:lvl w:ilvl="1">
      <w:lvlJc w:val="left"/>
      <w:lvlText w:val="(%2)"/>
      <w:numFmt w:val="lowerLetter"/>
      <w:start w:val="2"/>
    </w:lvl>
  </w:abstractNum>
  <w:abstractNum w:abstractNumId="336">
    <w:nsid w:val="71D601AF"/>
    <w:multiLevelType w:val="hybridMultilevel"/>
    <w:lvl w:ilvl="0">
      <w:lvlJc w:val="left"/>
      <w:lvlText w:val="%1."/>
      <w:numFmt w:val="decimal"/>
      <w:start w:val="7"/>
    </w:lvl>
    <w:lvl w:ilvl="1">
      <w:lvlJc w:val="left"/>
      <w:lvlText w:val="(%2)"/>
      <w:numFmt w:val="lowerLetter"/>
      <w:start w:val="1"/>
    </w:lvl>
  </w:abstractNum>
  <w:abstractNum w:abstractNumId="337">
    <w:nsid w:val="52C77402"/>
    <w:multiLevelType w:val="hybridMultilevel"/>
    <w:lvl w:ilvl="0">
      <w:lvlJc w:val="left"/>
      <w:lvlText w:val="%1."/>
      <w:numFmt w:val="decimal"/>
      <w:start w:val="9"/>
    </w:lvl>
    <w:lvl w:ilvl="1">
      <w:lvlJc w:val="left"/>
      <w:lvlText w:val="(%2)"/>
      <w:numFmt w:val="lowerLetter"/>
      <w:start w:val="1"/>
    </w:lvl>
  </w:abstractNum>
  <w:abstractNum w:abstractNumId="338">
    <w:nsid w:val="2BB5B1C6"/>
    <w:multiLevelType w:val="hybridMultilevel"/>
    <w:lvl w:ilvl="0">
      <w:lvlJc w:val="left"/>
      <w:lvlText w:val="(%1)"/>
      <w:numFmt w:val="lowerLetter"/>
      <w:start w:val="4"/>
    </w:lvl>
  </w:abstractNum>
  <w:abstractNum w:abstractNumId="339">
    <w:nsid w:val="66BE6B9"/>
    <w:multiLevelType w:val="hybridMultilevel"/>
    <w:lvl w:ilvl="0">
      <w:lvlJc w:val="left"/>
      <w:lvlText w:val="(%1)"/>
      <w:numFmt w:val="lowerLetter"/>
      <w:start w:val="8"/>
    </w:lvl>
    <w:lvl w:ilvl="1">
      <w:lvlJc w:val="left"/>
      <w:lvlText w:val="(%2)"/>
      <w:numFmt w:val="upperLetter"/>
      <w:start w:val="1"/>
    </w:lvl>
    <w:lvl w:ilvl="2">
      <w:lvlJc w:val="left"/>
      <w:lvlText w:val="(%3)"/>
      <w:numFmt w:val="lowerRoman"/>
      <w:start w:val="1"/>
    </w:lvl>
  </w:abstractNum>
  <w:abstractNum w:abstractNumId="340">
    <w:nsid w:val="62234363"/>
    <w:multiLevelType w:val="hybridMultilevel"/>
    <w:lvl w:ilvl="0">
      <w:lvlJc w:val="left"/>
      <w:lvlText w:val="(%1)"/>
      <w:numFmt w:val="lowerLetter"/>
      <w:start w:val="13"/>
    </w:lvl>
  </w:abstractNum>
  <w:abstractNum w:abstractNumId="341">
    <w:nsid w:val="66D385C9"/>
    <w:multiLevelType w:val="hybridMultilevel"/>
    <w:lvl w:ilvl="0">
      <w:lvlJc w:val="left"/>
      <w:lvlText w:val="(%1)"/>
      <w:numFmt w:val="lowerLetter"/>
      <w:start w:val="14"/>
    </w:lvl>
  </w:abstractNum>
  <w:abstractNum w:abstractNumId="342">
    <w:nsid w:val="596F6D8A"/>
    <w:multiLevelType w:val="hybridMultilevel"/>
    <w:lvl w:ilvl="0">
      <w:lvlJc w:val="left"/>
      <w:lvlText w:val="%1."/>
      <w:numFmt w:val="decimal"/>
      <w:start w:val="1"/>
    </w:lvl>
    <w:lvl w:ilvl="1">
      <w:lvlJc w:val="left"/>
      <w:lvlText w:val="(%2)"/>
      <w:numFmt w:val="lowerLetter"/>
      <w:start w:val="1"/>
    </w:lvl>
  </w:abstractNum>
  <w:abstractNum w:abstractNumId="343">
    <w:nsid w:val="5749361F"/>
    <w:multiLevelType w:val="hybridMultilevel"/>
    <w:lvl w:ilvl="0">
      <w:lvlJc w:val="left"/>
      <w:lvlText w:val="%1"/>
      <w:numFmt w:val="decimal"/>
      <w:start w:val="1"/>
    </w:lvl>
    <w:lvl w:ilvl="1">
      <w:lvlJc w:val="left"/>
      <w:lvlText w:val="(%2)"/>
      <w:numFmt w:val="lowerLetter"/>
      <w:start w:val="3"/>
    </w:lvl>
  </w:abstractNum>
  <w:abstractNum w:abstractNumId="344">
    <w:nsid w:val="73BC6770"/>
    <w:multiLevelType w:val="hybridMultilevel"/>
    <w:lvl w:ilvl="0">
      <w:lvlJc w:val="left"/>
      <w:lvlText w:val="%1."/>
      <w:numFmt w:val="decimal"/>
      <w:start w:val="3"/>
    </w:lvl>
    <w:lvl w:ilvl="1">
      <w:lvlJc w:val="left"/>
      <w:lvlText w:val="(%2)"/>
      <w:numFmt w:val="lowerLetter"/>
      <w:start w:val="1"/>
    </w:lvl>
  </w:abstractNum>
  <w:abstractNum w:abstractNumId="345">
    <w:nsid w:val="280E6897"/>
    <w:multiLevelType w:val="hybridMultilevel"/>
    <w:lvl w:ilvl="0">
      <w:lvlJc w:val="left"/>
      <w:lvlText w:val="%1"/>
      <w:numFmt w:val="decimal"/>
      <w:start w:val="1"/>
    </w:lvl>
    <w:lvl w:ilvl="1">
      <w:lvlJc w:val="left"/>
      <w:lvlText w:val="(%2)"/>
      <w:numFmt w:val="lowerLetter"/>
      <w:start w:val="2"/>
    </w:lvl>
  </w:abstractNum>
  <w:abstractNum w:abstractNumId="346">
    <w:nsid w:val="605138DE"/>
    <w:multiLevelType w:val="hybridMultilevel"/>
    <w:lvl w:ilvl="0">
      <w:lvlJc w:val="left"/>
      <w:lvlText w:val="%1."/>
      <w:numFmt w:val="decimal"/>
      <w:start w:val="7"/>
    </w:lvl>
    <w:lvl w:ilvl="1">
      <w:lvlJc w:val="left"/>
      <w:lvlText w:val="(%2)"/>
      <w:numFmt w:val="lowerLetter"/>
      <w:start w:val="1"/>
    </w:lvl>
  </w:abstractNum>
  <w:abstractNum w:abstractNumId="347">
    <w:nsid w:val="2622AD0C"/>
    <w:multiLevelType w:val="hybridMultilevel"/>
    <w:lvl w:ilvl="0">
      <w:lvlJc w:val="left"/>
      <w:lvlText w:val="%1."/>
      <w:numFmt w:val="decimal"/>
      <w:start w:val="9"/>
    </w:lvl>
    <w:lvl w:ilvl="1">
      <w:lvlJc w:val="left"/>
      <w:lvlText w:val="(%2)"/>
      <w:numFmt w:val="lowerLetter"/>
      <w:start w:val="1"/>
    </w:lvl>
  </w:abstractNum>
  <w:abstractNum w:abstractNumId="348">
    <w:nsid w:val="67997556"/>
    <w:multiLevelType w:val="hybridMultilevel"/>
    <w:lvl w:ilvl="0">
      <w:lvlJc w:val="left"/>
      <w:lvlText w:val="(%1)"/>
      <w:numFmt w:val="lowerLetter"/>
      <w:start w:val="4"/>
    </w:lvl>
  </w:abstractNum>
  <w:abstractNum w:abstractNumId="349">
    <w:nsid w:val="18333C89"/>
    <w:multiLevelType w:val="hybridMultilevel"/>
    <w:lvl w:ilvl="0">
      <w:lvlJc w:val="left"/>
      <w:lvlText w:val="(%1)"/>
      <w:numFmt w:val="lowerLetter"/>
      <w:start w:val="8"/>
    </w:lvl>
    <w:lvl w:ilvl="1">
      <w:lvlJc w:val="left"/>
      <w:lvlText w:val="(%2)"/>
      <w:numFmt w:val="upperLetter"/>
      <w:start w:val="1"/>
    </w:lvl>
    <w:lvl w:ilvl="2">
      <w:lvlJc w:val="left"/>
      <w:lvlText w:val="(%3)"/>
      <w:numFmt w:val="lowerRoman"/>
      <w:start w:val="1"/>
    </w:lvl>
  </w:abstractNum>
  <w:abstractNum w:abstractNumId="350">
    <w:nsid w:val="4BA9831A"/>
    <w:multiLevelType w:val="hybridMultilevel"/>
    <w:lvl w:ilvl="0">
      <w:lvlJc w:val="left"/>
      <w:lvlText w:val="(%1)"/>
      <w:numFmt w:val="lowerLetter"/>
      <w:start w:val="13"/>
    </w:lvl>
  </w:abstractNum>
  <w:abstractNum w:abstractNumId="351">
    <w:nsid w:val="6D71A2B"/>
    <w:multiLevelType w:val="hybridMultilevel"/>
    <w:lvl w:ilvl="0">
      <w:lvlJc w:val="left"/>
      <w:lvlText w:val="(%1)"/>
      <w:numFmt w:val="lowerLetter"/>
      <w:start w:val="14"/>
    </w:lvl>
  </w:abstractNum>
  <w:abstractNum w:abstractNumId="352">
    <w:nsid w:val="CFC7321"/>
    <w:multiLevelType w:val="hybridMultilevel"/>
    <w:lvl w:ilvl="0">
      <w:lvlJc w:val="left"/>
      <w:lvlText w:val="%1."/>
      <w:numFmt w:val="decimal"/>
      <w:start w:val="1"/>
    </w:lvl>
    <w:lvl w:ilvl="1">
      <w:lvlJc w:val="left"/>
      <w:lvlText w:val="(%2)"/>
      <w:numFmt w:val="lowerLetter"/>
      <w:start w:val="1"/>
    </w:lvl>
  </w:abstractNum>
  <w:abstractNum w:abstractNumId="353">
    <w:nsid w:val="1421971B"/>
    <w:multiLevelType w:val="hybridMultilevel"/>
    <w:lvl w:ilvl="0">
      <w:lvlJc w:val="left"/>
      <w:lvlText w:val="%1."/>
      <w:numFmt w:val="decimal"/>
      <w:start w:val="1"/>
    </w:lvl>
    <w:lvl w:ilvl="1">
      <w:lvlJc w:val="left"/>
      <w:lvlText w:val="(%2)"/>
      <w:numFmt w:val="lowerLetter"/>
      <w:start w:val="1"/>
    </w:lvl>
  </w:abstractNum>
  <w:abstractNum w:abstractNumId="354">
    <w:nsid w:val="1F404301"/>
    <w:multiLevelType w:val="hybridMultilevel"/>
    <w:lvl w:ilvl="0">
      <w:lvlJc w:val="left"/>
      <w:lvlText w:val="%1."/>
      <w:numFmt w:val="decimal"/>
      <w:start w:val="1"/>
    </w:lvl>
  </w:abstractNum>
  <w:abstractNum w:abstractNumId="355">
    <w:nsid w:val="116E090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80" Type="http://schemas.openxmlformats.org/officeDocument/2006/relationships/image" Target="media/image162.png"/><Relationship Id="rId183" Type="http://schemas.openxmlformats.org/officeDocument/2006/relationships/image" Target="media/image163.png"/><Relationship Id="rId200" Type="http://schemas.openxmlformats.org/officeDocument/2006/relationships/image" Target="media/image164.png"/><Relationship Id="rId201" Type="http://schemas.openxmlformats.org/officeDocument/2006/relationships/image" Target="media/image165.png"/><Relationship Id="rId218" Type="http://schemas.openxmlformats.org/officeDocument/2006/relationships/image" Target="media/image166.png"/><Relationship Id="rId219" Type="http://schemas.openxmlformats.org/officeDocument/2006/relationships/image" Target="media/image167.png"/><Relationship Id="rId220" Type="http://schemas.openxmlformats.org/officeDocument/2006/relationships/image" Target="media/image168.png"/><Relationship Id="rId222" Type="http://schemas.openxmlformats.org/officeDocument/2006/relationships/image" Target="media/image169.png"/><Relationship Id="rId224" Type="http://schemas.openxmlformats.org/officeDocument/2006/relationships/image" Target="media/image170.png"/><Relationship Id="rId225" Type="http://schemas.openxmlformats.org/officeDocument/2006/relationships/image" Target="media/image171.png"/><Relationship Id="rId226" Type="http://schemas.openxmlformats.org/officeDocument/2006/relationships/image" Target="media/image172.png"/><Relationship Id="rId227" Type="http://schemas.openxmlformats.org/officeDocument/2006/relationships/image" Target="media/image173.png"/><Relationship Id="rId228" Type="http://schemas.openxmlformats.org/officeDocument/2006/relationships/image" Target="media/image174.png"/><Relationship Id="rId229" Type="http://schemas.openxmlformats.org/officeDocument/2006/relationships/image" Target="media/image175.png"/><Relationship Id="rId230" Type="http://schemas.openxmlformats.org/officeDocument/2006/relationships/image" Target="media/image176.png"/><Relationship Id="rId231" Type="http://schemas.openxmlformats.org/officeDocument/2006/relationships/image" Target="media/image177.png"/><Relationship Id="rId232" Type="http://schemas.openxmlformats.org/officeDocument/2006/relationships/image" Target="media/image178.png"/><Relationship Id="rId233" Type="http://schemas.openxmlformats.org/officeDocument/2006/relationships/image" Target="media/image179.png"/><Relationship Id="rId234" Type="http://schemas.openxmlformats.org/officeDocument/2006/relationships/image" Target="media/image180.png"/><Relationship Id="rId235" Type="http://schemas.openxmlformats.org/officeDocument/2006/relationships/image" Target="media/image181.png"/><Relationship Id="rId236" Type="http://schemas.openxmlformats.org/officeDocument/2006/relationships/image" Target="media/image182.png"/><Relationship Id="rId237" Type="http://schemas.openxmlformats.org/officeDocument/2006/relationships/image" Target="media/image183.png"/><Relationship Id="rId238" Type="http://schemas.openxmlformats.org/officeDocument/2006/relationships/image" Target="media/image184.png"/><Relationship Id="rId239" Type="http://schemas.openxmlformats.org/officeDocument/2006/relationships/image" Target="media/image185.png"/><Relationship Id="rId240" Type="http://schemas.openxmlformats.org/officeDocument/2006/relationships/image" Target="media/image186.png"/><Relationship Id="rId241" Type="http://schemas.openxmlformats.org/officeDocument/2006/relationships/image" Target="media/image187.png"/><Relationship Id="rId242" Type="http://schemas.openxmlformats.org/officeDocument/2006/relationships/image" Target="media/image188.png"/><Relationship Id="rId243" Type="http://schemas.openxmlformats.org/officeDocument/2006/relationships/image" Target="media/image189.png"/><Relationship Id="rId244" Type="http://schemas.openxmlformats.org/officeDocument/2006/relationships/image" Target="media/image190.png"/><Relationship Id="rId245" Type="http://schemas.openxmlformats.org/officeDocument/2006/relationships/image" Target="media/image191.png"/><Relationship Id="rId246" Type="http://schemas.openxmlformats.org/officeDocument/2006/relationships/image" Target="media/image192.png"/><Relationship Id="rId247" Type="http://schemas.openxmlformats.org/officeDocument/2006/relationships/image" Target="media/image193.png"/><Relationship Id="rId248" Type="http://schemas.openxmlformats.org/officeDocument/2006/relationships/image" Target="media/image194.png"/><Relationship Id="rId169" Type="http://schemas.openxmlformats.org/officeDocument/2006/relationships/hyperlink" Target="http://www.sec.gov/Archives/edgar/data/1592386/000110465915042100/a15-8228_1ex2d1.htm" TargetMode="External"/><Relationship Id="rId170" Type="http://schemas.openxmlformats.org/officeDocument/2006/relationships/hyperlink" Target="http://www.sec.gov/Archives/edgar/data/1592386/000110465915042100/a15-8228_1ex2d2.htm" TargetMode="External"/><Relationship Id="rId171" Type="http://schemas.openxmlformats.org/officeDocument/2006/relationships/hyperlink" Target="http://www.sec.gov/Archives/edgar/data/1592386/000110465915042100/a15-8228_1ex2d3.htm" TargetMode="External"/><Relationship Id="rId172" Type="http://schemas.openxmlformats.org/officeDocument/2006/relationships/hyperlink" Target="http://www.sec.gov/Archives/edgar/data/1592386/000110465917024963/a17-11616_3ex2d1.htm" TargetMode="External"/><Relationship Id="rId173" Type="http://schemas.openxmlformats.org/officeDocument/2006/relationships/hyperlink" Target="http://www.sec.gov/Archives/edgar/data/1592386/000155837017004144/virt-20170331ex22abdb0e6.htm" TargetMode="External"/><Relationship Id="rId174" Type="http://schemas.openxmlformats.org/officeDocument/2006/relationships/hyperlink" Target="http://www.sec.gov/Archives/edgar/data/1592386/000095014218002168/eh1801201_ex0201.htm" TargetMode="External"/><Relationship Id="rId175" Type="http://schemas.openxmlformats.org/officeDocument/2006/relationships/hyperlink" Target="http://www.sec.gov/Archives/edgar/data/1592386/000110465915042100/a15-8228_1ex3d1.htm" TargetMode="External"/><Relationship Id="rId176" Type="http://schemas.openxmlformats.org/officeDocument/2006/relationships/hyperlink" Target="http://www.sec.gov/Archives/edgar/data/1592386/000110465915042100/a15-8228_1ex3d2.htm" TargetMode="External"/><Relationship Id="rId177" Type="http://schemas.openxmlformats.org/officeDocument/2006/relationships/hyperlink" Target="https://www.sec.gov/Archives/edgar/data/1592386/000159238620000003/exhibit41q419.htm" TargetMode="External"/><Relationship Id="rId178" Type="http://schemas.openxmlformats.org/officeDocument/2006/relationships/hyperlink" Target="http://www.sec.gov/Archives/edgar/data/1592386/000110465917042979/a17-15469_1ex4d3.htm" TargetMode="External"/><Relationship Id="rId179" Type="http://schemas.openxmlformats.org/officeDocument/2006/relationships/hyperlink" Target="https://www.sec.gov/Archives/edgar/data/0001592386/000159238621000005/exhbit104q420.htm" TargetMode="External"/><Relationship Id="rId181" Type="http://schemas.openxmlformats.org/officeDocument/2006/relationships/hyperlink" Target="http://www.sec.gov/Archives/edgar/data/1592386/000104746915001003/a2219372zex-10_2.htm" TargetMode="External"/><Relationship Id="rId182" Type="http://schemas.openxmlformats.org/officeDocument/2006/relationships/hyperlink" Target="https://www.sec.gov/Archives/edgar/data/0001592386/000155837018002007/virt-20171231ex1044629ca.htm" TargetMode="External"/><Relationship Id="rId184" Type="http://schemas.openxmlformats.org/officeDocument/2006/relationships/hyperlink" Target="https://www.sec.gov/Archives/edgar/data/1592386/000159238620000012/exhibit101q320.htm" TargetMode="External"/><Relationship Id="rId185" Type="http://schemas.openxmlformats.org/officeDocument/2006/relationships/hyperlink" Target="https://www.sec.gov/Archives/edgar/data/1592386/000159238620000012/exhibit102q320.htm" TargetMode="External"/><Relationship Id="rId186" Type="http://schemas.openxmlformats.org/officeDocument/2006/relationships/hyperlink" Target="https://www.sec.gov/Archives/edgar/data/1592386/000159238620000006/exhibit104q120.htm" TargetMode="External"/><Relationship Id="rId187" Type="http://schemas.openxmlformats.org/officeDocument/2006/relationships/hyperlink" Target="https://www.sec.gov/Archives/edgar/data/1573350/000095014220000863/eh2000501_ex9919.htm" TargetMode="External"/><Relationship Id="rId188" Type="http://schemas.openxmlformats.org/officeDocument/2006/relationships/hyperlink" Target="https://www.sec.gov/Archives/edgar/data/1573350/000095014220000863/eh2000501_ex9920.htm" TargetMode="External"/><Relationship Id="rId189" Type="http://schemas.openxmlformats.org/officeDocument/2006/relationships/hyperlink" Target="http://www.sec.gov/Archives/edgar/data/1592386/000110465915042100/a15-8228_1ex10d2.htm" TargetMode="External"/><Relationship Id="rId190" Type="http://schemas.openxmlformats.org/officeDocument/2006/relationships/hyperlink" Target="http://www.sec.gov/Archives/edgar/data/1592386/000110465915042100/a15-8228_1ex10d3.htm" TargetMode="External"/><Relationship Id="rId191" Type="http://schemas.openxmlformats.org/officeDocument/2006/relationships/hyperlink" Target="http://www.sec.gov/Archives/edgar/data/1592386/000110465915042100/a15-8228_1ex10d5.htm" TargetMode="External"/><Relationship Id="rId192" Type="http://schemas.openxmlformats.org/officeDocument/2006/relationships/hyperlink" Target="http://www.sec.gov/Archives/edgar/data/1592386/000110465915042100/a15-8228_1ex10d6.htm" TargetMode="External"/><Relationship Id="rId193" Type="http://schemas.openxmlformats.org/officeDocument/2006/relationships/hyperlink" Target="http://www.sec.gov/Archives/edgar/data/1592386/000110465915042100/a15-8228_1ex10d7.htm" TargetMode="External"/><Relationship Id="rId194" Type="http://schemas.openxmlformats.org/officeDocument/2006/relationships/hyperlink" Target="http://www.sec.gov/Archives/edgar/data/1592386/000110465915042100/a15-8228_1ex10d8.htm" TargetMode="External"/><Relationship Id="rId195" Type="http://schemas.openxmlformats.org/officeDocument/2006/relationships/hyperlink" Target="http://www.sec.gov/Archives/edgar/data/1592386/000110465915042100/a15-8228_1ex10d9.htm" TargetMode="External"/><Relationship Id="rId196" Type="http://schemas.openxmlformats.org/officeDocument/2006/relationships/hyperlink" Target="http://www.sec.gov/Archives/edgar/data/1592386/000110465915042100/a15-8228_1ex10d10.htm" TargetMode="External"/><Relationship Id="rId197" Type="http://schemas.openxmlformats.org/officeDocument/2006/relationships/hyperlink" Target="http://www.sec.gov/Archives/edgar/data/1592386/000110465915042100/a15-8228_1ex10d11.htm" TargetMode="External"/><Relationship Id="rId198" Type="http://schemas.openxmlformats.org/officeDocument/2006/relationships/hyperlink" Target="http://www.sec.gov/Archives/edgar/data/1592386/000155837017004144/virt-20170331ex10240ef25.htm" TargetMode="External"/><Relationship Id="rId199" Type="http://schemas.openxmlformats.org/officeDocument/2006/relationships/hyperlink" Target="http://www.sec.gov/Archives/edgar/data/1592386/000155837017004144/virt-20170331ex103b78259.htm" TargetMode="External"/><Relationship Id="rId202" Type="http://schemas.openxmlformats.org/officeDocument/2006/relationships/hyperlink" Target="http://www.sec.gov/Archives/edgar/data/1592386/000110465917037232/a17-14679_1ex10d1.htm" TargetMode="External"/><Relationship Id="rId203" Type="http://schemas.openxmlformats.org/officeDocument/2006/relationships/hyperlink" Target="http://www.sec.gov/Archives/edgar/data/1592386/000155837017006443/virt-20170630ex1083a3a1f.htm" TargetMode="External"/><Relationship Id="rId204" Type="http://schemas.openxmlformats.org/officeDocument/2006/relationships/hyperlink" Target="http://www.sec.gov/Archives/edgar/data/1592386/000155837018002007/virt-20171231ex10302f561.htm" TargetMode="External"/><Relationship Id="rId205" Type="http://schemas.openxmlformats.org/officeDocument/2006/relationships/hyperlink" Target="http://www.sec.gov/Archives/edgar/data/1592386/000110465918033448/a18-13432_1ex10d1.htm#Exhibit_020019" TargetMode="External"/><Relationship Id="rId206" Type="http://schemas.openxmlformats.org/officeDocument/2006/relationships/hyperlink" Target="http://www.sec.gov/Archives/edgar/data/1592386/000159238620000003/exhibit1039q419.htm" TargetMode="External"/><Relationship Id="rId207" Type="http://schemas.openxmlformats.org/officeDocument/2006/relationships/hyperlink" Target="http://www.sec.gov/Archives/edgar/data/1592386/000159238620000003/exhibit1040q419.htm" TargetMode="External"/><Relationship Id="rId208" Type="http://schemas.openxmlformats.org/officeDocument/2006/relationships/hyperlink" Target="http://www.sec.gov/Archives/edgar/data/1592386/000159238620000003/exhibit1041q419.htm" TargetMode="External"/><Relationship Id="rId209" Type="http://schemas.openxmlformats.org/officeDocument/2006/relationships/hyperlink" Target="http://www.sec.gov/Archives/edgar/data/1592386/000159238620000003/exhibit1042q419.htm" TargetMode="External"/><Relationship Id="rId210" Type="http://schemas.openxmlformats.org/officeDocument/2006/relationships/hyperlink" Target="http://www.sec.gov/Archives/edgar/data/1592386/000159238620000003/exhibit1043q419.htm" TargetMode="External"/><Relationship Id="rId211" Type="http://schemas.openxmlformats.org/officeDocument/2006/relationships/hyperlink" Target="http://www.sec.gov/Archives/edgar/data/1592386/000110465919011958/a19-5537_1ex4d3.htm" TargetMode="External"/><Relationship Id="rId212" Type="http://schemas.openxmlformats.org/officeDocument/2006/relationships/hyperlink" Target="https://www.sec.gov/Archives/edgar/data/0001592386/000159238621000005/exhibit1033q420.htm" TargetMode="External"/><Relationship Id="rId213" Type="http://schemas.openxmlformats.org/officeDocument/2006/relationships/hyperlink" Target="https://www.sec.gov/Archives/edgar/data/0001592386/000159238621000005/exhibit1034q420.htm" TargetMode="External"/><Relationship Id="rId214" Type="http://schemas.openxmlformats.org/officeDocument/2006/relationships/hyperlink" Target="https://www.sec.gov/Archives/edgar/data/0001592386/000159238621000005/exhibit1035q420.htm" TargetMode="External"/><Relationship Id="rId215" Type="http://schemas.openxmlformats.org/officeDocument/2006/relationships/hyperlink" Target="https://www.sec.gov/Archives/edgar/data/1592386/000159238621000005/exhibit1036q420.htm" TargetMode="External"/><Relationship Id="rId216" Type="http://schemas.openxmlformats.org/officeDocument/2006/relationships/hyperlink" Target="https://www.sec.gov/Archives/edgar/data/1592386/000159238621000005/exhibit1037q420.htm" TargetMode="External"/><Relationship Id="rId217" Type="http://schemas.openxmlformats.org/officeDocument/2006/relationships/hyperlink" Target="https://www.sec.gov/Archives/edgar/data/1592386/000159238621000005/exhibit1038q420.htm" TargetMode="External"/><Relationship Id="rId221" Type="http://schemas.openxmlformats.org/officeDocument/2006/relationships/hyperlink" Target="https://www.sec.gov/Archives/edgar/data/1592386/000159238621000005/exhibit1039q420.htm" TargetMode="External"/><Relationship Id="rId223" Type="http://schemas.openxmlformats.org/officeDocument/2006/relationships/hyperlink" Target="https://www.sec.gov/Archives/edgar/data/1592386/000159238621000005/exhibit1040q42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2022-02-18T16:18:15Z</dcterms:created>
  <dcterms:modified xsi:type="dcterms:W3CDTF">2022-02-18T16:18:15Z</dcterms:modified>
</cp:coreProperties>
</file>