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Arial" w:cs="Arial" w:eastAsia="Arial" w:hAnsi="Arial"/>
          <w:sz w:val="12"/>
          <w:szCs w:val="12"/>
          <w:b w:val="1"/>
          <w:bCs w:val="1"/>
          <w:color w:val="auto"/>
        </w:rPr>
        <w:t>Washington, D.C. 20549</w:t>
      </w:r>
    </w:p>
    <w:p>
      <w:pPr>
        <w:spacing w:after="0" w:line="92" w:lineRule="exact"/>
        <w:rPr>
          <w:sz w:val="24"/>
          <w:szCs w:val="24"/>
          <w:color w:val="auto"/>
        </w:rPr>
      </w:pPr>
    </w:p>
    <w:p>
      <w:pPr>
        <w:jc w:val="center"/>
        <w:ind w:right="120"/>
        <w:spacing w:after="0"/>
        <w:rPr>
          <w:sz w:val="20"/>
          <w:szCs w:val="20"/>
          <w:color w:val="auto"/>
        </w:rPr>
      </w:pPr>
      <w:r>
        <w:rPr>
          <w:rFonts w:ascii="Arial" w:cs="Arial" w:eastAsia="Arial" w:hAnsi="Arial"/>
          <w:sz w:val="24"/>
          <w:szCs w:val="24"/>
          <w:b w:val="1"/>
          <w:bCs w:val="1"/>
          <w:color w:val="auto"/>
        </w:rPr>
        <w:t>FORM 10-Q</w:t>
      </w:r>
    </w:p>
    <w:p>
      <w:pPr>
        <w:spacing w:after="0" w:line="3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(Mark One)</w:t>
      </w:r>
    </w:p>
    <w:p>
      <w:pPr>
        <w:spacing w:after="0" w:line="99" w:lineRule="exact"/>
        <w:rPr>
          <w:sz w:val="24"/>
          <w:szCs w:val="24"/>
          <w:color w:val="auto"/>
        </w:rPr>
      </w:pPr>
    </w:p>
    <w:p>
      <w:pPr>
        <w:jc w:val="center"/>
        <w:ind w:left="3860" w:right="1160" w:hanging="2795"/>
        <w:spacing w:after="0" w:line="289" w:lineRule="auto"/>
        <w:tabs>
          <w:tab w:leader="none" w:pos="12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 (d) OF THE SECURITIES EXCHANGE ACT OF 1934 For the quarterly period ended March 31, 2021</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 (d) OF THE SECURITIES EXCHANGE ACT OF 1934</w:t>
      </w:r>
    </w:p>
    <w:p>
      <w:pPr>
        <w:spacing w:after="0" w:line="34" w:lineRule="exact"/>
        <w:rPr>
          <w:sz w:val="24"/>
          <w:szCs w:val="24"/>
          <w:color w:val="auto"/>
        </w:rPr>
      </w:pPr>
    </w:p>
    <w:p>
      <w:pPr>
        <w:ind w:left="4200"/>
        <w:spacing w:after="0"/>
        <w:tabs>
          <w:tab w:leader="none" w:pos="666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46" w:lineRule="exact"/>
        <w:rPr>
          <w:sz w:val="24"/>
          <w:szCs w:val="24"/>
          <w:color w:val="auto"/>
        </w:rPr>
      </w:pPr>
    </w:p>
    <w:p>
      <w:pPr>
        <w:ind w:left="4260"/>
        <w:spacing w:after="0"/>
        <w:rPr>
          <w:sz w:val="20"/>
          <w:szCs w:val="20"/>
          <w:color w:val="auto"/>
        </w:rPr>
      </w:pPr>
      <w:r>
        <w:rPr>
          <w:rFonts w:ascii="Arial" w:cs="Arial" w:eastAsia="Arial" w:hAnsi="Arial"/>
          <w:sz w:val="17"/>
          <w:szCs w:val="17"/>
          <w:b w:val="1"/>
          <w:bCs w:val="1"/>
          <w:color w:val="auto"/>
        </w:rPr>
        <w:t>Commission file number: 001-37352</w:t>
      </w:r>
    </w:p>
    <w:p>
      <w:pPr>
        <w:spacing w:after="0" w:line="3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Virtu Financial, Inc.</w:t>
      </w:r>
    </w:p>
    <w:p>
      <w:pPr>
        <w:spacing w:after="0" w:line="8" w:lineRule="exact"/>
        <w:rPr>
          <w:sz w:val="24"/>
          <w:szCs w:val="24"/>
          <w:color w:val="auto"/>
        </w:rPr>
      </w:pPr>
    </w:p>
    <w:p>
      <w:pPr>
        <w:jc w:val="center"/>
        <w:ind w:right="100"/>
        <w:spacing w:after="0"/>
        <w:rPr>
          <w:sz w:val="20"/>
          <w:szCs w:val="20"/>
          <w:color w:val="auto"/>
        </w:rPr>
      </w:pPr>
      <w:r>
        <w:rPr>
          <w:rFonts w:ascii="Arial" w:cs="Arial" w:eastAsia="Arial" w:hAnsi="Arial"/>
          <w:sz w:val="12"/>
          <w:szCs w:val="12"/>
          <w:color w:val="auto"/>
        </w:rPr>
        <w:t>(Exact name of registrant as specified in its charter)</w:t>
      </w:r>
    </w:p>
    <w:p>
      <w:pPr>
        <w:spacing w:after="0" w:line="31" w:lineRule="exact"/>
        <w:rPr>
          <w:sz w:val="24"/>
          <w:szCs w:val="24"/>
          <w:color w:val="auto"/>
        </w:rPr>
      </w:pPr>
    </w:p>
    <w:tbl>
      <w:tblPr>
        <w:tblLayout w:type="fixed"/>
        <w:tblInd w:w="1160" w:type="dxa"/>
        <w:tblCellMar>
          <w:top w:w="0" w:type="dxa"/>
          <w:left w:w="0" w:type="dxa"/>
          <w:bottom w:w="0" w:type="dxa"/>
          <w:right w:w="0" w:type="dxa"/>
        </w:tblCellMar>
      </w:tblPr>
      <w:tr>
        <w:trPr>
          <w:trHeight w:val="223"/>
        </w:trPr>
        <w:tc>
          <w:tcPr>
            <w:tcW w:w="4780" w:type="dxa"/>
            <w:vAlign w:val="bottom"/>
          </w:tcPr>
          <w:p>
            <w:pPr>
              <w:jc w:val="center"/>
              <w:ind w:right="1387"/>
              <w:spacing w:after="0"/>
              <w:rPr>
                <w:sz w:val="20"/>
                <w:szCs w:val="20"/>
                <w:color w:val="auto"/>
              </w:rPr>
            </w:pPr>
            <w:r>
              <w:rPr>
                <w:rFonts w:ascii="Arial" w:cs="Arial" w:eastAsia="Arial" w:hAnsi="Arial"/>
                <w:sz w:val="17"/>
                <w:szCs w:val="17"/>
                <w:b w:val="1"/>
                <w:bCs w:val="1"/>
                <w:color w:val="auto"/>
                <w:w w:val="96"/>
              </w:rPr>
              <w:t>Delaware</w:t>
            </w:r>
          </w:p>
        </w:tc>
        <w:tc>
          <w:tcPr>
            <w:tcW w:w="3500" w:type="dxa"/>
            <w:vAlign w:val="bottom"/>
          </w:tcPr>
          <w:p>
            <w:pPr>
              <w:jc w:val="right"/>
              <w:ind w:right="526"/>
              <w:spacing w:after="0"/>
              <w:rPr>
                <w:sz w:val="20"/>
                <w:szCs w:val="20"/>
                <w:color w:val="auto"/>
              </w:rPr>
            </w:pPr>
            <w:r>
              <w:rPr>
                <w:rFonts w:ascii="Arial" w:cs="Arial" w:eastAsia="Arial" w:hAnsi="Arial"/>
                <w:sz w:val="17"/>
                <w:szCs w:val="17"/>
                <w:b w:val="1"/>
                <w:bCs w:val="1"/>
                <w:color w:val="auto"/>
              </w:rPr>
              <w:t>32-0420206</w:t>
            </w:r>
          </w:p>
        </w:tc>
      </w:tr>
      <w:tr>
        <w:trPr>
          <w:trHeight w:val="178"/>
        </w:trPr>
        <w:tc>
          <w:tcPr>
            <w:tcW w:w="4780" w:type="dxa"/>
            <w:vAlign w:val="bottom"/>
          </w:tcPr>
          <w:p>
            <w:pPr>
              <w:jc w:val="center"/>
              <w:ind w:right="1387"/>
              <w:spacing w:after="0"/>
              <w:rPr>
                <w:sz w:val="20"/>
                <w:szCs w:val="20"/>
                <w:color w:val="auto"/>
              </w:rPr>
            </w:pPr>
            <w:r>
              <w:rPr>
                <w:rFonts w:ascii="Arial" w:cs="Arial" w:eastAsia="Arial" w:hAnsi="Arial"/>
                <w:sz w:val="14"/>
                <w:szCs w:val="14"/>
                <w:color w:val="auto"/>
                <w:w w:val="91"/>
              </w:rPr>
              <w:t>(State or other jurisdiction of incorporation or organization)</w:t>
            </w:r>
          </w:p>
        </w:tc>
        <w:tc>
          <w:tcPr>
            <w:tcW w:w="3500" w:type="dxa"/>
            <w:vAlign w:val="bottom"/>
          </w:tcPr>
          <w:p>
            <w:pPr>
              <w:jc w:val="center"/>
              <w:ind w:left="1386"/>
              <w:spacing w:after="0"/>
              <w:rPr>
                <w:sz w:val="20"/>
                <w:szCs w:val="20"/>
                <w:color w:val="auto"/>
              </w:rPr>
            </w:pPr>
            <w:r>
              <w:rPr>
                <w:rFonts w:ascii="Arial" w:cs="Arial" w:eastAsia="Arial" w:hAnsi="Arial"/>
                <w:sz w:val="14"/>
                <w:szCs w:val="14"/>
                <w:color w:val="auto"/>
                <w:w w:val="94"/>
              </w:rPr>
              <w:t>(I.R.S. Employer Identification No.)</w:t>
            </w:r>
          </w:p>
        </w:tc>
      </w:tr>
      <w:tr>
        <w:trPr>
          <w:trHeight w:val="341"/>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3"/>
              </w:rPr>
              <w:t>One Liberty Plaza</w:t>
            </w:r>
          </w:p>
        </w:tc>
        <w:tc>
          <w:tcPr>
            <w:tcW w:w="3500" w:type="dxa"/>
            <w:vAlign w:val="bottom"/>
          </w:tcPr>
          <w:p>
            <w:pPr>
              <w:spacing w:after="0"/>
              <w:rPr>
                <w:sz w:val="24"/>
                <w:szCs w:val="24"/>
                <w:color w:val="auto"/>
              </w:rPr>
            </w:pPr>
          </w:p>
        </w:tc>
      </w:tr>
      <w:tr>
        <w:trPr>
          <w:trHeight w:val="210"/>
        </w:trPr>
        <w:tc>
          <w:tcPr>
            <w:tcW w:w="4780" w:type="dxa"/>
            <w:vAlign w:val="bottom"/>
          </w:tcPr>
          <w:p>
            <w:pPr>
              <w:jc w:val="center"/>
              <w:ind w:right="447"/>
              <w:spacing w:after="0"/>
              <w:rPr>
                <w:sz w:val="20"/>
                <w:szCs w:val="20"/>
                <w:color w:val="auto"/>
              </w:rPr>
            </w:pPr>
            <w:r>
              <w:rPr>
                <w:rFonts w:ascii="Arial" w:cs="Arial" w:eastAsia="Arial" w:hAnsi="Arial"/>
                <w:sz w:val="14"/>
                <w:szCs w:val="14"/>
                <w:b w:val="1"/>
                <w:bCs w:val="1"/>
                <w:color w:val="auto"/>
                <w:w w:val="91"/>
              </w:rPr>
              <w:t>165 Broadway</w:t>
            </w:r>
          </w:p>
        </w:tc>
        <w:tc>
          <w:tcPr>
            <w:tcW w:w="3500" w:type="dxa"/>
            <w:vAlign w:val="bottom"/>
          </w:tcPr>
          <w:p>
            <w:pPr>
              <w:spacing w:after="0"/>
              <w:rPr>
                <w:sz w:val="18"/>
                <w:szCs w:val="18"/>
                <w:color w:val="auto"/>
              </w:rPr>
            </w:pPr>
          </w:p>
        </w:tc>
      </w:tr>
      <w:tr>
        <w:trPr>
          <w:trHeight w:val="196"/>
        </w:trPr>
        <w:tc>
          <w:tcPr>
            <w:tcW w:w="4780" w:type="dxa"/>
            <w:vAlign w:val="bottom"/>
          </w:tcPr>
          <w:p>
            <w:pPr>
              <w:ind w:left="1480"/>
              <w:spacing w:after="0"/>
              <w:rPr>
                <w:sz w:val="20"/>
                <w:szCs w:val="20"/>
                <w:color w:val="auto"/>
              </w:rPr>
            </w:pPr>
            <w:r>
              <w:rPr>
                <w:rFonts w:ascii="Arial" w:cs="Arial" w:eastAsia="Arial" w:hAnsi="Arial"/>
                <w:sz w:val="14"/>
                <w:szCs w:val="14"/>
                <w:b w:val="1"/>
                <w:bCs w:val="1"/>
                <w:color w:val="auto"/>
              </w:rPr>
              <w:t>New York, New York</w:t>
            </w:r>
          </w:p>
        </w:tc>
        <w:tc>
          <w:tcPr>
            <w:tcW w:w="3500" w:type="dxa"/>
            <w:vAlign w:val="bottom"/>
          </w:tcPr>
          <w:p>
            <w:pPr>
              <w:jc w:val="right"/>
              <w:ind w:right="1226"/>
              <w:spacing w:after="0"/>
              <w:rPr>
                <w:sz w:val="20"/>
                <w:szCs w:val="20"/>
                <w:color w:val="auto"/>
              </w:rPr>
            </w:pPr>
            <w:r>
              <w:rPr>
                <w:rFonts w:ascii="Arial" w:cs="Arial" w:eastAsia="Arial" w:hAnsi="Arial"/>
                <w:sz w:val="14"/>
                <w:szCs w:val="14"/>
                <w:b w:val="1"/>
                <w:bCs w:val="1"/>
                <w:color w:val="auto"/>
              </w:rPr>
              <w:t>10006</w:t>
            </w:r>
          </w:p>
        </w:tc>
      </w:tr>
      <w:tr>
        <w:trPr>
          <w:trHeight w:val="183"/>
        </w:trPr>
        <w:tc>
          <w:tcPr>
            <w:tcW w:w="4780" w:type="dxa"/>
            <w:vAlign w:val="bottom"/>
          </w:tcPr>
          <w:p>
            <w:pPr>
              <w:jc w:val="center"/>
              <w:ind w:right="447"/>
              <w:spacing w:after="0"/>
              <w:rPr>
                <w:sz w:val="20"/>
                <w:szCs w:val="20"/>
                <w:color w:val="auto"/>
              </w:rPr>
            </w:pPr>
            <w:r>
              <w:rPr>
                <w:rFonts w:ascii="Arial" w:cs="Arial" w:eastAsia="Arial" w:hAnsi="Arial"/>
                <w:sz w:val="14"/>
                <w:szCs w:val="14"/>
                <w:color w:val="auto"/>
                <w:w w:val="92"/>
              </w:rPr>
              <w:t>(Address of principal executive offices)</w:t>
            </w:r>
          </w:p>
        </w:tc>
        <w:tc>
          <w:tcPr>
            <w:tcW w:w="3500" w:type="dxa"/>
            <w:vAlign w:val="bottom"/>
          </w:tcPr>
          <w:p>
            <w:pPr>
              <w:jc w:val="center"/>
              <w:ind w:left="486"/>
              <w:spacing w:after="0"/>
              <w:rPr>
                <w:sz w:val="20"/>
                <w:szCs w:val="20"/>
                <w:color w:val="auto"/>
              </w:rPr>
            </w:pPr>
            <w:r>
              <w:rPr>
                <w:rFonts w:ascii="Arial" w:cs="Arial" w:eastAsia="Arial" w:hAnsi="Arial"/>
                <w:sz w:val="14"/>
                <w:szCs w:val="14"/>
                <w:color w:val="auto"/>
                <w:w w:val="93"/>
              </w:rPr>
              <w:t>(Zip Code)</w:t>
            </w:r>
          </w:p>
        </w:tc>
      </w:tr>
    </w:tbl>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(212) 418-0100</w:t>
      </w:r>
    </w:p>
    <w:p>
      <w:pPr>
        <w:spacing w:after="0" w:line="43"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(Registrant’s telephone number, including area code)</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 w:lineRule="exact"/>
        <w:rPr>
          <w:sz w:val="24"/>
          <w:szCs w:val="24"/>
          <w:color w:val="auto"/>
        </w:rPr>
      </w:pPr>
    </w:p>
    <w:tbl>
      <w:tblPr>
        <w:tblLayout w:type="fixed"/>
        <w:tblInd w:w="380" w:type="dxa"/>
        <w:tblCellMar>
          <w:top w:w="0" w:type="dxa"/>
          <w:left w:w="0" w:type="dxa"/>
          <w:bottom w:w="0" w:type="dxa"/>
          <w:right w:w="0" w:type="dxa"/>
        </w:tblCellMar>
      </w:tblPr>
      <w:tr>
        <w:trPr>
          <w:trHeight w:val="188"/>
        </w:trPr>
        <w:tc>
          <w:tcPr>
            <w:tcW w:w="442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8"/>
              </w:rPr>
              <w:t>Trading symbol(s)</w:t>
            </w:r>
          </w:p>
        </w:tc>
        <w:tc>
          <w:tcPr>
            <w:tcW w:w="120" w:type="dxa"/>
            <w:vAlign w:val="bottom"/>
            <w:tcBorders>
              <w:bottom w:val="single" w:sz="8" w:color="CCEEFF"/>
            </w:tcBorders>
          </w:tcPr>
          <w:p>
            <w:pPr>
              <w:spacing w:after="0"/>
              <w:rPr>
                <w:sz w:val="16"/>
                <w:szCs w:val="16"/>
                <w:color w:val="auto"/>
              </w:rPr>
            </w:pPr>
          </w:p>
        </w:tc>
        <w:tc>
          <w:tcPr>
            <w:tcW w:w="4060" w:type="dxa"/>
            <w:vAlign w:val="bottom"/>
            <w:tcBorders>
              <w:bottom w:val="single" w:sz="8" w:color="auto"/>
            </w:tcBorders>
          </w:tcPr>
          <w:p>
            <w:pPr>
              <w:jc w:val="center"/>
              <w:ind w:left="206"/>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8"/>
        </w:trPr>
        <w:tc>
          <w:tcPr>
            <w:tcW w:w="45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Class A common stock, par value $0.00001 per share</w:t>
            </w:r>
          </w:p>
        </w:tc>
        <w:tc>
          <w:tcPr>
            <w:tcW w:w="2240" w:type="dxa"/>
            <w:vAlign w:val="bottom"/>
            <w:gridSpan w:val="2"/>
            <w:shd w:val="clear" w:color="auto" w:fill="CCEEFF"/>
          </w:tcPr>
          <w:p>
            <w:pPr>
              <w:jc w:val="center"/>
              <w:ind w:left="126"/>
              <w:spacing w:after="0"/>
              <w:rPr>
                <w:sz w:val="20"/>
                <w:szCs w:val="20"/>
                <w:color w:val="auto"/>
              </w:rPr>
            </w:pPr>
            <w:r>
              <w:rPr>
                <w:rFonts w:ascii="Arial" w:cs="Arial" w:eastAsia="Arial" w:hAnsi="Arial"/>
                <w:sz w:val="16"/>
                <w:szCs w:val="16"/>
                <w:color w:val="auto"/>
                <w:w w:val="98"/>
              </w:rPr>
              <w:t>VIRT</w:t>
            </w:r>
          </w:p>
        </w:tc>
        <w:tc>
          <w:tcPr>
            <w:tcW w:w="4060" w:type="dxa"/>
            <w:vAlign w:val="bottom"/>
            <w:shd w:val="clear" w:color="auto" w:fill="CCEEFF"/>
          </w:tcPr>
          <w:p>
            <w:pPr>
              <w:jc w:val="center"/>
              <w:ind w:left="206"/>
              <w:spacing w:after="0"/>
              <w:rPr>
                <w:sz w:val="20"/>
                <w:szCs w:val="20"/>
                <w:color w:val="auto"/>
              </w:rPr>
            </w:pPr>
            <w:r>
              <w:rPr>
                <w:rFonts w:ascii="Arial" w:cs="Arial" w:eastAsia="Arial" w:hAnsi="Arial"/>
                <w:sz w:val="16"/>
                <w:szCs w:val="16"/>
                <w:color w:val="auto"/>
                <w:w w:val="94"/>
              </w:rPr>
              <w:t>The NASDAQ Stock Market LLC</w:t>
            </w:r>
          </w:p>
        </w:tc>
      </w:tr>
    </w:tbl>
    <w:p>
      <w:pPr>
        <w:spacing w:after="0" w:line="95" w:lineRule="exact"/>
        <w:rPr>
          <w:sz w:val="24"/>
          <w:szCs w:val="24"/>
          <w:color w:val="auto"/>
        </w:rPr>
      </w:pPr>
    </w:p>
    <w:p>
      <w:pPr>
        <w:jc w:val="both"/>
        <w:ind w:right="180" w:firstLine="314"/>
        <w:spacing w:after="0" w:line="298"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6" w:lineRule="exact"/>
        <w:rPr>
          <w:sz w:val="24"/>
          <w:szCs w:val="24"/>
          <w:color w:val="auto"/>
        </w:rPr>
      </w:pPr>
    </w:p>
    <w:p>
      <w:pPr>
        <w:ind w:right="520" w:firstLine="314"/>
        <w:spacing w:after="0" w:line="21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6" w:lineRule="exact"/>
        <w:rPr>
          <w:sz w:val="24"/>
          <w:szCs w:val="24"/>
          <w:color w:val="auto"/>
        </w:rPr>
      </w:pPr>
    </w:p>
    <w:p>
      <w:pPr>
        <w:ind w:right="260" w:firstLine="314"/>
        <w:spacing w:after="0" w:line="37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 w:lineRule="exact"/>
        <w:rPr>
          <w:sz w:val="24"/>
          <w:szCs w:val="24"/>
          <w:color w:val="auto"/>
        </w:rPr>
      </w:pPr>
    </w:p>
    <w:p>
      <w:pPr>
        <w:jc w:val="right"/>
        <w:ind w:left="1180" w:right="880"/>
        <w:spacing w:after="0" w:line="236"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Arial" w:cs="Arial" w:eastAsia="Arial" w:hAnsi="Arial"/>
          <w:sz w:val="14"/>
          <w:szCs w:val="14"/>
          <w:color w:val="auto"/>
        </w:rPr>
        <w:t xml:space="preserve">               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100" w:firstLine="314"/>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8680" w:type="dxa"/>
            <w:vAlign w:val="bottom"/>
            <w:vMerge w:val="restart"/>
          </w:tcPr>
          <w:p>
            <w:pPr>
              <w:ind w:left="4160"/>
              <w:spacing w:after="0"/>
              <w:rPr>
                <w:sz w:val="20"/>
                <w:szCs w:val="20"/>
                <w:color w:val="auto"/>
              </w:rPr>
            </w:pPr>
            <w:r>
              <w:rPr>
                <w:rFonts w:ascii="Arial" w:cs="Arial" w:eastAsia="Arial" w:hAnsi="Arial"/>
                <w:sz w:val="14"/>
                <w:szCs w:val="14"/>
                <w:b w:val="1"/>
                <w:bCs w:val="1"/>
                <w:color w:val="auto"/>
              </w:rPr>
              <w:t>Class of Stock</w:t>
            </w:r>
          </w:p>
        </w:tc>
        <w:tc>
          <w:tcPr>
            <w:tcW w:w="100" w:type="dxa"/>
            <w:vAlign w:val="bottom"/>
            <w:vMerge w:val="restart"/>
          </w:tcPr>
          <w:p>
            <w:pPr>
              <w:spacing w:after="0"/>
              <w:rPr>
                <w:sz w:val="14"/>
                <w:szCs w:val="14"/>
                <w:color w:val="auto"/>
              </w:rPr>
            </w:pPr>
          </w:p>
        </w:tc>
        <w:tc>
          <w:tcPr>
            <w:tcW w:w="2040" w:type="dxa"/>
            <w:vAlign w:val="bottom"/>
          </w:tcPr>
          <w:p>
            <w:pPr>
              <w:ind w:left="540"/>
              <w:spacing w:after="0"/>
              <w:rPr>
                <w:sz w:val="20"/>
                <w:szCs w:val="20"/>
                <w:color w:val="auto"/>
              </w:rPr>
            </w:pPr>
            <w:r>
              <w:rPr>
                <w:rFonts w:ascii="Arial" w:cs="Arial" w:eastAsia="Arial" w:hAnsi="Arial"/>
                <w:sz w:val="14"/>
                <w:szCs w:val="14"/>
                <w:b w:val="1"/>
                <w:bCs w:val="1"/>
                <w:color w:val="auto"/>
                <w:w w:val="88"/>
              </w:rPr>
              <w:t>Shares outstanding 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4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May 7, 2021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A common stock, par value $0.00001 per share</w:t>
            </w:r>
          </w:p>
        </w:tc>
        <w:tc>
          <w:tcPr>
            <w:tcW w:w="2040" w:type="dxa"/>
            <w:vAlign w:val="bottom"/>
            <w:shd w:val="clear" w:color="auto" w:fill="CCEEFF"/>
          </w:tcPr>
          <w:p>
            <w:pPr>
              <w:jc w:val="center"/>
              <w:ind w:left="385"/>
              <w:spacing w:after="0"/>
              <w:rPr>
                <w:sz w:val="20"/>
                <w:szCs w:val="20"/>
                <w:color w:val="auto"/>
              </w:rPr>
            </w:pPr>
            <w:r>
              <w:rPr>
                <w:rFonts w:ascii="Arial" w:cs="Arial" w:eastAsia="Arial" w:hAnsi="Arial"/>
                <w:sz w:val="16"/>
                <w:szCs w:val="16"/>
                <w:color w:val="auto"/>
                <w:w w:val="87"/>
              </w:rPr>
              <w:t>119,548,903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780" w:type="dxa"/>
            <w:vAlign w:val="bottom"/>
            <w:gridSpan w:val="2"/>
          </w:tcPr>
          <w:p>
            <w:pPr>
              <w:ind w:left="480"/>
              <w:spacing w:after="0"/>
              <w:rPr>
                <w:sz w:val="20"/>
                <w:szCs w:val="20"/>
                <w:color w:val="auto"/>
              </w:rPr>
            </w:pPr>
            <w:r>
              <w:rPr>
                <w:rFonts w:ascii="Arial" w:cs="Arial" w:eastAsia="Arial" w:hAnsi="Arial"/>
                <w:sz w:val="16"/>
                <w:szCs w:val="16"/>
                <w:color w:val="auto"/>
              </w:rPr>
              <w:t>Class C common stock, par value $0.00001 per share</w:t>
            </w:r>
          </w:p>
        </w:tc>
        <w:tc>
          <w:tcPr>
            <w:tcW w:w="2040" w:type="dxa"/>
            <w:vAlign w:val="bottom"/>
          </w:tcPr>
          <w:p>
            <w:pPr>
              <w:jc w:val="center"/>
              <w:ind w:left="405"/>
              <w:spacing w:after="0"/>
              <w:rPr>
                <w:sz w:val="20"/>
                <w:szCs w:val="20"/>
                <w:color w:val="auto"/>
              </w:rPr>
            </w:pPr>
            <w:r>
              <w:rPr>
                <w:rFonts w:ascii="Arial" w:cs="Arial" w:eastAsia="Arial" w:hAnsi="Arial"/>
                <w:sz w:val="16"/>
                <w:szCs w:val="16"/>
                <w:color w:val="auto"/>
                <w:w w:val="89"/>
              </w:rPr>
              <w:t>10,135,182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78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Class D common stock, par value $0.00001 per share</w:t>
            </w:r>
          </w:p>
        </w:tc>
        <w:tc>
          <w:tcPr>
            <w:tcW w:w="2040" w:type="dxa"/>
            <w:vAlign w:val="bottom"/>
            <w:shd w:val="clear" w:color="auto" w:fill="CCEEFF"/>
          </w:tcPr>
          <w:p>
            <w:pPr>
              <w:jc w:val="center"/>
              <w:ind w:left="405"/>
              <w:spacing w:after="0"/>
              <w:rPr>
                <w:sz w:val="20"/>
                <w:szCs w:val="20"/>
                <w:color w:val="auto"/>
              </w:rPr>
            </w:pPr>
            <w:r>
              <w:rPr>
                <w:rFonts w:ascii="Arial" w:cs="Arial" w:eastAsia="Arial" w:hAnsi="Arial"/>
                <w:sz w:val="16"/>
                <w:szCs w:val="16"/>
                <w:color w:val="auto"/>
                <w:w w:val="89"/>
              </w:rPr>
              <w:t>60,091,740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4" w:right="239" w:bottom="1440" w:gutter="0" w:footer="0" w:header="0"/>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 ENDED March 31, 2021</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Pr>
          <w:p>
            <w:pPr>
              <w:jc w:val="right"/>
              <w:ind w:right="315"/>
              <w:spacing w:after="0"/>
              <w:rPr>
                <w:sz w:val="20"/>
                <w:szCs w:val="20"/>
                <w:color w:val="auto"/>
              </w:rPr>
            </w:pPr>
            <w:r>
              <w:rPr>
                <w:rFonts w:ascii="Arial" w:cs="Arial" w:eastAsia="Arial" w:hAnsi="Arial"/>
                <w:sz w:val="14"/>
                <w:szCs w:val="14"/>
                <w:b w:val="1"/>
                <w:bCs w:val="1"/>
                <w:color w:val="auto"/>
              </w:rPr>
              <w:t>PAGE</w:t>
            </w:r>
          </w:p>
        </w:tc>
      </w:tr>
      <w:tr>
        <w:trPr>
          <w:trHeight w:val="182"/>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NUMBER</w:t>
            </w:r>
          </w:p>
        </w:tc>
      </w:tr>
      <w:tr>
        <w:trPr>
          <w:trHeight w:val="400"/>
        </w:trPr>
        <w:tc>
          <w:tcPr>
            <w:tcW w:w="660" w:type="dxa"/>
            <w:vAlign w:val="bottom"/>
            <w:gridSpan w:val="2"/>
          </w:tcPr>
          <w:p>
            <w:pPr>
              <w:spacing w:after="0"/>
              <w:rPr>
                <w:sz w:val="20"/>
                <w:szCs w:val="20"/>
                <w:color w:val="auto"/>
              </w:rPr>
            </w:pPr>
            <w:r>
              <w:rPr>
                <w:rFonts w:ascii="Arial" w:cs="Arial" w:eastAsia="Arial" w:hAnsi="Arial"/>
                <w:sz w:val="17"/>
                <w:szCs w:val="17"/>
                <w:color w:val="0000FF"/>
                <w:w w:val="98"/>
              </w:rPr>
              <w:t>PART I -</w:t>
            </w:r>
          </w:p>
        </w:tc>
        <w:tc>
          <w:tcPr>
            <w:tcW w:w="760" w:type="dxa"/>
            <w:vAlign w:val="bottom"/>
            <w:gridSpan w:val="2"/>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69">
              <w:r>
                <w:rPr>
                  <w:rFonts w:ascii="Arial" w:cs="Arial" w:eastAsia="Arial" w:hAnsi="Arial"/>
                  <w:sz w:val="17"/>
                  <w:szCs w:val="17"/>
                  <w:color w:val="0000FF"/>
                </w:rPr>
                <w:t>FINANCIAL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3">
              <w:r>
                <w:rPr>
                  <w:rFonts w:ascii="Arial" w:cs="Arial" w:eastAsia="Arial" w:hAnsi="Arial"/>
                  <w:sz w:val="17"/>
                  <w:szCs w:val="17"/>
                  <w:color w:val="0000FF"/>
                  <w:w w:val="99"/>
                </w:rPr>
                <w:t>Item 1.</w:t>
              </w:r>
            </w:hyperlink>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90"/>
              </w:rPr>
            </w:pPr>
            <w:hyperlink w:anchor="page3">
              <w:r>
                <w:rPr>
                  <w:rFonts w:ascii="Arial" w:cs="Arial" w:eastAsia="Arial" w:hAnsi="Arial"/>
                  <w:sz w:val="17"/>
                  <w:szCs w:val="17"/>
                  <w:color w:val="0000FF"/>
                  <w:w w:val="90"/>
                </w:rPr>
                <w:t>Financial Statements</w:t>
              </w:r>
            </w:hyperlink>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9"/>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5"/>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Statements of Financial Condition (Unaudited)</w:t>
              </w:r>
            </w:hyperlink>
          </w:p>
        </w:tc>
        <w:tc>
          <w:tcPr>
            <w:tcW w:w="3500" w:type="dxa"/>
            <w:vAlign w:val="bottom"/>
            <w:gridSpan w:val="3"/>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20" w:type="dxa"/>
            <w:vAlign w:val="bottom"/>
            <w:tcBorders>
              <w:bottom w:val="single" w:sz="8" w:color="0000FF"/>
            </w:tcBorders>
            <w:gridSpan w:val="16"/>
          </w:tcPr>
          <w:p>
            <w:pPr>
              <w:spacing w:after="0"/>
              <w:rPr>
                <w:rFonts w:ascii="Arial" w:cs="Arial" w:eastAsia="Arial" w:hAnsi="Arial"/>
                <w:sz w:val="17"/>
                <w:szCs w:val="17"/>
                <w:color w:val="0000FF"/>
                <w:w w:val="92"/>
              </w:rPr>
            </w:pPr>
            <w:hyperlink w:anchor="page5">
              <w:r>
                <w:rPr>
                  <w:rFonts w:ascii="Arial" w:cs="Arial" w:eastAsia="Arial" w:hAnsi="Arial"/>
                  <w:sz w:val="17"/>
                  <w:szCs w:val="17"/>
                  <w:color w:val="0000FF"/>
                  <w:w w:val="92"/>
                </w:rPr>
                <w:t>Condensed Consolidated Statements of Comprehensive Income (Loss) (Unaudited)</w:t>
              </w:r>
            </w:hyperlink>
          </w:p>
        </w:tc>
        <w:tc>
          <w:tcPr>
            <w:tcW w:w="2740" w:type="dxa"/>
            <w:vAlign w:val="bottom"/>
            <w:gridSpan w:val="2"/>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bottom w:val="single" w:sz="8" w:color="0000FF"/>
            </w:tcBorders>
            <w:gridSpan w:val="14"/>
          </w:tcPr>
          <w:p>
            <w:pPr>
              <w:spacing w:after="0"/>
              <w:rPr>
                <w:rFonts w:ascii="Arial" w:cs="Arial" w:eastAsia="Arial" w:hAnsi="Arial"/>
                <w:sz w:val="17"/>
                <w:szCs w:val="17"/>
                <w:color w:val="0000FF"/>
                <w:w w:val="92"/>
              </w:rPr>
            </w:pPr>
            <w:hyperlink w:anchor="page6">
              <w:r>
                <w:rPr>
                  <w:rFonts w:ascii="Arial" w:cs="Arial" w:eastAsia="Arial" w:hAnsi="Arial"/>
                  <w:sz w:val="17"/>
                  <w:szCs w:val="17"/>
                  <w:color w:val="0000FF"/>
                  <w:w w:val="92"/>
                </w:rPr>
                <w:t>Condensed Consolidated Statements of Changes in Equity (Unaudited)</w:t>
              </w:r>
            </w:hyperlink>
          </w:p>
        </w:tc>
        <w:tc>
          <w:tcPr>
            <w:tcW w:w="3600" w:type="dxa"/>
            <w:vAlign w:val="bottom"/>
            <w:gridSpan w:val="4"/>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Condensed Consolidated Statements of Cash Flows (Unaudited)</w:t>
              </w:r>
            </w:hyperlink>
          </w:p>
        </w:tc>
        <w:tc>
          <w:tcPr>
            <w:tcW w:w="1160" w:type="dxa"/>
            <w:vAlign w:val="bottom"/>
          </w:tcPr>
          <w:p>
            <w:pPr>
              <w:jc w:val="right"/>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3"/>
          </w:tcPr>
          <w:p>
            <w:pPr>
              <w:spacing w:after="0"/>
              <w:rPr>
                <w:rFonts w:ascii="Arial" w:cs="Arial" w:eastAsia="Arial" w:hAnsi="Arial"/>
                <w:sz w:val="17"/>
                <w:szCs w:val="17"/>
                <w:color w:val="0000FF"/>
                <w:w w:val="91"/>
              </w:rPr>
            </w:pPr>
            <w:hyperlink w:anchor="page9">
              <w:r>
                <w:rPr>
                  <w:rFonts w:ascii="Arial" w:cs="Arial" w:eastAsia="Arial" w:hAnsi="Arial"/>
                  <w:sz w:val="17"/>
                  <w:szCs w:val="17"/>
                  <w:color w:val="0000FF"/>
                  <w:w w:val="91"/>
                </w:rPr>
                <w:t>Notes to Condensed Consolidated Financial Statements (Unaudited)</w:t>
              </w:r>
            </w:hyperlink>
          </w:p>
        </w:tc>
        <w:tc>
          <w:tcPr>
            <w:tcW w:w="3800" w:type="dxa"/>
            <w:vAlign w:val="bottom"/>
            <w:gridSpan w:val="5"/>
          </w:tcPr>
          <w:p>
            <w:pPr>
              <w:spacing w:after="0"/>
              <w:rPr>
                <w:sz w:val="17"/>
                <w:szCs w:val="17"/>
                <w:color w:val="auto"/>
              </w:rPr>
            </w:pPr>
          </w:p>
        </w:tc>
        <w:tc>
          <w:tcPr>
            <w:tcW w:w="1160" w:type="dxa"/>
            <w:vAlign w:val="bottom"/>
          </w:tcPr>
          <w:p>
            <w:pPr>
              <w:jc w:val="right"/>
              <w:spacing w:after="0"/>
              <w:rPr>
                <w:rFonts w:ascii="Arial" w:cs="Arial" w:eastAsia="Arial" w:hAnsi="Arial"/>
                <w:sz w:val="17"/>
                <w:szCs w:val="17"/>
                <w:color w:val="0000FF"/>
              </w:rPr>
            </w:pPr>
            <w:hyperlink w:anchor="page9">
              <w:r>
                <w:rPr>
                  <w:rFonts w:ascii="Arial" w:cs="Arial" w:eastAsia="Arial" w:hAnsi="Arial"/>
                  <w:sz w:val="17"/>
                  <w:szCs w:val="17"/>
                  <w:color w:val="0000FF"/>
                </w:rPr>
                <w:t>9</w:t>
              </w:r>
            </w:hyperlink>
          </w:p>
        </w:tc>
      </w:tr>
      <w:tr>
        <w:trPr>
          <w:trHeight w:val="425"/>
        </w:trPr>
        <w:tc>
          <w:tcPr>
            <w:tcW w:w="540" w:type="dxa"/>
            <w:vAlign w:val="bottom"/>
          </w:tcPr>
          <w:p>
            <w:pPr>
              <w:spacing w:after="0"/>
              <w:rPr>
                <w:rFonts w:ascii="Arial" w:cs="Arial" w:eastAsia="Arial" w:hAnsi="Arial"/>
                <w:sz w:val="17"/>
                <w:szCs w:val="17"/>
                <w:color w:val="0000FF"/>
                <w:w w:val="99"/>
              </w:rPr>
            </w:pPr>
            <w:hyperlink w:anchor="page42">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Management’s Discussion and Analysis of Financial Condition and Results of Operations</w:t>
              </w:r>
            </w:hyperlink>
          </w:p>
        </w:tc>
        <w:tc>
          <w:tcPr>
            <w:tcW w:w="1160" w:type="dxa"/>
            <w:vAlign w:val="bottom"/>
          </w:tcPr>
          <w:p>
            <w:pPr>
              <w:jc w:val="right"/>
              <w:spacing w:after="0"/>
              <w:rPr>
                <w:rFonts w:ascii="Arial" w:cs="Arial" w:eastAsia="Arial" w:hAnsi="Arial"/>
                <w:sz w:val="17"/>
                <w:szCs w:val="17"/>
                <w:color w:val="0000FF"/>
              </w:rPr>
            </w:pPr>
            <w:hyperlink w:anchor="page42">
              <w:r>
                <w:rPr>
                  <w:rFonts w:ascii="Arial" w:cs="Arial" w:eastAsia="Arial" w:hAnsi="Arial"/>
                  <w:sz w:val="17"/>
                  <w:szCs w:val="17"/>
                  <w:color w:val="0000FF"/>
                </w:rPr>
                <w:t>42</w:t>
              </w:r>
            </w:hyperlink>
          </w:p>
        </w:tc>
      </w:tr>
      <w:tr>
        <w:trPr>
          <w:trHeight w:val="425"/>
        </w:trPr>
        <w:tc>
          <w:tcPr>
            <w:tcW w:w="540" w:type="dxa"/>
            <w:vAlign w:val="bottom"/>
            <w:tcBorders>
              <w:top w:val="single" w:sz="8" w:color="0000FF"/>
            </w:tcBorders>
          </w:tcPr>
          <w:p>
            <w:pPr>
              <w:spacing w:after="0"/>
              <w:rPr>
                <w:rFonts w:ascii="Arial" w:cs="Arial" w:eastAsia="Arial" w:hAnsi="Arial"/>
                <w:sz w:val="17"/>
                <w:szCs w:val="17"/>
                <w:color w:val="0000FF"/>
                <w:w w:val="99"/>
              </w:rPr>
            </w:pPr>
            <w:hyperlink w:anchor="page66">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6260" w:type="dxa"/>
            <w:vAlign w:val="bottom"/>
            <w:tcBorders>
              <w:top w:val="single" w:sz="8" w:color="0000FF"/>
            </w:tcBorders>
            <w:gridSpan w:val="17"/>
          </w:tcPr>
          <w:p>
            <w:pPr>
              <w:spacing w:after="0"/>
              <w:rPr>
                <w:rFonts w:ascii="Arial" w:cs="Arial" w:eastAsia="Arial" w:hAnsi="Arial"/>
                <w:sz w:val="17"/>
                <w:szCs w:val="17"/>
                <w:color w:val="0000FF"/>
              </w:rPr>
            </w:pPr>
            <w:hyperlink w:anchor="page66">
              <w:r>
                <w:rPr>
                  <w:rFonts w:ascii="Arial" w:cs="Arial" w:eastAsia="Arial" w:hAnsi="Arial"/>
                  <w:sz w:val="17"/>
                  <w:szCs w:val="17"/>
                  <w:color w:val="0000FF"/>
                </w:rPr>
                <w:t>Quantitative and Qualitative Disclosures About Market Risk</w:t>
              </w:r>
            </w:hyperlink>
          </w:p>
        </w:tc>
        <w:tc>
          <w:tcPr>
            <w:tcW w:w="2300" w:type="dxa"/>
            <w:vAlign w:val="bottom"/>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66">
              <w:r>
                <w:rPr>
                  <w:rFonts w:ascii="Arial" w:cs="Arial" w:eastAsia="Arial" w:hAnsi="Arial"/>
                  <w:sz w:val="17"/>
                  <w:szCs w:val="17"/>
                  <w:color w:val="0000FF"/>
                </w:rPr>
                <w:t>66</w:t>
              </w:r>
            </w:hyperlink>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69">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0"/>
              </w:rPr>
            </w:pPr>
            <w:hyperlink w:anchor="page69">
              <w:r>
                <w:rPr>
                  <w:rFonts w:ascii="Arial" w:cs="Arial" w:eastAsia="Arial" w:hAnsi="Arial"/>
                  <w:sz w:val="17"/>
                  <w:szCs w:val="17"/>
                  <w:color w:val="0000FF"/>
                  <w:w w:val="90"/>
                </w:rPr>
                <w:t>Controls and Procedures</w:t>
              </w:r>
            </w:hyperlink>
          </w:p>
        </w:tc>
        <w:tc>
          <w:tcPr>
            <w:tcW w:w="2500" w:type="dxa"/>
            <w:vAlign w:val="bottom"/>
            <w:tcBorders>
              <w:top w:val="single" w:sz="8" w:color="0000FF"/>
            </w:tcBorders>
            <w:gridSpan w:val="4"/>
          </w:tcPr>
          <w:p>
            <w:pPr>
              <w:spacing w:after="0"/>
              <w:rPr>
                <w:sz w:val="24"/>
                <w:szCs w:val="24"/>
                <w:color w:val="auto"/>
              </w:rPr>
            </w:pPr>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68</w:t>
              </w:r>
            </w:hyperlink>
          </w:p>
        </w:tc>
      </w:tr>
      <w:tr>
        <w:trPr>
          <w:trHeight w:val="425"/>
        </w:trPr>
        <w:tc>
          <w:tcPr>
            <w:tcW w:w="720" w:type="dxa"/>
            <w:vAlign w:val="bottom"/>
            <w:gridSpan w:val="3"/>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PART II -</w:t>
              </w:r>
            </w:hyperlink>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OTHER INFORMATION</w:t>
              </w:r>
            </w:hyperlink>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rFonts w:ascii="Arial" w:cs="Arial" w:eastAsia="Arial" w:hAnsi="Arial"/>
                <w:sz w:val="17"/>
                <w:szCs w:val="17"/>
                <w:color w:val="0000FF"/>
                <w:w w:val="99"/>
              </w:rPr>
            </w:pPr>
            <w:hyperlink w:anchor="page70">
              <w:r>
                <w:rPr>
                  <w:rFonts w:ascii="Arial" w:cs="Arial" w:eastAsia="Arial" w:hAnsi="Arial"/>
                  <w:sz w:val="17"/>
                  <w:szCs w:val="17"/>
                  <w:color w:val="0000FF"/>
                  <w:w w:val="99"/>
                </w:rPr>
                <w:t>Item 1.</w:t>
              </w:r>
            </w:hyperlink>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rFonts w:ascii="Arial" w:cs="Arial" w:eastAsia="Arial" w:hAnsi="Arial"/>
                <w:sz w:val="17"/>
                <w:szCs w:val="17"/>
                <w:color w:val="0000FF"/>
                <w:w w:val="90"/>
              </w:rPr>
            </w:pPr>
            <w:hyperlink w:anchor="page70">
              <w:r>
                <w:rPr>
                  <w:rFonts w:ascii="Arial" w:cs="Arial" w:eastAsia="Arial" w:hAnsi="Arial"/>
                  <w:sz w:val="17"/>
                  <w:szCs w:val="17"/>
                  <w:color w:val="0000FF"/>
                  <w:w w:val="90"/>
                </w:rPr>
                <w:t>Legal Proceedings</w:t>
              </w:r>
            </w:hyperlink>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0"/>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69</w:t>
              </w:r>
            </w:hyperlink>
          </w:p>
        </w:tc>
      </w:tr>
      <w:tr>
        <w:trPr>
          <w:trHeight w:val="425"/>
        </w:trPr>
        <w:tc>
          <w:tcPr>
            <w:tcW w:w="660" w:type="dxa"/>
            <w:vAlign w:val="bottom"/>
            <w:tcBorders>
              <w:bottom w:val="single" w:sz="8" w:color="0000FF"/>
            </w:tcBorders>
            <w:gridSpan w:val="2"/>
          </w:tcPr>
          <w:p>
            <w:pPr>
              <w:spacing w:after="0"/>
              <w:rPr>
                <w:rFonts w:ascii="Arial" w:cs="Arial" w:eastAsia="Arial" w:hAnsi="Arial"/>
                <w:sz w:val="17"/>
                <w:szCs w:val="17"/>
                <w:color w:val="0000FF"/>
              </w:rPr>
            </w:pPr>
            <w:hyperlink w:anchor="page70">
              <w:r>
                <w:rPr>
                  <w:rFonts w:ascii="Arial" w:cs="Arial" w:eastAsia="Arial" w:hAnsi="Arial"/>
                  <w:sz w:val="17"/>
                  <w:szCs w:val="17"/>
                  <w:color w:val="0000FF"/>
                </w:rPr>
                <w:t>Item 1A.</w:t>
              </w:r>
            </w:hyperlink>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rFonts w:ascii="Arial" w:cs="Arial" w:eastAsia="Arial" w:hAnsi="Arial"/>
                <w:sz w:val="17"/>
                <w:szCs w:val="17"/>
                <w:color w:val="0000FF"/>
                <w:w w:val="90"/>
              </w:rPr>
            </w:pPr>
            <w:hyperlink w:anchor="page70">
              <w:r>
                <w:rPr>
                  <w:rFonts w:ascii="Arial" w:cs="Arial" w:eastAsia="Arial" w:hAnsi="Arial"/>
                  <w:sz w:val="17"/>
                  <w:szCs w:val="17"/>
                  <w:color w:val="0000FF"/>
                  <w:w w:val="90"/>
                </w:rPr>
                <w:t>Risk Factors</w:t>
              </w:r>
            </w:hyperlink>
          </w:p>
        </w:tc>
        <w:tc>
          <w:tcPr>
            <w:tcW w:w="7680" w:type="dxa"/>
            <w:vAlign w:val="bottom"/>
            <w:gridSpan w:val="16"/>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0">
              <w:r>
                <w:rPr>
                  <w:rFonts w:ascii="Arial" w:cs="Arial" w:eastAsia="Arial" w:hAnsi="Arial"/>
                  <w:sz w:val="17"/>
                  <w:szCs w:val="17"/>
                  <w:color w:val="0000FF"/>
                  <w:w w:val="99"/>
                </w:rPr>
                <w:t>Item 2.</w:t>
              </w:r>
            </w:hyperlink>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rFonts w:ascii="Arial" w:cs="Arial" w:eastAsia="Arial" w:hAnsi="Arial"/>
                <w:sz w:val="17"/>
                <w:szCs w:val="17"/>
                <w:color w:val="0000FF"/>
                <w:w w:val="91"/>
              </w:rPr>
            </w:pPr>
            <w:hyperlink w:anchor="page70">
              <w:r>
                <w:rPr>
                  <w:rFonts w:ascii="Arial" w:cs="Arial" w:eastAsia="Arial" w:hAnsi="Arial"/>
                  <w:sz w:val="17"/>
                  <w:szCs w:val="17"/>
                  <w:color w:val="0000FF"/>
                  <w:w w:val="91"/>
                </w:rPr>
                <w:t>Unregistered Sales of Equity Securities and Use of Proceeds</w:t>
              </w:r>
            </w:hyperlink>
          </w:p>
        </w:tc>
        <w:tc>
          <w:tcPr>
            <w:tcW w:w="4340" w:type="dxa"/>
            <w:vAlign w:val="bottom"/>
            <w:gridSpan w:val="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0">
              <w:r>
                <w:rPr>
                  <w:rFonts w:ascii="Arial" w:cs="Arial" w:eastAsia="Arial" w:hAnsi="Arial"/>
                  <w:sz w:val="17"/>
                  <w:szCs w:val="17"/>
                  <w:color w:val="0000FF"/>
                  <w:w w:val="99"/>
                </w:rPr>
                <w:t>Item 3.</w:t>
              </w:r>
            </w:hyperlink>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70">
              <w:r>
                <w:rPr>
                  <w:rFonts w:ascii="Arial" w:cs="Arial" w:eastAsia="Arial" w:hAnsi="Arial"/>
                  <w:sz w:val="17"/>
                  <w:szCs w:val="17"/>
                  <w:color w:val="0000FF"/>
                  <w:w w:val="92"/>
                </w:rPr>
                <w:t>Defaults Upon Senior Securities</w:t>
              </w:r>
            </w:hyperlink>
          </w:p>
        </w:tc>
        <w:tc>
          <w:tcPr>
            <w:tcW w:w="6300" w:type="dxa"/>
            <w:vAlign w:val="bottom"/>
            <w:gridSpan w:val="8"/>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69</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1">
              <w:r>
                <w:rPr>
                  <w:rFonts w:ascii="Arial" w:cs="Arial" w:eastAsia="Arial" w:hAnsi="Arial"/>
                  <w:sz w:val="17"/>
                  <w:szCs w:val="17"/>
                  <w:color w:val="0000FF"/>
                  <w:w w:val="99"/>
                </w:rPr>
                <w:t>Item 4.</w:t>
              </w:r>
            </w:hyperlink>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rFonts w:ascii="Arial" w:cs="Arial" w:eastAsia="Arial" w:hAnsi="Arial"/>
                <w:sz w:val="17"/>
                <w:szCs w:val="17"/>
                <w:color w:val="0000FF"/>
                <w:w w:val="93"/>
              </w:rPr>
            </w:pPr>
            <w:hyperlink w:anchor="page71">
              <w:r>
                <w:rPr>
                  <w:rFonts w:ascii="Arial" w:cs="Arial" w:eastAsia="Arial" w:hAnsi="Arial"/>
                  <w:sz w:val="17"/>
                  <w:szCs w:val="17"/>
                  <w:color w:val="0000FF"/>
                  <w:w w:val="93"/>
                </w:rPr>
                <w:t>Mine Safety Disclosures</w:t>
              </w:r>
            </w:hyperlink>
          </w:p>
        </w:tc>
        <w:tc>
          <w:tcPr>
            <w:tcW w:w="6840" w:type="dxa"/>
            <w:vAlign w:val="bottom"/>
            <w:gridSpan w:val="11"/>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1">
              <w:r>
                <w:rPr>
                  <w:rFonts w:ascii="Arial" w:cs="Arial" w:eastAsia="Arial" w:hAnsi="Arial"/>
                  <w:sz w:val="17"/>
                  <w:szCs w:val="17"/>
                  <w:color w:val="0000FF"/>
                </w:rPr>
                <w:t>70</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1">
              <w:r>
                <w:rPr>
                  <w:rFonts w:ascii="Arial" w:cs="Arial" w:eastAsia="Arial" w:hAnsi="Arial"/>
                  <w:sz w:val="17"/>
                  <w:szCs w:val="17"/>
                  <w:color w:val="0000FF"/>
                  <w:w w:val="99"/>
                </w:rPr>
                <w:t>Item 5.</w:t>
              </w:r>
            </w:hyperlink>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95"/>
              </w:rPr>
            </w:pPr>
            <w:hyperlink w:anchor="page71">
              <w:r>
                <w:rPr>
                  <w:rFonts w:ascii="Arial" w:cs="Arial" w:eastAsia="Arial" w:hAnsi="Arial"/>
                  <w:sz w:val="17"/>
                  <w:szCs w:val="17"/>
                  <w:color w:val="0000FF"/>
                  <w:w w:val="95"/>
                </w:rPr>
                <w:t>Other Information</w:t>
              </w:r>
            </w:hyperlink>
          </w:p>
        </w:tc>
        <w:tc>
          <w:tcPr>
            <w:tcW w:w="7280" w:type="dxa"/>
            <w:vAlign w:val="bottom"/>
            <w:gridSpan w:val="14"/>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1">
              <w:r>
                <w:rPr>
                  <w:rFonts w:ascii="Arial" w:cs="Arial" w:eastAsia="Arial" w:hAnsi="Arial"/>
                  <w:sz w:val="17"/>
                  <w:szCs w:val="17"/>
                  <w:color w:val="0000FF"/>
                </w:rPr>
                <w:t>70</w:t>
              </w:r>
            </w:hyperlink>
          </w:p>
        </w:tc>
      </w:tr>
      <w:tr>
        <w:trPr>
          <w:trHeight w:val="425"/>
        </w:trPr>
        <w:tc>
          <w:tcPr>
            <w:tcW w:w="540" w:type="dxa"/>
            <w:vAlign w:val="bottom"/>
            <w:tcBorders>
              <w:bottom w:val="single" w:sz="8" w:color="0000FF"/>
            </w:tcBorders>
          </w:tcPr>
          <w:p>
            <w:pPr>
              <w:spacing w:after="0"/>
              <w:rPr>
                <w:rFonts w:ascii="Arial" w:cs="Arial" w:eastAsia="Arial" w:hAnsi="Arial"/>
                <w:sz w:val="17"/>
                <w:szCs w:val="17"/>
                <w:color w:val="0000FF"/>
                <w:w w:val="99"/>
              </w:rPr>
            </w:pPr>
            <w:hyperlink w:anchor="page71">
              <w:r>
                <w:rPr>
                  <w:rFonts w:ascii="Arial" w:cs="Arial" w:eastAsia="Arial" w:hAnsi="Arial"/>
                  <w:sz w:val="17"/>
                  <w:szCs w:val="17"/>
                  <w:color w:val="0000FF"/>
                  <w:w w:val="99"/>
                </w:rPr>
                <w:t>Item 6.</w:t>
              </w:r>
            </w:hyperlink>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rFonts w:ascii="Arial" w:cs="Arial" w:eastAsia="Arial" w:hAnsi="Arial"/>
                <w:sz w:val="17"/>
                <w:szCs w:val="17"/>
                <w:color w:val="0000FF"/>
                <w:w w:val="94"/>
              </w:rPr>
            </w:pPr>
            <w:hyperlink w:anchor="page71">
              <w:r>
                <w:rPr>
                  <w:rFonts w:ascii="Arial" w:cs="Arial" w:eastAsia="Arial" w:hAnsi="Arial"/>
                  <w:sz w:val="17"/>
                  <w:szCs w:val="17"/>
                  <w:color w:val="0000FF"/>
                  <w:w w:val="94"/>
                </w:rPr>
                <w:t>Exhibits</w:t>
              </w:r>
            </w:hyperlink>
          </w:p>
        </w:tc>
        <w:tc>
          <w:tcPr>
            <w:tcW w:w="7980" w:type="dxa"/>
            <w:vAlign w:val="bottom"/>
            <w:gridSpan w:val="17"/>
          </w:tcPr>
          <w:p>
            <w:pPr>
              <w:spacing w:after="0"/>
              <w:rPr>
                <w:sz w:val="24"/>
                <w:szCs w:val="24"/>
                <w:color w:val="auto"/>
              </w:rPr>
            </w:pPr>
          </w:p>
        </w:tc>
        <w:tc>
          <w:tcPr>
            <w:tcW w:w="1160" w:type="dxa"/>
            <w:vAlign w:val="bottom"/>
          </w:tcPr>
          <w:p>
            <w:pPr>
              <w:jc w:val="right"/>
              <w:spacing w:after="0"/>
              <w:rPr>
                <w:rFonts w:ascii="Arial" w:cs="Arial" w:eastAsia="Arial" w:hAnsi="Arial"/>
                <w:sz w:val="17"/>
                <w:szCs w:val="17"/>
                <w:color w:val="0000FF"/>
              </w:rPr>
            </w:pPr>
            <w:hyperlink w:anchor="page71">
              <w:r>
                <w:rPr>
                  <w:rFonts w:ascii="Arial" w:cs="Arial" w:eastAsia="Arial" w:hAnsi="Arial"/>
                  <w:sz w:val="17"/>
                  <w:szCs w:val="17"/>
                  <w:color w:val="0000FF"/>
                </w:rPr>
                <w:t>70</w:t>
              </w:r>
            </w:hyperlink>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8"/>
          </w:tcPr>
          <w:p>
            <w:pPr>
              <w:spacing w:after="0"/>
              <w:rPr>
                <w:rFonts w:ascii="Arial" w:cs="Arial" w:eastAsia="Arial" w:hAnsi="Arial"/>
                <w:sz w:val="17"/>
                <w:szCs w:val="17"/>
                <w:color w:val="0000FF"/>
              </w:rPr>
            </w:pPr>
            <w:hyperlink w:anchor="page71">
              <w:r>
                <w:rPr>
                  <w:rFonts w:ascii="Arial" w:cs="Arial" w:eastAsia="Arial" w:hAnsi="Arial"/>
                  <w:sz w:val="17"/>
                  <w:szCs w:val="17"/>
                  <w:color w:val="0000FF"/>
                </w:rPr>
                <w:t>SIGNATURES</w:t>
              </w:r>
            </w:hyperlink>
          </w:p>
        </w:tc>
        <w:tc>
          <w:tcPr>
            <w:tcW w:w="1160" w:type="dxa"/>
            <w:vAlign w:val="bottom"/>
          </w:tcPr>
          <w:p>
            <w:pPr>
              <w:jc w:val="right"/>
              <w:spacing w:after="0"/>
              <w:rPr>
                <w:rFonts w:ascii="Arial" w:cs="Arial" w:eastAsia="Arial" w:hAnsi="Arial"/>
                <w:sz w:val="17"/>
                <w:szCs w:val="17"/>
                <w:color w:val="0000FF"/>
              </w:rPr>
            </w:pPr>
            <w:hyperlink w:anchor="page71">
              <w:r>
                <w:rPr>
                  <w:rFonts w:ascii="Arial" w:cs="Arial" w:eastAsia="Arial" w:hAnsi="Arial"/>
                  <w:sz w:val="17"/>
                  <w:szCs w:val="17"/>
                  <w:color w:val="0000FF"/>
                </w:rPr>
                <w:t>71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2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PART I</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55"/>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ITEM 1. FINANCIAL STATEMENTS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0020" w:type="dxa"/>
            <w:vAlign w:val="bottom"/>
            <w:gridSpan w:val="7"/>
          </w:tcPr>
          <w:p>
            <w:pPr>
              <w:spacing w:after="0"/>
              <w:rPr>
                <w:sz w:val="20"/>
                <w:szCs w:val="20"/>
                <w:color w:val="auto"/>
              </w:rPr>
            </w:pPr>
            <w:r>
              <w:rPr>
                <w:rFonts w:ascii="Arial" w:cs="Arial" w:eastAsia="Arial" w:hAnsi="Arial"/>
                <w:sz w:val="17"/>
                <w:szCs w:val="17"/>
                <w:b w:val="1"/>
                <w:bCs w:val="1"/>
                <w:color w:val="auto"/>
              </w:rPr>
              <w:t>Index to Condensed Consolidated Financial Statements</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7"/>
        </w:trPr>
        <w:tc>
          <w:tcPr>
            <w:tcW w:w="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PAGE</w:t>
            </w:r>
          </w:p>
        </w:tc>
      </w:tr>
      <w:tr>
        <w:trPr>
          <w:trHeight w:val="183"/>
        </w:trPr>
        <w:tc>
          <w:tcPr>
            <w:tcW w:w="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NUMBER</w:t>
            </w:r>
          </w:p>
        </w:tc>
      </w:tr>
      <w:tr>
        <w:trPr>
          <w:trHeight w:val="387"/>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Financial Condition (Unaudited)</w:t>
              </w:r>
            </w:hyperlink>
          </w:p>
        </w:tc>
        <w:tc>
          <w:tcPr>
            <w:tcW w:w="1220" w:type="dxa"/>
            <w:vAlign w:val="bottom"/>
            <w:gridSpan w:val="3"/>
          </w:tcPr>
          <w:p>
            <w:pPr>
              <w:jc w:val="right"/>
              <w:ind w:right="4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Comprehensive Income (Loss) (Unaudited)</w:t>
              </w:r>
            </w:hyperlink>
          </w:p>
        </w:tc>
        <w:tc>
          <w:tcPr>
            <w:tcW w:w="1220" w:type="dxa"/>
            <w:vAlign w:val="bottom"/>
            <w:gridSpan w:val="3"/>
          </w:tcPr>
          <w:p>
            <w:pPr>
              <w:jc w:val="right"/>
              <w:ind w:right="40"/>
              <w:spacing w:after="0"/>
              <w:rPr>
                <w:rFonts w:ascii="Arial" w:cs="Arial" w:eastAsia="Arial" w:hAnsi="Arial"/>
                <w:sz w:val="17"/>
                <w:szCs w:val="17"/>
                <w:color w:val="0000FF"/>
              </w:rPr>
            </w:pPr>
            <w:hyperlink w:anchor="page5">
              <w:r>
                <w:rPr>
                  <w:rFonts w:ascii="Arial" w:cs="Arial" w:eastAsia="Arial" w:hAnsi="Arial"/>
                  <w:sz w:val="17"/>
                  <w:szCs w:val="17"/>
                  <w:color w:val="0000FF"/>
                </w:rPr>
                <w:t>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5800" w:type="dxa"/>
            <w:vAlign w:val="bottom"/>
            <w:gridSpan w:val="5"/>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Condensed Consolidated Statements of Changes in Equity (Unaudited)</w:t>
              </w:r>
            </w:hyperlink>
          </w:p>
        </w:tc>
        <w:tc>
          <w:tcPr>
            <w:tcW w:w="4160" w:type="dxa"/>
            <w:vAlign w:val="bottom"/>
          </w:tcPr>
          <w:p>
            <w:pPr>
              <w:spacing w:after="0"/>
              <w:rPr>
                <w:sz w:val="24"/>
                <w:szCs w:val="24"/>
                <w:color w:val="auto"/>
              </w:rPr>
            </w:pPr>
          </w:p>
        </w:tc>
        <w:tc>
          <w:tcPr>
            <w:tcW w:w="1220" w:type="dxa"/>
            <w:vAlign w:val="bottom"/>
            <w:gridSpan w:val="3"/>
          </w:tcPr>
          <w:p>
            <w:pPr>
              <w:jc w:val="right"/>
              <w:ind w:right="40"/>
              <w:spacing w:after="0"/>
              <w:rPr>
                <w:rFonts w:ascii="Arial" w:cs="Arial" w:eastAsia="Arial" w:hAnsi="Arial"/>
                <w:sz w:val="17"/>
                <w:szCs w:val="17"/>
                <w:color w:val="0000FF"/>
              </w:rPr>
            </w:pPr>
            <w:hyperlink w:anchor="page6">
              <w:r>
                <w:rPr>
                  <w:rFonts w:ascii="Arial" w:cs="Arial" w:eastAsia="Arial" w:hAnsi="Arial"/>
                  <w:sz w:val="17"/>
                  <w:szCs w:val="17"/>
                  <w:color w:val="0000FF"/>
                </w:rPr>
                <w:t>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4480" w:type="dxa"/>
            <w:vAlign w:val="bottom"/>
          </w:tcPr>
          <w:p>
            <w:pPr>
              <w:spacing w:after="0"/>
              <w:rPr>
                <w:rFonts w:ascii="Arial" w:cs="Arial" w:eastAsia="Arial" w:hAnsi="Arial"/>
                <w:sz w:val="17"/>
                <w:szCs w:val="17"/>
                <w:color w:val="0000FF"/>
                <w:w w:val="91"/>
              </w:rPr>
            </w:pPr>
            <w:hyperlink w:anchor="page7">
              <w:r>
                <w:rPr>
                  <w:rFonts w:ascii="Arial" w:cs="Arial" w:eastAsia="Arial" w:hAnsi="Arial"/>
                  <w:sz w:val="17"/>
                  <w:szCs w:val="17"/>
                  <w:color w:val="0000FF"/>
                  <w:w w:val="91"/>
                </w:rPr>
                <w:t>Condensed Consolidated Statements of Cash Flows (Unaudited)</w:t>
              </w:r>
            </w:hyperlink>
          </w:p>
        </w:tc>
        <w:tc>
          <w:tcPr>
            <w:tcW w:w="460" w:type="dxa"/>
            <w:vAlign w:val="bottom"/>
            <w:gridSpan w:val="2"/>
          </w:tcPr>
          <w:p>
            <w:pPr>
              <w:spacing w:after="0"/>
              <w:rPr>
                <w:sz w:val="24"/>
                <w:szCs w:val="24"/>
                <w:color w:val="auto"/>
              </w:rPr>
            </w:pPr>
          </w:p>
        </w:tc>
        <w:tc>
          <w:tcPr>
            <w:tcW w:w="5020" w:type="dxa"/>
            <w:vAlign w:val="bottom"/>
            <w:gridSpan w:val="3"/>
          </w:tcPr>
          <w:p>
            <w:pPr>
              <w:spacing w:after="0"/>
              <w:rPr>
                <w:sz w:val="24"/>
                <w:szCs w:val="24"/>
                <w:color w:val="auto"/>
              </w:rPr>
            </w:pPr>
          </w:p>
        </w:tc>
        <w:tc>
          <w:tcPr>
            <w:tcW w:w="1220" w:type="dxa"/>
            <w:vAlign w:val="bottom"/>
            <w:gridSpan w:val="3"/>
          </w:tcPr>
          <w:p>
            <w:pPr>
              <w:jc w:val="right"/>
              <w:ind w:right="40"/>
              <w:spacing w:after="0"/>
              <w:rPr>
                <w:rFonts w:ascii="Arial" w:cs="Arial" w:eastAsia="Arial" w:hAnsi="Arial"/>
                <w:sz w:val="17"/>
                <w:szCs w:val="17"/>
                <w:color w:val="0000FF"/>
              </w:rPr>
            </w:pPr>
            <w:hyperlink w:anchor="page7">
              <w:r>
                <w:rPr>
                  <w:rFonts w:ascii="Arial" w:cs="Arial" w:eastAsia="Arial" w:hAnsi="Arial"/>
                  <w:sz w:val="17"/>
                  <w:szCs w:val="17"/>
                  <w:color w:val="0000FF"/>
                </w:rPr>
                <w:t>7</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60" w:type="dxa"/>
            <w:vAlign w:val="bottom"/>
          </w:tcPr>
          <w:p>
            <w:pPr>
              <w:spacing w:after="0"/>
              <w:rPr>
                <w:sz w:val="24"/>
                <w:szCs w:val="24"/>
                <w:color w:val="auto"/>
              </w:rPr>
            </w:pPr>
          </w:p>
        </w:tc>
        <w:tc>
          <w:tcPr>
            <w:tcW w:w="9960" w:type="dxa"/>
            <w:vAlign w:val="bottom"/>
            <w:gridSpan w:val="6"/>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Notes to Condensed Consolidated Financial Statements (Unaudited)</w:t>
              </w:r>
            </w:hyperlink>
          </w:p>
        </w:tc>
        <w:tc>
          <w:tcPr>
            <w:tcW w:w="1220" w:type="dxa"/>
            <w:vAlign w:val="bottom"/>
            <w:gridSpan w:val="3"/>
          </w:tcPr>
          <w:p>
            <w:pPr>
              <w:jc w:val="right"/>
              <w:ind w:right="40"/>
              <w:spacing w:after="0"/>
              <w:rPr>
                <w:rFonts w:ascii="Arial" w:cs="Arial" w:eastAsia="Arial" w:hAnsi="Arial"/>
                <w:sz w:val="17"/>
                <w:szCs w:val="17"/>
                <w:color w:val="0000FF"/>
              </w:rPr>
            </w:pPr>
            <w:hyperlink w:anchor="page9">
              <w:r>
                <w:rPr>
                  <w:rFonts w:ascii="Arial" w:cs="Arial" w:eastAsia="Arial" w:hAnsi="Arial"/>
                  <w:sz w:val="17"/>
                  <w:szCs w:val="17"/>
                  <w:color w:val="0000FF"/>
                </w:rPr>
                <w:t>9</w:t>
              </w:r>
            </w:hyperlink>
          </w:p>
        </w:tc>
      </w:tr>
      <w:tr>
        <w:trPr>
          <w:trHeight w:val="870"/>
        </w:trPr>
        <w:tc>
          <w:tcPr>
            <w:tcW w:w="60" w:type="dxa"/>
            <w:vAlign w:val="bottom"/>
          </w:tcPr>
          <w:p>
            <w:pPr>
              <w:spacing w:after="0"/>
              <w:rPr>
                <w:sz w:val="24"/>
                <w:szCs w:val="24"/>
                <w:color w:val="auto"/>
              </w:rPr>
            </w:pPr>
          </w:p>
        </w:tc>
        <w:tc>
          <w:tcPr>
            <w:tcW w:w="4740" w:type="dxa"/>
            <w:vAlign w:val="bottom"/>
            <w:tcBorders>
              <w:top w:val="single" w:sz="8" w:color="0000FF"/>
            </w:tcBorders>
            <w:gridSpan w:val="2"/>
          </w:tcPr>
          <w:p>
            <w:pPr>
              <w:spacing w:after="0"/>
              <w:rPr>
                <w:sz w:val="24"/>
                <w:szCs w:val="24"/>
                <w:color w:val="auto"/>
              </w:rPr>
            </w:pPr>
          </w:p>
        </w:tc>
        <w:tc>
          <w:tcPr>
            <w:tcW w:w="1060" w:type="dxa"/>
            <w:vAlign w:val="bottom"/>
            <w:gridSpan w:val="3"/>
          </w:tcPr>
          <w:p>
            <w:pPr>
              <w:jc w:val="right"/>
              <w:ind w:right="113"/>
              <w:spacing w:after="0"/>
              <w:rPr>
                <w:sz w:val="20"/>
                <w:szCs w:val="20"/>
                <w:color w:val="auto"/>
              </w:rPr>
            </w:pPr>
            <w:r>
              <w:rPr>
                <w:rFonts w:ascii="Arial" w:cs="Arial" w:eastAsia="Arial" w:hAnsi="Arial"/>
                <w:sz w:val="17"/>
                <w:szCs w:val="17"/>
                <w:color w:val="auto"/>
              </w:rPr>
              <w:t>2</w:t>
            </w:r>
          </w:p>
        </w:tc>
        <w:tc>
          <w:tcPr>
            <w:tcW w:w="4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6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5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889,559</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Cash restricted or segregated under regulations and other</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122,792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117,446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borrowed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1,425,016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purchased under agreements to resell</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36,071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22,866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broker-dealers and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1,684,006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Trading assets, at fair value:</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Financial instruments owned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2,976,372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2,369,192</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owned and pledged</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929,669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746,539</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Receivables from customers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515,519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214,478</w:t>
            </w: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89"/>
              </w:rPr>
              <w:t>Property, equipment and capitalized software (net of accumulated depreciation of $463,514 and $455,961 as of March 31, 2021 and</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109,697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113,590</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December 31, 2020, respectively)</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252,027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268,864</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1,148,926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1,148,926</w:t>
            </w: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99"/>
              </w:rPr>
              <w:t>Intangibles (net of accumulated amortization of $201,571 and $183,494 as of March 31, 2021 and December 31, 2020,</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436,422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454,499</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Deferred tax assets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183,035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193,070</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assets ($68,750 and $68,316, at fair value, as of March 31, 2021 and December 31, 2020,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240,579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317,747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10,890,631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56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Short-term borrowings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240,444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64,686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Securities loaned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1,191,615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948,256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Securities sold under agreements to repurchase</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410,164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461,235</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Payables to broker-dealers and clearing organizations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1,079,808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876,446</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Payables to customers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347,184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118,826</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Trading liabilities, at fair value: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220"/>
              <w:spacing w:after="0"/>
              <w:rPr>
                <w:sz w:val="20"/>
                <w:szCs w:val="20"/>
                <w:color w:val="auto"/>
              </w:rPr>
            </w:pPr>
            <w:r>
              <w:rPr>
                <w:rFonts w:ascii="Arial" w:cs="Arial" w:eastAsia="Arial" w:hAnsi="Arial"/>
                <w:sz w:val="16"/>
                <w:szCs w:val="16"/>
                <w:color w:val="auto"/>
              </w:rPr>
              <w:t>Financial instruments sold, not yet purchased</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2,984,733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2,923,708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Tax receivable agreement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271,165</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Accounts payable, accrued expenses and other liabilities</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386,328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491,818</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298,890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315,340</w:t>
            </w:r>
          </w:p>
        </w:tc>
        <w:tc>
          <w:tcPr>
            <w:tcW w:w="0" w:type="dxa"/>
            <w:vAlign w:val="bottom"/>
          </w:tcPr>
          <w:p>
            <w:pPr>
              <w:spacing w:after="0"/>
              <w:rPr>
                <w:sz w:val="1"/>
                <w:szCs w:val="1"/>
                <w:color w:val="auto"/>
              </w:rPr>
            </w:pPr>
          </w:p>
        </w:tc>
      </w:tr>
      <w:tr>
        <w:trPr>
          <w:trHeight w:val="206"/>
        </w:trPr>
        <w:tc>
          <w:tcPr>
            <w:tcW w:w="85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Long-term borrowings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1,636,221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1,639,280</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8,846,552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8,110,760</w:t>
            </w:r>
          </w:p>
        </w:tc>
        <w:tc>
          <w:tcPr>
            <w:tcW w:w="0" w:type="dxa"/>
            <w:vAlign w:val="bottom"/>
          </w:tcPr>
          <w:p>
            <w:pPr>
              <w:spacing w:after="0"/>
              <w:rPr>
                <w:sz w:val="1"/>
                <w:szCs w:val="1"/>
                <w:color w:val="auto"/>
              </w:rPr>
            </w:pPr>
          </w:p>
        </w:tc>
      </w:tr>
      <w:tr>
        <w:trPr>
          <w:trHeight w:val="157"/>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13)</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Virtu Financial Inc. Stockholders'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1"/>
              </w:rPr>
              <w:t>Class A common stock (par value $0.00001), Authorized — 1,000,000,000 and 1,000,000,000 shares, Issued — 127,154,019 and</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w w:val="90"/>
              </w:rPr>
              <w:t>125,627,277 shares, Outstanding — 121,261,513 and 122,012,180 shares at March 31, 2021 and December 31, 2020, respectively</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89"/>
              </w:rPr>
              <w:t>Class B common stock (par value $0.00001), Authorized — 175,000,000 and 175,000,000 shares, Issued and Outstanding — 0 and</w:t>
            </w:r>
          </w:p>
        </w:tc>
        <w:tc>
          <w:tcPr>
            <w:tcW w:w="20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0 shares at March 31, 2021 and December 31, 2020, respectively</w:t>
            </w:r>
          </w:p>
        </w:tc>
        <w:tc>
          <w:tcPr>
            <w:tcW w:w="20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8560" w:type="dxa"/>
            <w:vAlign w:val="bottom"/>
            <w:gridSpan w:val="2"/>
          </w:tcPr>
          <w:p>
            <w:pPr>
              <w:ind w:left="140"/>
              <w:spacing w:after="0" w:line="161" w:lineRule="exact"/>
              <w:rPr>
                <w:sz w:val="20"/>
                <w:szCs w:val="20"/>
                <w:color w:val="auto"/>
              </w:rPr>
            </w:pPr>
            <w:r>
              <w:rPr>
                <w:rFonts w:ascii="Arial" w:cs="Arial" w:eastAsia="Arial" w:hAnsi="Arial"/>
                <w:sz w:val="16"/>
                <w:szCs w:val="16"/>
                <w:color w:val="auto"/>
                <w:w w:val="96"/>
              </w:rPr>
              <w:t>Class C common stock (par value $0.00001), Authorized — 90,000,000 and 90,000,000 shares, Issued and Outstanding —</w:t>
            </w:r>
          </w:p>
        </w:tc>
        <w:tc>
          <w:tcPr>
            <w:tcW w:w="20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10,135,182 and 10,226,939 shares at March 31, 2021 and December 31, 2020, respectively</w:t>
            </w: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856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6"/>
                <w:szCs w:val="16"/>
                <w:color w:val="auto"/>
                <w:w w:val="94"/>
              </w:rPr>
              <w:t>Class D common stock (par value $0.00001), Authorized — 175,000,000 and 175,000,000 shares, Issued and Outstanding —</w:t>
            </w: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60,091,740 and 60,091,740 shares at March 31, 2021 and December 31, 2020, respectively</w:t>
            </w:r>
          </w:p>
        </w:tc>
        <w:tc>
          <w:tcPr>
            <w:tcW w:w="20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Treasury stock, at cost, 5,892,506 and 3,615,097 shares at March 31, 2021 and December 31, 2020, respectively</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(152,282)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(88,923)</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1,160,567</w:t>
            </w:r>
          </w:p>
        </w:tc>
        <w:tc>
          <w:tcPr>
            <w:tcW w:w="0" w:type="dxa"/>
            <w:vAlign w:val="bottom"/>
          </w:tcPr>
          <w:p>
            <w:pPr>
              <w:spacing w:after="0"/>
              <w:rPr>
                <w:sz w:val="1"/>
                <w:szCs w:val="1"/>
                <w:color w:val="auto"/>
              </w:rPr>
            </w:pPr>
          </w:p>
        </w:tc>
      </w:tr>
      <w:tr>
        <w:trPr>
          <w:trHeight w:val="206"/>
        </w:trPr>
        <w:tc>
          <w:tcPr>
            <w:tcW w:w="8560" w:type="dxa"/>
            <w:vAlign w:val="bottom"/>
            <w:gridSpan w:val="2"/>
          </w:tcPr>
          <w:p>
            <w:pPr>
              <w:ind w:left="140"/>
              <w:spacing w:after="0"/>
              <w:rPr>
                <w:sz w:val="20"/>
                <w:szCs w:val="20"/>
                <w:color w:val="auto"/>
              </w:rPr>
            </w:pPr>
            <w:r>
              <w:rPr>
                <w:rFonts w:ascii="Arial" w:cs="Arial" w:eastAsia="Arial" w:hAnsi="Arial"/>
                <w:sz w:val="16"/>
                <w:szCs w:val="16"/>
                <w:color w:val="auto"/>
              </w:rPr>
              <w:t>Retained earnings (accumulated deficit)</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422,381</w:t>
            </w:r>
          </w:p>
        </w:tc>
        <w:tc>
          <w:tcPr>
            <w:tcW w:w="0" w:type="dxa"/>
            <w:vAlign w:val="bottom"/>
          </w:tcPr>
          <w:p>
            <w:pPr>
              <w:spacing w:after="0"/>
              <w:rPr>
                <w:sz w:val="1"/>
                <w:szCs w:val="1"/>
                <w:color w:val="auto"/>
              </w:rPr>
            </w:pPr>
          </w:p>
        </w:tc>
      </w:tr>
      <w:tr>
        <w:trPr>
          <w:trHeight w:val="213"/>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(15,045)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(25,487)</w:t>
            </w:r>
          </w:p>
        </w:tc>
        <w:tc>
          <w:tcPr>
            <w:tcW w:w="0" w:type="dxa"/>
            <w:vAlign w:val="bottom"/>
          </w:tcPr>
          <w:p>
            <w:pPr>
              <w:spacing w:after="0"/>
              <w:rPr>
                <w:sz w:val="1"/>
                <w:szCs w:val="1"/>
                <w:color w:val="auto"/>
              </w:rPr>
            </w:pPr>
          </w:p>
        </w:tc>
      </w:tr>
      <w:tr>
        <w:trPr>
          <w:trHeight w:val="196"/>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Virtu Financial Inc. stockholders' equity</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1,639,205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1,468,540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share data)</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w w:val="88"/>
              </w:rPr>
              <w:t>December 31,</w:t>
            </w:r>
          </w:p>
        </w:tc>
        <w:tc>
          <w:tcPr>
            <w:tcW w:w="0" w:type="dxa"/>
            <w:vAlign w:val="bottom"/>
          </w:tcPr>
          <w:p>
            <w:pPr>
              <w:spacing w:after="0"/>
              <w:rPr>
                <w:sz w:val="1"/>
                <w:szCs w:val="1"/>
                <w:color w:val="auto"/>
              </w:rPr>
            </w:pPr>
          </w:p>
        </w:tc>
      </w:tr>
      <w:tr>
        <w:trPr>
          <w:trHeight w:val="207"/>
        </w:trPr>
        <w:tc>
          <w:tcPr>
            <w:tcW w:w="84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5"/>
        </w:trPr>
        <w:tc>
          <w:tcPr>
            <w:tcW w:w="8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404,874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386,498</w:t>
            </w:r>
          </w:p>
        </w:tc>
        <w:tc>
          <w:tcPr>
            <w:tcW w:w="0" w:type="dxa"/>
            <w:vAlign w:val="bottom"/>
          </w:tcPr>
          <w:p>
            <w:pPr>
              <w:spacing w:after="0"/>
              <w:rPr>
                <w:sz w:val="1"/>
                <w:szCs w:val="1"/>
                <w:color w:val="auto"/>
              </w:rPr>
            </w:pPr>
          </w:p>
        </w:tc>
      </w:tr>
      <w:tr>
        <w:trPr>
          <w:trHeight w:val="199"/>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equity</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2,044,079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1,855,038</w:t>
            </w:r>
          </w:p>
        </w:tc>
        <w:tc>
          <w:tcPr>
            <w:tcW w:w="0" w:type="dxa"/>
            <w:vAlign w:val="bottom"/>
          </w:tcPr>
          <w:p>
            <w:pPr>
              <w:spacing w:after="0"/>
              <w:rPr>
                <w:sz w:val="1"/>
                <w:szCs w:val="1"/>
                <w:color w:val="auto"/>
              </w:rPr>
            </w:pPr>
          </w:p>
        </w:tc>
      </w:tr>
      <w:tr>
        <w:trPr>
          <w:trHeight w:val="213"/>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10,890,631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9,965,798</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Condensed Consolidated Statements of Comprehensive Income (Loss) (Unaudited)</w:t>
      </w:r>
    </w:p>
    <w:p>
      <w:pPr>
        <w:spacing w:after="0" w:line="333" w:lineRule="exact"/>
        <w:rPr>
          <w:sz w:val="20"/>
          <w:szCs w:val="20"/>
          <w:color w:val="auto"/>
        </w:rPr>
      </w:pPr>
    </w:p>
    <w:tbl>
      <w:tblPr>
        <w:tblLayout w:type="fixed"/>
        <w:tblInd w:w="136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share and per share data)</w:t>
            </w:r>
          </w:p>
        </w:tc>
        <w:tc>
          <w:tcPr>
            <w:tcW w:w="180" w:type="dxa"/>
            <w:vAlign w:val="bottom"/>
          </w:tcPr>
          <w:p>
            <w:pPr>
              <w:spacing w:after="0"/>
              <w:rPr>
                <w:sz w:val="17"/>
                <w:szCs w:val="17"/>
                <w:color w:val="auto"/>
              </w:rPr>
            </w:pPr>
          </w:p>
        </w:tc>
        <w:tc>
          <w:tcPr>
            <w:tcW w:w="1000" w:type="dxa"/>
            <w:vAlign w:val="bottom"/>
          </w:tcPr>
          <w:p>
            <w:pPr>
              <w:jc w:val="right"/>
              <w:ind w:right="362"/>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41"/>
              <w:spacing w:after="0"/>
              <w:rPr>
                <w:sz w:val="20"/>
                <w:szCs w:val="20"/>
                <w:color w:val="auto"/>
              </w:rPr>
            </w:pPr>
            <w:r>
              <w:rPr>
                <w:rFonts w:ascii="Arial" w:cs="Arial" w:eastAsia="Arial" w:hAnsi="Arial"/>
                <w:sz w:val="16"/>
                <w:szCs w:val="16"/>
                <w:b w:val="1"/>
                <w:bCs w:val="1"/>
                <w:color w:val="auto"/>
              </w:rPr>
              <w:t>2020</w:t>
            </w:r>
          </w:p>
        </w:tc>
      </w:tr>
      <w:tr>
        <w:trPr>
          <w:trHeight w:val="205"/>
        </w:trPr>
        <w:tc>
          <w:tcPr>
            <w:tcW w:w="5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Trading income, net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812,743</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802,466</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Interest and dividends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26,516</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Commissions, net and technology services</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191,649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170,744</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1,183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r>
      <w:tr>
        <w:trPr>
          <w:trHeight w:val="199"/>
        </w:trPr>
        <w:tc>
          <w:tcPr>
            <w:tcW w:w="6080" w:type="dxa"/>
            <w:vAlign w:val="bottom"/>
            <w:gridSpan w:val="2"/>
          </w:tcPr>
          <w:p>
            <w:pPr>
              <w:ind w:left="340"/>
              <w:spacing w:after="0"/>
              <w:rPr>
                <w:sz w:val="20"/>
                <w:szCs w:val="20"/>
                <w:color w:val="auto"/>
              </w:rPr>
            </w:pPr>
            <w:r>
              <w:rPr>
                <w:rFonts w:ascii="Arial" w:cs="Arial" w:eastAsia="Arial" w:hAnsi="Arial"/>
                <w:sz w:val="16"/>
                <w:szCs w:val="16"/>
                <w:color w:val="auto"/>
              </w:rPr>
              <w:t>Total revenue</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1,012,572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1,000,621</w:t>
            </w:r>
          </w:p>
        </w:tc>
      </w:tr>
      <w:tr>
        <w:trPr>
          <w:trHeight w:val="213"/>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7"/>
        </w:trPr>
        <w:tc>
          <w:tcPr>
            <w:tcW w:w="608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Brokerage, exchange, clearance fees and payments for order flow, net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259,332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173,818</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Communication and data processing</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51,690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55,027</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Employee compensation and payroll taxes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104,771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170,358</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Interest and dividends expense</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24,028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41,440</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Operations and administrative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25,655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27,130</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16,778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17,360</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purchased intangibles and acquired capitalized software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18,077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18,958</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Termination of office leases</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Debt issue cost related to debt refinancing, prepayment and commitment fees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Transaction advisory fees and expenses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Financing interest expense on long-term borrowings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19,492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25,670</w:t>
            </w:r>
          </w:p>
        </w:tc>
      </w:tr>
      <w:tr>
        <w:trPr>
          <w:trHeight w:val="199"/>
        </w:trPr>
        <w:tc>
          <w:tcPr>
            <w:tcW w:w="608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522,785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534,396</w:t>
            </w:r>
          </w:p>
        </w:tc>
      </w:tr>
      <w:tr>
        <w:trPr>
          <w:trHeight w:val="206"/>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Income before income taxes and noncontrolling interest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489,787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466,225</w:t>
            </w:r>
          </w:p>
        </w:tc>
      </w:tr>
      <w:tr>
        <w:trPr>
          <w:trHeight w:val="206"/>
        </w:trPr>
        <w:tc>
          <w:tcPr>
            <w:tcW w:w="60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80,555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77,987</w:t>
            </w:r>
          </w:p>
        </w:tc>
      </w:tr>
      <w:tr>
        <w:trPr>
          <w:trHeight w:val="206"/>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409,232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388,238</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(169,827)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(167,169)</w:t>
            </w:r>
          </w:p>
        </w:tc>
      </w:tr>
      <w:tr>
        <w:trPr>
          <w:trHeight w:val="213"/>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03"/>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stockholders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239,405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221,069</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6"/>
        </w:trPr>
        <w:tc>
          <w:tcPr>
            <w:tcW w:w="5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Earnings per share</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13"/>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3"/>
        </w:trPr>
        <w:tc>
          <w:tcPr>
            <w:tcW w:w="60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122,062,555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119,757,158</w:t>
            </w:r>
          </w:p>
        </w:tc>
      </w:tr>
      <w:tr>
        <w:trPr>
          <w:trHeight w:val="206"/>
        </w:trPr>
        <w:tc>
          <w:tcPr>
            <w:tcW w:w="608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123,389,328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w w:val="98"/>
              </w:rPr>
              <w:t>119,788,475</w:t>
            </w:r>
          </w:p>
        </w:tc>
      </w:tr>
      <w:tr>
        <w:trPr>
          <w:trHeight w:val="213"/>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409,232</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388,238</w:t>
            </w:r>
          </w:p>
        </w:tc>
      </w:tr>
      <w:tr>
        <w:trPr>
          <w:trHeight w:val="213"/>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6"/>
        </w:trPr>
        <w:tc>
          <w:tcPr>
            <w:tcW w:w="6080" w:type="dxa"/>
            <w:vAlign w:val="bottom"/>
            <w:gridSpan w:val="2"/>
          </w:tcPr>
          <w:p>
            <w:pPr>
              <w:ind w:left="140"/>
              <w:spacing w:after="0"/>
              <w:rPr>
                <w:sz w:val="20"/>
                <w:szCs w:val="20"/>
                <w:color w:val="auto"/>
              </w:rPr>
            </w:pPr>
            <w:r>
              <w:rPr>
                <w:rFonts w:ascii="Arial" w:cs="Arial" w:eastAsia="Arial" w:hAnsi="Arial"/>
                <w:sz w:val="16"/>
                <w:szCs w:val="16"/>
                <w:color w:val="auto"/>
              </w:rPr>
              <w:t>Foreign exchange translation adjustment, net of taxes</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(3,676)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(10,396)</w:t>
            </w:r>
          </w:p>
        </w:tc>
      </w:tr>
      <w:tr>
        <w:trPr>
          <w:trHeight w:val="213"/>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change in unrealized cash flow hedges gain (loss), net of taxes</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21,906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(55,602)</w:t>
            </w:r>
          </w:p>
        </w:tc>
      </w:tr>
      <w:tr>
        <w:trPr>
          <w:trHeight w:val="199"/>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427,462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322,240</w:t>
            </w:r>
          </w:p>
        </w:tc>
      </w:tr>
      <w:tr>
        <w:trPr>
          <w:trHeight w:val="210"/>
        </w:trPr>
        <w:tc>
          <w:tcPr>
            <w:tcW w:w="60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(177,616)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(138,523)</w:t>
            </w:r>
          </w:p>
        </w:tc>
      </w:tr>
      <w:tr>
        <w:trPr>
          <w:trHeight w:val="206"/>
        </w:trPr>
        <w:tc>
          <w:tcPr>
            <w:tcW w:w="6080" w:type="dxa"/>
            <w:vAlign w:val="bottom"/>
            <w:gridSpan w:val="2"/>
          </w:tcPr>
          <w:p>
            <w:pPr>
              <w:ind w:left="20"/>
              <w:spacing w:after="0"/>
              <w:rPr>
                <w:sz w:val="20"/>
                <w:szCs w:val="20"/>
                <w:color w:val="auto"/>
              </w:rPr>
            </w:pPr>
            <w:r>
              <w:rPr>
                <w:rFonts w:ascii="Arial" w:cs="Arial" w:eastAsia="Arial" w:hAnsi="Arial"/>
                <w:sz w:val="16"/>
                <w:szCs w:val="16"/>
                <w:color w:val="auto"/>
              </w:rPr>
              <w:t>Comprehensive income attributable to common stockholders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249,846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183,717</w:t>
            </w: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 w:name="page7"/>
    <w:bookmarkEnd w:id="6"/>
    <w:p>
      <w:pPr>
        <w:ind w:left="2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Three Months Ended March 31, 2021 and 2020</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6"/>
            <w:vMerge w:val="restart"/>
          </w:tcPr>
          <w:p>
            <w:pPr>
              <w:ind w:left="60"/>
              <w:spacing w:after="0"/>
              <w:rPr>
                <w:sz w:val="20"/>
                <w:szCs w:val="20"/>
                <w:color w:val="auto"/>
              </w:rPr>
            </w:pPr>
            <w:r>
              <w:rPr>
                <w:rFonts w:ascii="Arial" w:cs="Arial" w:eastAsia="Arial" w:hAnsi="Arial"/>
                <w:sz w:val="10"/>
                <w:szCs w:val="10"/>
                <w:b w:val="1"/>
                <w:bCs w:val="1"/>
                <w:color w:val="auto"/>
              </w:rPr>
              <w:t>Class A Common Stock</w:t>
            </w:r>
          </w:p>
        </w:tc>
        <w:tc>
          <w:tcPr>
            <w:tcW w:w="20" w:type="dxa"/>
            <w:vAlign w:val="bottom"/>
          </w:tcPr>
          <w:p>
            <w:pPr>
              <w:spacing w:after="0"/>
              <w:rPr>
                <w:sz w:val="9"/>
                <w:szCs w:val="9"/>
                <w:color w:val="auto"/>
              </w:rPr>
            </w:pPr>
          </w:p>
        </w:tc>
        <w:tc>
          <w:tcPr>
            <w:tcW w:w="1260" w:type="dxa"/>
            <w:vAlign w:val="bottom"/>
            <w:gridSpan w:val="8"/>
            <w:vMerge w:val="restart"/>
          </w:tcPr>
          <w:p>
            <w:pPr>
              <w:jc w:val="right"/>
              <w:ind w:right="160"/>
              <w:spacing w:after="0"/>
              <w:rPr>
                <w:sz w:val="20"/>
                <w:szCs w:val="20"/>
                <w:color w:val="auto"/>
              </w:rPr>
            </w:pPr>
            <w:r>
              <w:rPr>
                <w:rFonts w:ascii="Arial" w:cs="Arial" w:eastAsia="Arial" w:hAnsi="Arial"/>
                <w:sz w:val="10"/>
                <w:szCs w:val="10"/>
                <w:b w:val="1"/>
                <w:bCs w:val="1"/>
                <w:color w:val="auto"/>
                <w:w w:val="95"/>
              </w:rPr>
              <w:t>Class C Common Stock</w:t>
            </w:r>
          </w:p>
        </w:tc>
        <w:tc>
          <w:tcPr>
            <w:tcW w:w="20" w:type="dxa"/>
            <w:vAlign w:val="bottom"/>
          </w:tcPr>
          <w:p>
            <w:pPr>
              <w:spacing w:after="0"/>
              <w:rPr>
                <w:sz w:val="9"/>
                <w:szCs w:val="9"/>
                <w:color w:val="auto"/>
              </w:rPr>
            </w:pPr>
          </w:p>
        </w:tc>
        <w:tc>
          <w:tcPr>
            <w:tcW w:w="1280" w:type="dxa"/>
            <w:vAlign w:val="bottom"/>
            <w:gridSpan w:val="8"/>
            <w:vMerge w:val="restart"/>
          </w:tcPr>
          <w:p>
            <w:pPr>
              <w:jc w:val="right"/>
              <w:ind w:right="160"/>
              <w:spacing w:after="0"/>
              <w:rPr>
                <w:sz w:val="20"/>
                <w:szCs w:val="20"/>
                <w:color w:val="auto"/>
              </w:rPr>
            </w:pPr>
            <w:r>
              <w:rPr>
                <w:rFonts w:ascii="Arial" w:cs="Arial" w:eastAsia="Arial" w:hAnsi="Arial"/>
                <w:sz w:val="10"/>
                <w:szCs w:val="10"/>
                <w:b w:val="1"/>
                <w:bCs w:val="1"/>
                <w:color w:val="auto"/>
                <w:w w:val="97"/>
              </w:rPr>
              <w:t>Class D Common Stock</w:t>
            </w:r>
          </w:p>
        </w:tc>
        <w:tc>
          <w:tcPr>
            <w:tcW w:w="20" w:type="dxa"/>
            <w:vAlign w:val="bottom"/>
          </w:tcPr>
          <w:p>
            <w:pPr>
              <w:spacing w:after="0"/>
              <w:rPr>
                <w:sz w:val="9"/>
                <w:szCs w:val="9"/>
                <w:color w:val="auto"/>
              </w:rPr>
            </w:pPr>
          </w:p>
        </w:tc>
        <w:tc>
          <w:tcPr>
            <w:tcW w:w="1240" w:type="dxa"/>
            <w:vAlign w:val="bottom"/>
            <w:gridSpan w:val="7"/>
            <w:vMerge w:val="restart"/>
          </w:tcPr>
          <w:p>
            <w:pPr>
              <w:ind w:left="22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Retained</w:t>
            </w:r>
          </w:p>
        </w:tc>
        <w:tc>
          <w:tcPr>
            <w:tcW w:w="60" w:type="dxa"/>
            <w:vAlign w:val="bottom"/>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6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Non-</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0"/>
                <w:szCs w:val="10"/>
                <w:b w:val="1"/>
                <w:bCs w:val="1"/>
                <w:color w:val="auto"/>
              </w:rPr>
              <w:t>Amounts</w:t>
            </w:r>
          </w:p>
        </w:tc>
        <w:tc>
          <w:tcPr>
            <w:tcW w:w="20" w:type="dxa"/>
            <w:vAlign w:val="bottom"/>
          </w:tcPr>
          <w:p>
            <w:pPr>
              <w:spacing w:after="0"/>
              <w:rPr>
                <w:sz w:val="9"/>
                <w:szCs w:val="9"/>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4"/>
            <w:vMerge w:val="restart"/>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20" w:type="dxa"/>
            <w:vAlign w:val="bottom"/>
          </w:tcPr>
          <w:p>
            <w:pPr>
              <w:spacing w:after="0"/>
              <w:rPr>
                <w:sz w:val="9"/>
                <w:szCs w:val="9"/>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20" w:type="dxa"/>
            <w:vAlign w:val="bottom"/>
            <w:gridSpan w:val="4"/>
            <w:vMerge w:val="restart"/>
          </w:tcPr>
          <w:p>
            <w:pPr>
              <w:jc w:val="right"/>
              <w:ind w:right="160"/>
              <w:spacing w:after="0"/>
              <w:rPr>
                <w:sz w:val="20"/>
                <w:szCs w:val="20"/>
                <w:color w:val="auto"/>
              </w:rPr>
            </w:pPr>
            <w:r>
              <w:rPr>
                <w:rFonts w:ascii="Arial" w:cs="Arial" w:eastAsia="Arial" w:hAnsi="Arial"/>
                <w:sz w:val="10"/>
                <w:szCs w:val="10"/>
                <w:b w:val="1"/>
                <w:bCs w:val="1"/>
                <w:color w:val="auto"/>
              </w:rPr>
              <w:t>Amounts</w:t>
            </w:r>
          </w:p>
        </w:tc>
        <w:tc>
          <w:tcPr>
            <w:tcW w:w="20" w:type="dxa"/>
            <w:vAlign w:val="bottom"/>
          </w:tcPr>
          <w:p>
            <w:pPr>
              <w:spacing w:after="0"/>
              <w:rPr>
                <w:sz w:val="9"/>
                <w:szCs w:val="9"/>
                <w:color w:val="auto"/>
              </w:rPr>
            </w:pPr>
          </w:p>
        </w:tc>
        <w:tc>
          <w:tcPr>
            <w:tcW w:w="620" w:type="dxa"/>
            <w:vAlign w:val="bottom"/>
            <w:gridSpan w:val="3"/>
            <w:vMerge w:val="restart"/>
          </w:tcPr>
          <w:p>
            <w:pPr>
              <w:ind w:left="10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66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Controlling</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Deficit)</w:t>
            </w: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11"/>
                <w:szCs w:val="11"/>
                <w:color w:val="auto"/>
              </w:rPr>
            </w:pPr>
          </w:p>
        </w:tc>
        <w:tc>
          <w:tcPr>
            <w:tcW w:w="50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2020</w:t>
            </w:r>
          </w:p>
        </w:tc>
        <w:tc>
          <w:tcPr>
            <w:tcW w:w="6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3"/>
              </w:rPr>
              <w:t>125,627,277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9"/>
              </w:rPr>
              <w:t>10,226,939</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7"/>
              </w:rPr>
              <w:t>(3,615,097)</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(88,923)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1,160,567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422,381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(25,487)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1,468,540</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386,498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1,855,038</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gridSpan w:val="2"/>
          </w:tcPr>
          <w:p>
            <w:pPr>
              <w:jc w:val="right"/>
              <w:ind w:right="8"/>
              <w:spacing w:after="0"/>
              <w:rPr>
                <w:sz w:val="20"/>
                <w:szCs w:val="20"/>
                <w:color w:val="auto"/>
              </w:rPr>
            </w:pPr>
            <w:r>
              <w:rPr>
                <w:rFonts w:ascii="Arial" w:cs="Arial" w:eastAsia="Arial" w:hAnsi="Arial"/>
                <w:sz w:val="10"/>
                <w:szCs w:val="10"/>
                <w:color w:val="auto"/>
              </w:rPr>
              <w:t>1,896,407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20" w:type="dxa"/>
            <w:vAlign w:val="bottom"/>
            <w:gridSpan w:val="3"/>
          </w:tcPr>
          <w:p>
            <w:pPr>
              <w:ind w:left="3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6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27,450</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0"/>
                <w:szCs w:val="10"/>
                <w:color w:val="auto"/>
                <w:w w:val="98"/>
              </w:rPr>
              <w:t>(615,794)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7"/>
              </w:rPr>
              <w:t>(2,277,409)</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(63,359)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(16,059)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(79,418)</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gridSpan w:val="2"/>
          </w:tcPr>
          <w:p>
            <w:pPr>
              <w:jc w:val="right"/>
              <w:ind w:right="8"/>
              <w:spacing w:after="0"/>
              <w:rPr>
                <w:sz w:val="20"/>
                <w:szCs w:val="20"/>
                <w:color w:val="auto"/>
              </w:rPr>
            </w:pPr>
            <w:r>
              <w:rPr>
                <w:rFonts w:ascii="Arial" w:cs="Arial" w:eastAsia="Arial" w:hAnsi="Arial"/>
                <w:sz w:val="10"/>
                <w:szCs w:val="10"/>
                <w:color w:val="auto"/>
              </w:rPr>
              <w:t>154,372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20" w:type="dxa"/>
            <w:vAlign w:val="bottom"/>
            <w:gridSpan w:val="3"/>
          </w:tcPr>
          <w:p>
            <w:pPr>
              <w:ind w:left="3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60" w:type="dxa"/>
            <w:vAlign w:val="bottom"/>
          </w:tcPr>
          <w:p>
            <w:pPr>
              <w:spacing w:after="0"/>
              <w:rPr>
                <w:sz w:val="11"/>
                <w:szCs w:val="11"/>
                <w:color w:val="auto"/>
              </w:rPr>
            </w:pPr>
          </w:p>
        </w:tc>
        <w:tc>
          <w:tcPr>
            <w:tcW w:w="100" w:type="dxa"/>
            <w:vAlign w:val="bottom"/>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2,933</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Net income</w:t>
            </w:r>
          </w:p>
        </w:tc>
        <w:tc>
          <w:tcPr>
            <w:tcW w:w="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239,405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169,827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409,232</w:t>
            </w: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20" w:type="dxa"/>
            <w:vAlign w:val="bottom"/>
            <w:gridSpan w:val="3"/>
            <w:vMerge w:val="restart"/>
          </w:tcPr>
          <w:p>
            <w:pPr>
              <w:ind w:left="3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(2,165)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(1,511)</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(3,676)</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adjustment</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9,299</w:t>
            </w:r>
          </w:p>
        </w:tc>
        <w:tc>
          <w:tcPr>
            <w:tcW w:w="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21,906</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flow hedges gains (losses)</w:t>
            </w:r>
          </w:p>
        </w:tc>
        <w:tc>
          <w:tcPr>
            <w:tcW w:w="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Unit and Restricted Stock Award)</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and distributions from Virtu</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20" w:type="dxa"/>
            <w:vAlign w:val="bottom"/>
            <w:gridSpan w:val="3"/>
            <w:vMerge w:val="restart"/>
          </w:tcPr>
          <w:p>
            <w:pPr>
              <w:ind w:left="3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(30,147)</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(159,239)</w:t>
            </w:r>
          </w:p>
        </w:tc>
        <w:tc>
          <w:tcPr>
            <w:tcW w:w="6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(189,386)</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interest</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91,757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vMerge w:val="continue"/>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vMerge w:val="continue"/>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10"/>
                <w:szCs w:val="10"/>
                <w:color w:val="auto"/>
              </w:rPr>
              <w:t>(91,757)</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ind w:left="30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20" w:type="dxa"/>
            <w:vAlign w:val="bottom"/>
            <w:gridSpan w:val="3"/>
            <w:vMerge w:val="restart"/>
          </w:tcPr>
          <w:p>
            <w:pPr>
              <w:ind w:left="3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rPr>
              <w:t>$</w:t>
            </w: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March 31, 2021</w:t>
            </w:r>
          </w:p>
        </w:tc>
        <w:tc>
          <w:tcPr>
            <w:tcW w:w="6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3"/>
              </w:rPr>
              <w:t>127,154,019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9"/>
              </w:rPr>
              <w:t>10,135,182</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0"/>
                <w:szCs w:val="10"/>
                <w:color w:val="auto"/>
                <w:w w:val="99"/>
              </w:rPr>
              <w:t>60,091,740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7"/>
              </w:rPr>
              <w:t>(5,892,506)</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88"/>
              </w:rPr>
              <w:t>(152,282)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1,190,950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615,580</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(15,045)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1,639,205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404,874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2,044,079</w:t>
            </w:r>
          </w:p>
        </w:tc>
        <w:tc>
          <w:tcPr>
            <w:tcW w:w="0" w:type="dxa"/>
            <w:vAlign w:val="bottom"/>
          </w:tcPr>
          <w:p>
            <w:pPr>
              <w:spacing w:after="0"/>
              <w:rPr>
                <w:sz w:val="1"/>
                <w:szCs w:val="1"/>
                <w:color w:val="auto"/>
              </w:rPr>
            </w:pPr>
          </w:p>
        </w:tc>
      </w:tr>
      <w:tr>
        <w:trPr>
          <w:trHeight w:val="275"/>
        </w:trPr>
        <w:tc>
          <w:tcPr>
            <w:tcW w:w="1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3"/>
              </w:rPr>
              <w:t>Additional</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6"/>
            <w:vMerge w:val="restart"/>
          </w:tcPr>
          <w:p>
            <w:pPr>
              <w:jc w:val="right"/>
              <w:ind w:right="140"/>
              <w:spacing w:after="0"/>
              <w:rPr>
                <w:sz w:val="20"/>
                <w:szCs w:val="20"/>
                <w:color w:val="auto"/>
              </w:rPr>
            </w:pPr>
            <w:r>
              <w:rPr>
                <w:rFonts w:ascii="Arial" w:cs="Arial" w:eastAsia="Arial" w:hAnsi="Arial"/>
                <w:sz w:val="10"/>
                <w:szCs w:val="10"/>
                <w:b w:val="1"/>
                <w:bCs w:val="1"/>
                <w:color w:val="auto"/>
                <w:w w:val="99"/>
              </w:rPr>
              <w:t>Class A Common Stock</w:t>
            </w:r>
          </w:p>
        </w:tc>
        <w:tc>
          <w:tcPr>
            <w:tcW w:w="20" w:type="dxa"/>
            <w:vAlign w:val="bottom"/>
          </w:tcPr>
          <w:p>
            <w:pPr>
              <w:spacing w:after="0"/>
              <w:rPr>
                <w:sz w:val="9"/>
                <w:szCs w:val="9"/>
                <w:color w:val="auto"/>
              </w:rPr>
            </w:pPr>
          </w:p>
        </w:tc>
        <w:tc>
          <w:tcPr>
            <w:tcW w:w="1260" w:type="dxa"/>
            <w:vAlign w:val="bottom"/>
            <w:gridSpan w:val="8"/>
            <w:vMerge w:val="restart"/>
          </w:tcPr>
          <w:p>
            <w:pPr>
              <w:jc w:val="right"/>
              <w:ind w:right="140"/>
              <w:spacing w:after="0"/>
              <w:rPr>
                <w:sz w:val="20"/>
                <w:szCs w:val="20"/>
                <w:color w:val="auto"/>
              </w:rPr>
            </w:pPr>
            <w:r>
              <w:rPr>
                <w:rFonts w:ascii="Arial" w:cs="Arial" w:eastAsia="Arial" w:hAnsi="Arial"/>
                <w:sz w:val="10"/>
                <w:szCs w:val="10"/>
                <w:b w:val="1"/>
                <w:bCs w:val="1"/>
                <w:color w:val="auto"/>
                <w:w w:val="97"/>
              </w:rPr>
              <w:t>Class C Common Stock</w:t>
            </w:r>
          </w:p>
        </w:tc>
        <w:tc>
          <w:tcPr>
            <w:tcW w:w="20" w:type="dxa"/>
            <w:vAlign w:val="bottom"/>
          </w:tcPr>
          <w:p>
            <w:pPr>
              <w:spacing w:after="0"/>
              <w:rPr>
                <w:sz w:val="9"/>
                <w:szCs w:val="9"/>
                <w:color w:val="auto"/>
              </w:rPr>
            </w:pPr>
          </w:p>
        </w:tc>
        <w:tc>
          <w:tcPr>
            <w:tcW w:w="1280" w:type="dxa"/>
            <w:vAlign w:val="bottom"/>
            <w:gridSpan w:val="8"/>
            <w:vMerge w:val="restart"/>
          </w:tcPr>
          <w:p>
            <w:pPr>
              <w:jc w:val="right"/>
              <w:ind w:right="140"/>
              <w:spacing w:after="0"/>
              <w:rPr>
                <w:sz w:val="20"/>
                <w:szCs w:val="20"/>
                <w:color w:val="auto"/>
              </w:rPr>
            </w:pPr>
            <w:r>
              <w:rPr>
                <w:rFonts w:ascii="Arial" w:cs="Arial" w:eastAsia="Arial" w:hAnsi="Arial"/>
                <w:sz w:val="10"/>
                <w:szCs w:val="10"/>
                <w:b w:val="1"/>
                <w:bCs w:val="1"/>
                <w:color w:val="auto"/>
                <w:w w:val="99"/>
              </w:rPr>
              <w:t>Class D Common Stock</w:t>
            </w:r>
          </w:p>
        </w:tc>
        <w:tc>
          <w:tcPr>
            <w:tcW w:w="20" w:type="dxa"/>
            <w:vAlign w:val="bottom"/>
          </w:tcPr>
          <w:p>
            <w:pPr>
              <w:spacing w:after="0"/>
              <w:rPr>
                <w:sz w:val="9"/>
                <w:szCs w:val="9"/>
                <w:color w:val="auto"/>
              </w:rPr>
            </w:pPr>
          </w:p>
        </w:tc>
        <w:tc>
          <w:tcPr>
            <w:tcW w:w="1240" w:type="dxa"/>
            <w:vAlign w:val="bottom"/>
            <w:gridSpan w:val="7"/>
            <w:vMerge w:val="restart"/>
          </w:tcPr>
          <w:p>
            <w:pPr>
              <w:ind w:left="24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4"/>
              </w:rPr>
              <w:t>Retained</w:t>
            </w:r>
          </w:p>
        </w:tc>
        <w:tc>
          <w:tcPr>
            <w:tcW w:w="60" w:type="dxa"/>
            <w:vAlign w:val="bottom"/>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5"/>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rPr>
              <w:t>Total Virtu</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6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(in thousands, except</w:t>
            </w:r>
          </w:p>
        </w:tc>
        <w:tc>
          <w:tcPr>
            <w:tcW w:w="2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tcPr>
          <w:p>
            <w:pPr>
              <w:jc w:val="center"/>
              <w:ind w:right="180"/>
              <w:spacing w:after="0" w:line="72" w:lineRule="exact"/>
              <w:rPr>
                <w:sz w:val="20"/>
                <w:szCs w:val="20"/>
                <w:color w:val="auto"/>
              </w:rPr>
            </w:pPr>
            <w:r>
              <w:rPr>
                <w:rFonts w:ascii="Arial" w:cs="Arial" w:eastAsia="Arial" w:hAnsi="Arial"/>
                <w:sz w:val="8"/>
                <w:szCs w:val="8"/>
                <w:b w:val="1"/>
                <w:bCs w:val="1"/>
                <w:color w:val="auto"/>
              </w:rPr>
              <w:t>Earnings</w:t>
            </w:r>
          </w:p>
        </w:tc>
        <w:tc>
          <w:tcPr>
            <w:tcW w:w="6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Arial" w:cs="Arial" w:eastAsia="Arial" w:hAnsi="Arial"/>
                <w:sz w:val="8"/>
                <w:szCs w:val="8"/>
                <w:b w:val="1"/>
                <w:bCs w:val="1"/>
                <w:color w:val="auto"/>
              </w:rPr>
              <w:t>Financial Inc.</w:t>
            </w:r>
          </w:p>
        </w:tc>
        <w:tc>
          <w:tcPr>
            <w:tcW w:w="80" w:type="dxa"/>
            <w:vAlign w:val="bottom"/>
          </w:tcPr>
          <w:p>
            <w:pPr>
              <w:spacing w:after="0"/>
              <w:rPr>
                <w:sz w:val="6"/>
                <w:szCs w:val="6"/>
                <w:color w:val="auto"/>
              </w:rPr>
            </w:pPr>
          </w:p>
        </w:tc>
        <w:tc>
          <w:tcPr>
            <w:tcW w:w="580" w:type="dxa"/>
            <w:vAlign w:val="bottom"/>
            <w:gridSpan w:val="2"/>
          </w:tcPr>
          <w:p>
            <w:pPr>
              <w:jc w:val="center"/>
              <w:ind w:right="160"/>
              <w:spacing w:after="0" w:line="72" w:lineRule="exact"/>
              <w:rPr>
                <w:sz w:val="20"/>
                <w:szCs w:val="20"/>
                <w:color w:val="auto"/>
              </w:rPr>
            </w:pPr>
            <w:r>
              <w:rPr>
                <w:rFonts w:ascii="Arial" w:cs="Arial" w:eastAsia="Arial" w:hAnsi="Arial"/>
                <w:sz w:val="8"/>
                <w:szCs w:val="8"/>
                <w:b w:val="1"/>
                <w:bCs w:val="1"/>
                <w:color w:val="auto"/>
              </w:rPr>
              <w:t>Non-</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87"/>
              </w:rPr>
              <w:t>Amounts</w:t>
            </w:r>
          </w:p>
        </w:tc>
        <w:tc>
          <w:tcPr>
            <w:tcW w:w="20" w:type="dxa"/>
            <w:vAlign w:val="bottom"/>
          </w:tcPr>
          <w:p>
            <w:pPr>
              <w:spacing w:after="0"/>
              <w:rPr>
                <w:sz w:val="9"/>
                <w:szCs w:val="9"/>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Amounts</w:t>
            </w:r>
          </w:p>
        </w:tc>
        <w:tc>
          <w:tcPr>
            <w:tcW w:w="20" w:type="dxa"/>
            <w:vAlign w:val="bottom"/>
          </w:tcPr>
          <w:p>
            <w:pPr>
              <w:spacing w:after="0"/>
              <w:rPr>
                <w:sz w:val="9"/>
                <w:szCs w:val="9"/>
                <w:color w:val="auto"/>
              </w:rPr>
            </w:pPr>
          </w:p>
        </w:tc>
        <w:tc>
          <w:tcPr>
            <w:tcW w:w="640" w:type="dxa"/>
            <w:vAlign w:val="bottom"/>
            <w:gridSpan w:val="3"/>
            <w:vMerge w:val="restart"/>
          </w:tcPr>
          <w:p>
            <w:pPr>
              <w:ind w:left="1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w w:val="92"/>
              </w:rPr>
              <w:t>Amounts</w:t>
            </w:r>
          </w:p>
        </w:tc>
        <w:tc>
          <w:tcPr>
            <w:tcW w:w="20" w:type="dxa"/>
            <w:vAlign w:val="bottom"/>
          </w:tcPr>
          <w:p>
            <w:pPr>
              <w:spacing w:after="0"/>
              <w:rPr>
                <w:sz w:val="9"/>
                <w:szCs w:val="9"/>
                <w:color w:val="auto"/>
              </w:rPr>
            </w:pPr>
          </w:p>
        </w:tc>
        <w:tc>
          <w:tcPr>
            <w:tcW w:w="620" w:type="dxa"/>
            <w:vAlign w:val="bottom"/>
            <w:gridSpan w:val="3"/>
            <w:vMerge w:val="restart"/>
          </w:tcPr>
          <w:p>
            <w:pPr>
              <w:ind w:left="12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9"/>
                <w:szCs w:val="9"/>
                <w:color w:val="auto"/>
              </w:rPr>
            </w:pPr>
          </w:p>
        </w:tc>
        <w:tc>
          <w:tcPr>
            <w:tcW w:w="600" w:type="dxa"/>
            <w:vAlign w:val="bottom"/>
            <w:gridSpan w:val="3"/>
            <w:vMerge w:val="restart"/>
          </w:tcPr>
          <w:p>
            <w:pPr>
              <w:jc w:val="right"/>
              <w:ind w:right="14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9"/>
                <w:szCs w:val="9"/>
                <w:color w:val="auto"/>
              </w:rPr>
            </w:pPr>
          </w:p>
        </w:tc>
        <w:tc>
          <w:tcPr>
            <w:tcW w:w="58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6"/>
              </w:rPr>
              <w:t>Amounts</w:t>
            </w:r>
          </w:p>
        </w:tc>
        <w:tc>
          <w:tcPr>
            <w:tcW w:w="7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(Accumulated</w:t>
            </w:r>
          </w:p>
        </w:tc>
        <w:tc>
          <w:tcPr>
            <w:tcW w:w="800" w:type="dxa"/>
            <w:vAlign w:val="bottom"/>
            <w:gridSpan w:val="3"/>
          </w:tcPr>
          <w:p>
            <w:pPr>
              <w:spacing w:after="0" w:line="105" w:lineRule="exact"/>
              <w:rPr>
                <w:sz w:val="20"/>
                <w:szCs w:val="20"/>
                <w:color w:val="auto"/>
              </w:rPr>
            </w:pPr>
            <w:r>
              <w:rPr>
                <w:rFonts w:ascii="Arial" w:cs="Arial" w:eastAsia="Arial" w:hAnsi="Arial"/>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Stockholders'</w:t>
            </w:r>
          </w:p>
        </w:tc>
        <w:tc>
          <w:tcPr>
            <w:tcW w:w="66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93"/>
              </w:rPr>
              <w:t>Controlling</w:t>
            </w: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rPr>
                <w:sz w:val="20"/>
                <w:szCs w:val="20"/>
                <w:color w:val="auto"/>
              </w:rPr>
            </w:pPr>
            <w:r>
              <w:rPr>
                <w:rFonts w:ascii="Arial" w:cs="Arial" w:eastAsia="Arial" w:hAnsi="Arial"/>
                <w:sz w:val="10"/>
                <w:szCs w:val="10"/>
                <w:b w:val="1"/>
                <w:bCs w:val="1"/>
                <w:color w:val="auto"/>
              </w:rPr>
              <w:t>share and interest data)</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4"/>
              </w:rPr>
              <w:t>Deficit)</w:t>
            </w:r>
          </w:p>
        </w:tc>
        <w:tc>
          <w:tcPr>
            <w:tcW w:w="8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4"/>
              </w:rPr>
              <w:t>Income (Loss)</w:t>
            </w: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3"/>
              </w:rPr>
              <w:t>Interest</w:t>
            </w:r>
          </w:p>
        </w:tc>
        <w:tc>
          <w:tcPr>
            <w:tcW w:w="100" w:type="dxa"/>
            <w:vAlign w:val="bottom"/>
          </w:tcPr>
          <w:p>
            <w:pPr>
              <w:spacing w:after="0"/>
              <w:rPr>
                <w:sz w:val="11"/>
                <w:szCs w:val="11"/>
                <w:color w:val="auto"/>
              </w:rPr>
            </w:pPr>
          </w:p>
        </w:tc>
        <w:tc>
          <w:tcPr>
            <w:tcW w:w="500" w:type="dxa"/>
            <w:vAlign w:val="bottom"/>
          </w:tcPr>
          <w:p>
            <w:pPr>
              <w:jc w:val="center"/>
              <w:ind w:right="68"/>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1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 at December 31, 2019</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97"/>
              </w:rPr>
              <w:t>120,435,912</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12,887,178</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60,091,740</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(2,178,771)</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(55,005)</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8"/>
              </w:rPr>
              <w:t>1,077,398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(90,374)</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(647)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931,374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297,562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1,228,936</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Share based compensation</w:t>
            </w:r>
          </w:p>
        </w:tc>
        <w:tc>
          <w:tcPr>
            <w:tcW w:w="600" w:type="dxa"/>
            <w:vAlign w:val="bottom"/>
            <w:gridSpan w:val="2"/>
          </w:tcPr>
          <w:p>
            <w:pPr>
              <w:jc w:val="right"/>
              <w:ind w:right="8"/>
              <w:spacing w:after="0"/>
              <w:rPr>
                <w:sz w:val="20"/>
                <w:szCs w:val="20"/>
                <w:color w:val="auto"/>
              </w:rPr>
            </w:pPr>
            <w:r>
              <w:rPr>
                <w:rFonts w:ascii="Arial" w:cs="Arial" w:eastAsia="Arial" w:hAnsi="Arial"/>
                <w:sz w:val="10"/>
                <w:szCs w:val="10"/>
                <w:color w:val="auto"/>
              </w:rPr>
              <w:t>1,854,961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21,357</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Treasury stock purchases</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rPr>
              <w:t>(642,869)</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(9,801)</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Stock options exercised</w:t>
            </w:r>
          </w:p>
        </w:tc>
        <w:tc>
          <w:tcPr>
            <w:tcW w:w="600" w:type="dxa"/>
            <w:vAlign w:val="bottom"/>
            <w:gridSpan w:val="2"/>
          </w:tcPr>
          <w:p>
            <w:pPr>
              <w:jc w:val="right"/>
              <w:ind w:right="8"/>
              <w:spacing w:after="0"/>
              <w:rPr>
                <w:sz w:val="20"/>
                <w:szCs w:val="20"/>
                <w:color w:val="auto"/>
              </w:rPr>
            </w:pPr>
            <w:r>
              <w:rPr>
                <w:rFonts w:ascii="Arial" w:cs="Arial" w:eastAsia="Arial" w:hAnsi="Arial"/>
                <w:sz w:val="10"/>
                <w:szCs w:val="10"/>
                <w:color w:val="auto"/>
              </w:rPr>
              <w:t>213,129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3,206</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Warrants issued</w:t>
            </w:r>
          </w:p>
        </w:tc>
        <w:tc>
          <w:tcPr>
            <w:tcW w:w="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11,486</w:t>
            </w:r>
          </w:p>
        </w:tc>
        <w:tc>
          <w:tcPr>
            <w:tcW w:w="0" w:type="dxa"/>
            <w:vAlign w:val="bottom"/>
          </w:tcPr>
          <w:p>
            <w:pPr>
              <w:spacing w:after="0"/>
              <w:rPr>
                <w:sz w:val="1"/>
                <w:szCs w:val="1"/>
                <w:color w:val="auto"/>
              </w:rPr>
            </w:pPr>
          </w:p>
        </w:tc>
      </w:tr>
      <w:tr>
        <w:trPr>
          <w:trHeight w:val="135"/>
        </w:trPr>
        <w:tc>
          <w:tcPr>
            <w:tcW w:w="1660" w:type="dxa"/>
            <w:vAlign w:val="bottom"/>
          </w:tcPr>
          <w:p>
            <w:pPr>
              <w:ind w:left="140"/>
              <w:spacing w:after="0"/>
              <w:rPr>
                <w:sz w:val="20"/>
                <w:szCs w:val="20"/>
                <w:color w:val="auto"/>
              </w:rPr>
            </w:pPr>
            <w:r>
              <w:rPr>
                <w:rFonts w:ascii="Arial" w:cs="Arial" w:eastAsia="Arial" w:hAnsi="Arial"/>
                <w:sz w:val="10"/>
                <w:szCs w:val="10"/>
                <w:color w:val="auto"/>
              </w:rPr>
              <w:t>Net income</w:t>
            </w:r>
          </w:p>
        </w:tc>
        <w:tc>
          <w:tcPr>
            <w:tcW w:w="2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ind w:left="3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4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80" w:type="dxa"/>
            <w:vAlign w:val="bottom"/>
          </w:tcPr>
          <w:p>
            <w:pPr>
              <w:jc w:val="right"/>
              <w:ind w:right="8"/>
              <w:spacing w:after="0"/>
              <w:rPr>
                <w:sz w:val="20"/>
                <w:szCs w:val="20"/>
                <w:color w:val="auto"/>
              </w:rPr>
            </w:pPr>
            <w:r>
              <w:rPr>
                <w:rFonts w:ascii="Arial" w:cs="Arial" w:eastAsia="Arial" w:hAnsi="Arial"/>
                <w:sz w:val="10"/>
                <w:szCs w:val="10"/>
                <w:color w:val="auto"/>
              </w:rPr>
              <w:t>221,069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ind w:right="8"/>
              <w:spacing w:after="0"/>
              <w:rPr>
                <w:sz w:val="20"/>
                <w:szCs w:val="20"/>
                <w:color w:val="auto"/>
              </w:rPr>
            </w:pPr>
            <w:r>
              <w:rPr>
                <w:rFonts w:ascii="Arial" w:cs="Arial" w:eastAsia="Arial" w:hAnsi="Arial"/>
                <w:sz w:val="10"/>
                <w:szCs w:val="10"/>
                <w:color w:val="auto"/>
              </w:rPr>
              <w:t>167,169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8"/>
              <w:spacing w:after="0"/>
              <w:rPr>
                <w:sz w:val="20"/>
                <w:szCs w:val="20"/>
                <w:color w:val="auto"/>
              </w:rPr>
            </w:pPr>
            <w:r>
              <w:rPr>
                <w:rFonts w:ascii="Arial" w:cs="Arial" w:eastAsia="Arial" w:hAnsi="Arial"/>
                <w:sz w:val="10"/>
                <w:szCs w:val="10"/>
                <w:color w:val="auto"/>
              </w:rPr>
              <w:t>388,238</w:t>
            </w: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Foreign exchange translation</w:t>
            </w: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(5,884)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(4,512)</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(10,396)</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adjustment</w:t>
            </w:r>
          </w:p>
        </w:tc>
        <w:tc>
          <w:tcPr>
            <w:tcW w:w="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Net change in unrealized cash</w:t>
            </w:r>
          </w:p>
        </w:tc>
        <w:tc>
          <w:tcPr>
            <w:tcW w:w="2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0"/>
                <w:szCs w:val="10"/>
                <w:color w:val="auto"/>
              </w:rPr>
              <w:t>(31,468)</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0"/>
                <w:szCs w:val="10"/>
                <w:color w:val="auto"/>
              </w:rPr>
              <w:t>(24,134)</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rPr>
              <w:t>(55,602)</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flow hedges gains (losses)</w:t>
            </w:r>
          </w:p>
        </w:tc>
        <w:tc>
          <w:tcPr>
            <w:tcW w:w="2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Dividends ($0.24 per share of</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Class A common stock and</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participating Restricted Stock</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 and Restricted Stock Award)</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and distributions from Virtu</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Financial to non-controlling</w:t>
            </w: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(29,602)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(19,165)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(48,767)</w:t>
            </w:r>
          </w:p>
        </w:tc>
        <w:tc>
          <w:tcPr>
            <w:tcW w:w="0" w:type="dxa"/>
            <w:vAlign w:val="bottom"/>
          </w:tcPr>
          <w:p>
            <w:pPr>
              <w:spacing w:after="0"/>
              <w:rPr>
                <w:sz w:val="1"/>
                <w:szCs w:val="1"/>
                <w:color w:val="auto"/>
              </w:rPr>
            </w:pPr>
          </w:p>
        </w:tc>
      </w:tr>
      <w:tr>
        <w:trPr>
          <w:trHeight w:val="13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interest</w:t>
            </w:r>
          </w:p>
        </w:tc>
        <w:tc>
          <w:tcPr>
            <w:tcW w:w="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3"/>
            <w:vMerge w:val="continue"/>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60" w:type="dxa"/>
            <w:vAlign w:val="bottom"/>
          </w:tcPr>
          <w:p>
            <w:pPr>
              <w:ind w:left="140"/>
              <w:spacing w:after="0" w:line="108" w:lineRule="exact"/>
              <w:rPr>
                <w:sz w:val="20"/>
                <w:szCs w:val="20"/>
                <w:color w:val="auto"/>
              </w:rPr>
            </w:pPr>
            <w:r>
              <w:rPr>
                <w:rFonts w:ascii="Arial" w:cs="Arial" w:eastAsia="Arial" w:hAnsi="Arial"/>
                <w:sz w:val="10"/>
                <w:szCs w:val="10"/>
                <w:color w:val="auto"/>
              </w:rPr>
              <w:t>Issuance of common stock in</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600" w:type="dxa"/>
            <w:vAlign w:val="bottom"/>
            <w:gridSpan w:val="2"/>
            <w:vMerge w:val="restart"/>
          </w:tcPr>
          <w:p>
            <w:pPr>
              <w:jc w:val="right"/>
              <w:ind w:right="8"/>
              <w:spacing w:after="0"/>
              <w:rPr>
                <w:sz w:val="20"/>
                <w:szCs w:val="20"/>
                <w:color w:val="auto"/>
              </w:rPr>
            </w:pPr>
            <w:r>
              <w:rPr>
                <w:rFonts w:ascii="Arial" w:cs="Arial" w:eastAsia="Arial" w:hAnsi="Arial"/>
                <w:sz w:val="10"/>
                <w:szCs w:val="10"/>
                <w:color w:val="auto"/>
              </w:rPr>
              <w:t>724,327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vMerge w:val="restart"/>
          </w:tcPr>
          <w:p>
            <w:pPr>
              <w:ind w:left="3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4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1660" w:type="dxa"/>
            <w:vAlign w:val="bottom"/>
          </w:tcPr>
          <w:p>
            <w:pPr>
              <w:ind w:left="140"/>
              <w:spacing w:after="0"/>
              <w:rPr>
                <w:sz w:val="20"/>
                <w:szCs w:val="20"/>
                <w:color w:val="auto"/>
              </w:rPr>
            </w:pPr>
            <w:r>
              <w:rPr>
                <w:rFonts w:ascii="Arial" w:cs="Arial" w:eastAsia="Arial" w:hAnsi="Arial"/>
                <w:sz w:val="10"/>
                <w:szCs w:val="10"/>
                <w:color w:val="auto"/>
              </w:rPr>
              <w:t>exchanges</w:t>
            </w: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66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Repurchase of Virtu Financial</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Units and corresponding number</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of Class C common stock in</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140"/>
              <w:spacing w:after="0" w:line="105" w:lineRule="exact"/>
              <w:rPr>
                <w:sz w:val="20"/>
                <w:szCs w:val="20"/>
                <w:color w:val="auto"/>
              </w:rPr>
            </w:pPr>
            <w:r>
              <w:rPr>
                <w:rFonts w:ascii="Arial" w:cs="Arial" w:eastAsia="Arial" w:hAnsi="Arial"/>
                <w:sz w:val="10"/>
                <w:szCs w:val="10"/>
                <w:color w:val="auto"/>
              </w:rPr>
              <w:t>connection with employee</w:t>
            </w:r>
          </w:p>
        </w:tc>
        <w:tc>
          <w:tcPr>
            <w:tcW w:w="2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0"/>
                <w:szCs w:val="10"/>
                <w:color w:val="auto"/>
              </w:rPr>
              <w:t>(724,327)</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ind w:left="3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4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2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4"/>
        </w:trPr>
        <w:tc>
          <w:tcPr>
            <w:tcW w:w="1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exchanges</w:t>
            </w: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3"/>
            <w:vMerge w:val="continue"/>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660" w:type="dxa"/>
            <w:vAlign w:val="bottom"/>
          </w:tcPr>
          <w:p>
            <w:pPr>
              <w:ind w:left="20"/>
              <w:spacing w:after="0"/>
              <w:rPr>
                <w:sz w:val="20"/>
                <w:szCs w:val="20"/>
                <w:color w:val="auto"/>
              </w:rPr>
            </w:pPr>
            <w:r>
              <w:rPr>
                <w:rFonts w:ascii="Arial" w:cs="Arial" w:eastAsia="Arial" w:hAnsi="Arial"/>
                <w:sz w:val="10"/>
                <w:szCs w:val="10"/>
                <w:color w:val="auto"/>
              </w:rPr>
              <w:t>Balance at March 31, 2020</w:t>
            </w:r>
          </w:p>
        </w:tc>
        <w:tc>
          <w:tcPr>
            <w:tcW w:w="2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3"/>
              </w:rPr>
              <w:t>122,585,460</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12,162,851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gridSpan w:val="2"/>
          </w:tcPr>
          <w:p>
            <w:pPr>
              <w:ind w:left="3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9"/>
              </w:rPr>
              <w:t>60,091,740</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97"/>
              </w:rPr>
              <w:t>(2,178,771)</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(55,005)</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8"/>
              </w:rPr>
              <w:t>1,113,447</w:t>
            </w:r>
          </w:p>
        </w:tc>
        <w:tc>
          <w:tcPr>
            <w:tcW w:w="6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91,292</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(37,999)</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1,111,737</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rPr>
              <w:t>416,920</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94"/>
              </w:rPr>
              <w:t>1,528,657</w:t>
            </w:r>
          </w:p>
        </w:tc>
        <w:tc>
          <w:tcPr>
            <w:tcW w:w="0" w:type="dxa"/>
            <w:vAlign w:val="bottom"/>
          </w:tcPr>
          <w:p>
            <w:pPr>
              <w:spacing w:after="0"/>
              <w:rPr>
                <w:sz w:val="1"/>
                <w:szCs w:val="1"/>
                <w:color w:val="auto"/>
              </w:rPr>
            </w:pPr>
          </w:p>
        </w:tc>
      </w:tr>
    </w:tbl>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70485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27" w:right="4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auto"/>
        </w:rPr>
        <w:t>Virtu Financial, Inc. and Subsidiaries</w:t>
      </w:r>
    </w:p>
    <w:p>
      <w:pPr>
        <w:spacing w:after="0" w:line="14" w:lineRule="exact"/>
        <w:rPr>
          <w:sz w:val="20"/>
          <w:szCs w:val="20"/>
          <w:color w:val="auto"/>
        </w:rPr>
      </w:pPr>
    </w:p>
    <w:p>
      <w:pPr>
        <w:jc w:val="center"/>
        <w:ind w:right="-759"/>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346"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04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r>
      <w:tr>
        <w:trPr>
          <w:trHeight w:val="177"/>
        </w:trPr>
        <w:tc>
          <w:tcPr>
            <w:tcW w:w="6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388,238</w:t>
            </w:r>
          </w:p>
        </w:tc>
      </w:tr>
      <w:tr>
        <w:trPr>
          <w:trHeight w:val="212"/>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17,360</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18,958</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Debt issue cost related to debt refinancing and prepayment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Amortization of debt issuance costs and deferred financing fees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3,493</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Termination of office leases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Share-based compensation</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12,778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22,257</w:t>
            </w:r>
          </w:p>
        </w:tc>
      </w:tr>
      <w:tr>
        <w:trPr>
          <w:trHeight w:val="186"/>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Deferred taxes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r>
      <w:tr>
        <w:trPr>
          <w:trHeight w:val="181"/>
        </w:trPr>
        <w:tc>
          <w:tcPr>
            <w:tcW w:w="7080" w:type="dxa"/>
            <w:vAlign w:val="bottom"/>
            <w:gridSpan w:val="2"/>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borrowed</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40,882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606,781</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67,885</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Receivables from broker-dealers and clearing organizations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(1,244,137)</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Trading assets, at fair value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(790,310)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(328,130)</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Receivables from customers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(301,041)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(437,769)</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16,837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12,197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(24,798)</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Securities loaned</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243,359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(582,738)</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Securities sold under agreements to repurchase</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(51,071)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48,937</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Payables to broker-dealers and clearing organizations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225,268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298,477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Payables to customers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479,533</w:t>
            </w:r>
          </w:p>
        </w:tc>
      </w:tr>
      <w:tr>
        <w:trPr>
          <w:trHeight w:val="181"/>
        </w:trPr>
        <w:tc>
          <w:tcPr>
            <w:tcW w:w="7080" w:type="dxa"/>
            <w:vAlign w:val="bottom"/>
            <w:gridSpan w:val="2"/>
          </w:tcPr>
          <w:p>
            <w:pPr>
              <w:ind w:left="320"/>
              <w:spacing w:after="0"/>
              <w:rPr>
                <w:sz w:val="20"/>
                <w:szCs w:val="20"/>
                <w:color w:val="auto"/>
              </w:rPr>
            </w:pPr>
            <w:r>
              <w:rPr>
                <w:rFonts w:ascii="Arial" w:cs="Arial" w:eastAsia="Arial" w:hAnsi="Arial"/>
                <w:sz w:val="14"/>
                <w:szCs w:val="14"/>
                <w:color w:val="auto"/>
              </w:rPr>
              <w:t>Trading liabilities, at fair value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61,025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316,327</w:t>
            </w:r>
          </w:p>
        </w:tc>
      </w:tr>
      <w:tr>
        <w:trPr>
          <w:trHeight w:val="186"/>
        </w:trPr>
        <w:tc>
          <w:tcPr>
            <w:tcW w:w="70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(14,677)</w:t>
            </w:r>
          </w:p>
        </w:tc>
      </w:tr>
      <w:tr>
        <w:trPr>
          <w:trHeight w:val="181"/>
        </w:trPr>
        <w:tc>
          <w:tcPr>
            <w:tcW w:w="70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Accounts payable, accrued expenses and other liabilities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132,395</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(218,661)</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Development of capitalized software</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(20,048)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(8,111)</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(10,750)</w:t>
            </w:r>
          </w:p>
        </w:tc>
      </w:tr>
      <w:tr>
        <w:trPr>
          <w:trHeight w:val="181"/>
        </w:trPr>
        <w:tc>
          <w:tcPr>
            <w:tcW w:w="7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Investment in joint ventures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(20,011)</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Dividends to stockholders and distributions from Virtu Financial to non-controlling interest</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(189,386)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(48,767)</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 of treasury stock</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(77,093)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(9,801)</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Stock options exercised</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3,206</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 net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358,900</w:t>
            </w: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Repayment of long term borrowings</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receivable agreement obligations</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(13,286)</w:t>
            </w:r>
          </w:p>
        </w:tc>
      </w:tr>
      <w:tr>
        <w:trPr>
          <w:trHeight w:val="181"/>
        </w:trPr>
        <w:tc>
          <w:tcPr>
            <w:tcW w:w="7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Debt issuance costs</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(9,263)</w:t>
            </w:r>
          </w:p>
        </w:tc>
      </w:tr>
      <w:tr>
        <w:trPr>
          <w:trHeight w:val="179"/>
        </w:trPr>
        <w:tc>
          <w:tcPr>
            <w:tcW w:w="70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(89,744)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280,989</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(10,396)</w:t>
            </w: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31,921</w:t>
            </w:r>
          </w:p>
        </w:tc>
      </w:tr>
      <w:tr>
        <w:trPr>
          <w:trHeight w:val="181"/>
        </w:trPr>
        <w:tc>
          <w:tcPr>
            <w:tcW w:w="70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or segregated cash, beginning of period</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1,007,005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773,280</w:t>
            </w:r>
          </w:p>
        </w:tc>
      </w:tr>
      <w:tr>
        <w:trPr>
          <w:trHeight w:val="204"/>
        </w:trPr>
        <w:tc>
          <w:tcPr>
            <w:tcW w:w="7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or segregated cash, end of period</w:t>
            </w: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1,021,833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805,201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1"/>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Cash paid for interest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36,611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52,724</w:t>
            </w:r>
          </w:p>
        </w:tc>
      </w:tr>
      <w:tr>
        <w:trPr>
          <w:trHeight w:val="186"/>
        </w:trPr>
        <w:tc>
          <w:tcPr>
            <w:tcW w:w="7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paid for taxes</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2,843</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127" w:right="109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78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6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r>
      <w:tr>
        <w:trPr>
          <w:trHeight w:val="190"/>
        </w:trPr>
        <w:tc>
          <w:tcPr>
            <w:tcW w:w="6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183"/>
        </w:trPr>
        <w:tc>
          <w:tcPr>
            <w:tcW w:w="70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Non-cash investing activities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78"/>
        </w:trPr>
        <w:tc>
          <w:tcPr>
            <w:tcW w:w="7080" w:type="dxa"/>
            <w:vAlign w:val="bottom"/>
            <w:gridSpan w:val="2"/>
          </w:tcPr>
          <w:p>
            <w:pPr>
              <w:ind w:left="120"/>
              <w:spacing w:after="0"/>
              <w:rPr>
                <w:sz w:val="20"/>
                <w:szCs w:val="20"/>
                <w:color w:val="auto"/>
              </w:rPr>
            </w:pPr>
            <w:r>
              <w:rPr>
                <w:rFonts w:ascii="Arial" w:cs="Arial" w:eastAsia="Arial" w:hAnsi="Arial"/>
                <w:sz w:val="14"/>
                <w:szCs w:val="14"/>
                <w:color w:val="auto"/>
              </w:rPr>
              <w:t>Share-based and accrued incentive compensation to developers relating to capitalized software</w:t>
            </w:r>
          </w:p>
        </w:tc>
        <w:tc>
          <w:tcPr>
            <w:tcW w:w="1260" w:type="dxa"/>
            <w:vAlign w:val="bottom"/>
          </w:tcPr>
          <w:p>
            <w:pPr>
              <w:jc w:val="right"/>
              <w:spacing w:after="0"/>
              <w:rPr>
                <w:sz w:val="20"/>
                <w:szCs w:val="20"/>
                <w:color w:val="auto"/>
              </w:rPr>
            </w:pPr>
            <w:r>
              <w:rPr>
                <w:rFonts w:ascii="Arial" w:cs="Arial" w:eastAsia="Arial" w:hAnsi="Arial"/>
                <w:sz w:val="14"/>
                <w:szCs w:val="14"/>
                <w:color w:val="auto"/>
              </w:rPr>
              <w:t>4,387</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3,254</w:t>
            </w:r>
          </w:p>
        </w:tc>
      </w:tr>
    </w:tbl>
    <w:p>
      <w:pPr>
        <w:spacing w:after="0" w:line="241" w:lineRule="exact"/>
        <w:rPr>
          <w:sz w:val="20"/>
          <w:szCs w:val="20"/>
          <w:color w:val="auto"/>
        </w:rPr>
      </w:pPr>
    </w:p>
    <w:p>
      <w:pPr>
        <w:ind w:left="2660"/>
        <w:spacing w:after="0"/>
        <w:rPr>
          <w:sz w:val="20"/>
          <w:szCs w:val="20"/>
          <w:color w:val="auto"/>
        </w:rPr>
      </w:pPr>
      <w:r>
        <w:rPr>
          <w:rFonts w:ascii="Arial" w:cs="Arial" w:eastAsia="Arial" w:hAnsi="Arial"/>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127" w:right="109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thousands, except shares and per share amounts, unless otherwise noted)</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Organization</w:t>
      </w:r>
    </w:p>
    <w:p>
      <w:pPr>
        <w:spacing w:after="0" w:line="250" w:lineRule="exact"/>
        <w:rPr>
          <w:sz w:val="20"/>
          <w:szCs w:val="20"/>
          <w:color w:val="auto"/>
        </w:rPr>
      </w:pPr>
    </w:p>
    <w:p>
      <w:pPr>
        <w:ind w:right="20" w:firstLine="629"/>
        <w:spacing w:after="0" w:line="289" w:lineRule="auto"/>
        <w:rPr>
          <w:sz w:val="20"/>
          <w:szCs w:val="20"/>
          <w:color w:val="auto"/>
        </w:rPr>
      </w:pPr>
      <w:r>
        <w:rPr>
          <w:rFonts w:ascii="Arial" w:cs="Arial" w:eastAsia="Arial" w:hAnsi="Arial"/>
          <w:sz w:val="16"/>
          <w:szCs w:val="16"/>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2021, VFI owned approximately 64.0% of the membership interests of Virtu Financial. VFI is the sole managing member of Virtu Financial and operates and controls all of the businesses and affairs of Virtu Financial and its subsidiaries (the “Group”).</w:t>
      </w:r>
    </w:p>
    <w:p>
      <w:pPr>
        <w:spacing w:after="0" w:line="188"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and other commodities. The Company’s integrated, multi-asset analytics platform provides a range of pre- and post-trade services, data products and compliance tools that its clients rely upon to invest, trade and manage risk across global markets.</w:t>
      </w:r>
    </w:p>
    <w:p>
      <w:pPr>
        <w:spacing w:after="0" w:line="212"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completed two significant acquisitions over the past four years that have expanded and complemented Virtu Financial's original electronic trading and marking making business. On July 20, 2017 (the “KCG Closing Date”), the Company completed the all-cash acquisition of KCG Holdings, Inc. (“KCG”) (the “Acquisition of KCG”). On March 1, 2019 (the “ITG Closing Date”), the Company completed the acquisition of Investment Technology Group, Inc. and its subsidiaries (“ITG”) in an all-cash transaction valued at $30.30 per ITG share, for a total of approximately $1.0 billion (the “ITG Acquisition”). ITG's business contributes to the Company's Execution Services segment.</w:t>
      </w:r>
    </w:p>
    <w:p>
      <w:pPr>
        <w:spacing w:after="0" w:line="204" w:lineRule="exact"/>
        <w:rPr>
          <w:sz w:val="20"/>
          <w:szCs w:val="20"/>
          <w:color w:val="auto"/>
        </w:rPr>
      </w:pPr>
    </w:p>
    <w:p>
      <w:pPr>
        <w:ind w:right="140" w:firstLine="629"/>
        <w:spacing w:after="0" w:line="261" w:lineRule="auto"/>
        <w:rPr>
          <w:sz w:val="20"/>
          <w:szCs w:val="20"/>
          <w:color w:val="auto"/>
        </w:rPr>
      </w:pPr>
      <w:r>
        <w:rPr>
          <w:rFonts w:ascii="Arial" w:cs="Arial" w:eastAsia="Arial" w:hAnsi="Arial"/>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Form of Presentation</w:t>
      </w:r>
    </w:p>
    <w:p>
      <w:pPr>
        <w:spacing w:after="0" w:line="25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2020.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Company does not own as noncontrolling interests. All intercompany accounts and transactions have been eliminated in consolidation.</w:t>
      </w:r>
    </w:p>
    <w:p>
      <w:pPr>
        <w:spacing w:after="0" w:line="250" w:lineRule="exact"/>
        <w:rPr>
          <w:sz w:val="20"/>
          <w:szCs w:val="20"/>
          <w:color w:val="auto"/>
        </w:rPr>
      </w:pPr>
    </w:p>
    <w:p>
      <w:pPr>
        <w:jc w:val="both"/>
        <w:ind w:right="260" w:firstLine="629"/>
        <w:spacing w:after="0" w:line="273" w:lineRule="auto"/>
        <w:rPr>
          <w:sz w:val="20"/>
          <w:szCs w:val="20"/>
          <w:color w:val="auto"/>
        </w:rPr>
      </w:pPr>
      <w:r>
        <w:rPr>
          <w:rFonts w:ascii="Arial" w:cs="Arial" w:eastAsia="Arial" w:hAnsi="Arial"/>
          <w:sz w:val="17"/>
          <w:szCs w:val="17"/>
          <w:color w:val="auto"/>
        </w:rPr>
        <w:t>Certain reclassifications have been made to the prior period's condensed consolidated financial statements in order to conform to the current period presentation. Such reclassifications are immaterial, individually and in the aggregate, to both current and all previously issued financial statements taken as a whole and have no effect on previously reported consolidated net income available to common stockholders.</w:t>
      </w:r>
    </w:p>
    <w:p>
      <w:pPr>
        <w:spacing w:after="0" w:line="197" w:lineRule="exact"/>
        <w:rPr>
          <w:sz w:val="20"/>
          <w:szCs w:val="20"/>
          <w:color w:val="auto"/>
        </w:rPr>
      </w:pPr>
    </w:p>
    <w:p>
      <w:pPr>
        <w:ind w:right="200" w:firstLine="629"/>
        <w:spacing w:after="0" w:line="283" w:lineRule="auto"/>
        <w:rPr>
          <w:sz w:val="20"/>
          <w:szCs w:val="20"/>
          <w:color w:val="auto"/>
        </w:rPr>
      </w:pPr>
      <w:r>
        <w:rPr>
          <w:rFonts w:ascii="Arial" w:cs="Arial" w:eastAsia="Arial" w:hAnsi="Arial"/>
          <w:sz w:val="15"/>
          <w:szCs w:val="15"/>
          <w:color w:val="auto"/>
        </w:rPr>
        <w:t>Effective for the quarter ended March 31, 2021, the Company has changed the presentation of its Condensed Consolidated Statements of Changes in Equity and Condensed Consolidated Statements of Cash Flows. As a result, the Company combined $29.6 million of Dividends to stockholders and</w:t>
      </w:r>
    </w:p>
    <w:p>
      <w:pPr>
        <w:spacing w:after="0" w:line="260" w:lineRule="auto"/>
        <w:rPr>
          <w:sz w:val="20"/>
          <w:szCs w:val="20"/>
          <w:color w:val="auto"/>
        </w:rPr>
      </w:pPr>
      <w:r>
        <w:rPr>
          <w:rFonts w:ascii="Arial" w:cs="Arial" w:eastAsia="Arial" w:hAnsi="Arial"/>
          <w:sz w:val="16"/>
          <w:szCs w:val="16"/>
          <w:color w:val="auto"/>
        </w:rPr>
        <w:t>$19.2 million of Distribution from Virtu Financial to non-controlling interest into one line, Dividends to stockholders and distribution from Virtu Financial to non-controlling interest for the three months ended March 31, 2020. Dividends and distributions from Virtu Financial to non-controlling interest both represent cash payments by the Company it its equity owners which reduce Total equity. Effective for the quarter ended June 30, 2020, the Company has changed the presentation of its Condensed Consolidated Statements of Comprehensive Income. As a result, the Company made the following reclassifications to prior period amounts to be consistent with current period presentation. For the three months ended March 31, 2020, the Company reclassified $62.3 million of Payments for order flow to Brokerage, exchange, clearance fees and payments for order flow, net, previously reported as Payments for order flow and Brokerage, exchange and clearance fees, net, respectively. Brokerage, exchange and clearance fees, net and payments for order flow both represent costs associated with transacting trades. For the three months ended March 31, 2020, the Company reclassified $3.5 million of sublease income from Other, net within Total revenues to net with other occupancy costs recorded in Operations and administrative within Operating Expenses.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2" w:lineRule="exact"/>
        <w:rPr>
          <w:sz w:val="20"/>
          <w:szCs w:val="20"/>
          <w:color w:val="auto"/>
        </w:rPr>
      </w:pPr>
    </w:p>
    <w:p>
      <w:pPr>
        <w:ind w:right="820" w:firstLine="629"/>
        <w:spacing w:after="0" w:line="306" w:lineRule="auto"/>
        <w:rPr>
          <w:sz w:val="20"/>
          <w:szCs w:val="20"/>
          <w:color w:val="auto"/>
        </w:rPr>
      </w:pPr>
      <w:r>
        <w:rPr>
          <w:rFonts w:ascii="Arial" w:cs="Arial" w:eastAsia="Arial" w:hAnsi="Arial"/>
          <w:sz w:val="16"/>
          <w:szCs w:val="16"/>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2020.</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56" w:lineRule="exact"/>
        <w:rPr>
          <w:sz w:val="20"/>
          <w:szCs w:val="20"/>
          <w:color w:val="auto"/>
        </w:rPr>
      </w:pPr>
    </w:p>
    <w:p>
      <w:pPr>
        <w:ind w:right="320" w:firstLine="629"/>
        <w:spacing w:after="0" w:line="26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 In December 2019, the FASB issued Accounting Standards Update ("ASU") 2019-12,</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740): Simplifying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The ASU removes certain exceptions related to the approach for intraperiod tax allocation, the methodology for calculating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taxes in an interim period, and the recognition of deferred tax liabilities for outside basis differences. The ASU also amends other aspects of the guidance relating to the accounting for franchise taxes, enacted changes in tax laws or rates, the accounting for transactions that result in a step-up in the tax basis of goodwill, and other tax-related items. The Company adopted this ASU on January 1, 2021 and it did not have a material impact on its condensed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Not Yet Adopted as of March 31, 2021</w:t>
      </w:r>
    </w:p>
    <w:p>
      <w:pPr>
        <w:spacing w:after="0" w:line="256"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b w:val="1"/>
          <w:bCs w:val="1"/>
          <w:i w:val="1"/>
          <w:iCs w:val="1"/>
          <w:color w:val="auto"/>
        </w:rPr>
        <w:t xml:space="preserve">Reference Rate Reform </w:t>
      </w:r>
      <w:r>
        <w:rPr>
          <w:rFonts w:ascii="Arial" w:cs="Arial" w:eastAsia="Arial" w:hAnsi="Arial"/>
          <w:sz w:val="16"/>
          <w:szCs w:val="16"/>
          <w:color w:val="auto"/>
        </w:rPr>
        <w:t>- In March 2020, the FASB issued ASU 2020-04,</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Reference Rate Reform (Topic 848): Facilitation of the Effects of Reference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Rate Reform on Financial Reporting</w:t>
      </w:r>
      <w:r>
        <w:rPr>
          <w:rFonts w:ascii="Arial" w:cs="Arial" w:eastAsia="Arial" w:hAnsi="Arial"/>
          <w:sz w:val="16"/>
          <w:szCs w:val="16"/>
          <w:color w:val="auto"/>
        </w:rPr>
        <w:t>, which is designed to ease the potential burden in accounting for the transition away from LIBOR. The ASU applies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Arial" w:cs="Arial" w:eastAsia="Arial" w:hAnsi="Arial"/>
          <w:sz w:val="16"/>
          <w:szCs w:val="16"/>
          <w:i w:val="1"/>
          <w:iCs w:val="1"/>
          <w:color w:val="auto"/>
        </w:rPr>
        <w:t>Reference Rate Reform (Topic 848): Scope,</w:t>
      </w:r>
      <w:r>
        <w:rPr>
          <w:rFonts w:ascii="Arial" w:cs="Arial" w:eastAsia="Arial" w:hAnsi="Arial"/>
          <w:sz w:val="16"/>
          <w:szCs w:val="16"/>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is evaluating the impact of these ASUs, but does not expect it to have a material impact on its Condensed Consolidated Financial Statements and related disclosures.</w:t>
      </w:r>
    </w:p>
    <w:p>
      <w:pPr>
        <w:spacing w:after="0" w:line="197" w:lineRule="exact"/>
        <w:rPr>
          <w:sz w:val="20"/>
          <w:szCs w:val="20"/>
          <w:color w:val="auto"/>
        </w:rPr>
      </w:pPr>
    </w:p>
    <w:p>
      <w:pPr>
        <w:ind w:right="260" w:firstLine="629"/>
        <w:spacing w:after="0" w:line="281" w:lineRule="auto"/>
        <w:rPr>
          <w:sz w:val="20"/>
          <w:szCs w:val="20"/>
          <w:color w:val="auto"/>
        </w:rPr>
      </w:pPr>
      <w:r>
        <w:rPr>
          <w:rFonts w:ascii="Arial" w:cs="Arial" w:eastAsia="Arial" w:hAnsi="Arial"/>
          <w:sz w:val="16"/>
          <w:szCs w:val="16"/>
          <w:b w:val="1"/>
          <w:bCs w:val="1"/>
          <w:i w:val="1"/>
          <w:iCs w:val="1"/>
          <w:color w:val="auto"/>
        </w:rPr>
        <w:t xml:space="preserve">Convertible Instruments </w:t>
      </w:r>
      <w:r>
        <w:rPr>
          <w:rFonts w:ascii="Arial" w:cs="Arial" w:eastAsia="Arial" w:hAnsi="Arial"/>
          <w:sz w:val="16"/>
          <w:szCs w:val="16"/>
          <w:color w:val="auto"/>
        </w:rPr>
        <w:t>- In August 2020, the FASB issued ASU 2020-06,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Debt - Debt with Conversion and Other Options (Subtopic 470-20)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Derivatives and Hedging - Contracts in Entity's Own Equity (Subtopic 815-40). </w:t>
      </w:r>
      <w:r>
        <w:rPr>
          <w:rFonts w:ascii="Arial" w:cs="Arial" w:eastAsia="Arial" w:hAnsi="Arial"/>
          <w:sz w:val="16"/>
          <w:szCs w:val="16"/>
          <w:color w:val="auto"/>
        </w:rPr>
        <w:t>The ASU simplifies accounting for certain financial instruments with</w:t>
      </w:r>
    </w:p>
    <w:p>
      <w:pPr>
        <w:ind w:right="20"/>
        <w:spacing w:after="0" w:line="265" w:lineRule="auto"/>
        <w:rPr>
          <w:sz w:val="20"/>
          <w:szCs w:val="20"/>
          <w:color w:val="auto"/>
        </w:rPr>
      </w:pPr>
      <w:r>
        <w:rPr>
          <w:rFonts w:ascii="Arial" w:cs="Arial" w:eastAsia="Arial" w:hAnsi="Arial"/>
          <w:sz w:val="17"/>
          <w:szCs w:val="17"/>
          <w:color w:val="auto"/>
        </w:rPr>
        <w:t>characteristics of liabilities and equity, including convertible instruments and contracts in an entity's own equity and updates selected earnings per share ("EPS") guidance. The ASU is effective for periods beginning after December 15, 2021. The Company is currently evaluating the impact of the new standard on its Condensed Consolidated Financial Statements and related disclosures.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below table contains a reconciliation of net income (loss) before noncontrolling interest to net income (loss) available for common stockholders:</w:t>
      </w:r>
    </w:p>
    <w:p>
      <w:pPr>
        <w:spacing w:after="0" w:line="5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5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 and noncontrolling interest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489,787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466,225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80,555</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77,987</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80" w:type="dxa"/>
            <w:vAlign w:val="bottom"/>
          </w:tcPr>
          <w:p>
            <w:pPr>
              <w:spacing w:after="0"/>
              <w:rPr>
                <w:sz w:val="15"/>
                <w:szCs w:val="15"/>
                <w:color w:val="auto"/>
              </w:rPr>
            </w:pPr>
          </w:p>
        </w:tc>
        <w:tc>
          <w:tcPr>
            <w:tcW w:w="5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409,232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388,238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(169,827)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(167,169)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58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Net income available for common stockholders</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239,405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221,069</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20" w:type="dxa"/>
            <w:vAlign w:val="bottom"/>
            <w:gridSpan w:val="5"/>
            <w:vMerge w:val="restart"/>
          </w:tcPr>
          <w:p>
            <w:pPr>
              <w:spacing w:after="0"/>
              <w:rPr>
                <w:sz w:val="20"/>
                <w:szCs w:val="20"/>
                <w:color w:val="auto"/>
              </w:rPr>
            </w:pPr>
            <w:r>
              <w:rPr>
                <w:rFonts w:ascii="Arial" w:cs="Arial" w:eastAsia="Arial" w:hAnsi="Arial"/>
                <w:sz w:val="17"/>
                <w:szCs w:val="17"/>
                <w:color w:val="auto"/>
              </w:rPr>
              <w:t>The calculation of basic and diluted earnings per share is presented below:</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6420" w:type="dxa"/>
            <w:vAlign w:val="bottom"/>
            <w:gridSpan w:val="5"/>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gridSpan w:val="2"/>
          </w:tcPr>
          <w:p>
            <w:pPr>
              <w:ind w:left="640"/>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Basic earnings (loss) per share:</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20" w:type="dxa"/>
            <w:vAlign w:val="bottom"/>
            <w:gridSpan w:val="3"/>
          </w:tcPr>
          <w:p>
            <w:pPr>
              <w:ind w:left="640"/>
              <w:spacing w:after="0"/>
              <w:rPr>
                <w:sz w:val="20"/>
                <w:szCs w:val="20"/>
                <w:color w:val="auto"/>
              </w:rPr>
            </w:pPr>
            <w:r>
              <w:rPr>
                <w:rFonts w:ascii="Arial" w:cs="Arial" w:eastAsia="Arial" w:hAnsi="Arial"/>
                <w:sz w:val="14"/>
                <w:szCs w:val="14"/>
                <w:color w:val="auto"/>
              </w:rPr>
              <w:t>Net income available for common stockholders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239,405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221,069</w:t>
            </w: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520" w:type="dxa"/>
            <w:vAlign w:val="bottom"/>
            <w:gridSpan w:val="3"/>
            <w:shd w:val="clear" w:color="auto" w:fill="CCEEFF"/>
          </w:tcPr>
          <w:p>
            <w:pPr>
              <w:ind w:left="640"/>
              <w:spacing w:after="0" w:line="133" w:lineRule="exact"/>
              <w:rPr>
                <w:sz w:val="20"/>
                <w:szCs w:val="20"/>
                <w:color w:val="auto"/>
              </w:rPr>
            </w:pPr>
            <w:r>
              <w:rPr>
                <w:rFonts w:ascii="Arial" w:cs="Arial" w:eastAsia="Arial" w:hAnsi="Arial"/>
                <w:sz w:val="14"/>
                <w:szCs w:val="14"/>
                <w:color w:val="auto"/>
              </w:rPr>
              <w:t>Less: Dividends and undistributed earnings allocated to participating</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(5,287)</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900" w:type="dxa"/>
            <w:vAlign w:val="bottom"/>
            <w:gridSpan w:val="2"/>
          </w:tcPr>
          <w:p>
            <w:pPr>
              <w:ind w:left="640"/>
              <w:spacing w:after="0" w:line="111" w:lineRule="exact"/>
              <w:rPr>
                <w:sz w:val="20"/>
                <w:szCs w:val="20"/>
                <w:color w:val="auto"/>
              </w:rPr>
            </w:pPr>
            <w:r>
              <w:rPr>
                <w:rFonts w:ascii="Arial" w:cs="Arial" w:eastAsia="Arial" w:hAnsi="Arial"/>
                <w:sz w:val="12"/>
                <w:szCs w:val="12"/>
                <w:color w:val="auto"/>
              </w:rPr>
              <w:t>Net income available for common stockholders, net of dividends and</w:t>
            </w: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233,093</w:t>
            </w: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4"/>
                <w:szCs w:val="14"/>
                <w:color w:val="auto"/>
              </w:rPr>
              <w:t>215,782</w:t>
            </w: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Arial" w:cs="Arial" w:eastAsia="Arial" w:hAnsi="Arial"/>
                <w:sz w:val="14"/>
                <w:szCs w:val="14"/>
                <w:color w:val="auto"/>
              </w:rPr>
              <w:t>undistributed earnings allocated to participating securities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20" w:type="dxa"/>
            <w:vAlign w:val="bottom"/>
            <w:gridSpan w:val="3"/>
          </w:tcPr>
          <w:p>
            <w:pPr>
              <w:ind w:left="640"/>
              <w:spacing w:after="0"/>
              <w:rPr>
                <w:sz w:val="20"/>
                <w:szCs w:val="20"/>
                <w:color w:val="auto"/>
              </w:rPr>
            </w:pPr>
            <w:r>
              <w:rPr>
                <w:rFonts w:ascii="Arial" w:cs="Arial" w:eastAsia="Arial" w:hAnsi="Arial"/>
                <w:sz w:val="14"/>
                <w:szCs w:val="14"/>
                <w:color w:val="auto"/>
              </w:rPr>
              <w:t>Weighted average shares of common stock outstanding: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2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Class A</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122,062,555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119,757,158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Basic earnings (loss) per share</w:t>
            </w:r>
          </w:p>
        </w:tc>
        <w:tc>
          <w:tcPr>
            <w:tcW w:w="6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88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5840" w:type="dxa"/>
            <w:vAlign w:val="bottom"/>
            <w:tcBorders>
              <w:bottom w:val="single" w:sz="8" w:color="auto"/>
            </w:tcBorders>
            <w:gridSpan w:val="4"/>
          </w:tcPr>
          <w:p>
            <w:pPr>
              <w:ind w:left="20"/>
              <w:spacing w:after="0" w:line="160" w:lineRule="exact"/>
              <w:rPr>
                <w:sz w:val="20"/>
                <w:szCs w:val="20"/>
                <w:color w:val="auto"/>
              </w:rPr>
            </w:pPr>
            <w:r>
              <w:rPr>
                <w:rFonts w:ascii="Arial" w:cs="Arial" w:eastAsia="Arial" w:hAnsi="Arial"/>
                <w:sz w:val="14"/>
                <w:szCs w:val="14"/>
                <w:b w:val="1"/>
                <w:bCs w:val="1"/>
                <w:color w:val="auto"/>
              </w:rPr>
              <w:t>(in thousands, except for share or per share data)</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0" w:type="dxa"/>
            <w:vAlign w:val="bottom"/>
          </w:tcPr>
          <w:p>
            <w:pPr>
              <w:spacing w:after="0"/>
              <w:rPr>
                <w:sz w:val="15"/>
                <w:szCs w:val="15"/>
                <w:color w:val="auto"/>
              </w:rPr>
            </w:pPr>
          </w:p>
        </w:tc>
        <w:tc>
          <w:tcPr>
            <w:tcW w:w="584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Diluted earnings (loss) per share:</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5840" w:type="dxa"/>
            <w:vAlign w:val="bottom"/>
            <w:gridSpan w:val="4"/>
          </w:tcPr>
          <w:p>
            <w:pPr>
              <w:ind w:left="20"/>
              <w:spacing w:after="0" w:line="131" w:lineRule="exact"/>
              <w:rPr>
                <w:sz w:val="20"/>
                <w:szCs w:val="20"/>
                <w:color w:val="auto"/>
              </w:rPr>
            </w:pPr>
            <w:r>
              <w:rPr>
                <w:rFonts w:ascii="Arial" w:cs="Arial" w:eastAsia="Arial" w:hAnsi="Arial"/>
                <w:sz w:val="14"/>
                <w:szCs w:val="14"/>
                <w:color w:val="auto"/>
                <w:w w:val="90"/>
              </w:rPr>
              <w:t>Net income available for common stockholders, net of dividends and undistributed earnings allocated to</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4"/>
                <w:szCs w:val="14"/>
                <w:color w:val="auto"/>
              </w:rPr>
              <w:t>$</w:t>
            </w:r>
          </w:p>
        </w:tc>
        <w:tc>
          <w:tcPr>
            <w:tcW w:w="114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233,093</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2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215,782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40" w:type="dxa"/>
            <w:vAlign w:val="bottom"/>
            <w:gridSpan w:val="4"/>
          </w:tcPr>
          <w:p>
            <w:pPr>
              <w:ind w:left="20"/>
              <w:spacing w:after="0"/>
              <w:rPr>
                <w:sz w:val="20"/>
                <w:szCs w:val="20"/>
                <w:color w:val="auto"/>
              </w:rPr>
            </w:pPr>
            <w:r>
              <w:rPr>
                <w:rFonts w:ascii="Arial" w:cs="Arial" w:eastAsia="Arial" w:hAnsi="Arial"/>
                <w:sz w:val="14"/>
                <w:szCs w:val="14"/>
                <w:color w:val="auto"/>
              </w:rPr>
              <w:t>participating securities</w:t>
            </w:r>
          </w:p>
        </w:tc>
        <w:tc>
          <w:tcPr>
            <w:tcW w:w="420" w:type="dxa"/>
            <w:vAlign w:val="bottom"/>
            <w:gridSpan w:val="3"/>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5840" w:type="dxa"/>
            <w:vAlign w:val="bottom"/>
            <w:gridSpan w:val="4"/>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5840" w:type="dxa"/>
            <w:vAlign w:val="bottom"/>
            <w:gridSpan w:val="4"/>
          </w:tcPr>
          <w:p>
            <w:pPr>
              <w:ind w:left="20"/>
              <w:spacing w:after="0"/>
              <w:rPr>
                <w:sz w:val="20"/>
                <w:szCs w:val="20"/>
                <w:color w:val="auto"/>
              </w:rPr>
            </w:pPr>
            <w:r>
              <w:rPr>
                <w:rFonts w:ascii="Arial" w:cs="Arial" w:eastAsia="Arial" w:hAnsi="Arial"/>
                <w:sz w:val="14"/>
                <w:szCs w:val="14"/>
                <w:color w:val="auto"/>
              </w:rPr>
              <w:t>Weighted average shares of common stock outstanding: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80" w:type="dxa"/>
            <w:vAlign w:val="bottom"/>
          </w:tcPr>
          <w:p>
            <w:pPr>
              <w:spacing w:after="0"/>
              <w:rPr>
                <w:sz w:val="16"/>
                <w:szCs w:val="16"/>
                <w:color w:val="auto"/>
              </w:rPr>
            </w:pPr>
          </w:p>
        </w:tc>
        <w:tc>
          <w:tcPr>
            <w:tcW w:w="5840" w:type="dxa"/>
            <w:vAlign w:val="bottom"/>
            <w:gridSpan w:val="4"/>
            <w:shd w:val="clear" w:color="auto" w:fill="CCEEFF"/>
          </w:tcPr>
          <w:p>
            <w:pPr>
              <w:ind w:left="220"/>
              <w:spacing w:after="0"/>
              <w:rPr>
                <w:sz w:val="20"/>
                <w:szCs w:val="20"/>
                <w:color w:val="auto"/>
              </w:rPr>
            </w:pPr>
            <w:r>
              <w:rPr>
                <w:rFonts w:ascii="Arial" w:cs="Arial" w:eastAsia="Arial" w:hAnsi="Arial"/>
                <w:sz w:val="14"/>
                <w:szCs w:val="14"/>
                <w:color w:val="auto"/>
              </w:rPr>
              <w:t>Class A</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20" w:type="dxa"/>
            <w:vAlign w:val="bottom"/>
            <w:gridSpan w:val="3"/>
          </w:tcPr>
          <w:p>
            <w:pPr>
              <w:spacing w:after="0"/>
              <w:rPr>
                <w:sz w:val="20"/>
                <w:szCs w:val="20"/>
                <w:color w:val="auto"/>
              </w:rPr>
            </w:pPr>
            <w:r>
              <w:rPr>
                <w:rFonts w:ascii="Arial" w:cs="Arial" w:eastAsia="Arial" w:hAnsi="Arial"/>
                <w:sz w:val="14"/>
                <w:szCs w:val="14"/>
                <w:color w:val="auto"/>
              </w:rPr>
              <w:t>Issued and outstanding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122,062,555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7"/>
              </w:rPr>
              <w:t>119,757,158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520" w:type="dxa"/>
            <w:vAlign w:val="bottom"/>
            <w:gridSpan w:val="3"/>
            <w:shd w:val="clear" w:color="auto" w:fill="CCEEFF"/>
          </w:tcPr>
          <w:p>
            <w:pPr>
              <w:spacing w:after="0" w:line="133" w:lineRule="exact"/>
              <w:rPr>
                <w:sz w:val="20"/>
                <w:szCs w:val="20"/>
                <w:color w:val="auto"/>
              </w:rPr>
            </w:pPr>
            <w:r>
              <w:rPr>
                <w:rFonts w:ascii="Arial" w:cs="Arial" w:eastAsia="Arial" w:hAnsi="Arial"/>
                <w:sz w:val="14"/>
                <w:szCs w:val="14"/>
                <w:color w:val="auto"/>
                <w:w w:val="94"/>
              </w:rPr>
              <w:t>Issuable pursuant to Amended and Restated 2015 Management Incentive Plan, Amended and</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52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w w:val="96"/>
              </w:rPr>
              <w:t>Restated Investment Technology Group, Inc. 2007 Omnibus Equity Compensation Plan, and</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1,326,772</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31,317</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8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Warrants issued in connection with the Founder Member Loan (1)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123,389,327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w w:val="97"/>
              </w:rPr>
              <w:t>119,788,475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5840" w:type="dxa"/>
            <w:vAlign w:val="bottom"/>
            <w:gridSpan w:val="4"/>
            <w:shd w:val="clear" w:color="auto" w:fill="CCEEFF"/>
          </w:tcPr>
          <w:p>
            <w:pPr>
              <w:spacing w:after="0"/>
              <w:rPr>
                <w:sz w:val="18"/>
                <w:szCs w:val="18"/>
                <w:color w:val="auto"/>
              </w:rPr>
            </w:pPr>
          </w:p>
        </w:tc>
        <w:tc>
          <w:tcPr>
            <w:tcW w:w="420" w:type="dxa"/>
            <w:vAlign w:val="bottom"/>
            <w:gridSpan w:val="3"/>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5840" w:type="dxa"/>
            <w:vAlign w:val="bottom"/>
            <w:gridSpan w:val="4"/>
          </w:tcPr>
          <w:p>
            <w:pPr>
              <w:ind w:left="20"/>
              <w:spacing w:after="0"/>
              <w:rPr>
                <w:sz w:val="20"/>
                <w:szCs w:val="20"/>
                <w:color w:val="auto"/>
              </w:rPr>
            </w:pPr>
            <w:r>
              <w:rPr>
                <w:rFonts w:ascii="Arial" w:cs="Arial" w:eastAsia="Arial" w:hAnsi="Arial"/>
                <w:sz w:val="14"/>
                <w:szCs w:val="14"/>
                <w:color w:val="auto"/>
              </w:rPr>
              <w:t>Diluted earnings (loss) per share</w:t>
            </w:r>
          </w:p>
        </w:tc>
        <w:tc>
          <w:tcPr>
            <w:tcW w:w="260" w:type="dxa"/>
            <w:vAlign w:val="bottom"/>
            <w:gridSpan w:val="2"/>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320" w:hanging="315"/>
        <w:spacing w:after="0" w:line="247" w:lineRule="auto"/>
        <w:tabs>
          <w:tab w:leader="none" w:pos="31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dilutive impact excludes from the computation of earnings (loss) per share 76,817 unexercised stock options issuable pursuant to the Amended and Restated Investment Technology Group, Inc. 2007 Omnibus Equity Compensation Plan, and 3,000,000 unexercised warrants for the three months ended March 31, 2020, because the inclusion of these instruments would have been anti-dilutive.</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Tax Receivable Agreements</w:t>
      </w:r>
    </w:p>
    <w:p>
      <w:pPr>
        <w:spacing w:after="0" w:line="361" w:lineRule="exact"/>
        <w:rPr>
          <w:sz w:val="20"/>
          <w:szCs w:val="20"/>
          <w:color w:val="auto"/>
        </w:rPr>
      </w:pPr>
    </w:p>
    <w:p>
      <w:pPr>
        <w:ind w:right="660" w:firstLine="629"/>
        <w:spacing w:after="0" w:line="289" w:lineRule="auto"/>
        <w:rPr>
          <w:sz w:val="20"/>
          <w:szCs w:val="20"/>
          <w:color w:val="auto"/>
        </w:rPr>
      </w:pPr>
      <w:r>
        <w:rPr>
          <w:rFonts w:ascii="Arial" w:cs="Arial" w:eastAsia="Arial" w:hAnsi="Arial"/>
          <w:sz w:val="17"/>
          <w:szCs w:val="17"/>
          <w:color w:val="auto"/>
        </w:rPr>
        <w:t>For a detailed discussion of the Company's tax receivable agreements, see Note 7 "Tax Receivable Agreements" in our consolidated financial statements included in Part II, Item 8 of our Annual Report on Form 10-K for the year ended December 31, 2020.</w:t>
      </w:r>
    </w:p>
    <w:p>
      <w:pPr>
        <w:spacing w:after="0" w:line="18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For purposes of the tax receivable agreements,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204" w:lineRule="exact"/>
        <w:rPr>
          <w:sz w:val="20"/>
          <w:szCs w:val="20"/>
          <w:color w:val="auto"/>
        </w:rPr>
      </w:pPr>
    </w:p>
    <w:p>
      <w:pPr>
        <w:ind w:right="120" w:firstLine="669"/>
        <w:spacing w:after="0" w:line="273" w:lineRule="auto"/>
        <w:rPr>
          <w:sz w:val="20"/>
          <w:szCs w:val="20"/>
          <w:color w:val="auto"/>
        </w:rPr>
      </w:pPr>
      <w:r>
        <w:rPr>
          <w:rFonts w:ascii="Arial" w:cs="Arial" w:eastAsia="Arial" w:hAnsi="Arial"/>
          <w:sz w:val="17"/>
          <w:szCs w:val="17"/>
          <w:color w:val="auto"/>
        </w:rPr>
        <w:t>The Company made its first payment of $7.0 million in February 2017, its second payment of $12.4 million in September 2018, and its third payment of $13.3 million in March 2020. Tax receivable payments are expected to range from approximately $0.9 million to $21.7 million per year over the next 15 years.</w:t>
      </w:r>
    </w:p>
    <w:p>
      <w:pPr>
        <w:spacing w:after="0" w:line="197"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At March 31, 2021 and December 31, 2020, the Company’s remaining deferred tax assets that relate to the matters described above were approximately $194.2 million and $199.1 million, respectively, and the Company’s liabilities over the next 15 years pursuant to the tax receivable agreements were approximately $271.2 million and $271.2 million, respectively. The amounts recorded as of March 31, 2021 are based on best estimates available at the respective dates and may be subject to change after the filing of the Company’s U.S. federal and state income tax returns for the years in which tax savings were realized.</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Goodwill and Intangible Assets</w:t>
      </w:r>
    </w:p>
    <w:p>
      <w:pPr>
        <w:spacing w:after="0" w:line="256"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Company has two operating segments: (i) Market Making; (ii) Execution Services; and one non-operating segment: Corporate. As of March 31, 2021 and December 31, 2020, the Company’s total amount of goodwill recorded was $1,148.9 million. No goodwill impairment was recognized during the three months ended March 31, 2021 and 2020.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details of goodwill by segment as of March 31, 2021 and December 31, 2020:</w:t>
      </w:r>
    </w:p>
    <w:p>
      <w:pPr>
        <w:spacing w:after="0" w:line="43"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6"/>
              </w:rPr>
              <w:t>Market Making</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Execution Services</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Corporate</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Total</w:t>
            </w:r>
          </w:p>
        </w:tc>
      </w:tr>
      <w:tr>
        <w:trPr>
          <w:trHeight w:val="207"/>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755,292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393,634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As of March 31, 2021 and December 31, 2020, the Company's total amount of intangible assets recorded was $436.4 million and $454.5 million, respectively. Acquired intangible assets consisted of the following as of March 31, 2021 and December 31, 2020:</w:t>
      </w:r>
    </w:p>
    <w:p>
      <w:pPr>
        <w:spacing w:after="0" w:line="82"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As of March 31, 2021</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1"/>
                <w:szCs w:val="11"/>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Amortization</w:t>
            </w:r>
          </w:p>
        </w:tc>
        <w:tc>
          <w:tcPr>
            <w:tcW w:w="160" w:type="dxa"/>
            <w:vAlign w:val="bottom"/>
          </w:tcPr>
          <w:p>
            <w:pPr>
              <w:spacing w:after="0"/>
              <w:rPr>
                <w:sz w:val="15"/>
                <w:szCs w:val="15"/>
                <w:color w:val="auto"/>
              </w:rPr>
            </w:pPr>
          </w:p>
        </w:tc>
        <w:tc>
          <w:tcPr>
            <w:tcW w:w="1080" w:type="dxa"/>
            <w:vAlign w:val="bottom"/>
          </w:tcPr>
          <w:p>
            <w:pPr>
              <w:jc w:val="right"/>
              <w:ind w:right="33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(106,260)</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380,340</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(87,969)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48,031</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(902)</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637,993</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(201,571)</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436,422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260" w:type="dxa"/>
        <w:tblCellMar>
          <w:top w:w="0" w:type="dxa"/>
          <w:left w:w="0" w:type="dxa"/>
          <w:bottom w:w="0" w:type="dxa"/>
          <w:right w:w="0" w:type="dxa"/>
        </w:tblCellMar>
      </w:tblPr>
      <w:tr>
        <w:trPr>
          <w:trHeight w:val="188"/>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1080" w:type="dxa"/>
            <w:vAlign w:val="bottom"/>
          </w:tcPr>
          <w:p>
            <w:pPr>
              <w:jc w:val="right"/>
              <w:ind w:right="150"/>
              <w:spacing w:after="0" w:line="129" w:lineRule="exact"/>
              <w:rPr>
                <w:sz w:val="20"/>
                <w:szCs w:val="20"/>
                <w:color w:val="auto"/>
              </w:rPr>
            </w:pPr>
            <w:r>
              <w:rPr>
                <w:rFonts w:ascii="Arial" w:cs="Arial" w:eastAsia="Arial" w:hAnsi="Arial"/>
                <w:sz w:val="14"/>
                <w:szCs w:val="14"/>
                <w:b w:val="1"/>
                <w:bCs w:val="1"/>
                <w:color w:val="auto"/>
                <w:w w:val="99"/>
              </w:rPr>
              <w:t>Net Carrying</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Useful Lives</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80" w:type="dxa"/>
            <w:vAlign w:val="bottom"/>
          </w:tcPr>
          <w:p>
            <w:pPr>
              <w:jc w:val="right"/>
              <w:ind w:right="31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486,600</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(94,299)</w:t>
            </w: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392,301</w:t>
            </w:r>
          </w:p>
        </w:tc>
        <w:tc>
          <w:tcPr>
            <w:tcW w:w="1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Arial" w:cs="Arial" w:eastAsia="Arial" w:hAnsi="Arial"/>
                <w:sz w:val="14"/>
                <w:szCs w:val="14"/>
                <w:color w:val="auto"/>
                <w:w w:val="8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Arial" w:cs="Arial" w:eastAsia="Arial" w:hAnsi="Arial"/>
                <w:sz w:val="14"/>
                <w:szCs w:val="14"/>
                <w:color w:val="auto"/>
                <w:w w:val="89"/>
              </w:rPr>
              <w:t>12</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136,000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(82,403)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53,597</w:t>
            </w:r>
          </w:p>
        </w:tc>
        <w:tc>
          <w:tcPr>
            <w:tcW w:w="540" w:type="dxa"/>
            <w:vAlign w:val="bottom"/>
            <w:gridSpan w:val="2"/>
          </w:tcPr>
          <w:p>
            <w:pPr>
              <w:jc w:val="center"/>
              <w:ind w:left="210"/>
              <w:spacing w:after="0"/>
              <w:rPr>
                <w:sz w:val="20"/>
                <w:szCs w:val="20"/>
                <w:color w:val="auto"/>
              </w:rPr>
            </w:pPr>
            <w:r>
              <w:rPr>
                <w:rFonts w:ascii="Arial" w:cs="Arial" w:eastAsia="Arial" w:hAnsi="Arial"/>
                <w:sz w:val="14"/>
                <w:szCs w:val="14"/>
                <w:color w:val="auto"/>
                <w:w w:val="76"/>
              </w:rPr>
              <w:t>1</w:t>
            </w:r>
          </w:p>
        </w:tc>
        <w:tc>
          <w:tcPr>
            <w:tcW w:w="820" w:type="dxa"/>
            <w:vAlign w:val="bottom"/>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tcPr>
          <w:p>
            <w:pPr>
              <w:jc w:val="center"/>
              <w:ind w:right="70"/>
              <w:spacing w:after="0"/>
              <w:rPr>
                <w:sz w:val="20"/>
                <w:szCs w:val="20"/>
                <w:color w:val="auto"/>
              </w:rPr>
            </w:pPr>
            <w:r>
              <w:rPr>
                <w:rFonts w:ascii="Arial" w:cs="Arial" w:eastAsia="Arial" w:hAnsi="Arial"/>
                <w:sz w:val="14"/>
                <w:szCs w:val="14"/>
                <w:color w:val="auto"/>
                <w:w w:val="76"/>
              </w:rPr>
              <w:t>6</w:t>
            </w: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Favorable occupancy leases</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5,895</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540" w:type="dxa"/>
            <w:vAlign w:val="bottom"/>
            <w:gridSpan w:val="2"/>
            <w:shd w:val="clear" w:color="auto" w:fill="CCEEFF"/>
          </w:tcPr>
          <w:p>
            <w:pPr>
              <w:jc w:val="center"/>
              <w:ind w:left="210"/>
              <w:spacing w:after="0"/>
              <w:rPr>
                <w:sz w:val="20"/>
                <w:szCs w:val="20"/>
                <w:color w:val="auto"/>
              </w:rPr>
            </w:pPr>
            <w:r>
              <w:rPr>
                <w:rFonts w:ascii="Arial" w:cs="Arial" w:eastAsia="Arial" w:hAnsi="Arial"/>
                <w:sz w:val="14"/>
                <w:szCs w:val="14"/>
                <w:color w:val="auto"/>
                <w:w w:val="76"/>
              </w:rPr>
              <w:t>3</w:t>
            </w: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w:t>
            </w:r>
          </w:p>
        </w:tc>
        <w:tc>
          <w:tcPr>
            <w:tcW w:w="400" w:type="dxa"/>
            <w:vAlign w:val="bottom"/>
            <w:shd w:val="clear" w:color="auto" w:fill="CCEEFF"/>
          </w:tcPr>
          <w:p>
            <w:pPr>
              <w:jc w:val="center"/>
              <w:ind w:right="70"/>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Exchange memberships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3,998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3,998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Indefinite</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Trade name</w:t>
            </w: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40" w:type="dxa"/>
            <w:vAlign w:val="bottom"/>
            <w:gridSpan w:val="2"/>
          </w:tcPr>
          <w:p>
            <w:pPr>
              <w:ind w:left="20"/>
              <w:spacing w:after="0"/>
              <w:rPr>
                <w:sz w:val="20"/>
                <w:szCs w:val="20"/>
                <w:color w:val="auto"/>
              </w:rPr>
            </w:pPr>
            <w:r>
              <w:rPr>
                <w:rFonts w:ascii="Arial" w:cs="Arial" w:eastAsia="Arial" w:hAnsi="Arial"/>
                <w:sz w:val="14"/>
                <w:szCs w:val="14"/>
                <w:color w:val="auto"/>
              </w:rPr>
              <w:t>ETF issuer relationships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950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ETF buyer relationships</w:t>
            </w: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950</w:t>
            </w:r>
          </w:p>
        </w:tc>
        <w:tc>
          <w:tcPr>
            <w:tcW w:w="1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9</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637,993</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(183,494)</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454,499</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Amortization expense relating to finite-lived intangible assets was approximately $18.1 million and $19.0 million for the three months ended March 31, 2021 and 2020, respectively. This is included in Amortization of purchased intangibles and acquired capitalized software in the accompanying Condensed Consolidated Statements of Comprehensive Income.</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expects to record amortization expense as follows over the next five years ended December 31:</w:t>
      </w:r>
    </w:p>
    <w:p>
      <w:pPr>
        <w:spacing w:after="0" w:line="279" w:lineRule="exact"/>
        <w:rPr>
          <w:sz w:val="20"/>
          <w:szCs w:val="20"/>
          <w:color w:val="auto"/>
        </w:rPr>
      </w:pPr>
    </w:p>
    <w:tbl>
      <w:tblPr>
        <w:tblLayout w:type="fixed"/>
        <w:tblInd w:w="3420" w:type="dxa"/>
        <w:tblCellMar>
          <w:top w:w="0" w:type="dxa"/>
          <w:left w:w="0" w:type="dxa"/>
          <w:bottom w:w="0" w:type="dxa"/>
          <w:right w:w="0" w:type="dxa"/>
        </w:tblCellMar>
      </w:tblPr>
      <w:tr>
        <w:trPr>
          <w:trHeight w:val="188"/>
        </w:trPr>
        <w:tc>
          <w:tcPr>
            <w:tcW w:w="2020" w:type="dxa"/>
            <w:vAlign w:val="bottom"/>
          </w:tcPr>
          <w:p>
            <w:pPr>
              <w:ind w:left="340"/>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Remainder of 2021</w:t>
            </w:r>
          </w:p>
        </w:tc>
        <w:tc>
          <w:tcPr>
            <w:tcW w:w="146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51,600</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2022</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64,852</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2023</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63,960</w:t>
            </w:r>
          </w:p>
        </w:tc>
      </w:tr>
      <w:tr>
        <w:trPr>
          <w:trHeight w:val="181"/>
        </w:trPr>
        <w:tc>
          <w:tcPr>
            <w:tcW w:w="2020" w:type="dxa"/>
            <w:vAlign w:val="bottom"/>
          </w:tcPr>
          <w:p>
            <w:pPr>
              <w:ind w:left="340"/>
              <w:spacing w:after="0"/>
              <w:rPr>
                <w:sz w:val="20"/>
                <w:szCs w:val="20"/>
                <w:color w:val="auto"/>
              </w:rPr>
            </w:pPr>
            <w:r>
              <w:rPr>
                <w:rFonts w:ascii="Arial" w:cs="Arial" w:eastAsia="Arial" w:hAnsi="Arial"/>
                <w:sz w:val="14"/>
                <w:szCs w:val="14"/>
                <w:color w:val="auto"/>
              </w:rPr>
              <w:t>2024</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50,845</w:t>
            </w:r>
          </w:p>
        </w:tc>
      </w:tr>
      <w:tr>
        <w:trPr>
          <w:trHeight w:val="186"/>
        </w:trPr>
        <w:tc>
          <w:tcPr>
            <w:tcW w:w="2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2025</w:t>
            </w:r>
          </w:p>
        </w:tc>
        <w:tc>
          <w:tcPr>
            <w:tcW w:w="14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47,879</w:t>
            </w:r>
          </w:p>
        </w:tc>
      </w:tr>
      <w:tr>
        <w:trPr>
          <w:trHeight w:val="178"/>
        </w:trPr>
        <w:tc>
          <w:tcPr>
            <w:tcW w:w="2020" w:type="dxa"/>
            <w:vAlign w:val="bottom"/>
          </w:tcPr>
          <w:p>
            <w:pPr>
              <w:ind w:left="340"/>
              <w:spacing w:after="0"/>
              <w:rPr>
                <w:sz w:val="20"/>
                <w:szCs w:val="20"/>
                <w:color w:val="auto"/>
              </w:rPr>
            </w:pPr>
            <w:r>
              <w:rPr>
                <w:rFonts w:ascii="Arial" w:cs="Arial" w:eastAsia="Arial" w:hAnsi="Arial"/>
                <w:sz w:val="14"/>
                <w:szCs w:val="14"/>
                <w:color w:val="auto"/>
              </w:rPr>
              <w:t>2026</w:t>
            </w:r>
          </w:p>
        </w:tc>
        <w:tc>
          <w:tcPr>
            <w:tcW w:w="14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47,879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Receivables from/Payables to Broker-Dealers and Clearing Organizations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is a summary of receivables from and payables to brokers-dealers and clearing organizations at March 31, 2021 and December 31, 2020:</w:t>
      </w:r>
    </w:p>
    <w:p>
      <w:pPr>
        <w:spacing w:after="0" w:line="276"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Arial" w:cs="Arial" w:eastAsia="Arial" w:hAnsi="Arial"/>
                <w:sz w:val="14"/>
                <w:szCs w:val="14"/>
                <w:b w:val="1"/>
                <w:bCs w:val="1"/>
                <w:color w:val="auto"/>
                <w:w w:val="96"/>
              </w:rPr>
              <w:t>December 31, 2020</w:t>
            </w:r>
          </w:p>
        </w:tc>
      </w:tr>
      <w:tr>
        <w:trPr>
          <w:trHeight w:val="182"/>
        </w:trPr>
        <w:tc>
          <w:tcPr>
            <w:tcW w:w="6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Due from prime brokers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507,570</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697,293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Deposits with clearing organizations</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199,549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248,943</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193,239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118,777</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deliver</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529,605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372,965</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30,747</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29,066</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receivables from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1,656,347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1,684,006</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3"/>
        </w:trPr>
        <w:tc>
          <w:tcPr>
            <w:tcW w:w="70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Due to prime brokers</w:t>
            </w: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410,772</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Net equity with futures commission merchants</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79,718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77,257</w:t>
            </w:r>
          </w:p>
        </w:tc>
      </w:tr>
      <w:tr>
        <w:trPr>
          <w:trHeight w:val="18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Unsettled trades with clearing organizations</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228,070</w:t>
            </w:r>
          </w:p>
        </w:tc>
      </w:tr>
      <w:tr>
        <w:trPr>
          <w:trHeight w:val="181"/>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Securities failed to receive</w:t>
            </w:r>
          </w:p>
        </w:tc>
        <w:tc>
          <w:tcPr>
            <w:tcW w:w="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269,528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156,804</w:t>
            </w:r>
          </w:p>
        </w:tc>
      </w:tr>
      <w:tr>
        <w:trPr>
          <w:trHeight w:val="18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Commissions and fees</w:t>
            </w:r>
          </w:p>
        </w:tc>
        <w:tc>
          <w:tcPr>
            <w:tcW w:w="2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4,018</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3,543</w:t>
            </w:r>
          </w:p>
        </w:tc>
      </w:tr>
      <w:tr>
        <w:trPr>
          <w:trHeight w:val="179"/>
        </w:trPr>
        <w:tc>
          <w:tcPr>
            <w:tcW w:w="7000" w:type="dxa"/>
            <w:vAlign w:val="bottom"/>
            <w:gridSpan w:val="2"/>
          </w:tcPr>
          <w:p>
            <w:pPr>
              <w:ind w:left="200"/>
              <w:spacing w:after="0"/>
              <w:rPr>
                <w:sz w:val="20"/>
                <w:szCs w:val="20"/>
                <w:color w:val="auto"/>
              </w:rPr>
            </w:pPr>
            <w:r>
              <w:rPr>
                <w:rFonts w:ascii="Arial" w:cs="Arial" w:eastAsia="Arial" w:hAnsi="Arial"/>
                <w:sz w:val="14"/>
                <w:szCs w:val="14"/>
                <w:color w:val="auto"/>
              </w:rPr>
              <w:t>Total payables to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1,079,808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876,446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Included as a deduction from “Due from prime brokers” and “Net equity with futures commission merchants” is the outstanding principal balance on all of the Company’s prime brokerage credit facilities (described in Note 8 "Borrowings") of approximately $204.4 million and $134.7 million as of March 31, 2021 and December 31, 2020, respectively. The loan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Collateralized Transactions</w:t>
      </w:r>
    </w:p>
    <w:p>
      <w:pPr>
        <w:spacing w:after="0" w:line="256"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2021 and December 31, 2020, substantially all of the securities received as collateral have been repledged.</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fair value of the collateralized transactions at March 31, 2021 and December 31, 2020 are summarized as follows:</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Securities received as collateral:</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81"/>
        </w:trPr>
        <w:tc>
          <w:tcPr>
            <w:tcW w:w="7560" w:type="dxa"/>
            <w:vAlign w:val="bottom"/>
            <w:gridSpan w:val="2"/>
          </w:tcPr>
          <w:p>
            <w:pPr>
              <w:ind w:left="220"/>
              <w:spacing w:after="0"/>
              <w:rPr>
                <w:sz w:val="20"/>
                <w:szCs w:val="20"/>
                <w:color w:val="auto"/>
              </w:rPr>
            </w:pPr>
            <w:r>
              <w:rPr>
                <w:rFonts w:ascii="Arial" w:cs="Arial" w:eastAsia="Arial" w:hAnsi="Arial"/>
                <w:sz w:val="14"/>
                <w:szCs w:val="14"/>
                <w:color w:val="auto"/>
              </w:rPr>
              <w:t>Securities borrowed</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1,341,474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1,374,266</w:t>
            </w:r>
          </w:p>
        </w:tc>
      </w:tr>
      <w:tr>
        <w:trPr>
          <w:trHeight w:val="183"/>
        </w:trPr>
        <w:tc>
          <w:tcPr>
            <w:tcW w:w="7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Securities purchased under agreements to resell</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36,026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22,866</w:t>
            </w:r>
          </w:p>
        </w:tc>
      </w:tr>
      <w:tr>
        <w:trPr>
          <w:trHeight w:val="176"/>
        </w:trPr>
        <w:tc>
          <w:tcPr>
            <w:tcW w:w="7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1,377,500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1,397,132</w:t>
            </w:r>
          </w:p>
        </w:tc>
      </w:tr>
      <w:tr>
        <w:trPr>
          <w:trHeight w:val="22"/>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2" w:lineRule="exact"/>
        <w:rPr>
          <w:sz w:val="20"/>
          <w:szCs w:val="20"/>
          <w:color w:val="auto"/>
        </w:rPr>
      </w:pPr>
    </w:p>
    <w:p>
      <w:pPr>
        <w:ind w:right="500" w:firstLine="629"/>
        <w:spacing w:after="0" w:line="289"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Financial instruments owned and pledged, where the counterparty has the right to repledge, at March 31, 2021 and December 31, 2020 consisted of the following:</w:t>
      </w:r>
    </w:p>
    <w:p>
      <w:pPr>
        <w:spacing w:after="0" w:line="213"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7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Arial" w:cs="Arial" w:eastAsia="Arial" w:hAnsi="Arial"/>
                <w:sz w:val="14"/>
                <w:szCs w:val="14"/>
                <w:b w:val="1"/>
                <w:bCs w:val="1"/>
                <w:color w:val="auto"/>
                <w:w w:val="95"/>
              </w:rPr>
              <w:t>December 31, 2020</w:t>
            </w:r>
          </w:p>
        </w:tc>
      </w:tr>
      <w:tr>
        <w:trPr>
          <w:trHeight w:val="182"/>
        </w:trPr>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Equities</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922,301</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734,024</w:t>
            </w:r>
          </w:p>
        </w:tc>
      </w:tr>
      <w:tr>
        <w:trPr>
          <w:trHeight w:val="181"/>
        </w:trPr>
        <w:tc>
          <w:tcPr>
            <w:tcW w:w="75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Exchange traded notes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7,368</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12,515</w:t>
            </w:r>
          </w:p>
        </w:tc>
      </w:tr>
      <w:tr>
        <w:trPr>
          <w:trHeight w:val="201"/>
        </w:trPr>
        <w:tc>
          <w:tcPr>
            <w:tcW w:w="7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929,669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Borrowings, net</w:t>
      </w:r>
    </w:p>
    <w:p>
      <w:pPr>
        <w:spacing w:after="0" w:line="250" w:lineRule="exact"/>
        <w:rPr>
          <w:sz w:val="20"/>
          <w:szCs w:val="20"/>
          <w:color w:val="auto"/>
        </w:rPr>
      </w:pPr>
    </w:p>
    <w:p>
      <w:pPr>
        <w:ind w:firstLine="629"/>
        <w:spacing w:after="0" w:line="275" w:lineRule="auto"/>
        <w:rPr>
          <w:sz w:val="20"/>
          <w:szCs w:val="20"/>
          <w:color w:val="auto"/>
        </w:rPr>
      </w:pPr>
      <w:r>
        <w:rPr>
          <w:rFonts w:ascii="Arial" w:cs="Arial" w:eastAsia="Arial" w:hAnsi="Arial"/>
          <w:sz w:val="17"/>
          <w:szCs w:val="17"/>
          <w:color w:val="auto"/>
        </w:rPr>
        <w:t>The following summarizes the Company's short-term borrowing balances outstanding, net of related debt issuance costs, with each described in further detail below.</w:t>
      </w: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175,452</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64,992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64,992</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240,444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December 31, 2020</w:t>
            </w:r>
          </w:p>
        </w:tc>
        <w:tc>
          <w:tcPr>
            <w:tcW w:w="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Borrowing Outstanding</w:t>
            </w:r>
          </w:p>
        </w:tc>
        <w:tc>
          <w:tcPr>
            <w:tcW w:w="80" w:type="dxa"/>
            <w:vAlign w:val="bottom"/>
          </w:tcPr>
          <w:p>
            <w:pPr>
              <w:spacing w:after="0"/>
              <w:rPr>
                <w:sz w:val="11"/>
                <w:szCs w:val="11"/>
                <w:color w:val="auto"/>
              </w:rPr>
            </w:pPr>
          </w:p>
        </w:tc>
        <w:tc>
          <w:tcPr>
            <w:tcW w:w="16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9"/>
              </w:rPr>
              <w:t>Deferred Debt Issuance</w:t>
            </w:r>
          </w:p>
        </w:tc>
        <w:tc>
          <w:tcPr>
            <w:tcW w:w="80" w:type="dxa"/>
            <w:vAlign w:val="bottom"/>
          </w:tcPr>
          <w:p>
            <w:pPr>
              <w:spacing w:after="0"/>
              <w:rPr>
                <w:sz w:val="11"/>
                <w:szCs w:val="11"/>
                <w:color w:val="auto"/>
              </w:rPr>
            </w:pPr>
          </w:p>
        </w:tc>
        <w:tc>
          <w:tcPr>
            <w:tcW w:w="1560" w:type="dxa"/>
            <w:vAlign w:val="bottom"/>
          </w:tcPr>
          <w:p>
            <w:pPr>
              <w:jc w:val="right"/>
              <w:ind w:right="50"/>
              <w:spacing w:after="0" w:line="129" w:lineRule="exact"/>
              <w:rPr>
                <w:sz w:val="20"/>
                <w:szCs w:val="20"/>
                <w:color w:val="auto"/>
              </w:rPr>
            </w:pPr>
            <w:r>
              <w:rPr>
                <w:rFonts w:ascii="Arial" w:cs="Arial" w:eastAsia="Arial" w:hAnsi="Arial"/>
                <w:sz w:val="14"/>
                <w:szCs w:val="14"/>
                <w:b w:val="1"/>
                <w:bCs w:val="1"/>
                <w:color w:val="auto"/>
                <w:w w:val="90"/>
              </w:rPr>
              <w:t>Short-term Borrowings,</w:t>
            </w:r>
          </w:p>
        </w:tc>
        <w:tc>
          <w:tcPr>
            <w:tcW w:w="0" w:type="dxa"/>
            <w:vAlign w:val="bottom"/>
          </w:tcPr>
          <w:p>
            <w:pPr>
              <w:spacing w:after="0"/>
              <w:rPr>
                <w:sz w:val="1"/>
                <w:szCs w:val="1"/>
                <w:color w:val="auto"/>
              </w:rPr>
            </w:pPr>
          </w:p>
        </w:tc>
      </w:tr>
      <w:tr>
        <w:trPr>
          <w:trHeight w:val="183"/>
        </w:trPr>
        <w:tc>
          <w:tcPr>
            <w:tcW w:w="4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5"/>
                <w:szCs w:val="15"/>
                <w:color w:val="auto"/>
              </w:rPr>
            </w:pPr>
          </w:p>
        </w:tc>
        <w:tc>
          <w:tcPr>
            <w:tcW w:w="1560" w:type="dxa"/>
            <w:vAlign w:val="bottom"/>
          </w:tcPr>
          <w:p>
            <w:pPr>
              <w:jc w:val="right"/>
              <w:ind w:right="67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7"/>
        </w:trPr>
        <w:tc>
          <w:tcPr>
            <w:tcW w:w="4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Broker-dealer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1"/>
        </w:trPr>
        <w:tc>
          <w:tcPr>
            <w:tcW w:w="4500" w:type="dxa"/>
            <w:vAlign w:val="bottom"/>
            <w:gridSpan w:val="2"/>
          </w:tcPr>
          <w:p>
            <w:pPr>
              <w:ind w:left="20"/>
              <w:spacing w:after="0"/>
              <w:rPr>
                <w:sz w:val="20"/>
                <w:szCs w:val="20"/>
                <w:color w:val="auto"/>
              </w:rPr>
            </w:pPr>
            <w:r>
              <w:rPr>
                <w:rFonts w:ascii="Arial" w:cs="Arial" w:eastAsia="Arial" w:hAnsi="Arial"/>
                <w:sz w:val="14"/>
                <w:szCs w:val="14"/>
                <w:color w:val="auto"/>
              </w:rPr>
              <w:t>Short-term bank loans</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28,673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2"/>
          </w:tcPr>
          <w:p>
            <w:pPr>
              <w:ind w:left="1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tcPr>
          <w:p>
            <w:pPr>
              <w:jc w:val="right"/>
              <w:ind w:right="10"/>
              <w:spacing w:after="0"/>
              <w:rPr>
                <w:sz w:val="20"/>
                <w:szCs w:val="20"/>
                <w:color w:val="auto"/>
              </w:rPr>
            </w:pPr>
            <w:r>
              <w:rPr>
                <w:rFonts w:ascii="Arial" w:cs="Arial" w:eastAsia="Arial" w:hAnsi="Arial"/>
                <w:sz w:val="14"/>
                <w:szCs w:val="14"/>
                <w:color w:val="auto"/>
              </w:rPr>
              <w:t>28,673</w:t>
            </w:r>
          </w:p>
        </w:tc>
        <w:tc>
          <w:tcPr>
            <w:tcW w:w="0" w:type="dxa"/>
            <w:vAlign w:val="bottom"/>
          </w:tcPr>
          <w:p>
            <w:pPr>
              <w:spacing w:after="0"/>
              <w:rPr>
                <w:sz w:val="1"/>
                <w:szCs w:val="1"/>
                <w:color w:val="auto"/>
              </w:rPr>
            </w:pPr>
          </w:p>
        </w:tc>
      </w:tr>
      <w:tr>
        <w:trPr>
          <w:trHeight w:val="201"/>
        </w:trPr>
        <w:tc>
          <w:tcPr>
            <w:tcW w:w="44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64,686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Broker-Dealer Credit Facilities</w:t>
      </w:r>
    </w:p>
    <w:p>
      <w:pPr>
        <w:spacing w:after="0" w:line="250" w:lineRule="exact"/>
        <w:rPr>
          <w:sz w:val="20"/>
          <w:szCs w:val="20"/>
          <w:color w:val="auto"/>
        </w:rPr>
      </w:pPr>
    </w:p>
    <w:p>
      <w:pPr>
        <w:ind w:right="80" w:firstLine="629"/>
        <w:spacing w:after="0" w:line="280" w:lineRule="auto"/>
        <w:rPr>
          <w:sz w:val="20"/>
          <w:szCs w:val="20"/>
          <w:color w:val="auto"/>
        </w:rPr>
      </w:pPr>
      <w:r>
        <w:rPr>
          <w:rFonts w:ascii="Arial" w:cs="Arial" w:eastAsia="Arial" w:hAnsi="Arial"/>
          <w:sz w:val="16"/>
          <w:szCs w:val="16"/>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$600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$600 million and bear interest at the adjusted LIBOR or base rate plus 1.25% per annum. Borrowing Base B Loans are subject to a sublimit of $200 million and bear interest at the adjusted LIBOR or base rate plus 2.50% per annum. A commitment fee of 0.50% per annum on the average daily unused portion of this facility is payable quarterly in arrears.</w:t>
      </w:r>
    </w:p>
    <w:p>
      <w:pPr>
        <w:spacing w:after="0" w:line="195" w:lineRule="exact"/>
        <w:rPr>
          <w:sz w:val="20"/>
          <w:szCs w:val="20"/>
          <w:color w:val="auto"/>
        </w:rPr>
      </w:pPr>
    </w:p>
    <w:p>
      <w:pPr>
        <w:jc w:val="both"/>
        <w:ind w:right="60" w:firstLine="629"/>
        <w:spacing w:after="0" w:line="297" w:lineRule="auto"/>
        <w:rPr>
          <w:sz w:val="20"/>
          <w:szCs w:val="20"/>
          <w:color w:val="auto"/>
        </w:rPr>
      </w:pPr>
      <w:r>
        <w:rPr>
          <w:rFonts w:ascii="Arial" w:cs="Arial" w:eastAsia="Arial" w:hAnsi="Arial"/>
          <w:sz w:val="16"/>
          <w:szCs w:val="16"/>
          <w:color w:val="auto"/>
        </w:rPr>
        <w:t>On March 10, 2020, VAL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181" w:lineRule="exact"/>
        <w:rPr>
          <w:sz w:val="20"/>
          <w:szCs w:val="20"/>
          <w:color w:val="auto"/>
        </w:rPr>
      </w:pPr>
    </w:p>
    <w:p>
      <w:pPr>
        <w:ind w:right="40" w:firstLine="629"/>
        <w:spacing w:after="0" w:line="261" w:lineRule="auto"/>
        <w:rPr>
          <w:sz w:val="20"/>
          <w:szCs w:val="20"/>
          <w:color w:val="auto"/>
        </w:rPr>
      </w:pPr>
      <w:r>
        <w:rPr>
          <w:rFonts w:ascii="Arial" w:cs="Arial" w:eastAsia="Arial" w:hAnsi="Arial"/>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summarizes the Company’s broker-dealer credit facilities' carrying values, net of unamortized debt issuance costs, where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These balances are included within Short-term borrowings on the Condensed Consolidated Statements of Financial Condition.</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At March 31, 2021</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12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175,452</w:t>
            </w:r>
          </w:p>
        </w:tc>
        <w:tc>
          <w:tcPr>
            <w:tcW w:w="0" w:type="dxa"/>
            <w:vAlign w:val="bottom"/>
          </w:tcPr>
          <w:p>
            <w:pPr>
              <w:spacing w:after="0"/>
              <w:rPr>
                <w:sz w:val="1"/>
                <w:szCs w:val="1"/>
                <w:color w:val="auto"/>
              </w:rPr>
            </w:pPr>
          </w:p>
        </w:tc>
      </w:tr>
      <w:tr>
        <w:trPr>
          <w:trHeight w:val="186"/>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178,000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175,452</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At December 31, 2020</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Interest Rate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Financing Available</w:t>
            </w:r>
          </w:p>
        </w:tc>
        <w:tc>
          <w:tcPr>
            <w:tcW w:w="200" w:type="dxa"/>
            <w:vAlign w:val="bottom"/>
          </w:tcPr>
          <w:p>
            <w:pPr>
              <w:spacing w:after="0"/>
              <w:rPr>
                <w:sz w:val="11"/>
                <w:szCs w:val="11"/>
                <w:color w:val="auto"/>
              </w:rPr>
            </w:pPr>
          </w:p>
        </w:tc>
        <w:tc>
          <w:tcPr>
            <w:tcW w:w="13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1"/>
              </w:rPr>
              <w:t>Borrowing</w:t>
            </w:r>
          </w:p>
        </w:tc>
        <w:tc>
          <w:tcPr>
            <w:tcW w:w="180" w:type="dxa"/>
            <w:vAlign w:val="bottom"/>
          </w:tcPr>
          <w:p>
            <w:pPr>
              <w:spacing w:after="0"/>
              <w:rPr>
                <w:sz w:val="11"/>
                <w:szCs w:val="11"/>
                <w:color w:val="auto"/>
              </w:rPr>
            </w:pPr>
          </w:p>
        </w:tc>
        <w:tc>
          <w:tcPr>
            <w:tcW w:w="13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80" w:type="dxa"/>
            <w:vAlign w:val="bottom"/>
          </w:tcPr>
          <w:p>
            <w:pPr>
              <w:jc w:val="right"/>
              <w:ind w:right="290"/>
              <w:spacing w:after="0" w:line="12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00" w:type="dxa"/>
            <w:vAlign w:val="bottom"/>
            <w:gridSpan w:val="2"/>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80" w:type="dxa"/>
            <w:vAlign w:val="bottom"/>
          </w:tcPr>
          <w:p>
            <w:pPr>
              <w:jc w:val="right"/>
              <w:ind w:right="170"/>
              <w:spacing w:after="0"/>
              <w:rPr>
                <w:sz w:val="20"/>
                <w:szCs w:val="20"/>
                <w:color w:val="auto"/>
              </w:rPr>
            </w:pPr>
            <w:r>
              <w:rPr>
                <w:rFonts w:ascii="Arial" w:cs="Arial" w:eastAsia="Arial" w:hAnsi="Arial"/>
                <w:sz w:val="14"/>
                <w:szCs w:val="14"/>
                <w:b w:val="1"/>
                <w:bCs w:val="1"/>
                <w:color w:val="auto"/>
                <w:w w:val="95"/>
              </w:rPr>
              <w:t>Borrowings, net</w:t>
            </w:r>
          </w:p>
        </w:tc>
        <w:tc>
          <w:tcPr>
            <w:tcW w:w="0" w:type="dxa"/>
            <w:vAlign w:val="bottom"/>
          </w:tcPr>
          <w:p>
            <w:pPr>
              <w:spacing w:after="0"/>
              <w:rPr>
                <w:sz w:val="1"/>
                <w:szCs w:val="1"/>
                <w:color w:val="auto"/>
              </w:rPr>
            </w:pPr>
          </w:p>
        </w:tc>
      </w:tr>
      <w:tr>
        <w:trPr>
          <w:trHeight w:val="177"/>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ind w:left="140"/>
              <w:spacing w:after="0"/>
              <w:rPr>
                <w:sz w:val="20"/>
                <w:szCs w:val="20"/>
                <w:color w:val="auto"/>
              </w:rPr>
            </w:pPr>
            <w:r>
              <w:rPr>
                <w:rFonts w:ascii="Arial" w:cs="Arial" w:eastAsia="Arial" w:hAnsi="Arial"/>
                <w:sz w:val="14"/>
                <w:szCs w:val="14"/>
                <w:color w:val="auto"/>
              </w:rPr>
              <w:t>Uncommitted facility</w:t>
            </w:r>
          </w:p>
        </w:tc>
        <w:tc>
          <w:tcPr>
            <w:tcW w:w="1400" w:type="dxa"/>
            <w:vAlign w:val="bottom"/>
          </w:tcPr>
          <w:p>
            <w:pPr>
              <w:jc w:val="center"/>
              <w:spacing w:after="0"/>
              <w:rPr>
                <w:sz w:val="20"/>
                <w:szCs w:val="20"/>
                <w:color w:val="auto"/>
              </w:rPr>
            </w:pPr>
            <w:r>
              <w:rPr>
                <w:rFonts w:ascii="Arial" w:cs="Arial" w:eastAsia="Arial" w:hAnsi="Arial"/>
                <w:sz w:val="14"/>
                <w:szCs w:val="14"/>
                <w:color w:val="auto"/>
                <w:w w:val="90"/>
              </w:rPr>
              <w:t>1.25%</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5"/>
                <w:szCs w:val="15"/>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183"/>
        </w:trPr>
        <w:tc>
          <w:tcPr>
            <w:tcW w:w="3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1.40%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36,400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36,013</w:t>
            </w:r>
          </w:p>
        </w:tc>
        <w:tc>
          <w:tcPr>
            <w:tcW w:w="0" w:type="dxa"/>
            <w:vAlign w:val="bottom"/>
          </w:tcPr>
          <w:p>
            <w:pPr>
              <w:spacing w:after="0"/>
              <w:rPr>
                <w:sz w:val="1"/>
                <w:szCs w:val="1"/>
                <w:color w:val="auto"/>
              </w:rPr>
            </w:pPr>
          </w:p>
        </w:tc>
      </w:tr>
      <w:tr>
        <w:trPr>
          <w:trHeight w:val="22"/>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13" w:lineRule="exact"/>
        <w:rPr>
          <w:sz w:val="20"/>
          <w:szCs w:val="20"/>
          <w:color w:val="auto"/>
        </w:rPr>
      </w:pPr>
    </w:p>
    <w:tbl>
      <w:tblPr>
        <w:tblLayout w:type="fixed"/>
        <w:tblInd w:w="182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30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000" w:type="dxa"/>
            <w:vAlign w:val="bottom"/>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jc w:val="right"/>
              <w:ind w:right="430"/>
              <w:spacing w:after="0"/>
              <w:rPr>
                <w:sz w:val="20"/>
                <w:szCs w:val="20"/>
                <w:color w:val="auto"/>
              </w:rPr>
            </w:pPr>
            <w:r>
              <w:rPr>
                <w:rFonts w:ascii="Arial" w:cs="Arial" w:eastAsia="Arial" w:hAnsi="Arial"/>
                <w:sz w:val="14"/>
                <w:szCs w:val="14"/>
                <w:b w:val="1"/>
                <w:bCs w:val="1"/>
                <w:color w:val="auto"/>
              </w:rPr>
              <w:t>2020</w:t>
            </w:r>
          </w:p>
        </w:tc>
      </w:tr>
      <w:tr>
        <w:trPr>
          <w:trHeight w:val="177"/>
        </w:trPr>
        <w:tc>
          <w:tcPr>
            <w:tcW w:w="41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r>
      <w:tr>
        <w:trPr>
          <w:trHeight w:val="181"/>
        </w:trPr>
        <w:tc>
          <w:tcPr>
            <w:tcW w:w="4300" w:type="dxa"/>
            <w:vAlign w:val="bottom"/>
            <w:gridSpan w:val="2"/>
          </w:tcPr>
          <w:p>
            <w:pPr>
              <w:ind w:left="760"/>
              <w:spacing w:after="0"/>
              <w:rPr>
                <w:sz w:val="20"/>
                <w:szCs w:val="20"/>
                <w:color w:val="auto"/>
              </w:rPr>
            </w:pPr>
            <w:r>
              <w:rPr>
                <w:rFonts w:ascii="Arial" w:cs="Arial" w:eastAsia="Arial" w:hAnsi="Arial"/>
                <w:sz w:val="14"/>
                <w:szCs w:val="14"/>
                <w:color w:val="auto"/>
              </w:rPr>
              <w:t>Uncommitted facility</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5"/>
                <w:szCs w:val="15"/>
                <w:color w:val="auto"/>
              </w:rPr>
            </w:pPr>
          </w:p>
        </w:tc>
        <w:tc>
          <w:tcPr>
            <w:tcW w:w="9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632</w:t>
            </w:r>
          </w:p>
        </w:tc>
      </w:tr>
      <w:tr>
        <w:trPr>
          <w:trHeight w:val="186"/>
        </w:trPr>
        <w:tc>
          <w:tcPr>
            <w:tcW w:w="43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Committed facility</w:t>
            </w: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81"/>
        </w:trPr>
        <w:tc>
          <w:tcPr>
            <w:tcW w:w="4300" w:type="dxa"/>
            <w:vAlign w:val="bottom"/>
            <w:gridSpan w:val="2"/>
          </w:tcPr>
          <w:p>
            <w:pPr>
              <w:ind w:left="760"/>
              <w:spacing w:after="0"/>
              <w:rPr>
                <w:sz w:val="20"/>
                <w:szCs w:val="20"/>
                <w:color w:val="auto"/>
              </w:rPr>
            </w:pPr>
            <w:r>
              <w:rPr>
                <w:rFonts w:ascii="Arial" w:cs="Arial" w:eastAsia="Arial" w:hAnsi="Arial"/>
                <w:sz w:val="14"/>
                <w:szCs w:val="14"/>
                <w:color w:val="auto"/>
              </w:rPr>
              <w:t>Demand Loan</w:t>
            </w:r>
          </w:p>
        </w:tc>
        <w:tc>
          <w:tcPr>
            <w:tcW w:w="9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201"/>
        </w:trPr>
        <w:tc>
          <w:tcPr>
            <w:tcW w:w="4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682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Bank Loans</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international securities clearance and settlement activities are funded with operating cash or with short-term bank loans in the form of overdraft facilities. At March 31, 2021, there was $65.0 million associated with international settlement activities outstanding under these facilities at a weighted average interest rate of approximately 2.2%. At December 31, 2020, there was $28.7 million associated with international settlement activities outstanding under these facilities at a weighted average interest rate of approximately 2.4%. These short-term bank loan balances are included within Short-term borrowings on the Condensed Consolidated Statements of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Prime Brokerage Credit Facilities</w:t>
      </w:r>
    </w:p>
    <w:p>
      <w:pPr>
        <w:spacing w:after="0" w:line="26" w:lineRule="exact"/>
        <w:rPr>
          <w:sz w:val="20"/>
          <w:szCs w:val="20"/>
          <w:color w:val="auto"/>
        </w:rPr>
      </w:pPr>
    </w:p>
    <w:p>
      <w:pPr>
        <w:jc w:val="both"/>
        <w:ind w:right="380" w:firstLine="629"/>
        <w:spacing w:after="0" w:line="290" w:lineRule="auto"/>
        <w:rPr>
          <w:sz w:val="20"/>
          <w:szCs w:val="20"/>
          <w:color w:val="auto"/>
        </w:rPr>
      </w:pPr>
      <w:r>
        <w:rPr>
          <w:rFonts w:ascii="Arial" w:cs="Arial" w:eastAsia="Arial" w:hAnsi="Arial"/>
          <w:sz w:val="16"/>
          <w:szCs w:val="16"/>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2"/>
              </w:rPr>
              <w:t>At March 31, 2021</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320" w:type="dxa"/>
            <w:vAlign w:val="bottom"/>
          </w:tcPr>
          <w:p>
            <w:pPr>
              <w:spacing w:after="0"/>
              <w:rPr>
                <w:sz w:val="11"/>
                <w:szCs w:val="11"/>
                <w:color w:val="auto"/>
              </w:rPr>
            </w:pPr>
          </w:p>
        </w:tc>
        <w:tc>
          <w:tcPr>
            <w:tcW w:w="20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220" w:type="dxa"/>
            <w:vAlign w:val="bottom"/>
            <w:gridSpan w:val="2"/>
            <w:vMerge w:val="continue"/>
          </w:tcPr>
          <w:p>
            <w:pPr>
              <w:spacing w:after="0"/>
              <w:rPr>
                <w:sz w:val="15"/>
                <w:szCs w:val="15"/>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Rate</w:t>
            </w:r>
          </w:p>
        </w:tc>
        <w:tc>
          <w:tcPr>
            <w:tcW w:w="320" w:type="dxa"/>
            <w:vAlign w:val="bottom"/>
          </w:tcPr>
          <w:p>
            <w:pPr>
              <w:spacing w:after="0"/>
              <w:rPr>
                <w:sz w:val="15"/>
                <w:szCs w:val="15"/>
                <w:color w:val="auto"/>
              </w:rPr>
            </w:pPr>
          </w:p>
        </w:tc>
        <w:tc>
          <w:tcPr>
            <w:tcW w:w="20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Available</w:t>
            </w:r>
          </w:p>
        </w:tc>
        <w:tc>
          <w:tcPr>
            <w:tcW w:w="420" w:type="dxa"/>
            <w:vAlign w:val="bottom"/>
          </w:tcPr>
          <w:p>
            <w:pPr>
              <w:spacing w:after="0"/>
              <w:rPr>
                <w:sz w:val="15"/>
                <w:szCs w:val="15"/>
                <w:color w:val="auto"/>
              </w:rPr>
            </w:pPr>
          </w:p>
        </w:tc>
        <w:tc>
          <w:tcPr>
            <w:tcW w:w="1820" w:type="dxa"/>
            <w:vAlign w:val="bottom"/>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77"/>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204,362</w:t>
            </w:r>
          </w:p>
        </w:tc>
        <w:tc>
          <w:tcPr>
            <w:tcW w:w="0" w:type="dxa"/>
            <w:vAlign w:val="bottom"/>
          </w:tcPr>
          <w:p>
            <w:pPr>
              <w:spacing w:after="0"/>
              <w:rPr>
                <w:sz w:val="1"/>
                <w:szCs w:val="1"/>
                <w:color w:val="auto"/>
              </w:rPr>
            </w:pPr>
          </w:p>
        </w:tc>
      </w:tr>
      <w:tr>
        <w:trPr>
          <w:trHeight w:val="201"/>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204,362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At December 31, 2020</w:t>
            </w: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23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Financing</w:t>
            </w:r>
          </w:p>
        </w:tc>
        <w:tc>
          <w:tcPr>
            <w:tcW w:w="420" w:type="dxa"/>
            <w:vAlign w:val="bottom"/>
          </w:tcPr>
          <w:p>
            <w:pPr>
              <w:spacing w:after="0"/>
              <w:rPr>
                <w:sz w:val="11"/>
                <w:szCs w:val="11"/>
                <w:color w:val="auto"/>
              </w:rPr>
            </w:pPr>
          </w:p>
        </w:tc>
        <w:tc>
          <w:tcPr>
            <w:tcW w:w="1820" w:type="dxa"/>
            <w:vAlign w:val="bottom"/>
          </w:tcPr>
          <w:p>
            <w:pPr>
              <w:jc w:val="right"/>
              <w:ind w:right="730"/>
              <w:spacing w:after="0" w:line="129" w:lineRule="exact"/>
              <w:rPr>
                <w:sz w:val="20"/>
                <w:szCs w:val="20"/>
                <w:color w:val="auto"/>
              </w:rPr>
            </w:pPr>
            <w:r>
              <w:rPr>
                <w:rFonts w:ascii="Arial" w:cs="Arial" w:eastAsia="Arial" w:hAnsi="Arial"/>
                <w:sz w:val="14"/>
                <w:szCs w:val="14"/>
                <w:b w:val="1"/>
                <w:bCs w:val="1"/>
                <w:color w:val="auto"/>
              </w:rPr>
              <w:t>Borrowing</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Interest Rate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center"/>
              <w:ind w:right="190"/>
              <w:spacing w:after="0"/>
              <w:rPr>
                <w:sz w:val="20"/>
                <w:szCs w:val="20"/>
                <w:color w:val="auto"/>
              </w:rPr>
            </w:pPr>
            <w:r>
              <w:rPr>
                <w:rFonts w:ascii="Arial" w:cs="Arial" w:eastAsia="Arial" w:hAnsi="Arial"/>
                <w:sz w:val="14"/>
                <w:szCs w:val="14"/>
                <w:b w:val="1"/>
                <w:bCs w:val="1"/>
                <w:color w:val="auto"/>
                <w:w w:val="91"/>
              </w:rPr>
              <w:t>Available</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29"/>
        </w:trPr>
        <w:tc>
          <w:tcPr>
            <w:tcW w:w="4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Prime Brokerage Credit Facilities:</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42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616,000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color w:val="auto"/>
                <w:w w:val="76"/>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134,664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(1)  Outstanding borrowings are included with Receivables from/Payables to broker-dealers and clearing organizations within the Condensed Consolidated Statements of Financial Condition.</w:t>
      </w:r>
    </w:p>
    <w:p>
      <w:pPr>
        <w:spacing w:after="0" w:line="250" w:lineRule="exact"/>
        <w:rPr>
          <w:sz w:val="20"/>
          <w:szCs w:val="20"/>
          <w:color w:val="auto"/>
        </w:rPr>
      </w:pPr>
    </w:p>
    <w:p>
      <w:pPr>
        <w:ind w:right="380" w:firstLine="629"/>
        <w:spacing w:after="0" w:line="289" w:lineRule="auto"/>
        <w:rPr>
          <w:sz w:val="20"/>
          <w:szCs w:val="20"/>
          <w:color w:val="auto"/>
        </w:rPr>
      </w:pPr>
      <w:r>
        <w:rPr>
          <w:rFonts w:ascii="Arial" w:cs="Arial" w:eastAsia="Arial" w:hAnsi="Arial"/>
          <w:sz w:val="17"/>
          <w:szCs w:val="17"/>
          <w:color w:val="auto"/>
        </w:rPr>
        <w:t>Interest expense in relation to the facilities was approximately $1.0 million and $1.3 million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Long-Term Borrowings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summarizes the Company’s long-term borrowings, net of unamortized discount and debt issuance costs, where applicable:</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At March 31, 2021</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Discount</w:t>
            </w: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860" w:type="dxa"/>
            <w:vAlign w:val="bottom"/>
            <w:gridSpan w:val="2"/>
            <w:vMerge w:val="continue"/>
          </w:tcPr>
          <w:p>
            <w:pPr>
              <w:spacing w:after="0"/>
              <w:rPr>
                <w:sz w:val="15"/>
                <w:szCs w:val="15"/>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6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Issuance Cost</w:t>
            </w:r>
          </w:p>
        </w:tc>
        <w:tc>
          <w:tcPr>
            <w:tcW w:w="160" w:type="dxa"/>
            <w:vAlign w:val="bottom"/>
          </w:tcPr>
          <w:p>
            <w:pPr>
              <w:spacing w:after="0"/>
              <w:rPr>
                <w:sz w:val="15"/>
                <w:szCs w:val="15"/>
                <w:color w:val="auto"/>
              </w:rPr>
            </w:pPr>
          </w:p>
        </w:tc>
        <w:tc>
          <w:tcPr>
            <w:tcW w:w="1240" w:type="dxa"/>
            <w:vAlign w:val="bottom"/>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177"/>
        </w:trPr>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3.11%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1,635,051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(25,911)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1,604,646</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31,575</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1,666,662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(25,947)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1,636,221</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At December 31, 2020</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11"/>
                <w:szCs w:val="11"/>
                <w:color w:val="auto"/>
              </w:rPr>
            </w:pPr>
          </w:p>
        </w:tc>
        <w:tc>
          <w:tcPr>
            <w:tcW w:w="134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9"/>
              </w:rPr>
              <w:t>Maturity</w:t>
            </w:r>
          </w:p>
        </w:tc>
        <w:tc>
          <w:tcPr>
            <w:tcW w:w="90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1"/>
                <w:szCs w:val="11"/>
                <w:color w:val="auto"/>
              </w:rPr>
            </w:pPr>
          </w:p>
        </w:tc>
        <w:tc>
          <w:tcPr>
            <w:tcW w:w="1140" w:type="dxa"/>
            <w:vAlign w:val="bottom"/>
            <w:gridSpan w:val="2"/>
          </w:tcPr>
          <w:p>
            <w:pPr>
              <w:ind w:left="60"/>
              <w:spacing w:after="0" w:line="131"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8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Discount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40"/>
              <w:spacing w:after="0" w:line="131" w:lineRule="exact"/>
              <w:rPr>
                <w:sz w:val="20"/>
                <w:szCs w:val="20"/>
                <w:color w:val="auto"/>
              </w:rPr>
            </w:pPr>
            <w:r>
              <w:rPr>
                <w:rFonts w:ascii="Arial" w:cs="Arial" w:eastAsia="Arial" w:hAnsi="Arial"/>
                <w:sz w:val="14"/>
                <w:szCs w:val="14"/>
                <w:b w:val="1"/>
                <w:bCs w:val="1"/>
                <w:color w:val="auto"/>
              </w:rPr>
              <w:t>Deferred Debt</w:t>
            </w:r>
          </w:p>
        </w:tc>
        <w:tc>
          <w:tcPr>
            <w:tcW w:w="160" w:type="dxa"/>
            <w:vAlign w:val="bottom"/>
          </w:tcPr>
          <w:p>
            <w:pPr>
              <w:spacing w:after="0"/>
              <w:rPr>
                <w:sz w:val="11"/>
                <w:szCs w:val="11"/>
                <w:color w:val="auto"/>
              </w:rPr>
            </w:pPr>
          </w:p>
        </w:tc>
        <w:tc>
          <w:tcPr>
            <w:tcW w:w="1240" w:type="dxa"/>
            <w:vAlign w:val="bottom"/>
          </w:tcPr>
          <w:p>
            <w:pPr>
              <w:jc w:val="right"/>
              <w:ind w:right="250"/>
              <w:spacing w:after="0" w:line="131"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0"/>
              </w:rPr>
              <w:t>Issuance 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w w:val="93"/>
              </w:rPr>
              <w:t>Borrowings, net</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Long-term borrowings:</w:t>
            </w: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860" w:type="dxa"/>
            <w:vAlign w:val="bottom"/>
            <w:gridSpan w:val="2"/>
          </w:tcPr>
          <w:p>
            <w:pPr>
              <w:ind w:left="80"/>
              <w:spacing w:after="0"/>
              <w:rPr>
                <w:sz w:val="20"/>
                <w:szCs w:val="20"/>
                <w:color w:val="auto"/>
              </w:rPr>
            </w:pPr>
            <w:r>
              <w:rPr>
                <w:rFonts w:ascii="Arial" w:cs="Arial" w:eastAsia="Arial" w:hAnsi="Arial"/>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March 2026</w:t>
            </w:r>
          </w:p>
        </w:tc>
        <w:tc>
          <w:tcPr>
            <w:tcW w:w="800" w:type="dxa"/>
            <w:vAlign w:val="bottom"/>
          </w:tcPr>
          <w:p>
            <w:pPr>
              <w:jc w:val="center"/>
              <w:spacing w:after="0"/>
              <w:rPr>
                <w:sz w:val="20"/>
                <w:szCs w:val="20"/>
                <w:color w:val="auto"/>
              </w:rPr>
            </w:pPr>
            <w:r>
              <w:rPr>
                <w:rFonts w:ascii="Arial" w:cs="Arial" w:eastAsia="Arial" w:hAnsi="Arial"/>
                <w:sz w:val="14"/>
                <w:szCs w:val="14"/>
                <w:color w:val="auto"/>
                <w:w w:val="90"/>
              </w:rPr>
              <w:t>3.15%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1,636,512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(26,367)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1,605,422</w:t>
            </w:r>
          </w:p>
        </w:tc>
        <w:tc>
          <w:tcPr>
            <w:tcW w:w="0" w:type="dxa"/>
            <w:vAlign w:val="bottom"/>
          </w:tcPr>
          <w:p>
            <w:pPr>
              <w:spacing w:after="0"/>
              <w:rPr>
                <w:sz w:val="1"/>
                <w:szCs w:val="1"/>
                <w:color w:val="auto"/>
              </w:rPr>
            </w:pPr>
          </w:p>
        </w:tc>
      </w:tr>
      <w:tr>
        <w:trPr>
          <w:trHeight w:val="183"/>
        </w:trPr>
        <w:tc>
          <w:tcPr>
            <w:tcW w:w="38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7"/>
              </w:rPr>
              <w:t>January 2023</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33,858</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1,670,410</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(26,407)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1,639,280</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50"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In connection with the ITG Acquisition, Virtu Financial, VFH Parent LLC, a Delaware limited liability company and a subsidiary of Virtu Financial ("VFH") and Impala Borrower LLC, a subsidiary of the Company (the "Acquisition Borrower") entered into a Credit Agreement (the "Credit Agreement"), with the lenders party thereto, Jefferies Finance LLC, as administrative agent and Jefferies Finance LLC and RBC Capital Markets, as joint lead arrangers and joint bookrunners.</w:t>
      </w:r>
    </w:p>
    <w:p>
      <w:pPr>
        <w:spacing w:after="0" w:line="204" w:lineRule="exact"/>
        <w:rPr>
          <w:sz w:val="20"/>
          <w:szCs w:val="20"/>
          <w:color w:val="auto"/>
        </w:rPr>
      </w:pPr>
    </w:p>
    <w:p>
      <w:pPr>
        <w:ind w:right="20" w:firstLine="629"/>
        <w:spacing w:after="0" w:line="283" w:lineRule="auto"/>
        <w:rPr>
          <w:sz w:val="20"/>
          <w:szCs w:val="20"/>
          <w:color w:val="auto"/>
        </w:rPr>
      </w:pPr>
      <w:r>
        <w:rPr>
          <w:rFonts w:ascii="Arial" w:cs="Arial" w:eastAsia="Arial" w:hAnsi="Arial"/>
          <w:sz w:val="16"/>
          <w:szCs w:val="16"/>
          <w:color w:val="auto"/>
        </w:rPr>
        <w:t>The Credit Agreement provided (i) a senior secured first lien term loan (together with the Incremental Term Loans, as defined below; the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192"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Amended Credit Agreement are guaranteed by Virtu Financial and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VFH’s material non-regulated domestic restricted subsidiaries and secured by substantially all of the assets of VFH and the guarantors, in each case, subject to certain exceptions.</w:t>
      </w:r>
    </w:p>
    <w:p>
      <w:pPr>
        <w:spacing w:after="0" w:line="184" w:lineRule="exact"/>
        <w:rPr>
          <w:sz w:val="20"/>
          <w:szCs w:val="20"/>
          <w:color w:val="auto"/>
        </w:rPr>
      </w:pPr>
    </w:p>
    <w:p>
      <w:pPr>
        <w:jc w:val="both"/>
        <w:ind w:right="120" w:firstLine="629"/>
        <w:spacing w:after="0" w:line="267"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As of March 31, 2021, $1,635 million was outstanding under the First Lien Term Loan Facility. The revolving commitments will terminate on March 1, 2022. There were no outstanding borrowings under the First Lien Revolving Facility as of March 31, 2021 or December 31, 2020.</w:t>
      </w:r>
    </w:p>
    <w:p>
      <w:pPr>
        <w:spacing w:after="0" w:line="204" w:lineRule="exact"/>
        <w:rPr>
          <w:sz w:val="20"/>
          <w:szCs w:val="20"/>
          <w:color w:val="auto"/>
        </w:rPr>
      </w:pPr>
    </w:p>
    <w:p>
      <w:pPr>
        <w:ind w:right="20"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4" w:lineRule="exact"/>
        <w:rPr>
          <w:sz w:val="20"/>
          <w:szCs w:val="20"/>
          <w:color w:val="auto"/>
        </w:rPr>
      </w:pPr>
    </w:p>
    <w:p>
      <w:pPr>
        <w:ind w:right="160" w:firstLine="629"/>
        <w:spacing w:after="0" w:line="260" w:lineRule="auto"/>
        <w:rPr>
          <w:sz w:val="20"/>
          <w:szCs w:val="20"/>
          <w:color w:val="auto"/>
        </w:rPr>
      </w:pPr>
      <w:r>
        <w:rPr>
          <w:rFonts w:ascii="Arial" w:cs="Arial" w:eastAsia="Arial" w:hAnsi="Arial"/>
          <w:sz w:val="17"/>
          <w:szCs w:val="17"/>
          <w:color w:val="auto"/>
        </w:rPr>
        <w:t>In October 2019, the Company entered into a five-year $525 million floating-to-fixed interest rate swap agreement. The Company also entered into a five-year $1,000 million floating-to-fixed interest rate swap agreement in January 2020. As these two interest rate swaps met the criteria to be considered qualifying cash flow hedges under ASC 815 in 2020, they effectively fix interest payment obligations on $1,000 million and $525.0 million of principal under the First Lien Term Loan Facility at rates of 4.4% and 4.3% through January 2025 and September 2024, respectively, based on the interest rates set forth in the Amended Credit Agreement.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SBI Bonds</w:t>
      </w:r>
    </w:p>
    <w:p>
      <w:pPr>
        <w:spacing w:after="0" w:line="238"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($31.6 million) as of March 31, 2021 and ¥3.5 billion ($33.9 million) as of December 31, 2020. The Company recorded a gain of $2.3 million and a loss of $0.3 million during the three months ended March 31, 2021 and 2020, respectively, due to changes in foreign currency rates.</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March 31, 2021, aggregate future required minimum principal payments based on the terms of the long-term borrowings were as follows:</w:t>
      </w:r>
    </w:p>
    <w:p>
      <w:pPr>
        <w:spacing w:after="0" w:line="291" w:lineRule="exact"/>
        <w:rPr>
          <w:sz w:val="20"/>
          <w:szCs w:val="20"/>
          <w:color w:val="auto"/>
        </w:rPr>
      </w:pPr>
    </w:p>
    <w:tbl>
      <w:tblPr>
        <w:tblLayout w:type="fixed"/>
        <w:tblInd w:w="3440" w:type="dxa"/>
        <w:tblCellMar>
          <w:top w:w="0" w:type="dxa"/>
          <w:left w:w="0" w:type="dxa"/>
          <w:bottom w:w="0" w:type="dxa"/>
          <w:right w:w="0" w:type="dxa"/>
        </w:tblCellMar>
      </w:tblPr>
      <w:tr>
        <w:trPr>
          <w:trHeight w:val="188"/>
        </w:trPr>
        <w:tc>
          <w:tcPr>
            <w:tcW w:w="2560" w:type="dxa"/>
            <w:vAlign w:val="bottom"/>
            <w:gridSpan w:val="2"/>
          </w:tcPr>
          <w:p>
            <w:pPr>
              <w:ind w:left="64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560" w:type="dxa"/>
            <w:vAlign w:val="bottom"/>
          </w:tcPr>
          <w:p>
            <w:pPr>
              <w:jc w:val="right"/>
              <w:ind w:right="37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82"/>
        </w:trPr>
        <w:tc>
          <w:tcPr>
            <w:tcW w:w="24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Remainder of 2021</w:t>
            </w: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31,611</w:t>
            </w:r>
          </w:p>
        </w:tc>
        <w:tc>
          <w:tcPr>
            <w:tcW w:w="0" w:type="dxa"/>
            <w:vAlign w:val="bottom"/>
          </w:tcPr>
          <w:p>
            <w:pPr>
              <w:spacing w:after="0"/>
              <w:rPr>
                <w:sz w:val="1"/>
                <w:szCs w:val="1"/>
                <w:color w:val="auto"/>
              </w:rPr>
            </w:pPr>
          </w:p>
        </w:tc>
      </w:tr>
      <w:tr>
        <w:trPr>
          <w:trHeight w:val="181"/>
        </w:trPr>
        <w:tc>
          <w:tcPr>
            <w:tcW w:w="2440" w:type="dxa"/>
            <w:vAlign w:val="bottom"/>
          </w:tcPr>
          <w:p>
            <w:pPr>
              <w:ind w:left="640"/>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640"/>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60" w:type="dxa"/>
            <w:vAlign w:val="bottom"/>
            <w:tcBorders>
              <w:bottom w:val="single" w:sz="8" w:color="CCEEFF"/>
            </w:tcBorders>
            <w:gridSpan w:val="2"/>
          </w:tcPr>
          <w:p>
            <w:pPr>
              <w:ind w:left="640"/>
              <w:spacing w:after="0"/>
              <w:rPr>
                <w:sz w:val="20"/>
                <w:szCs w:val="20"/>
                <w:color w:val="auto"/>
              </w:rPr>
            </w:pPr>
            <w:r>
              <w:rPr>
                <w:rFonts w:ascii="Arial" w:cs="Arial" w:eastAsia="Arial" w:hAnsi="Arial"/>
                <w:sz w:val="14"/>
                <w:szCs w:val="14"/>
                <w:color w:val="auto"/>
              </w:rPr>
              <w:t>Thereafter</w:t>
            </w:r>
          </w:p>
        </w:tc>
        <w:tc>
          <w:tcPr>
            <w:tcW w:w="8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1,635,051</w:t>
            </w:r>
          </w:p>
        </w:tc>
        <w:tc>
          <w:tcPr>
            <w:tcW w:w="0" w:type="dxa"/>
            <w:vAlign w:val="bottom"/>
          </w:tcPr>
          <w:p>
            <w:pPr>
              <w:spacing w:after="0"/>
              <w:rPr>
                <w:sz w:val="1"/>
                <w:szCs w:val="1"/>
                <w:color w:val="auto"/>
              </w:rPr>
            </w:pPr>
          </w:p>
        </w:tc>
      </w:tr>
      <w:tr>
        <w:trPr>
          <w:trHeight w:val="113"/>
        </w:trPr>
        <w:tc>
          <w:tcPr>
            <w:tcW w:w="2560" w:type="dxa"/>
            <w:vAlign w:val="bottom"/>
            <w:gridSpan w:val="2"/>
            <w:shd w:val="clear" w:color="auto" w:fill="CCEEFF"/>
          </w:tcPr>
          <w:p>
            <w:pPr>
              <w:ind w:left="640"/>
              <w:spacing w:after="0" w:line="114" w:lineRule="exact"/>
              <w:rPr>
                <w:sz w:val="20"/>
                <w:szCs w:val="20"/>
                <w:color w:val="auto"/>
              </w:rPr>
            </w:pPr>
            <w:r>
              <w:rPr>
                <w:rFonts w:ascii="Arial" w:cs="Arial" w:eastAsia="Arial" w:hAnsi="Arial"/>
                <w:sz w:val="13"/>
                <w:szCs w:val="13"/>
                <w:color w:val="auto"/>
              </w:rPr>
              <w:t>Total principal of long-term</w:t>
            </w:r>
          </w:p>
        </w:tc>
        <w:tc>
          <w:tcPr>
            <w:tcW w:w="88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1,666,662</w:t>
            </w:r>
          </w:p>
        </w:tc>
        <w:tc>
          <w:tcPr>
            <w:tcW w:w="0" w:type="dxa"/>
            <w:vAlign w:val="bottom"/>
          </w:tcPr>
          <w:p>
            <w:pPr>
              <w:spacing w:after="0"/>
              <w:rPr>
                <w:sz w:val="1"/>
                <w:szCs w:val="1"/>
                <w:color w:val="auto"/>
              </w:rPr>
            </w:pPr>
          </w:p>
        </w:tc>
      </w:tr>
      <w:tr>
        <w:trPr>
          <w:trHeight w:val="177"/>
        </w:trPr>
        <w:tc>
          <w:tcPr>
            <w:tcW w:w="2560" w:type="dxa"/>
            <w:vAlign w:val="bottom"/>
            <w:tcBorders>
              <w:bottom w:val="single" w:sz="8" w:color="CCEEFF"/>
            </w:tcBorders>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borrowings</w:t>
            </w: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5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Measured at Fair Value</w:t>
      </w:r>
    </w:p>
    <w:p>
      <w:pPr>
        <w:spacing w:after="0" w:line="250" w:lineRule="exact"/>
        <w:rPr>
          <w:sz w:val="20"/>
          <w:szCs w:val="20"/>
          <w:color w:val="auto"/>
        </w:rPr>
      </w:pPr>
    </w:p>
    <w:p>
      <w:pPr>
        <w:ind w:right="40" w:firstLine="629"/>
        <w:spacing w:after="0" w:line="281" w:lineRule="auto"/>
        <w:rPr>
          <w:sz w:val="20"/>
          <w:szCs w:val="20"/>
          <w:color w:val="auto"/>
        </w:rPr>
      </w:pPr>
      <w:r>
        <w:rPr>
          <w:rFonts w:ascii="Arial" w:cs="Arial" w:eastAsia="Arial" w:hAnsi="Arial"/>
          <w:sz w:val="16"/>
          <w:szCs w:val="16"/>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629"/>
        <w:spacing w:after="0" w:line="308" w:lineRule="auto"/>
        <w:rPr>
          <w:sz w:val="20"/>
          <w:szCs w:val="20"/>
          <w:color w:val="auto"/>
        </w:rPr>
      </w:pPr>
      <w:r>
        <w:rPr>
          <w:rFonts w:ascii="Arial" w:cs="Arial" w:eastAsia="Arial" w:hAnsi="Arial"/>
          <w:sz w:val="15"/>
          <w:szCs w:val="15"/>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March 31, 2021:</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Significant Other</w:t>
            </w:r>
          </w:p>
        </w:tc>
        <w:tc>
          <w:tcPr>
            <w:tcW w:w="100" w:type="dxa"/>
            <w:vAlign w:val="bottom"/>
          </w:tcPr>
          <w:p>
            <w:pPr>
              <w:spacing w:after="0"/>
              <w:rPr>
                <w:sz w:val="11"/>
                <w:szCs w:val="11"/>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1,094,913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1,521,696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2,616,609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192,086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202,103</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120,891</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1,492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2,071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(271,028)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10,761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10,761</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1,299,252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1,948,148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(271,028)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2,976,372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628,093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294,208</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922,301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7,368</w:t>
            </w:r>
          </w:p>
        </w:tc>
        <w:tc>
          <w:tcPr>
            <w:tcW w:w="0" w:type="dxa"/>
            <w:vAlign w:val="bottom"/>
          </w:tcPr>
          <w:p>
            <w:pPr>
              <w:spacing w:after="0"/>
              <w:rPr>
                <w:sz w:val="1"/>
                <w:szCs w:val="1"/>
                <w:color w:val="auto"/>
              </w:rPr>
            </w:pPr>
          </w:p>
        </w:tc>
      </w:tr>
      <w:tr>
        <w:trPr>
          <w:trHeight w:val="174"/>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630,677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298,992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929,669</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66,192</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2,558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2,558</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68,750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1,302,564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1,174,545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2,477,109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152,248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155,606</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326,144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4,528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11,173</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(274,147)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1,468,035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1,790,845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(274,147)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2,984,733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38,199</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38,199</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2020: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80" w:type="dxa"/>
            <w:vAlign w:val="bottom"/>
          </w:tcPr>
          <w:p>
            <w:pPr>
              <w:spacing w:after="0"/>
              <w:rPr>
                <w:sz w:val="11"/>
                <w:szCs w:val="11"/>
                <w:color w:val="auto"/>
              </w:rPr>
            </w:pPr>
          </w:p>
        </w:tc>
        <w:tc>
          <w:tcPr>
            <w:tcW w:w="122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3"/>
              </w:rPr>
              <w:t>Significant Other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Counterparty and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8"/>
              </w:rPr>
              <w:t>Identical Assets</w:t>
            </w:r>
          </w:p>
        </w:tc>
        <w:tc>
          <w:tcPr>
            <w:tcW w:w="80" w:type="dxa"/>
            <w:vAlign w:val="bottom"/>
          </w:tcPr>
          <w:p>
            <w:pPr>
              <w:spacing w:after="0"/>
              <w:rPr>
                <w:sz w:val="11"/>
                <w:szCs w:val="11"/>
                <w:color w:val="auto"/>
              </w:rPr>
            </w:pPr>
          </w:p>
        </w:tc>
        <w:tc>
          <w:tcPr>
            <w:tcW w:w="1220" w:type="dxa"/>
            <w:vAlign w:val="bottom"/>
          </w:tcPr>
          <w:p>
            <w:pPr>
              <w:jc w:val="right"/>
              <w:ind w:right="30"/>
              <w:spacing w:after="0" w:line="131" w:lineRule="exact"/>
              <w:rPr>
                <w:sz w:val="20"/>
                <w:szCs w:val="20"/>
                <w:color w:val="auto"/>
              </w:rPr>
            </w:pPr>
            <w:r>
              <w:rPr>
                <w:rFonts w:ascii="Arial" w:cs="Arial" w:eastAsia="Arial" w:hAnsi="Arial"/>
                <w:sz w:val="14"/>
                <w:szCs w:val="14"/>
                <w:b w:val="1"/>
                <w:bCs w:val="1"/>
                <w:color w:val="auto"/>
                <w:w w:val="90"/>
              </w:rPr>
              <w:t>Observable Inputs</w:t>
            </w:r>
          </w:p>
        </w:tc>
        <w:tc>
          <w:tcPr>
            <w:tcW w:w="100" w:type="dxa"/>
            <w:vAlign w:val="bottom"/>
          </w:tcPr>
          <w:p>
            <w:pPr>
              <w:spacing w:after="0"/>
              <w:rPr>
                <w:sz w:val="11"/>
                <w:szCs w:val="11"/>
                <w:color w:val="auto"/>
              </w:rPr>
            </w:pPr>
          </w:p>
        </w:tc>
        <w:tc>
          <w:tcPr>
            <w:tcW w:w="142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8"/>
              </w:rPr>
              <w:t>Unobservable Inputs</w:t>
            </w:r>
          </w:p>
        </w:tc>
        <w:tc>
          <w:tcPr>
            <w:tcW w:w="100" w:type="dxa"/>
            <w:vAlign w:val="bottom"/>
          </w:tcPr>
          <w:p>
            <w:pPr>
              <w:spacing w:after="0"/>
              <w:rPr>
                <w:sz w:val="11"/>
                <w:szCs w:val="11"/>
                <w:color w:val="auto"/>
              </w:rPr>
            </w:pPr>
          </w:p>
        </w:tc>
        <w:tc>
          <w:tcPr>
            <w:tcW w:w="1320" w:type="dxa"/>
            <w:vAlign w:val="bottom"/>
            <w:gridSpan w:val="2"/>
          </w:tcPr>
          <w:p>
            <w:pPr>
              <w:ind w:left="80"/>
              <w:spacing w:after="0" w:line="131" w:lineRule="exact"/>
              <w:rPr>
                <w:sz w:val="20"/>
                <w:szCs w:val="20"/>
                <w:color w:val="auto"/>
              </w:rPr>
            </w:pPr>
            <w:r>
              <w:rPr>
                <w:rFonts w:ascii="Arial" w:cs="Arial" w:eastAsia="Arial" w:hAnsi="Arial"/>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Fair Value</w:t>
            </w:r>
          </w:p>
        </w:tc>
        <w:tc>
          <w:tcPr>
            <w:tcW w:w="0" w:type="dxa"/>
            <w:vAlign w:val="bottom"/>
          </w:tcPr>
          <w:p>
            <w:pPr>
              <w:spacing w:after="0"/>
              <w:rPr>
                <w:sz w:val="1"/>
                <w:szCs w:val="1"/>
                <w:color w:val="auto"/>
              </w:rPr>
            </w:pPr>
          </w:p>
        </w:tc>
      </w:tr>
      <w:tr>
        <w:trPr>
          <w:trHeight w:val="183"/>
        </w:trPr>
        <w:tc>
          <w:tcPr>
            <w:tcW w:w="44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5"/>
                <w:szCs w:val="15"/>
                <w:color w:val="auto"/>
              </w:rPr>
            </w:pPr>
          </w:p>
        </w:tc>
        <w:tc>
          <w:tcPr>
            <w:tcW w:w="1220" w:type="dxa"/>
            <w:vAlign w:val="bottom"/>
          </w:tcPr>
          <w:p>
            <w:pPr>
              <w:jc w:val="right"/>
              <w:ind w:right="33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Netting</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owned,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761,484</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1,194,105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1,955,589</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151,723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48,059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199,782</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135,518</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19,721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19,827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9,080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922,393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2,369,192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496,943</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237,081</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734,024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12,515</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496,945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249,594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746,539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stock</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2,286</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68,316</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 at fair value:</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1,307,082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1,137,968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2,445,050</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U.S. and Non-U.S. government obligations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83,173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103,157</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Corporate Bonds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358,734</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Exchange traded notes</w:t>
            </w: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86"/>
        </w:trPr>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Currency forwards</w:t>
            </w: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1"/>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Options</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9,241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9,241</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1,399,496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1,817,082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3"/>
              </w:rPr>
              <w:t>(292,870)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2,923,708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Payables to broker dealers and clearing organizations:</w:t>
            </w: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20" w:type="dxa"/>
            <w:vAlign w:val="bottom"/>
            <w:gridSpan w:val="2"/>
          </w:tcPr>
          <w:p>
            <w:pPr>
              <w:ind w:left="120"/>
              <w:spacing w:after="0"/>
              <w:rPr>
                <w:sz w:val="20"/>
                <w:szCs w:val="20"/>
                <w:color w:val="auto"/>
              </w:rPr>
            </w:pPr>
            <w:r>
              <w:rPr>
                <w:rFonts w:ascii="Arial" w:cs="Arial" w:eastAsia="Arial" w:hAnsi="Arial"/>
                <w:sz w:val="14"/>
                <w:szCs w:val="14"/>
                <w:color w:val="auto"/>
              </w:rPr>
              <w:t>Interest rate swap</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63,513</w:t>
            </w:r>
          </w:p>
        </w:tc>
        <w:tc>
          <w:tcPr>
            <w:tcW w:w="3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63,513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JNX Investment</w:t>
      </w:r>
    </w:p>
    <w:p>
      <w:pPr>
        <w:spacing w:after="0" w:line="250"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March 31, 2020 and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presents information on the valuation techniques, significant unobservable inputs and their ranges for the JNX Investment:</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188"/>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March 31, 2021</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Valuation Technique</w:t>
            </w:r>
          </w:p>
        </w:tc>
        <w:tc>
          <w:tcPr>
            <w:tcW w:w="194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19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0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66,192</w:t>
            </w:r>
          </w:p>
        </w:tc>
        <w:tc>
          <w:tcPr>
            <w:tcW w:w="166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1320" w:type="dxa"/>
            <w:vAlign w:val="bottom"/>
            <w:gridSpan w:val="2"/>
            <w:shd w:val="clear" w:color="auto" w:fill="CCEEFF"/>
          </w:tcPr>
          <w:p>
            <w:pPr>
              <w:jc w:val="right"/>
              <w:ind w:right="150"/>
              <w:spacing w:after="0"/>
              <w:rPr>
                <w:sz w:val="20"/>
                <w:szCs w:val="20"/>
                <w:color w:val="auto"/>
              </w:rPr>
            </w:pPr>
            <w:r>
              <w:rPr>
                <w:rFonts w:ascii="Arial" w:cs="Arial" w:eastAsia="Arial" w:hAnsi="Arial"/>
                <w:sz w:val="14"/>
                <w:szCs w:val="14"/>
                <w:color w:val="auto"/>
              </w:rPr>
              <w:t>(6.0)% - 10.0%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81"/>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94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700" w:type="dxa"/>
            <w:vAlign w:val="bottom"/>
          </w:tcPr>
          <w:p>
            <w:pPr>
              <w:ind w:left="20"/>
              <w:spacing w:after="0"/>
              <w:rPr>
                <w:sz w:val="20"/>
                <w:szCs w:val="20"/>
                <w:color w:val="auto"/>
              </w:rPr>
            </w:pPr>
            <w:r>
              <w:rPr>
                <w:rFonts w:ascii="Arial" w:cs="Arial" w:eastAsia="Arial" w:hAnsi="Arial"/>
                <w:sz w:val="14"/>
                <w:szCs w:val="14"/>
                <w:color w:val="auto"/>
              </w:rPr>
              <w:t>- 14.4%</w:t>
            </w:r>
          </w:p>
        </w:tc>
        <w:tc>
          <w:tcPr>
            <w:tcW w:w="138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6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4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11.6x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- 21.5x</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13.2x</w:t>
            </w:r>
          </w:p>
        </w:tc>
        <w:tc>
          <w:tcPr>
            <w:tcW w:w="0" w:type="dxa"/>
            <w:vAlign w:val="bottom"/>
          </w:tcPr>
          <w:p>
            <w:pPr>
              <w:spacing w:after="0"/>
              <w:rPr>
                <w:sz w:val="1"/>
                <w:szCs w:val="1"/>
                <w:color w:val="auto"/>
              </w:rPr>
            </w:pPr>
          </w:p>
        </w:tc>
      </w:tr>
      <w:tr>
        <w:trPr>
          <w:trHeight w:val="183"/>
        </w:trPr>
        <w:tc>
          <w:tcPr>
            <w:tcW w:w="2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19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6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December 31, 2020</w:t>
            </w:r>
          </w:p>
        </w:tc>
        <w:tc>
          <w:tcPr>
            <w:tcW w:w="6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9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9"/>
              </w:rPr>
              <w:t>Valuation Technique</w:t>
            </w:r>
          </w:p>
        </w:tc>
        <w:tc>
          <w:tcPr>
            <w:tcW w:w="1920" w:type="dxa"/>
            <w:vAlign w:val="bottom"/>
          </w:tcPr>
          <w:p>
            <w:pPr>
              <w:ind w:left="200"/>
              <w:spacing w:after="0" w:line="129" w:lineRule="exact"/>
              <w:rPr>
                <w:sz w:val="20"/>
                <w:szCs w:val="20"/>
                <w:color w:val="auto"/>
              </w:rPr>
            </w:pPr>
            <w:r>
              <w:rPr>
                <w:rFonts w:ascii="Arial" w:cs="Arial" w:eastAsia="Arial" w:hAnsi="Arial"/>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3"/>
        </w:trPr>
        <w:tc>
          <w:tcPr>
            <w:tcW w:w="24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Input</w:t>
            </w:r>
          </w:p>
        </w:tc>
        <w:tc>
          <w:tcPr>
            <w:tcW w:w="1320" w:type="dxa"/>
            <w:vAlign w:val="bottom"/>
            <w:tcBorders>
              <w:bottom w:val="single" w:sz="8" w:color="auto"/>
            </w:tcBorders>
            <w:gridSpan w:val="2"/>
            <w:vMerge w:val="continue"/>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66,030</w:t>
            </w:r>
          </w:p>
        </w:tc>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Estimated revenue growth</w:t>
            </w:r>
          </w:p>
        </w:tc>
        <w:tc>
          <w:tcPr>
            <w:tcW w:w="1320" w:type="dxa"/>
            <w:vAlign w:val="bottom"/>
            <w:gridSpan w:val="2"/>
            <w:shd w:val="clear" w:color="auto" w:fill="CCEEFF"/>
          </w:tcPr>
          <w:p>
            <w:pPr>
              <w:jc w:val="right"/>
              <w:ind w:right="170"/>
              <w:spacing w:after="0"/>
              <w:rPr>
                <w:sz w:val="20"/>
                <w:szCs w:val="20"/>
                <w:color w:val="auto"/>
              </w:rPr>
            </w:pPr>
            <w:r>
              <w:rPr>
                <w:rFonts w:ascii="Arial" w:cs="Arial" w:eastAsia="Arial" w:hAnsi="Arial"/>
                <w:sz w:val="14"/>
                <w:szCs w:val="14"/>
                <w:color w:val="auto"/>
              </w:rPr>
              <w:t>(9.0)% - 39.0%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Discount rate</w:t>
            </w:r>
          </w:p>
        </w:tc>
        <w:tc>
          <w:tcPr>
            <w:tcW w:w="620" w:type="dxa"/>
            <w:vAlign w:val="bottom"/>
          </w:tcPr>
          <w:p>
            <w:pPr>
              <w:jc w:val="right"/>
              <w:spacing w:after="0"/>
              <w:rPr>
                <w:sz w:val="20"/>
                <w:szCs w:val="20"/>
                <w:color w:val="auto"/>
              </w:rPr>
            </w:pPr>
            <w:r>
              <w:rPr>
                <w:rFonts w:ascii="Arial" w:cs="Arial" w:eastAsia="Arial" w:hAnsi="Arial"/>
                <w:sz w:val="14"/>
                <w:szCs w:val="14"/>
                <w:color w:val="auto"/>
              </w:rPr>
              <w:t>14.4%</w:t>
            </w:r>
          </w:p>
        </w:tc>
        <w:tc>
          <w:tcPr>
            <w:tcW w:w="700" w:type="dxa"/>
            <w:vAlign w:val="bottom"/>
          </w:tcPr>
          <w:p>
            <w:pPr>
              <w:ind w:left="20"/>
              <w:spacing w:after="0"/>
              <w:rPr>
                <w:sz w:val="20"/>
                <w:szCs w:val="20"/>
                <w:color w:val="auto"/>
              </w:rPr>
            </w:pPr>
            <w:r>
              <w:rPr>
                <w:rFonts w:ascii="Arial" w:cs="Arial" w:eastAsia="Arial" w:hAnsi="Arial"/>
                <w:sz w:val="14"/>
                <w:szCs w:val="14"/>
                <w:color w:val="auto"/>
              </w:rPr>
              <w:t>- 14.4%</w:t>
            </w:r>
          </w:p>
        </w:tc>
        <w:tc>
          <w:tcPr>
            <w:tcW w:w="1360" w:type="dxa"/>
            <w:vAlign w:val="bottom"/>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33"/>
        </w:trPr>
        <w:tc>
          <w:tcPr>
            <w:tcW w:w="2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Market</w:t>
            </w:r>
          </w:p>
        </w:tc>
        <w:tc>
          <w:tcPr>
            <w:tcW w:w="1920" w:type="dxa"/>
            <w:vAlign w:val="bottom"/>
            <w:shd w:val="clear" w:color="auto" w:fill="CCEEFF"/>
          </w:tcPr>
          <w:p>
            <w:pPr>
              <w:ind w:left="160"/>
              <w:spacing w:after="0" w:line="133" w:lineRule="exact"/>
              <w:rPr>
                <w:sz w:val="20"/>
                <w:szCs w:val="20"/>
                <w:color w:val="auto"/>
              </w:rPr>
            </w:pPr>
            <w:r>
              <w:rPr>
                <w:rFonts w:ascii="Arial" w:cs="Arial" w:eastAsia="Arial" w:hAnsi="Arial"/>
                <w:sz w:val="14"/>
                <w:szCs w:val="14"/>
                <w:color w:val="auto"/>
              </w:rPr>
              <w:t>Future enterprise value/</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12.2x</w:t>
            </w:r>
          </w:p>
        </w:tc>
        <w:tc>
          <w:tcPr>
            <w:tcW w:w="7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- 21.9x</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13.8x</w:t>
            </w:r>
          </w:p>
        </w:tc>
        <w:tc>
          <w:tcPr>
            <w:tcW w:w="0" w:type="dxa"/>
            <w:vAlign w:val="bottom"/>
          </w:tcPr>
          <w:p>
            <w:pPr>
              <w:spacing w:after="0"/>
              <w:rPr>
                <w:sz w:val="1"/>
                <w:szCs w:val="1"/>
                <w:color w:val="auto"/>
              </w:rPr>
            </w:pPr>
          </w:p>
        </w:tc>
      </w:tr>
      <w:tr>
        <w:trPr>
          <w:trHeight w:val="183"/>
        </w:trPr>
        <w:tc>
          <w:tcPr>
            <w:tcW w:w="2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9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EBIDTA ratio</w:t>
            </w:r>
          </w:p>
        </w:tc>
        <w:tc>
          <w:tcPr>
            <w:tcW w:w="62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Changes in the fair value of the JNX Investment are included within Other, net in the Condensed Consolidated Statements of Comprehensive Income.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presents the changes in the Company's Level 3 financial instruments measured at fair value on a recurring basis: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91"/>
              </w:rPr>
              <w:t>Three Months Ended March 31, 2021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Balance at March</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3"/>
              </w:rPr>
              <w:t>held at March 31,</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0"/>
              <w:spacing w:after="0"/>
              <w:rPr>
                <w:sz w:val="20"/>
                <w:szCs w:val="20"/>
                <w:color w:val="auto"/>
              </w:rPr>
            </w:pPr>
            <w:r>
              <w:rPr>
                <w:rFonts w:ascii="Arial" w:cs="Arial" w:eastAsia="Arial" w:hAnsi="Arial"/>
                <w:sz w:val="14"/>
                <w:szCs w:val="14"/>
                <w:b w:val="1"/>
                <w:bCs w:val="1"/>
                <w:color w:val="auto"/>
              </w:rPr>
              <w:t>31, 2021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6"/>
        </w:trPr>
        <w:tc>
          <w:tcPr>
            <w:tcW w:w="2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66,192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85"/>
        </w:trPr>
        <w:tc>
          <w:tcPr>
            <w:tcW w:w="2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bl>
    <w:p>
      <w:pPr>
        <w:ind w:left="20" w:right="60" w:firstLine="2"/>
        <w:spacing w:after="0" w:line="226" w:lineRule="auto"/>
        <w:tabs>
          <w:tab w:leader="none" w:pos="218"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4"/>
                <w:szCs w:val="14"/>
                <w:b w:val="1"/>
                <w:bCs w:val="1"/>
                <w:color w:val="auto"/>
                <w:w w:val="91"/>
              </w:rPr>
              <w:t>Three Months Ended March 31,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29" w:lineRule="exact"/>
              <w:rPr>
                <w:sz w:val="20"/>
                <w:szCs w:val="20"/>
                <w:color w:val="auto"/>
              </w:rPr>
            </w:pPr>
            <w:r>
              <w:rPr>
                <w:rFonts w:ascii="Arial" w:cs="Arial" w:eastAsia="Arial" w:hAnsi="Arial"/>
                <w:sz w:val="14"/>
                <w:szCs w:val="14"/>
                <w:b w:val="1"/>
                <w:bCs w:val="1"/>
                <w:color w:val="auto"/>
                <w:w w:val="91"/>
              </w:rPr>
              <w:t>Change in Net</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0"/>
              </w:rPr>
              <w:t>Unrealized Gains /</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3"/>
              </w:rPr>
              <w:t>(Losses) on</w:t>
            </w:r>
          </w:p>
        </w:tc>
        <w:tc>
          <w:tcPr>
            <w:tcW w:w="0" w:type="dxa"/>
            <w:vAlign w:val="bottom"/>
          </w:tcPr>
          <w:p>
            <w:pPr>
              <w:spacing w:after="0"/>
              <w:rPr>
                <w:sz w:val="1"/>
                <w:szCs w:val="1"/>
                <w:color w:val="auto"/>
              </w:rPr>
            </w:pPr>
          </w:p>
        </w:tc>
      </w:tr>
      <w:tr>
        <w:trPr>
          <w:trHeight w:val="131"/>
        </w:trPr>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Net Transfers into</w:t>
            </w: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5"/>
              </w:rPr>
              <w:t>Balance at March</w:t>
            </w:r>
          </w:p>
        </w:tc>
        <w:tc>
          <w:tcPr>
            <w:tcW w:w="80" w:type="dxa"/>
            <w:vAlign w:val="bottom"/>
          </w:tcPr>
          <w:p>
            <w:pPr>
              <w:spacing w:after="0"/>
              <w:rPr>
                <w:sz w:val="11"/>
                <w:szCs w:val="11"/>
                <w:color w:val="auto"/>
              </w:rPr>
            </w:pPr>
          </w:p>
        </w:tc>
        <w:tc>
          <w:tcPr>
            <w:tcW w:w="1100" w:type="dxa"/>
            <w:vAlign w:val="bottom"/>
          </w:tcPr>
          <w:p>
            <w:pPr>
              <w:jc w:val="center"/>
              <w:ind w:right="10"/>
              <w:spacing w:after="0" w:line="131" w:lineRule="exact"/>
              <w:rPr>
                <w:sz w:val="20"/>
                <w:szCs w:val="20"/>
                <w:color w:val="auto"/>
              </w:rPr>
            </w:pPr>
            <w:r>
              <w:rPr>
                <w:rFonts w:ascii="Arial" w:cs="Arial" w:eastAsia="Arial" w:hAnsi="Arial"/>
                <w:sz w:val="14"/>
                <w:szCs w:val="14"/>
                <w:b w:val="1"/>
                <w:bCs w:val="1"/>
                <w:color w:val="auto"/>
                <w:w w:val="89"/>
              </w:rPr>
              <w:t>Investments still</w:t>
            </w:r>
          </w:p>
        </w:tc>
        <w:tc>
          <w:tcPr>
            <w:tcW w:w="0" w:type="dxa"/>
            <w:vAlign w:val="bottom"/>
          </w:tcPr>
          <w:p>
            <w:pPr>
              <w:spacing w:after="0"/>
              <w:rPr>
                <w:sz w:val="1"/>
                <w:szCs w:val="1"/>
                <w:color w:val="auto"/>
              </w:rPr>
            </w:pPr>
          </w:p>
        </w:tc>
      </w:tr>
      <w:tr>
        <w:trPr>
          <w:trHeight w:val="131"/>
        </w:trPr>
        <w:tc>
          <w:tcPr>
            <w:tcW w:w="2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Purchases</w:t>
            </w:r>
          </w:p>
        </w:tc>
        <w:tc>
          <w:tcPr>
            <w:tcW w:w="13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92"/>
              </w:rPr>
              <w:t>Unrealized Gains /</w:t>
            </w:r>
          </w:p>
        </w:tc>
        <w:tc>
          <w:tcPr>
            <w:tcW w:w="1300" w:type="dxa"/>
            <w:vAlign w:val="bottom"/>
            <w:gridSpan w:val="3"/>
            <w:vMerge w:val="continue"/>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Settlement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1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3"/>
              </w:rPr>
              <w:t>held at March 31,</w:t>
            </w:r>
          </w:p>
        </w:tc>
        <w:tc>
          <w:tcPr>
            <w:tcW w:w="0" w:type="dxa"/>
            <w:vAlign w:val="bottom"/>
          </w:tcPr>
          <w:p>
            <w:pPr>
              <w:spacing w:after="0"/>
              <w:rPr>
                <w:sz w:val="1"/>
                <w:szCs w:val="1"/>
                <w:color w:val="auto"/>
              </w:rPr>
            </w:pPr>
          </w:p>
        </w:tc>
      </w:tr>
      <w:tr>
        <w:trPr>
          <w:trHeight w:val="183"/>
        </w:trPr>
        <w:tc>
          <w:tcPr>
            <w:tcW w:w="2300" w:type="dxa"/>
            <w:vAlign w:val="bottom"/>
            <w:gridSpan w:val="2"/>
            <w:vMerge w:val="continue"/>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(Losses) (1)</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(out of) Level 3</w:t>
            </w: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0"/>
              <w:spacing w:after="0"/>
              <w:rPr>
                <w:sz w:val="20"/>
                <w:szCs w:val="20"/>
                <w:color w:val="auto"/>
              </w:rPr>
            </w:pPr>
            <w:r>
              <w:rPr>
                <w:rFonts w:ascii="Arial" w:cs="Arial" w:eastAsia="Arial" w:hAnsi="Arial"/>
                <w:sz w:val="14"/>
                <w:szCs w:val="14"/>
                <w:b w:val="1"/>
                <w:bCs w:val="1"/>
                <w:color w:val="auto"/>
              </w:rPr>
              <w:t>31, 2020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77"/>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10"/>
              <w:spacing w:after="0"/>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46,668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76"/>
        </w:trPr>
        <w:tc>
          <w:tcPr>
            <w:tcW w:w="23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46,245</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46,668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right="60" w:firstLine="2"/>
        <w:spacing w:after="0" w:line="230" w:lineRule="auto"/>
        <w:tabs>
          <w:tab w:leader="none" w:pos="218" w:val="left"/>
        </w:tabs>
        <w:numPr>
          <w:ilvl w:val="0"/>
          <w:numId w:val="6"/>
        </w:numPr>
        <w:rPr>
          <w:rFonts w:ascii="Arial" w:cs="Arial" w:eastAsia="Arial" w:hAnsi="Arial"/>
          <w:sz w:val="14"/>
          <w:szCs w:val="14"/>
          <w:color w:val="auto"/>
        </w:rPr>
      </w:pPr>
      <w:r>
        <w:rPr>
          <w:rFonts w:ascii="Arial" w:cs="Arial" w:eastAsia="Arial" w:hAnsi="Arial"/>
          <w:sz w:val="14"/>
          <w:szCs w:val="14"/>
          <w:color w:val="auto"/>
        </w:rPr>
        <w:t>Total realized and unrealized gains/(losses) includes gains and losses realized on the SBI Bonds (see Note 8 "Borrowings" for more details)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-183515</wp:posOffset>
            </wp:positionV>
            <wp:extent cx="5680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March 31, 2021:</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2"/>
              </w:rPr>
              <w:t>March 31, 2021</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Quoted Prices in</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Identical Assets</w:t>
            </w:r>
          </w:p>
        </w:tc>
        <w:tc>
          <w:tcPr>
            <w:tcW w:w="13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80" w:type="dxa"/>
            <w:vAlign w:val="bottom"/>
          </w:tcPr>
          <w:p>
            <w:pPr>
              <w:jc w:val="center"/>
              <w:ind w:right="9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5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1"/>
        </w:trPr>
        <w:tc>
          <w:tcPr>
            <w:tcW w:w="44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899,041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899,041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899,041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122,792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122,792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122,792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borrowed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1,384,134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1,384,134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1,384,134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36,071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36,071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36,071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1,656,347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1,656,347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1,657,986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Receivables from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515,519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515,519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515,519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assets (1)</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24,163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4,638,067</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4,638,067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1,020,194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3,617,873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240,444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242,992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Long-term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1,636,221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1,663,605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1,663,605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loaned</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1,191,615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1,191,615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1,191,615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2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410,164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410,164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410,164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broker-dealers and clearing organizations (2)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1,079,808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1,079,808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1,366,956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(287,148)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580" w:type="dxa"/>
            <w:vAlign w:val="bottom"/>
            <w:gridSpan w:val="2"/>
          </w:tcPr>
          <w:p>
            <w:pPr>
              <w:ind w:left="100"/>
              <w:spacing w:after="0"/>
              <w:rPr>
                <w:sz w:val="20"/>
                <w:szCs w:val="20"/>
                <w:color w:val="auto"/>
              </w:rPr>
            </w:pPr>
            <w:r>
              <w:rPr>
                <w:rFonts w:ascii="Arial" w:cs="Arial" w:eastAsia="Arial" w:hAnsi="Arial"/>
                <w:sz w:val="14"/>
                <w:szCs w:val="14"/>
                <w:color w:val="auto"/>
              </w:rPr>
              <w:t>Payables to customers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347,184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347,184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347,184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5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Other liabilities (3)</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8,610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4,914,046</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4,943,978</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1,366,956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3,577,022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80" w:hanging="199"/>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80" w:hanging="199"/>
        <w:spacing w:after="0"/>
        <w:tabs>
          <w:tab w:leader="none" w:pos="28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-98425</wp:posOffset>
            </wp:positionV>
            <wp:extent cx="7061835" cy="1162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61835" cy="116205"/>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-330835</wp:posOffset>
            </wp:positionV>
            <wp:extent cx="7061835" cy="116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1835" cy="11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financial assets and liabilities not carried at fair value on a recurring basis as of December 31, 2020:</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Quoted Prices in</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Significant Other</w:t>
            </w:r>
          </w:p>
        </w:tc>
        <w:tc>
          <w:tcPr>
            <w:tcW w:w="14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31"/>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3"/>
              </w:rPr>
              <w:t>Active Markets for</w:t>
            </w:r>
          </w:p>
        </w:tc>
        <w:tc>
          <w:tcPr>
            <w:tcW w:w="13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center"/>
              <w:ind w:right="70"/>
              <w:spacing w:after="0" w:line="131"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Identical Assets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Observable Inputs</w:t>
            </w:r>
          </w:p>
        </w:tc>
        <w:tc>
          <w:tcPr>
            <w:tcW w:w="140" w:type="dxa"/>
            <w:vAlign w:val="bottom"/>
          </w:tcPr>
          <w:p>
            <w:pPr>
              <w:spacing w:after="0"/>
              <w:rPr>
                <w:sz w:val="15"/>
                <w:szCs w:val="15"/>
                <w:color w:val="auto"/>
              </w:rPr>
            </w:pPr>
          </w:p>
        </w:tc>
        <w:tc>
          <w:tcPr>
            <w:tcW w:w="1060" w:type="dxa"/>
            <w:vAlign w:val="bottom"/>
          </w:tcPr>
          <w:p>
            <w:pPr>
              <w:jc w:val="center"/>
              <w:ind w:right="7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05"/>
        </w:trPr>
        <w:tc>
          <w:tcPr>
            <w:tcW w:w="47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2"/>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889,559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889,559</w:t>
            </w:r>
          </w:p>
        </w:tc>
        <w:tc>
          <w:tcPr>
            <w:tcW w:w="10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Cash restricted or segregated under regulations and other</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borrowed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purchased under agreements to resell</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Receivables from broker-dealers and clearing organizations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1,684,006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1,684,006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173,578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1,510,428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Receivables from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Other assets (1)</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21,735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4,375,106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1,180,583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3,194,523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Short-term borrowings</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64,686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65,073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1,639,280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1,672,456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Securities loaned</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40"/>
              <w:spacing w:after="0"/>
              <w:rPr>
                <w:sz w:val="20"/>
                <w:szCs w:val="20"/>
                <w:color w:val="auto"/>
              </w:rPr>
            </w:pPr>
            <w:r>
              <w:rPr>
                <w:rFonts w:ascii="Arial" w:cs="Arial" w:eastAsia="Arial" w:hAnsi="Arial"/>
                <w:sz w:val="14"/>
                <w:szCs w:val="14"/>
                <w:color w:val="auto"/>
              </w:rPr>
              <w:t>Payables to broker dealer and clearing organizations (2)</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876,446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876,446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872,929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Payables to customers</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700" w:type="dxa"/>
            <w:vAlign w:val="bottom"/>
            <w:gridSpan w:val="2"/>
          </w:tcPr>
          <w:p>
            <w:pPr>
              <w:ind w:left="120"/>
              <w:spacing w:after="0"/>
              <w:rPr>
                <w:sz w:val="20"/>
                <w:szCs w:val="20"/>
                <w:color w:val="auto"/>
              </w:rPr>
            </w:pPr>
            <w:r>
              <w:rPr>
                <w:rFonts w:ascii="Arial" w:cs="Arial" w:eastAsia="Arial" w:hAnsi="Arial"/>
                <w:sz w:val="14"/>
                <w:szCs w:val="14"/>
                <w:color w:val="auto"/>
              </w:rPr>
              <w:t>Other liabilities (3)</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9,208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4,117,937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4,151,500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4,147,983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cash collateral and deposits, and interest and dividends receivables.</w:t>
      </w:r>
    </w:p>
    <w:p>
      <w:pPr>
        <w:spacing w:after="0" w:line="16" w:lineRule="exact"/>
        <w:rPr>
          <w:rFonts w:ascii="Arial" w:cs="Arial" w:eastAsia="Arial" w:hAnsi="Arial"/>
          <w:sz w:val="14"/>
          <w:szCs w:val="14"/>
          <w:color w:val="auto"/>
        </w:rPr>
      </w:pPr>
    </w:p>
    <w:p>
      <w:pPr>
        <w:ind w:left="220" w:hanging="198"/>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Payables to broker-dealers and clearing organizations include interest rate swaps carried at fair value.</w:t>
      </w:r>
    </w:p>
    <w:p>
      <w:pPr>
        <w:spacing w:after="0" w:line="22" w:lineRule="exact"/>
        <w:rPr>
          <w:rFonts w:ascii="Arial" w:cs="Arial" w:eastAsia="Arial" w:hAnsi="Arial"/>
          <w:sz w:val="14"/>
          <w:szCs w:val="14"/>
          <w:color w:val="auto"/>
        </w:rPr>
      </w:pPr>
    </w:p>
    <w:p>
      <w:pPr>
        <w:ind w:left="220" w:hanging="198"/>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136130" cy="116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1620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-322580</wp:posOffset>
            </wp:positionV>
            <wp:extent cx="41503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Offsetting of Financial Assets and Liabilities</w:t>
      </w:r>
    </w:p>
    <w:p>
      <w:pPr>
        <w:spacing w:after="0" w:line="250" w:lineRule="exact"/>
        <w:rPr>
          <w:sz w:val="20"/>
          <w:szCs w:val="20"/>
          <w:color w:val="auto"/>
        </w:rPr>
      </w:pPr>
    </w:p>
    <w:p>
      <w:pPr>
        <w:ind w:right="180" w:firstLine="629"/>
        <w:spacing w:after="0" w:line="308" w:lineRule="auto"/>
        <w:rPr>
          <w:sz w:val="20"/>
          <w:szCs w:val="20"/>
          <w:color w:val="auto"/>
        </w:rPr>
      </w:pPr>
      <w:r>
        <w:rPr>
          <w:rFonts w:ascii="Arial" w:cs="Arial" w:eastAsia="Arial" w:hAnsi="Arial"/>
          <w:sz w:val="15"/>
          <w:szCs w:val="15"/>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set forth the gross and net presentation of certain financial assets and financial liabilities as of March 31, 2021 and December 31,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 2021</w:t>
            </w: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ind w:left="2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1,384,134</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1,384,134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(1,341,474)</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(6,088)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36,572</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36,071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36,071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(36,026)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294,965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(271,028)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23,937</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10,761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10,761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1,725,931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(271,028)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1,454,903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62,620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1620" w:type="dxa"/>
            <w:vAlign w:val="bottom"/>
            <w:gridSpan w:val="3"/>
            <w:vMerge w:val="restart"/>
          </w:tcPr>
          <w:p>
            <w:pPr>
              <w:jc w:val="center"/>
              <w:ind w:right="100"/>
              <w:spacing w:after="0" w:line="118" w:lineRule="exact"/>
              <w:rPr>
                <w:sz w:val="20"/>
                <w:szCs w:val="20"/>
                <w:color w:val="auto"/>
              </w:rPr>
            </w:pPr>
            <w:r>
              <w:rPr>
                <w:rFonts w:ascii="Arial" w:cs="Arial" w:eastAsia="Arial" w:hAnsi="Arial"/>
                <w:sz w:val="13"/>
                <w:szCs w:val="13"/>
                <w:b w:val="1"/>
                <w:bCs w:val="1"/>
                <w:color w:val="auto"/>
                <w:w w:val="96"/>
              </w:rPr>
              <w:t>Liabilities Presented in</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6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88"/>
              </w:rPr>
              <w:t>the Consolidated</w:t>
            </w:r>
          </w:p>
        </w:tc>
        <w:tc>
          <w:tcPr>
            <w:tcW w:w="18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1"/>
              </w:rPr>
              <w:t>Statement of Financial</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Liabilities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1,191,615</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1,191,615</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(1,177,681)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(7,890)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6,044</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410,164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410,164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(410,079)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Arial" w:cs="Arial" w:eastAsia="Arial" w:hAnsi="Arial"/>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organizations</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rate swaps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(274,147)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1,928,826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(274,147)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1,654,679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(1,587,760)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2580" w:type="dxa"/>
            <w:vAlign w:val="bottom"/>
            <w:gridSpan w:val="5"/>
          </w:tcPr>
          <w:p>
            <w:pPr>
              <w:jc w:val="center"/>
              <w:ind w:right="260"/>
              <w:spacing w:after="0" w:line="131" w:lineRule="exact"/>
              <w:rPr>
                <w:sz w:val="20"/>
                <w:szCs w:val="20"/>
                <w:color w:val="auto"/>
              </w:rPr>
            </w:pPr>
            <w:r>
              <w:rPr>
                <w:rFonts w:ascii="Arial" w:cs="Arial" w:eastAsia="Arial" w:hAnsi="Arial"/>
                <w:sz w:val="14"/>
                <w:szCs w:val="14"/>
                <w:b w:val="1"/>
                <w:bCs w:val="1"/>
                <w:color w:val="auto"/>
                <w:w w:val="91"/>
              </w:rPr>
              <w:t>Condition</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2"/>
            <w:vMerge w:val="restart"/>
          </w:tcPr>
          <w:p>
            <w:pPr>
              <w:jc w:val="center"/>
              <w:ind w:right="200"/>
              <w:spacing w:after="0" w:line="118" w:lineRule="exact"/>
              <w:rPr>
                <w:sz w:val="20"/>
                <w:szCs w:val="20"/>
                <w:color w:val="auto"/>
              </w:rPr>
            </w:pPr>
            <w:r>
              <w:rPr>
                <w:rFonts w:ascii="Arial" w:cs="Arial" w:eastAsia="Arial" w:hAnsi="Arial"/>
                <w:sz w:val="13"/>
                <w:szCs w:val="13"/>
                <w:b w:val="1"/>
                <w:bCs w:val="1"/>
                <w:color w:val="auto"/>
                <w:w w:val="95"/>
              </w:rPr>
              <w:t>Amounts Offset in the</w:t>
            </w: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4"/>
              </w:rPr>
              <w:t>Presented in the</w:t>
            </w: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Financial</w:t>
            </w:r>
          </w:p>
        </w:tc>
        <w:tc>
          <w:tcPr>
            <w:tcW w:w="140" w:type="dxa"/>
            <w:vAlign w:val="bottom"/>
          </w:tcPr>
          <w:p>
            <w:pPr>
              <w:spacing w:after="0"/>
              <w:rPr>
                <w:sz w:val="3"/>
                <w:szCs w:val="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Counterparty</w:t>
            </w: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Gross Amounts of</w:t>
            </w:r>
          </w:p>
        </w:tc>
        <w:tc>
          <w:tcPr>
            <w:tcW w:w="164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w w:val="93"/>
              </w:rPr>
              <w:t>Condensed Consolidated</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9"/>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80" w:type="dxa"/>
            <w:vAlign w:val="bottom"/>
          </w:tcPr>
          <w:p>
            <w:pPr>
              <w:spacing w:after="0"/>
              <w:rPr>
                <w:sz w:val="11"/>
                <w:szCs w:val="11"/>
                <w:color w:val="auto"/>
              </w:rPr>
            </w:pPr>
          </w:p>
        </w:tc>
        <w:tc>
          <w:tcPr>
            <w:tcW w:w="122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1"/>
              </w:rPr>
              <w:t>Instrument</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2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3"/>
        </w:trPr>
        <w:tc>
          <w:tcPr>
            <w:tcW w:w="2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Recognized Assets</w:t>
            </w: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Condition</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Collateral</w:t>
            </w:r>
          </w:p>
        </w:tc>
        <w:tc>
          <w:tcPr>
            <w:tcW w:w="1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Assets:</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Securities borrowed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1,425,016</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(1,374,266)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(9,686)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41,064</w:t>
            </w:r>
          </w:p>
        </w:tc>
        <w:tc>
          <w:tcPr>
            <w:tcW w:w="0" w:type="dxa"/>
            <w:vAlign w:val="bottom"/>
          </w:tcPr>
          <w:p>
            <w:pPr>
              <w:spacing w:after="0"/>
              <w:rPr>
                <w:sz w:val="1"/>
                <w:szCs w:val="1"/>
                <w:color w:val="auto"/>
              </w:rPr>
            </w:pPr>
          </w:p>
        </w:tc>
      </w:tr>
      <w:tr>
        <w:trPr>
          <w:trHeight w:val="133"/>
        </w:trPr>
        <w:tc>
          <w:tcPr>
            <w:tcW w:w="27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w w:val="97"/>
              </w:rPr>
              <w:t>Securities purchased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(22,866)</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resell</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00" w:type="dxa"/>
            <w:vAlign w:val="bottom"/>
            <w:gridSpan w:val="2"/>
          </w:tcPr>
          <w:p>
            <w:pPr>
              <w:ind w:left="120"/>
              <w:spacing w:after="0"/>
              <w:rPr>
                <w:sz w:val="20"/>
                <w:szCs w:val="20"/>
                <w:color w:val="auto"/>
              </w:rPr>
            </w:pPr>
            <w:r>
              <w:rPr>
                <w:rFonts w:ascii="Arial" w:cs="Arial" w:eastAsia="Arial" w:hAnsi="Arial"/>
                <w:sz w:val="14"/>
                <w:szCs w:val="14"/>
                <w:color w:val="auto"/>
              </w:rPr>
              <w:t>Trading assets, at fair value:</w:t>
            </w: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7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49,396</w:t>
            </w:r>
          </w:p>
        </w:tc>
        <w:tc>
          <w:tcPr>
            <w:tcW w:w="0" w:type="dxa"/>
            <w:vAlign w:val="bottom"/>
          </w:tcPr>
          <w:p>
            <w:pPr>
              <w:spacing w:after="0"/>
              <w:rPr>
                <w:sz w:val="1"/>
                <w:szCs w:val="1"/>
                <w:color w:val="auto"/>
              </w:rPr>
            </w:pPr>
          </w:p>
        </w:tc>
      </w:tr>
      <w:tr>
        <w:trPr>
          <w:trHeight w:val="181"/>
        </w:trPr>
        <w:tc>
          <w:tcPr>
            <w:tcW w:w="2700" w:type="dxa"/>
            <w:vAlign w:val="bottom"/>
            <w:gridSpan w:val="2"/>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1,798,322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w w:val="93"/>
              </w:rPr>
              <w:t>(291,964)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1,506,358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(1,397,132)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90,460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Net Amounts of Assets</w:t>
            </w:r>
          </w:p>
        </w:tc>
        <w:tc>
          <w:tcPr>
            <w:tcW w:w="140" w:type="dxa"/>
            <w:vAlign w:val="bottom"/>
          </w:tcPr>
          <w:p>
            <w:pPr>
              <w:spacing w:after="0"/>
              <w:rPr>
                <w:sz w:val="14"/>
                <w:szCs w:val="14"/>
                <w:color w:val="auto"/>
              </w:rPr>
            </w:pPr>
          </w:p>
        </w:tc>
        <w:tc>
          <w:tcPr>
            <w:tcW w:w="26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Amounts Not Offset in the Condensed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gridSpan w:val="5"/>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Consolidated Statements of Financial</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Presented in the</w:t>
            </w:r>
          </w:p>
        </w:tc>
        <w:tc>
          <w:tcPr>
            <w:tcW w:w="140" w:type="dxa"/>
            <w:vAlign w:val="bottom"/>
          </w:tcPr>
          <w:p>
            <w:pPr>
              <w:spacing w:after="0"/>
              <w:rPr>
                <w:sz w:val="11"/>
                <w:szCs w:val="11"/>
                <w:color w:val="auto"/>
              </w:rPr>
            </w:pPr>
          </w:p>
        </w:tc>
        <w:tc>
          <w:tcPr>
            <w:tcW w:w="2600" w:type="dxa"/>
            <w:vAlign w:val="bottom"/>
            <w:gridSpan w:val="5"/>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2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gridSpan w:val="2"/>
            <w:vMerge w:val="restart"/>
          </w:tcPr>
          <w:p>
            <w:pPr>
              <w:jc w:val="center"/>
              <w:ind w:right="180"/>
              <w:spacing w:after="0" w:line="118" w:lineRule="exact"/>
              <w:rPr>
                <w:sz w:val="20"/>
                <w:szCs w:val="20"/>
                <w:color w:val="auto"/>
              </w:rPr>
            </w:pPr>
            <w:r>
              <w:rPr>
                <w:rFonts w:ascii="Arial" w:cs="Arial" w:eastAsia="Arial" w:hAnsi="Arial"/>
                <w:sz w:val="13"/>
                <w:szCs w:val="13"/>
                <w:b w:val="1"/>
                <w:bCs w:val="1"/>
                <w:color w:val="auto"/>
                <w:w w:val="97"/>
              </w:rPr>
              <w:t>Amounts Offset in the</w:t>
            </w:r>
          </w:p>
        </w:tc>
        <w:tc>
          <w:tcPr>
            <w:tcW w:w="180" w:type="dxa"/>
            <w:vAlign w:val="bottom"/>
          </w:tcPr>
          <w:p>
            <w:pPr>
              <w:spacing w:after="0"/>
              <w:rPr>
                <w:sz w:val="4"/>
                <w:szCs w:val="4"/>
                <w:color w:val="auto"/>
              </w:rPr>
            </w:pPr>
          </w:p>
        </w:tc>
        <w:tc>
          <w:tcPr>
            <w:tcW w:w="1440" w:type="dxa"/>
            <w:vAlign w:val="bottom"/>
            <w:gridSpan w:val="2"/>
            <w:vMerge w:val="restart"/>
          </w:tcPr>
          <w:p>
            <w:pPr>
              <w:jc w:val="center"/>
              <w:ind w:right="260"/>
              <w:spacing w:after="0" w:line="118" w:lineRule="exact"/>
              <w:rPr>
                <w:sz w:val="20"/>
                <w:szCs w:val="20"/>
                <w:color w:val="auto"/>
              </w:rPr>
            </w:pPr>
            <w:r>
              <w:rPr>
                <w:rFonts w:ascii="Arial" w:cs="Arial" w:eastAsia="Arial" w:hAnsi="Arial"/>
                <w:sz w:val="13"/>
                <w:szCs w:val="13"/>
                <w:b w:val="1"/>
                <w:bCs w:val="1"/>
                <w:color w:val="auto"/>
                <w:w w:val="93"/>
              </w:rPr>
              <w:t>Condensed</w:t>
            </w: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Financial</w:t>
            </w:r>
          </w:p>
        </w:tc>
        <w:tc>
          <w:tcPr>
            <w:tcW w:w="160" w:type="dxa"/>
            <w:vAlign w:val="bottom"/>
          </w:tcPr>
          <w:p>
            <w:pPr>
              <w:spacing w:after="0"/>
              <w:rPr>
                <w:sz w:val="3"/>
                <w:szCs w:val="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Counterparty</w:t>
            </w: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Amounts of</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Condensed Consolidated</w:t>
            </w:r>
          </w:p>
        </w:tc>
        <w:tc>
          <w:tcPr>
            <w:tcW w:w="180" w:type="dxa"/>
            <w:vAlign w:val="bottom"/>
          </w:tcPr>
          <w:p>
            <w:pPr>
              <w:spacing w:after="0"/>
              <w:rPr>
                <w:sz w:val="11"/>
                <w:szCs w:val="11"/>
                <w:color w:val="auto"/>
              </w:rPr>
            </w:pPr>
          </w:p>
        </w:tc>
        <w:tc>
          <w:tcPr>
            <w:tcW w:w="14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1"/>
              </w:rPr>
              <w:t>Statement of Financial</w:t>
            </w:r>
          </w:p>
        </w:tc>
        <w:tc>
          <w:tcPr>
            <w:tcW w:w="16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Statements of Financial</w:t>
            </w:r>
          </w:p>
        </w:tc>
        <w:tc>
          <w:tcPr>
            <w:tcW w:w="140" w:type="dxa"/>
            <w:vAlign w:val="bottom"/>
          </w:tcPr>
          <w:p>
            <w:pPr>
              <w:spacing w:after="0"/>
              <w:rPr>
                <w:sz w:val="11"/>
                <w:szCs w:val="11"/>
                <w:color w:val="auto"/>
              </w:rPr>
            </w:pPr>
          </w:p>
        </w:tc>
        <w:tc>
          <w:tcPr>
            <w:tcW w:w="12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Instrument</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0"/>
              </w:rPr>
              <w:t>Netting/ Cash</w:t>
            </w:r>
          </w:p>
        </w:tc>
        <w:tc>
          <w:tcPr>
            <w:tcW w:w="140" w:type="dxa"/>
            <w:vAlign w:val="bottom"/>
          </w:tcPr>
          <w:p>
            <w:pPr>
              <w:spacing w:after="0"/>
              <w:rPr>
                <w:sz w:val="11"/>
                <w:szCs w:val="11"/>
                <w:color w:val="auto"/>
              </w:rPr>
            </w:pPr>
          </w:p>
        </w:tc>
        <w:tc>
          <w:tcPr>
            <w:tcW w:w="92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83"/>
        </w:trPr>
        <w:tc>
          <w:tcPr>
            <w:tcW w:w="2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Recognized Assets</w:t>
            </w:r>
          </w:p>
        </w:tc>
        <w:tc>
          <w:tcPr>
            <w:tcW w:w="80" w:type="dxa"/>
            <w:vAlign w:val="bottom"/>
          </w:tcPr>
          <w:p>
            <w:pPr>
              <w:spacing w:after="0"/>
              <w:rPr>
                <w:sz w:val="15"/>
                <w:szCs w:val="15"/>
                <w:color w:val="auto"/>
              </w:rPr>
            </w:pPr>
          </w:p>
        </w:tc>
        <w:tc>
          <w:tcPr>
            <w:tcW w:w="1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Condition</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Condition</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Collateral</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Collateral</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Offsetting of Financial Liabilities:</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120"/>
              <w:spacing w:after="0"/>
              <w:rPr>
                <w:sz w:val="20"/>
                <w:szCs w:val="20"/>
                <w:color w:val="auto"/>
              </w:rPr>
            </w:pPr>
            <w:r>
              <w:rPr>
                <w:rFonts w:ascii="Arial" w:cs="Arial" w:eastAsia="Arial" w:hAnsi="Arial"/>
                <w:sz w:val="14"/>
                <w:szCs w:val="14"/>
                <w:color w:val="auto"/>
              </w:rPr>
              <w:t>Securities loaned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948,256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948,256</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(921,593)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(17,800)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8,863</w:t>
            </w:r>
          </w:p>
        </w:tc>
        <w:tc>
          <w:tcPr>
            <w:tcW w:w="0" w:type="dxa"/>
            <w:vAlign w:val="bottom"/>
          </w:tcPr>
          <w:p>
            <w:pPr>
              <w:spacing w:after="0"/>
              <w:rPr>
                <w:sz w:val="1"/>
                <w:szCs w:val="1"/>
                <w:color w:val="auto"/>
              </w:rPr>
            </w:pPr>
          </w:p>
        </w:tc>
      </w:tr>
      <w:tr>
        <w:trPr>
          <w:trHeight w:val="133"/>
        </w:trPr>
        <w:tc>
          <w:tcPr>
            <w:tcW w:w="272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Securities sold under agreements to</w:t>
            </w:r>
          </w:p>
        </w:tc>
        <w:tc>
          <w:tcPr>
            <w:tcW w:w="10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repurchase</w:t>
            </w:r>
          </w:p>
        </w:tc>
        <w:tc>
          <w:tcPr>
            <w:tcW w:w="10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120"/>
              <w:spacing w:after="0"/>
              <w:rPr>
                <w:sz w:val="20"/>
                <w:szCs w:val="20"/>
                <w:color w:val="auto"/>
              </w:rPr>
            </w:pPr>
            <w:r>
              <w:rPr>
                <w:rFonts w:ascii="Arial" w:cs="Arial" w:eastAsia="Arial" w:hAnsi="Arial"/>
                <w:sz w:val="14"/>
                <w:szCs w:val="14"/>
                <w:color w:val="auto"/>
              </w:rPr>
              <w:t>Interest rate swaps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63,513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(63,162)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86"/>
        </w:trPr>
        <w:tc>
          <w:tcPr>
            <w:tcW w:w="2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liabilities, at fair value:</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720" w:type="dxa"/>
            <w:vAlign w:val="bottom"/>
            <w:gridSpan w:val="2"/>
          </w:tcPr>
          <w:p>
            <w:pPr>
              <w:ind w:left="200"/>
              <w:spacing w:after="0"/>
              <w:rPr>
                <w:sz w:val="20"/>
                <w:szCs w:val="20"/>
                <w:color w:val="auto"/>
              </w:rPr>
            </w:pPr>
            <w:r>
              <w:rPr>
                <w:rFonts w:ascii="Arial" w:cs="Arial" w:eastAsia="Arial" w:hAnsi="Arial"/>
                <w:sz w:val="14"/>
                <w:szCs w:val="14"/>
                <w:color w:val="auto"/>
              </w:rPr>
              <w:t>Currency forwards</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292,965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ind w:left="880"/>
              <w:spacing w:after="0"/>
              <w:rPr>
                <w:sz w:val="20"/>
                <w:szCs w:val="20"/>
                <w:color w:val="auto"/>
              </w:rPr>
            </w:pPr>
            <w:r>
              <w:rPr>
                <w:rFonts w:ascii="Arial" w:cs="Arial" w:eastAsia="Arial" w:hAnsi="Arial"/>
                <w:sz w:val="14"/>
                <w:szCs w:val="14"/>
                <w:color w:val="auto"/>
                <w:w w:val="90"/>
              </w:rPr>
              <w:t>(292,870)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83"/>
        </w:trPr>
        <w:tc>
          <w:tcPr>
            <w:tcW w:w="2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Options</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79"/>
        </w:trPr>
        <w:tc>
          <w:tcPr>
            <w:tcW w:w="2720" w:type="dxa"/>
            <w:vAlign w:val="bottom"/>
            <w:gridSpan w:val="2"/>
          </w:tcPr>
          <w:p>
            <w:pPr>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1,775,210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4"/>
                <w:szCs w:val="14"/>
                <w:color w:val="auto"/>
                <w:w w:val="90"/>
              </w:rPr>
              <w:t>(292,870)</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1,482,340</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(1,382,828)</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(90,042)</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13"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4"/>
                <w:szCs w:val="14"/>
                <w:b w:val="1"/>
                <w:bCs w:val="1"/>
                <w:color w:val="auto"/>
                <w:w w:val="92"/>
              </w:rPr>
              <w:t>March 31, 2021</w:t>
            </w: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4"/>
                <w:szCs w:val="14"/>
                <w:b w:val="1"/>
                <w:bCs w:val="1"/>
                <w:color w:val="auto"/>
                <w:w w:val="93"/>
              </w:rPr>
              <w:t>Remaining Contractual Maturity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jc w:val="center"/>
              <w:ind w:right="300"/>
              <w:spacing w:after="0" w:line="125" w:lineRule="exact"/>
              <w:rPr>
                <w:sz w:val="20"/>
                <w:szCs w:val="20"/>
                <w:color w:val="auto"/>
              </w:rPr>
            </w:pPr>
            <w:r>
              <w:rPr>
                <w:rFonts w:ascii="Arial" w:cs="Arial" w:eastAsia="Arial" w:hAnsi="Arial"/>
                <w:sz w:val="14"/>
                <w:szCs w:val="14"/>
                <w:b w:val="1"/>
                <w:bCs w:val="1"/>
                <w:color w:val="auto"/>
                <w:w w:val="92"/>
              </w:rPr>
              <w:t>Overnight and</w:t>
            </w:r>
          </w:p>
        </w:tc>
        <w:tc>
          <w:tcPr>
            <w:tcW w:w="2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70"/>
              <w:spacing w:after="0" w:line="125" w:lineRule="exact"/>
              <w:rPr>
                <w:sz w:val="20"/>
                <w:szCs w:val="20"/>
                <w:color w:val="auto"/>
              </w:rPr>
            </w:pPr>
            <w:r>
              <w:rPr>
                <w:rFonts w:ascii="Arial" w:cs="Arial" w:eastAsia="Arial" w:hAnsi="Arial"/>
                <w:sz w:val="14"/>
                <w:szCs w:val="14"/>
                <w:b w:val="1"/>
                <w:bCs w:val="1"/>
                <w:color w:val="auto"/>
                <w:w w:val="87"/>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Continuous</w:t>
            </w:r>
          </w:p>
        </w:tc>
        <w:tc>
          <w:tcPr>
            <w:tcW w:w="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1"/>
              </w:rPr>
              <w:t>days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3"/>
              </w:rPr>
              <w:t>Days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20"/>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gridSpan w:val="3"/>
          </w:tcPr>
          <w:p>
            <w:pPr>
              <w:ind w:left="14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35,164</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35,164</w:t>
            </w: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35,164</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410,164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40"/>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1,191,615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1,191,615</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1,191,615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gridSpan w:val="2"/>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1,191,615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170"/>
              <w:spacing w:after="0"/>
              <w:rPr>
                <w:sz w:val="20"/>
                <w:szCs w:val="20"/>
                <w:color w:val="auto"/>
              </w:rPr>
            </w:pPr>
            <w:r>
              <w:rPr>
                <w:rFonts w:ascii="Arial" w:cs="Arial" w:eastAsia="Arial" w:hAnsi="Arial"/>
                <w:sz w:val="14"/>
                <w:szCs w:val="14"/>
                <w:b w:val="1"/>
                <w:bCs w:val="1"/>
                <w:color w:val="auto"/>
                <w:w w:val="88"/>
              </w:rPr>
              <w:t>December 31,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4"/>
                <w:szCs w:val="14"/>
                <w:b w:val="1"/>
                <w:bCs w:val="1"/>
                <w:color w:val="auto"/>
                <w:w w:val="94"/>
              </w:rPr>
              <w:t>Remaining Contractual Maturity</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3"/>
          </w:tcPr>
          <w:p>
            <w:pPr>
              <w:jc w:val="center"/>
              <w:ind w:right="280"/>
              <w:spacing w:after="0" w:line="125" w:lineRule="exact"/>
              <w:rPr>
                <w:sz w:val="20"/>
                <w:szCs w:val="20"/>
                <w:color w:val="auto"/>
              </w:rPr>
            </w:pPr>
            <w:r>
              <w:rPr>
                <w:rFonts w:ascii="Arial" w:cs="Arial" w:eastAsia="Arial" w:hAnsi="Arial"/>
                <w:sz w:val="14"/>
                <w:szCs w:val="14"/>
                <w:b w:val="1"/>
                <w:bCs w:val="1"/>
                <w:color w:val="auto"/>
                <w:w w:val="90"/>
              </w:rPr>
              <w:t>Overnight and</w:t>
            </w:r>
          </w:p>
        </w:tc>
        <w:tc>
          <w:tcPr>
            <w:tcW w:w="20" w:type="dxa"/>
            <w:vAlign w:val="bottom"/>
          </w:tcPr>
          <w:p>
            <w:pPr>
              <w:spacing w:after="0"/>
              <w:rPr>
                <w:sz w:val="10"/>
                <w:szCs w:val="10"/>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Less than 30 days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center"/>
              <w:ind w:right="150"/>
              <w:spacing w:after="0" w:line="125" w:lineRule="exact"/>
              <w:rPr>
                <w:sz w:val="20"/>
                <w:szCs w:val="20"/>
                <w:color w:val="auto"/>
              </w:rPr>
            </w:pPr>
            <w:r>
              <w:rPr>
                <w:rFonts w:ascii="Arial" w:cs="Arial" w:eastAsia="Arial" w:hAnsi="Arial"/>
                <w:sz w:val="14"/>
                <w:szCs w:val="14"/>
                <w:b w:val="1"/>
                <w:bCs w:val="1"/>
                <w:color w:val="auto"/>
                <w:w w:val="91"/>
              </w:rPr>
              <w:t>30 - 60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jc w:val="center"/>
              <w:ind w:right="290"/>
              <w:spacing w:after="0" w:line="125" w:lineRule="exact"/>
              <w:rPr>
                <w:sz w:val="20"/>
                <w:szCs w:val="20"/>
                <w:color w:val="auto"/>
              </w:rPr>
            </w:pPr>
            <w:r>
              <w:rPr>
                <w:rFonts w:ascii="Arial" w:cs="Arial" w:eastAsia="Arial" w:hAnsi="Arial"/>
                <w:sz w:val="14"/>
                <w:szCs w:val="14"/>
                <w:b w:val="1"/>
                <w:bCs w:val="1"/>
                <w:color w:val="auto"/>
                <w:w w:val="91"/>
              </w:rPr>
              <w:t>61 - 90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180"/>
              <w:spacing w:after="0" w:line="125" w:lineRule="exact"/>
              <w:rPr>
                <w:sz w:val="20"/>
                <w:szCs w:val="20"/>
                <w:color w:val="auto"/>
              </w:rPr>
            </w:pPr>
            <w:r>
              <w:rPr>
                <w:rFonts w:ascii="Arial" w:cs="Arial" w:eastAsia="Arial" w:hAnsi="Arial"/>
                <w:sz w:val="14"/>
                <w:szCs w:val="14"/>
                <w:b w:val="1"/>
                <w:bCs w:val="1"/>
                <w:color w:val="auto"/>
                <w:w w:val="93"/>
              </w:rPr>
              <w:t>Greater than 90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5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Continuous</w:t>
            </w:r>
          </w:p>
        </w:tc>
        <w:tc>
          <w:tcPr>
            <w:tcW w:w="2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Days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days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spacing w:after="0"/>
              <w:rPr>
                <w:sz w:val="20"/>
                <w:szCs w:val="20"/>
                <w:color w:val="auto"/>
              </w:rPr>
            </w:pPr>
            <w:r>
              <w:rPr>
                <w:rFonts w:ascii="Arial" w:cs="Arial" w:eastAsia="Arial" w:hAnsi="Arial"/>
                <w:sz w:val="14"/>
                <w:szCs w:val="14"/>
                <w:color w:val="auto"/>
              </w:rPr>
              <w:t>Securities sold under agreements to repurchase:</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Equity securities</w:t>
            </w:r>
          </w:p>
        </w:tc>
        <w:tc>
          <w:tcPr>
            <w:tcW w:w="1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96"/>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375,000</w:t>
            </w:r>
          </w:p>
        </w:tc>
        <w:tc>
          <w:tcPr>
            <w:tcW w:w="0" w:type="dxa"/>
            <w:vAlign w:val="bottom"/>
          </w:tcPr>
          <w:p>
            <w:pPr>
              <w:spacing w:after="0"/>
              <w:rPr>
                <w:sz w:val="1"/>
                <w:szCs w:val="1"/>
                <w:color w:val="auto"/>
              </w:rPr>
            </w:pPr>
          </w:p>
        </w:tc>
      </w:tr>
      <w:tr>
        <w:trPr>
          <w:trHeight w:val="181"/>
        </w:trPr>
        <w:tc>
          <w:tcPr>
            <w:tcW w:w="350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U.S. and Non-U.S. government obligations</w:t>
            </w: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86,235</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86,235</w:t>
            </w:r>
          </w:p>
        </w:tc>
        <w:tc>
          <w:tcPr>
            <w:tcW w:w="0" w:type="dxa"/>
            <w:vAlign w:val="bottom"/>
          </w:tcPr>
          <w:p>
            <w:pPr>
              <w:spacing w:after="0"/>
              <w:rPr>
                <w:sz w:val="1"/>
                <w:szCs w:val="1"/>
                <w:color w:val="auto"/>
              </w:rPr>
            </w:pPr>
          </w:p>
        </w:tc>
      </w:tr>
      <w:tr>
        <w:trPr>
          <w:trHeight w:val="204"/>
        </w:trPr>
        <w:tc>
          <w:tcPr>
            <w:tcW w:w="35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86,235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461,235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50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Securities loaned:</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500" w:type="dxa"/>
            <w:vAlign w:val="bottom"/>
            <w:gridSpan w:val="3"/>
          </w:tcPr>
          <w:p>
            <w:pPr>
              <w:ind w:left="120"/>
              <w:spacing w:after="0"/>
              <w:rPr>
                <w:sz w:val="20"/>
                <w:szCs w:val="20"/>
                <w:color w:val="auto"/>
              </w:rPr>
            </w:pPr>
            <w:r>
              <w:rPr>
                <w:rFonts w:ascii="Arial" w:cs="Arial" w:eastAsia="Arial" w:hAnsi="Arial"/>
                <w:sz w:val="14"/>
                <w:szCs w:val="14"/>
                <w:color w:val="auto"/>
              </w:rPr>
              <w:t>Equity securities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4"/>
        </w:trPr>
        <w:tc>
          <w:tcPr>
            <w:tcW w:w="35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948,256</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March 31, 2021 and December 31,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82"/>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Assets</w:t>
            </w:r>
          </w:p>
        </w:tc>
        <w:tc>
          <w:tcPr>
            <w:tcW w:w="3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4"/>
        </w:trPr>
        <w:tc>
          <w:tcPr>
            <w:tcW w:w="2840" w:type="dxa"/>
            <w:vAlign w:val="bottom"/>
            <w:tcBorders>
              <w:top w:val="single" w:sz="8" w:color="auto"/>
            </w:tcBorders>
          </w:tcPr>
          <w:p>
            <w:pPr>
              <w:ind w:left="20"/>
              <w:spacing w:after="0" w:line="124"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(2,163)</w:t>
            </w: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2,645,904</w:t>
            </w:r>
          </w:p>
        </w:tc>
        <w:tc>
          <w:tcPr>
            <w:tcW w:w="1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4,669</w:t>
            </w:r>
          </w:p>
        </w:tc>
        <w:tc>
          <w:tcPr>
            <w:tcW w:w="10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2,208,899</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Commodity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5,448,655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173,889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6,237,389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Currency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1,637,757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(11,736)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2,823,277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13,182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102,476</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959,394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746,723</w:t>
            </w: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owned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294,965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25,271,660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341,360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30,596,681</w:t>
            </w:r>
          </w:p>
        </w:tc>
        <w:tc>
          <w:tcPr>
            <w:tcW w:w="0" w:type="dxa"/>
            <w:vAlign w:val="bottom"/>
          </w:tcPr>
          <w:p>
            <w:pPr>
              <w:spacing w:after="0"/>
              <w:rPr>
                <w:sz w:val="1"/>
                <w:szCs w:val="1"/>
                <w:color w:val="auto"/>
              </w:rPr>
            </w:pPr>
          </w:p>
        </w:tc>
      </w:tr>
      <w:tr>
        <w:trPr>
          <w:trHeight w:val="212"/>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Derivatives Liabilities</w:t>
            </w:r>
          </w:p>
        </w:tc>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Financial Statements Location</w:t>
            </w:r>
          </w:p>
        </w:tc>
        <w:tc>
          <w:tcPr>
            <w:tcW w:w="18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5"/>
                <w:szCs w:val="15"/>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5"/>
                <w:szCs w:val="15"/>
                <w:color w:val="auto"/>
              </w:rPr>
            </w:pPr>
          </w:p>
        </w:tc>
        <w:tc>
          <w:tcPr>
            <w:tcW w:w="980" w:type="dxa"/>
            <w:vAlign w:val="bottom"/>
          </w:tcPr>
          <w:p>
            <w:pPr>
              <w:jc w:val="right"/>
              <w:ind w:right="270"/>
              <w:spacing w:after="0"/>
              <w:rPr>
                <w:sz w:val="20"/>
                <w:szCs w:val="20"/>
                <w:color w:val="auto"/>
              </w:rPr>
            </w:pPr>
            <w:r>
              <w:rPr>
                <w:rFonts w:ascii="Arial" w:cs="Arial" w:eastAsia="Arial" w:hAnsi="Arial"/>
                <w:sz w:val="14"/>
                <w:szCs w:val="14"/>
                <w:b w:val="1"/>
                <w:bCs w:val="1"/>
                <w:color w:val="auto"/>
              </w:rPr>
              <w:t>Notional</w:t>
            </w:r>
          </w:p>
        </w:tc>
        <w:tc>
          <w:tcPr>
            <w:tcW w:w="0" w:type="dxa"/>
            <w:vAlign w:val="bottom"/>
          </w:tcPr>
          <w:p>
            <w:pPr>
              <w:spacing w:after="0"/>
              <w:rPr>
                <w:sz w:val="1"/>
                <w:szCs w:val="1"/>
                <w:color w:val="auto"/>
              </w:rPr>
            </w:pPr>
          </w:p>
        </w:tc>
      </w:tr>
      <w:tr>
        <w:trPr>
          <w:trHeight w:val="125"/>
        </w:trPr>
        <w:tc>
          <w:tcPr>
            <w:tcW w:w="284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Equities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vMerge w:val="restart"/>
          </w:tcPr>
          <w:p>
            <w:pPr>
              <w:jc w:val="right"/>
              <w:ind w:right="30"/>
              <w:spacing w:after="0"/>
              <w:rPr>
                <w:sz w:val="20"/>
                <w:szCs w:val="20"/>
                <w:color w:val="auto"/>
              </w:rPr>
            </w:pPr>
            <w:r>
              <w:rPr>
                <w:rFonts w:ascii="Arial" w:cs="Arial" w:eastAsia="Arial" w:hAnsi="Arial"/>
                <w:sz w:val="14"/>
                <w:szCs w:val="14"/>
                <w:color w:val="auto"/>
                <w:w w:val="76"/>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534,942</w:t>
            </w:r>
          </w:p>
        </w:tc>
        <w:tc>
          <w:tcPr>
            <w:tcW w:w="100" w:type="dxa"/>
            <w:vAlign w:val="bottom"/>
          </w:tcPr>
          <w:p>
            <w:pPr>
              <w:spacing w:after="0"/>
              <w:rPr>
                <w:sz w:val="11"/>
                <w:szCs w:val="11"/>
                <w:color w:val="auto"/>
              </w:rPr>
            </w:pPr>
          </w:p>
        </w:tc>
        <w:tc>
          <w:tcPr>
            <w:tcW w:w="2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90,219</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Commodity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(1,366,708)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1,679,746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(5,397)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27,287</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Currency futures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(1,110)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2,091,786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3,598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2,269,898</w:t>
            </w:r>
          </w:p>
        </w:tc>
        <w:tc>
          <w:tcPr>
            <w:tcW w:w="0" w:type="dxa"/>
            <w:vAlign w:val="bottom"/>
          </w:tcPr>
          <w:p>
            <w:pPr>
              <w:spacing w:after="0"/>
              <w:rPr>
                <w:sz w:val="1"/>
                <w:szCs w:val="1"/>
                <w:color w:val="auto"/>
              </w:rPr>
            </w:pPr>
          </w:p>
        </w:tc>
      </w:tr>
      <w:tr>
        <w:trPr>
          <w:trHeight w:val="181"/>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60" w:type="dxa"/>
            <w:vAlign w:val="bottom"/>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Fixed income futures</w:t>
            </w:r>
          </w:p>
        </w:tc>
        <w:tc>
          <w:tcPr>
            <w:tcW w:w="310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203,385</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organizations</w:t>
            </w:r>
          </w:p>
        </w:tc>
        <w:tc>
          <w:tcPr>
            <w:tcW w:w="1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100" w:type="dxa"/>
            <w:vAlign w:val="bottom"/>
            <w:gridSpan w:val="2"/>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8,695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980,190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9,241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736,997</w:t>
            </w:r>
          </w:p>
        </w:tc>
        <w:tc>
          <w:tcPr>
            <w:tcW w:w="0" w:type="dxa"/>
            <w:vAlign w:val="bottom"/>
          </w:tcPr>
          <w:p>
            <w:pPr>
              <w:spacing w:after="0"/>
              <w:rPr>
                <w:sz w:val="1"/>
                <w:szCs w:val="1"/>
                <w:color w:val="auto"/>
              </w:rPr>
            </w:pPr>
          </w:p>
        </w:tc>
      </w:tr>
      <w:tr>
        <w:trPr>
          <w:trHeight w:val="18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Financial instruments sold, not yet purchased</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280,153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25,264,253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292,965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30,572,490</w:t>
            </w: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96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w w:val="95"/>
              </w:rPr>
              <w:t>Derivative instruments designated as hedging</w:t>
            </w: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instruments:</w:t>
            </w:r>
          </w:p>
        </w:tc>
        <w:tc>
          <w:tcPr>
            <w:tcW w:w="3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960" w:type="dxa"/>
            <w:vAlign w:val="bottom"/>
            <w:gridSpan w:val="2"/>
          </w:tcPr>
          <w:p>
            <w:pPr>
              <w:ind w:left="20"/>
              <w:spacing w:after="0" w:line="131" w:lineRule="exact"/>
              <w:rPr>
                <w:sz w:val="20"/>
                <w:szCs w:val="20"/>
                <w:color w:val="auto"/>
              </w:rPr>
            </w:pPr>
            <w:r>
              <w:rPr>
                <w:rFonts w:ascii="Arial" w:cs="Arial" w:eastAsia="Arial" w:hAnsi="Arial"/>
                <w:sz w:val="14"/>
                <w:szCs w:val="14"/>
                <w:color w:val="auto"/>
              </w:rPr>
              <w:t>Interest rate swaps</w:t>
            </w:r>
          </w:p>
        </w:tc>
        <w:tc>
          <w:tcPr>
            <w:tcW w:w="3100" w:type="dxa"/>
            <w:vAlign w:val="bottom"/>
            <w:gridSpan w:val="2"/>
          </w:tcPr>
          <w:p>
            <w:pPr>
              <w:spacing w:after="0" w:line="131" w:lineRule="exact"/>
              <w:rPr>
                <w:sz w:val="20"/>
                <w:szCs w:val="20"/>
                <w:color w:val="auto"/>
              </w:rPr>
            </w:pPr>
            <w:r>
              <w:rPr>
                <w:rFonts w:ascii="Arial" w:cs="Arial" w:eastAsia="Arial" w:hAnsi="Arial"/>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38,199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63,513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1,525,000</w:t>
            </w:r>
          </w:p>
        </w:tc>
        <w:tc>
          <w:tcPr>
            <w:tcW w:w="0" w:type="dxa"/>
            <w:vAlign w:val="bottom"/>
          </w:tcPr>
          <w:p>
            <w:pPr>
              <w:spacing w:after="0"/>
              <w:rPr>
                <w:sz w:val="1"/>
                <w:szCs w:val="1"/>
                <w:color w:val="auto"/>
              </w:rPr>
            </w:pPr>
          </w:p>
        </w:tc>
      </w:tr>
      <w:tr>
        <w:trPr>
          <w:trHeight w:val="178"/>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2"/>
          </w:tcPr>
          <w:p>
            <w:pPr>
              <w:spacing w:after="0"/>
              <w:rPr>
                <w:sz w:val="20"/>
                <w:szCs w:val="20"/>
                <w:color w:val="auto"/>
              </w:rPr>
            </w:pPr>
            <w:r>
              <w:rPr>
                <w:rFonts w:ascii="Arial" w:cs="Arial" w:eastAsia="Arial" w:hAnsi="Arial"/>
                <w:sz w:val="14"/>
                <w:szCs w:val="14"/>
                <w:color w:val="auto"/>
              </w:rPr>
              <w:t>organizations</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20" w:firstLine="629"/>
        <w:spacing w:after="0" w:line="289"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84" w:lineRule="exact"/>
        <w:rPr>
          <w:sz w:val="20"/>
          <w:szCs w:val="20"/>
          <w:color w:val="auto"/>
        </w:rPr>
      </w:pPr>
    </w:p>
    <w:p>
      <w:pPr>
        <w:ind w:right="420" w:firstLine="629"/>
        <w:spacing w:after="0" w:line="297" w:lineRule="auto"/>
        <w:rPr>
          <w:sz w:val="20"/>
          <w:szCs w:val="20"/>
          <w:color w:val="auto"/>
        </w:rPr>
      </w:pPr>
      <w:r>
        <w:rPr>
          <w:rFonts w:ascii="Arial" w:cs="Arial" w:eastAsia="Arial" w:hAnsi="Arial"/>
          <w:sz w:val="16"/>
          <w:szCs w:val="16"/>
          <w:color w:val="auto"/>
        </w:rPr>
        <w:t>The following table summarizes the net gain (loss) from derivative instruments not designated as hedging instruments under ASC 815, which are recorded in total revenues, and from those designated as hedging instruments under ASC 815, which are recorded in other comprehensive income in the accompanying Condensed Consolidated Statements of Comprehensive Income for the three months ended March 31, 2021 and 2020.</w:t>
      </w: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3"/>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Financial Statements Location</w:t>
            </w:r>
          </w:p>
        </w:tc>
        <w:tc>
          <w:tcPr>
            <w:tcW w:w="240" w:type="dxa"/>
            <w:vAlign w:val="bottom"/>
          </w:tcPr>
          <w:p>
            <w:pPr>
              <w:spacing w:after="0"/>
              <w:rPr>
                <w:sz w:val="15"/>
                <w:szCs w:val="15"/>
                <w:color w:val="auto"/>
              </w:rPr>
            </w:pPr>
          </w:p>
        </w:tc>
        <w:tc>
          <w:tcPr>
            <w:tcW w:w="1080" w:type="dxa"/>
            <w:vAlign w:val="bottom"/>
          </w:tcPr>
          <w:p>
            <w:pPr>
              <w:jc w:val="right"/>
              <w:ind w:right="4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Arial" w:cs="Arial" w:eastAsia="Arial" w:hAnsi="Arial"/>
                <w:sz w:val="14"/>
                <w:szCs w:val="14"/>
                <w:b w:val="1"/>
                <w:bCs w:val="1"/>
                <w:color w:val="auto"/>
              </w:rPr>
              <w:t>2020</w:t>
            </w:r>
          </w:p>
        </w:tc>
      </w:tr>
      <w:tr>
        <w:trPr>
          <w:trHeight w:val="125"/>
        </w:trPr>
        <w:tc>
          <w:tcPr>
            <w:tcW w:w="2900" w:type="dxa"/>
            <w:vAlign w:val="bottom"/>
            <w:tcBorders>
              <w:top w:val="single" w:sz="8" w:color="auto"/>
            </w:tcBorders>
            <w:shd w:val="clear" w:color="auto" w:fill="CCEEFF"/>
          </w:tcPr>
          <w:p>
            <w:pPr>
              <w:ind w:left="20"/>
              <w:spacing w:after="0" w:line="125" w:lineRule="exact"/>
              <w:rPr>
                <w:sz w:val="20"/>
                <w:szCs w:val="20"/>
                <w:color w:val="auto"/>
              </w:rPr>
            </w:pPr>
            <w:r>
              <w:rPr>
                <w:rFonts w:ascii="Arial" w:cs="Arial" w:eastAsia="Arial" w:hAnsi="Arial"/>
                <w:sz w:val="14"/>
                <w:szCs w:val="14"/>
                <w:b w:val="1"/>
                <w:bCs w:val="1"/>
                <w:color w:val="auto"/>
              </w:rPr>
              <w:t>Derivative instruments not designated as</w:t>
            </w:r>
          </w:p>
        </w:tc>
        <w:tc>
          <w:tcPr>
            <w:tcW w:w="100" w:type="dxa"/>
            <w:vAlign w:val="bottom"/>
            <w:tcBorders>
              <w:top w:val="single" w:sz="8" w:color="CCEEFF"/>
            </w:tcBorders>
            <w:shd w:val="clear" w:color="auto" w:fill="CCEEFF"/>
          </w:tcPr>
          <w:p>
            <w:pPr>
              <w:spacing w:after="0"/>
              <w:rPr>
                <w:sz w:val="10"/>
                <w:szCs w:val="10"/>
                <w:color w:val="auto"/>
              </w:rPr>
            </w:pPr>
          </w:p>
        </w:tc>
        <w:tc>
          <w:tcPr>
            <w:tcW w:w="3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r>
      <w:tr>
        <w:trPr>
          <w:trHeight w:val="18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hedging instruments:</w:t>
            </w: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Futures</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47,222</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(11,901)</w:t>
            </w:r>
          </w:p>
        </w:tc>
      </w:tr>
      <w:tr>
        <w:trPr>
          <w:trHeight w:val="186"/>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Currency forwards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109,389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201,808</w:t>
            </w:r>
          </w:p>
        </w:tc>
      </w:tr>
      <w:tr>
        <w:trPr>
          <w:trHeight w:val="181"/>
        </w:trPr>
        <w:tc>
          <w:tcPr>
            <w:tcW w:w="3000" w:type="dxa"/>
            <w:vAlign w:val="bottom"/>
            <w:gridSpan w:val="2"/>
          </w:tcPr>
          <w:p>
            <w:pPr>
              <w:ind w:left="20"/>
              <w:spacing w:after="0"/>
              <w:rPr>
                <w:sz w:val="20"/>
                <w:szCs w:val="20"/>
                <w:color w:val="auto"/>
              </w:rPr>
            </w:pPr>
            <w:r>
              <w:rPr>
                <w:rFonts w:ascii="Arial" w:cs="Arial" w:eastAsia="Arial" w:hAnsi="Arial"/>
                <w:sz w:val="14"/>
                <w:szCs w:val="14"/>
                <w:color w:val="auto"/>
              </w:rPr>
              <w:t>Options</w:t>
            </w:r>
          </w:p>
        </w:tc>
        <w:tc>
          <w:tcPr>
            <w:tcW w:w="3440" w:type="dxa"/>
            <w:vAlign w:val="bottom"/>
            <w:gridSpan w:val="2"/>
          </w:tcPr>
          <w:p>
            <w:pPr>
              <w:ind w:left="20"/>
              <w:spacing w:after="0"/>
              <w:rPr>
                <w:sz w:val="20"/>
                <w:szCs w:val="20"/>
                <w:color w:val="auto"/>
              </w:rPr>
            </w:pPr>
            <w:r>
              <w:rPr>
                <w:rFonts w:ascii="Arial" w:cs="Arial" w:eastAsia="Arial" w:hAnsi="Arial"/>
                <w:sz w:val="14"/>
                <w:szCs w:val="14"/>
                <w:color w:val="auto"/>
              </w:rPr>
              <w:t>Trading income, net</w:t>
            </w:r>
          </w:p>
        </w:tc>
        <w:tc>
          <w:tcPr>
            <w:tcW w:w="2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48,736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1,261</w:t>
            </w:r>
          </w:p>
        </w:tc>
      </w:tr>
      <w:tr>
        <w:trPr>
          <w:trHeight w:val="183"/>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 on term loan</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6"/>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204,875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191,168</w:t>
            </w: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8"/>
        </w:trPr>
        <w:tc>
          <w:tcPr>
            <w:tcW w:w="2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31"/>
        </w:trPr>
        <w:tc>
          <w:tcPr>
            <w:tcW w:w="3000" w:type="dxa"/>
            <w:vAlign w:val="bottom"/>
            <w:gridSpan w:val="2"/>
          </w:tcPr>
          <w:p>
            <w:pPr>
              <w:ind w:left="20"/>
              <w:spacing w:after="0" w:line="131" w:lineRule="exact"/>
              <w:rPr>
                <w:sz w:val="20"/>
                <w:szCs w:val="20"/>
                <w:color w:val="auto"/>
              </w:rPr>
            </w:pPr>
            <w:r>
              <w:rPr>
                <w:rFonts w:ascii="Arial" w:cs="Arial" w:eastAsia="Arial" w:hAnsi="Arial"/>
                <w:sz w:val="14"/>
                <w:szCs w:val="14"/>
                <w:b w:val="1"/>
                <w:bCs w:val="1"/>
                <w:color w:val="auto"/>
                <w:w w:val="96"/>
              </w:rPr>
              <w:t>Derivative instruments designated as hedging</w:t>
            </w:r>
          </w:p>
        </w:tc>
        <w:tc>
          <w:tcPr>
            <w:tcW w:w="3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83"/>
        </w:trPr>
        <w:tc>
          <w:tcPr>
            <w:tcW w:w="300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 (1)</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25,826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(55,602)</w:t>
            </w:r>
          </w:p>
        </w:tc>
      </w:tr>
      <w:tr>
        <w:trPr>
          <w:trHeight w:val="174"/>
        </w:trPr>
        <w:tc>
          <w:tcPr>
            <w:tcW w:w="2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25,826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(55,602)</w:t>
            </w:r>
          </w:p>
        </w:tc>
      </w:tr>
      <w:tr>
        <w:trPr>
          <w:trHeight w:val="22"/>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jc w:val="both"/>
        <w:ind w:right="280" w:firstLine="5"/>
        <w:spacing w:after="0" w:line="308" w:lineRule="auto"/>
        <w:tabs>
          <w:tab w:leader="none" w:pos="19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2020, and as such, the mark-to-market gains (losses) on the instruments were recorded within Other comprehensive income on the Condensed Consolidated Statements of Comprehensive Income for the three months ended March 31, 2021.</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Variable Interest Entities</w:t>
      </w:r>
    </w:p>
    <w:p>
      <w:pPr>
        <w:spacing w:after="0" w:line="32" w:lineRule="exact"/>
        <w:rPr>
          <w:sz w:val="20"/>
          <w:szCs w:val="20"/>
          <w:color w:val="auto"/>
        </w:rPr>
      </w:pPr>
    </w:p>
    <w:p>
      <w:pPr>
        <w:jc w:val="both"/>
        <w:ind w:right="100" w:firstLine="629"/>
        <w:spacing w:after="0" w:line="290" w:lineRule="auto"/>
        <w:rPr>
          <w:sz w:val="20"/>
          <w:szCs w:val="20"/>
          <w:color w:val="auto"/>
        </w:rPr>
      </w:pPr>
      <w:r>
        <w:rPr>
          <w:rFonts w:ascii="Arial" w:cs="Arial" w:eastAsia="Arial" w:hAnsi="Arial"/>
          <w:sz w:val="16"/>
          <w:szCs w:val="16"/>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86" w:lineRule="exact"/>
        <w:rPr>
          <w:sz w:val="20"/>
          <w:szCs w:val="20"/>
          <w:color w:val="auto"/>
        </w:rPr>
      </w:pPr>
    </w:p>
    <w:p>
      <w:pPr>
        <w:ind w:right="20" w:firstLine="629"/>
        <w:spacing w:after="0" w:line="273" w:lineRule="auto"/>
        <w:rPr>
          <w:sz w:val="20"/>
          <w:szCs w:val="20"/>
          <w:color w:val="auto"/>
        </w:rPr>
      </w:pPr>
      <w:r>
        <w:rPr>
          <w:rFonts w:ascii="Arial" w:cs="Arial" w:eastAsia="Arial" w:hAnsi="Arial"/>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7"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March 31, 2021, the Company held noncontrolling interests of 10% and 50%, respectively, in these JVs.</w:t>
      </w:r>
    </w:p>
    <w:p>
      <w:pPr>
        <w:spacing w:after="0" w:line="204"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Company has an interest in a JV that offers derivatives trading technology and execution services to broker-dealers, professional traders and select hedge funds. As of March 31, 2021, the Company held approximately a 10% noncontrolling interest in this JV.</w:t>
      </w:r>
    </w:p>
    <w:p>
      <w:pPr>
        <w:spacing w:after="0" w:line="184"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color w:val="auto"/>
        </w:rPr>
        <w:t>The Company has an interest in a JV that is developing a member-owned equities exchange with the goal of increasing competition and transparency, while reducing fixed costs and simplifying execution of equity trading in the U.S. As of March 31, 2021, the Company held approximately a 14.1% noncontrolling interest in this JV.</w:t>
      </w:r>
    </w:p>
    <w:p>
      <w:pPr>
        <w:spacing w:after="0" w:line="197" w:lineRule="exact"/>
        <w:rPr>
          <w:sz w:val="20"/>
          <w:szCs w:val="20"/>
          <w:color w:val="auto"/>
        </w:rPr>
      </w:pPr>
    </w:p>
    <w:p>
      <w:pPr>
        <w:jc w:val="both"/>
        <w:ind w:right="40" w:firstLine="629"/>
        <w:spacing w:after="0" w:line="265" w:lineRule="auto"/>
        <w:rPr>
          <w:sz w:val="20"/>
          <w:szCs w:val="20"/>
          <w:color w:val="auto"/>
        </w:rPr>
      </w:pPr>
      <w:r>
        <w:rPr>
          <w:rFonts w:ascii="Arial" w:cs="Arial" w:eastAsia="Arial" w:hAnsi="Arial"/>
          <w:sz w:val="17"/>
          <w:szCs w:val="17"/>
          <w:color w:val="auto"/>
        </w:rPr>
        <w:t>The Company's four JVs meet the criteria to be considered VIEs, which it does not consolidate. The Company records its interest in each JV under the equity method of accounting and records its investment in the JVs within Other assets and its amounts payable for communication services provided by the JV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204" w:lineRule="exact"/>
        <w:rPr>
          <w:sz w:val="20"/>
          <w:szCs w:val="20"/>
          <w:color w:val="auto"/>
        </w:rPr>
      </w:pPr>
    </w:p>
    <w:p>
      <w:pPr>
        <w:ind w:right="180" w:firstLine="629"/>
        <w:spacing w:after="0" w:line="289" w:lineRule="auto"/>
        <w:rPr>
          <w:sz w:val="20"/>
          <w:szCs w:val="20"/>
          <w:color w:val="auto"/>
        </w:rPr>
      </w:pPr>
      <w:r>
        <w:rPr>
          <w:rFonts w:ascii="Arial" w:cs="Arial" w:eastAsia="Arial" w:hAnsi="Arial"/>
          <w:sz w:val="17"/>
          <w:szCs w:val="17"/>
          <w:color w:val="auto"/>
        </w:rPr>
        <w:t>The Company’s exposure to the obligations of these VIEs is generally limited to its interests in each respective JV, which is the carrying value of the equity investment in each JV.</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March 31,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27,379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27,379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172,310</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Company’s nonconsolidated VIEs at December 31, 2020:</w:t>
      </w: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4"/>
                <w:szCs w:val="14"/>
                <w:b w:val="1"/>
                <w:bCs w:val="1"/>
                <w:color w:val="auto"/>
                <w:w w:val="94"/>
              </w:rPr>
              <w:t>Carrying Amount</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Asset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Liability</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VIEs' assets</w:t>
            </w:r>
          </w:p>
        </w:tc>
        <w:tc>
          <w:tcPr>
            <w:tcW w:w="0" w:type="dxa"/>
            <w:vAlign w:val="bottom"/>
          </w:tcPr>
          <w:p>
            <w:pPr>
              <w:spacing w:after="0"/>
              <w:rPr>
                <w:sz w:val="1"/>
                <w:szCs w:val="1"/>
                <w:color w:val="auto"/>
              </w:rPr>
            </w:pPr>
          </w:p>
        </w:tc>
      </w:tr>
      <w:tr>
        <w:trPr>
          <w:trHeight w:val="183"/>
        </w:trPr>
        <w:tc>
          <w:tcPr>
            <w:tcW w:w="4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4"/>
              </w:rPr>
              <w:t>to Loss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175,547</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Revenues from Contracts with Customers</w:t>
      </w:r>
    </w:p>
    <w:p>
      <w:pPr>
        <w:spacing w:after="0" w:line="256"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For more information on revenue recognition and the nature of services provided, see Note 2 "Summary of Significant Accounting Policies" and Note 14 "Revenues from Contracts with Customers" to the Consolidated Financial Statements of the Company's 2020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250"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following tables present the Company’s revenue from contracts with customers disaggregated by service, by timing of revenue recognition, reconciled to the Company’s segments, for the three months ended March 31, 2021 and 2020:</w:t>
      </w:r>
    </w:p>
    <w:p>
      <w:pPr>
        <w:spacing w:after="0" w:line="397"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 2021</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8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Execution Services</w:t>
            </w:r>
          </w:p>
        </w:tc>
        <w:tc>
          <w:tcPr>
            <w:tcW w:w="220" w:type="dxa"/>
            <w:vAlign w:val="bottom"/>
          </w:tcPr>
          <w:p>
            <w:pPr>
              <w:spacing w:after="0"/>
              <w:rPr>
                <w:sz w:val="15"/>
                <w:szCs w:val="15"/>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177"/>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14,130</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140,450</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154,580</w:t>
            </w:r>
          </w:p>
        </w:tc>
      </w:tr>
      <w:tr>
        <w:trPr>
          <w:trHeight w:val="18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26,573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26,573</w:t>
            </w:r>
          </w:p>
        </w:tc>
      </w:tr>
      <w:tr>
        <w:trPr>
          <w:trHeight w:val="181"/>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Analytics</w:t>
            </w:r>
          </w:p>
        </w:tc>
        <w:tc>
          <w:tcPr>
            <w:tcW w:w="14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10,496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10,496</w:t>
            </w:r>
          </w:p>
        </w:tc>
      </w:tr>
      <w:tr>
        <w:trPr>
          <w:trHeight w:val="179"/>
        </w:trPr>
        <w:tc>
          <w:tcPr>
            <w:tcW w:w="41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14,130</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177,519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191,649</w:t>
            </w: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809,594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11,720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1"/>
              </w:rPr>
              <w:t>(391)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820,923</w:t>
            </w: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01"/>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823,724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189,239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1"/>
              </w:rPr>
              <w:t>(391)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1,012,572</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823,724</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170,538</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tcPr>
          <w:p>
            <w:pPr>
              <w:ind w:left="840"/>
              <w:spacing w:after="0"/>
              <w:rPr>
                <w:sz w:val="20"/>
                <w:szCs w:val="20"/>
                <w:color w:val="auto"/>
              </w:rPr>
            </w:pPr>
            <w:r>
              <w:rPr>
                <w:rFonts w:ascii="Arial" w:cs="Arial" w:eastAsia="Arial" w:hAnsi="Arial"/>
                <w:sz w:val="14"/>
                <w:szCs w:val="14"/>
                <w:color w:val="auto"/>
                <w:w w:val="91"/>
              </w:rPr>
              <w:t>(391)</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993,871</w:t>
            </w:r>
          </w:p>
        </w:tc>
      </w:tr>
      <w:tr>
        <w:trPr>
          <w:trHeight w:val="183"/>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18,701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18,701</w:t>
            </w:r>
          </w:p>
        </w:tc>
      </w:tr>
      <w:tr>
        <w:trPr>
          <w:trHeight w:val="179"/>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823,724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189,239</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w w:val="91"/>
              </w:rPr>
              <w:t>(391)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1,012,572</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Three Months Ended March 31, 2020</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3"/>
        </w:trPr>
        <w:tc>
          <w:tcPr>
            <w:tcW w:w="4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Market Making</w:t>
            </w:r>
          </w:p>
        </w:tc>
        <w:tc>
          <w:tcPr>
            <w:tcW w:w="8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22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5"/>
                <w:szCs w:val="15"/>
                <w:color w:val="auto"/>
              </w:rPr>
            </w:pPr>
          </w:p>
        </w:tc>
        <w:tc>
          <w:tcPr>
            <w:tcW w:w="1100" w:type="dxa"/>
            <w:vAlign w:val="bottom"/>
          </w:tcPr>
          <w:p>
            <w:pPr>
              <w:jc w:val="right"/>
              <w:ind w:right="490"/>
              <w:spacing w:after="0"/>
              <w:rPr>
                <w:sz w:val="20"/>
                <w:szCs w:val="20"/>
                <w:color w:val="auto"/>
              </w:rPr>
            </w:pPr>
            <w:r>
              <w:rPr>
                <w:rFonts w:ascii="Arial" w:cs="Arial" w:eastAsia="Arial" w:hAnsi="Arial"/>
                <w:sz w:val="14"/>
                <w:szCs w:val="14"/>
                <w:b w:val="1"/>
                <w:bCs w:val="1"/>
                <w:color w:val="auto"/>
              </w:rPr>
              <w:t>Total</w:t>
            </w:r>
          </w:p>
        </w:tc>
      </w:tr>
      <w:tr>
        <w:trPr>
          <w:trHeight w:val="177"/>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181"/>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Commissions,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131,026</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131,795</w:t>
            </w:r>
          </w:p>
        </w:tc>
      </w:tr>
      <w:tr>
        <w:trPr>
          <w:trHeight w:val="186"/>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Workflow technology</w:t>
            </w:r>
          </w:p>
        </w:tc>
        <w:tc>
          <w:tcPr>
            <w:tcW w:w="1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28,743</w:t>
            </w:r>
          </w:p>
        </w:tc>
      </w:tr>
      <w:tr>
        <w:trPr>
          <w:trHeight w:val="181"/>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Analytics</w:t>
            </w:r>
          </w:p>
        </w:tc>
        <w:tc>
          <w:tcPr>
            <w:tcW w:w="14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10,206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10,206</w:t>
            </w:r>
          </w:p>
        </w:tc>
      </w:tr>
      <w:tr>
        <w:trPr>
          <w:trHeight w:val="179"/>
        </w:trPr>
        <w:tc>
          <w:tcPr>
            <w:tcW w:w="41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169,975</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170,744</w:t>
            </w: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183"/>
        </w:trPr>
        <w:tc>
          <w:tcPr>
            <w:tcW w:w="41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sources of revenue</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829,817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829,877</w:t>
            </w: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01"/>
        </w:trPr>
        <w:tc>
          <w:tcPr>
            <w:tcW w:w="41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830,586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169,864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1,000,621</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Timing of revenue recognition:</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4120" w:type="dxa"/>
            <w:vAlign w:val="bottom"/>
            <w:gridSpan w:val="2"/>
          </w:tcPr>
          <w:p>
            <w:pPr>
              <w:ind w:left="140"/>
              <w:spacing w:after="0"/>
              <w:rPr>
                <w:sz w:val="20"/>
                <w:szCs w:val="20"/>
                <w:color w:val="auto"/>
              </w:rPr>
            </w:pPr>
            <w:r>
              <w:rPr>
                <w:rFonts w:ascii="Arial" w:cs="Arial" w:eastAsia="Arial" w:hAnsi="Arial"/>
                <w:sz w:val="14"/>
                <w:szCs w:val="14"/>
                <w:color w:val="auto"/>
              </w:rPr>
              <w:t>Services transferred at a point in time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830,586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151,388</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982,145</w:t>
            </w:r>
          </w:p>
        </w:tc>
      </w:tr>
      <w:tr>
        <w:trPr>
          <w:trHeight w:val="183"/>
        </w:trPr>
        <w:tc>
          <w:tcPr>
            <w:tcW w:w="4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Services transferred over time</w:t>
            </w:r>
          </w:p>
        </w:tc>
        <w:tc>
          <w:tcPr>
            <w:tcW w:w="14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18,476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18,476</w:t>
            </w:r>
          </w:p>
        </w:tc>
      </w:tr>
      <w:tr>
        <w:trPr>
          <w:trHeight w:val="179"/>
        </w:trPr>
        <w:tc>
          <w:tcPr>
            <w:tcW w:w="4120" w:type="dxa"/>
            <w:vAlign w:val="bottom"/>
            <w:gridSpan w:val="2"/>
          </w:tcPr>
          <w:p>
            <w:pPr>
              <w:ind w:left="220"/>
              <w:spacing w:after="0"/>
              <w:rPr>
                <w:sz w:val="20"/>
                <w:szCs w:val="20"/>
                <w:color w:val="auto"/>
              </w:rPr>
            </w:pPr>
            <w:r>
              <w:rPr>
                <w:rFonts w:ascii="Arial" w:cs="Arial" w:eastAsia="Arial" w:hAnsi="Arial"/>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830,586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169,864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1,000,621</w:t>
            </w: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Remaining Performance Obligations and Revenue Recognized from Past Performance Obligations</w:t>
      </w:r>
    </w:p>
    <w:p>
      <w:pPr>
        <w:spacing w:after="0" w:line="250" w:lineRule="exact"/>
        <w:rPr>
          <w:sz w:val="20"/>
          <w:szCs w:val="20"/>
          <w:color w:val="auto"/>
        </w:rPr>
      </w:pPr>
    </w:p>
    <w:p>
      <w:pPr>
        <w:ind w:right="780" w:firstLine="629"/>
        <w:spacing w:after="0" w:line="289" w:lineRule="auto"/>
        <w:rPr>
          <w:sz w:val="20"/>
          <w:szCs w:val="20"/>
          <w:color w:val="auto"/>
        </w:rPr>
      </w:pPr>
      <w:r>
        <w:rPr>
          <w:rFonts w:ascii="Arial" w:cs="Arial" w:eastAsia="Arial" w:hAnsi="Arial"/>
          <w:sz w:val="17"/>
          <w:szCs w:val="17"/>
          <w:color w:val="auto"/>
        </w:rPr>
        <w:t>As of March 31, 2021 and 2020, the aggregate amount of the transaction price allocated to the performance obligations relating to workflow technology and analytics revenues that are unsatisfied (or partially unsatisfied) was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Assets and Contract Liabilities</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7" w:lineRule="exact"/>
        <w:rPr>
          <w:sz w:val="20"/>
          <w:szCs w:val="20"/>
          <w:color w:val="auto"/>
        </w:rPr>
      </w:pPr>
    </w:p>
    <w:p>
      <w:pPr>
        <w:ind w:right="200" w:firstLine="629"/>
        <w:spacing w:after="0" w:line="322" w:lineRule="auto"/>
        <w:rPr>
          <w:sz w:val="20"/>
          <w:szCs w:val="20"/>
          <w:color w:val="auto"/>
        </w:rPr>
      </w:pPr>
      <w:r>
        <w:rPr>
          <w:rFonts w:ascii="Arial" w:cs="Arial" w:eastAsia="Arial" w:hAnsi="Arial"/>
          <w:sz w:val="16"/>
          <w:szCs w:val="16"/>
          <w:color w:val="auto"/>
        </w:rPr>
        <w:t>Receivables related to revenues from contracts with customers amounted to $60.4 million and $57.3 million as of March 31, 2021 and December 31, 2020, respectively. The Company did not identify any contract assets. There were no impairment losses on receivables as of March 31, 2021.</w:t>
      </w:r>
    </w:p>
    <w:p>
      <w:pPr>
        <w:spacing w:after="0" w:line="161"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color w:val="auto"/>
        </w:rPr>
        <w:t>Deferred revenue primarily relates to deferred commissions allocated to analytics products and subscription fees billed in advance of satisfying the performance obligations. Deferred revenue related to contracts with customers was $11.6 million and $9.3 million as of March 31, 2021 and December 31, 2020, respectively. The Company recognized revenue of $7.9 million and $7.5 million during the three months ended March 31, 2021 and 2020, respectively that had been initially recorded as deferred revenue.</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identified any costs to obtain or fulfill its contracts under ASC 606.</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56" w:lineRule="exact"/>
        <w:rPr>
          <w:sz w:val="20"/>
          <w:szCs w:val="20"/>
          <w:color w:val="auto"/>
        </w:rPr>
      </w:pPr>
    </w:p>
    <w:p>
      <w:pPr>
        <w:jc w:val="both"/>
        <w:ind w:right="80" w:firstLine="629"/>
        <w:spacing w:after="0" w:line="262" w:lineRule="auto"/>
        <w:rPr>
          <w:sz w:val="20"/>
          <w:szCs w:val="20"/>
          <w:color w:val="auto"/>
        </w:rPr>
      </w:pPr>
      <w:r>
        <w:rPr>
          <w:rFonts w:ascii="Arial" w:cs="Arial" w:eastAsia="Arial" w:hAnsi="Arial"/>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2021 and 2020,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provisions for income taxes and effective tax rates were $80.6 million, 16.4%, and $78.0 million, and 16.8% for the three months ended March 31, 2021 and 2020, respectively. Income tax expense is also affected by the differing effective tax rates in foreign, state and local jurisdictions where certain of the Company’s subsidiaries are subject to corporate taxation.</w:t>
      </w:r>
    </w:p>
    <w:p>
      <w:pPr>
        <w:spacing w:after="0" w:line="209"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Included in Other assets on the Condensed Consolidated Statements of Financial Condition at March 31, 2021 and December 31, 2020 were current income tax receivables of $0.2 million and $83.1 million, respectively. The balances at March</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31, 2021 and December 31, 2020 primarily comprised income tax benefits due to the Company from federal, state, local, and foreign tax jurisdictions based on income before taxes. Included in Accounts payable, accrued expenses and other liabilities on the Condensed Consolidated Statements of Financial Condition at March 31, 2021 and December 31, 2020 were current tax liabilities of $29.9 million and $37.9 million, respectively. The balances at March 31, 2021 and December 31, 2020 primarily comprised income taxes owed to federal, state and local, and foreign tax jurisdictions based on income before taxes.</w:t>
      </w:r>
    </w:p>
    <w:p>
      <w:pPr>
        <w:spacing w:after="0" w:line="188" w:lineRule="exact"/>
        <w:rPr>
          <w:sz w:val="20"/>
          <w:szCs w:val="20"/>
          <w:color w:val="auto"/>
        </w:rPr>
      </w:pPr>
    </w:p>
    <w:p>
      <w:pPr>
        <w:ind w:right="160" w:firstLine="629"/>
        <w:spacing w:after="0" w:line="325" w:lineRule="auto"/>
        <w:rPr>
          <w:sz w:val="20"/>
          <w:szCs w:val="20"/>
          <w:color w:val="auto"/>
        </w:rPr>
      </w:pPr>
      <w:r>
        <w:rPr>
          <w:rFonts w:ascii="Arial" w:cs="Arial" w:eastAsia="Arial" w:hAnsi="Arial"/>
          <w:sz w:val="15"/>
          <w:szCs w:val="15"/>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64" w:lineRule="exact"/>
        <w:rPr>
          <w:sz w:val="20"/>
          <w:szCs w:val="20"/>
          <w:color w:val="auto"/>
        </w:rPr>
      </w:pPr>
    </w:p>
    <w:p>
      <w:pPr>
        <w:ind w:right="80" w:firstLine="629"/>
        <w:spacing w:after="0" w:line="281" w:lineRule="auto"/>
        <w:rPr>
          <w:sz w:val="20"/>
          <w:szCs w:val="20"/>
          <w:color w:val="auto"/>
        </w:rPr>
      </w:pPr>
      <w:r>
        <w:rPr>
          <w:rFonts w:ascii="Arial" w:cs="Arial" w:eastAsia="Arial" w:hAnsi="Arial"/>
          <w:sz w:val="16"/>
          <w:szCs w:val="16"/>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2021 and December 31, 2020, the Company did not have any U.S. federal net operating loss carryforwards and therefore the Company did not record a deferred tax asset related to federal net operating loss carryforwards. At March 31, 2021 and December 31, 2020,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195"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As a result of the ITG Acquisition, the Company had non-U.S. net operating losses at March 31, 2021 and December 31, 2020 of $73.6 million and $75.1 million, respectively, and recorded a related deferred tax asset of $15.0 million and $15.2 million, respectively. A valuation allowance of $14.9 million and $15.1 million was recorded against this deferred tax asset at March 31, 2021 and December 31, 2020, respectively, as it is more likely than not that a portion of this deferred tax asset will not be realized. As a result of the Acquisition of KCG, the Company had non-U.S. net operating losses at March 31, 2021 and December 31, 2020 of $239.0 million and $239.0 million, respectively, and recorded a related deferred tax asset of $45.0 million and $44.9 million, respectively. A full valuation allowance was also recorded against this deferred tax asset at March 31, 2021 and December 31, 2020 as it is more likely than not that this deferred tax asset will not be realized.</w:t>
      </w:r>
    </w:p>
    <w:p>
      <w:pPr>
        <w:spacing w:after="0" w:line="209" w:lineRule="exact"/>
        <w:rPr>
          <w:sz w:val="20"/>
          <w:szCs w:val="20"/>
          <w:color w:val="auto"/>
        </w:rPr>
      </w:pPr>
    </w:p>
    <w:p>
      <w:pPr>
        <w:ind w:right="80" w:firstLine="629"/>
        <w:spacing w:after="0" w:line="289" w:lineRule="auto"/>
        <w:rPr>
          <w:sz w:val="20"/>
          <w:szCs w:val="20"/>
          <w:color w:val="auto"/>
        </w:rPr>
      </w:pPr>
      <w:r>
        <w:rPr>
          <w:rFonts w:ascii="Arial" w:cs="Arial" w:eastAsia="Arial" w:hAnsi="Arial"/>
          <w:sz w:val="17"/>
          <w:szCs w:val="17"/>
          <w:color w:val="auto"/>
        </w:rPr>
        <w:t>No valuation allowance against the remaining deferred taxes was recorded as of March 31, 2021 and December 31, 2020 because it is more likely than not that these deferred tax assets will be fully realized.</w:t>
      </w:r>
    </w:p>
    <w:p>
      <w:pPr>
        <w:spacing w:after="0" w:line="184"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The Company is subject to taxation in U.S. federal, state, local and foreign jurisdictions. As of March 31, 2021, the Company’s tax years for 2015 through 2019 and 2017 through 2019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2019.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77" w:lineRule="exact"/>
        <w:rPr>
          <w:sz w:val="20"/>
          <w:szCs w:val="20"/>
          <w:color w:val="auto"/>
        </w:rPr>
      </w:pPr>
    </w:p>
    <w:p>
      <w:pPr>
        <w:ind w:right="300" w:firstLine="629"/>
        <w:spacing w:after="0" w:line="297" w:lineRule="auto"/>
        <w:rPr>
          <w:sz w:val="20"/>
          <w:szCs w:val="20"/>
          <w:color w:val="auto"/>
        </w:rPr>
      </w:pPr>
      <w:r>
        <w:rPr>
          <w:rFonts w:ascii="Arial" w:cs="Arial" w:eastAsia="Arial" w:hAnsi="Arial"/>
          <w:sz w:val="16"/>
          <w:szCs w:val="16"/>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81"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color w:val="auto"/>
        </w:rPr>
        <w:t>The Company had $7.0 million of unrecognized tax benefits as of March 31, 2021, all of which would affect the Company’s effective tax rate if recognized. The Company has determined that there are no uncertain tax positions that would have a material impact on the Company’s financial position as of March 31,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Contingencies and Guarantees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ind w:firstLine="629"/>
        <w:spacing w:after="0" w:line="277" w:lineRule="auto"/>
        <w:rPr>
          <w:sz w:val="20"/>
          <w:szCs w:val="20"/>
          <w:color w:val="auto"/>
        </w:rPr>
      </w:pPr>
      <w:r>
        <w:rPr>
          <w:rFonts w:ascii="Arial" w:cs="Arial" w:eastAsia="Arial" w:hAnsi="Arial"/>
          <w:sz w:val="16"/>
          <w:szCs w:val="16"/>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2"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 xml:space="preserve">On January 29, 2019, the Company was named as a defendant in </w:t>
      </w:r>
      <w:r>
        <w:rPr>
          <w:rFonts w:ascii="Arial" w:cs="Arial" w:eastAsia="Arial" w:hAnsi="Arial"/>
          <w:sz w:val="16"/>
          <w:szCs w:val="16"/>
          <w:i w:val="1"/>
          <w:iCs w:val="1"/>
          <w:color w:val="auto"/>
        </w:rPr>
        <w:t>Ford v. ProShares Trust II, et al.</w:t>
      </w:r>
      <w:r>
        <w:rPr>
          <w:rFonts w:ascii="Arial" w:cs="Arial" w:eastAsia="Arial" w:hAnsi="Arial"/>
          <w:sz w:val="16"/>
          <w:szCs w:val="16"/>
          <w:color w:val="auto"/>
        </w:rPr>
        <w:t xml:space="preserve">, No. 19-cv-886. The complaint was filed in federal district court in New York on behalf of a putative class, and asserts claims against the Company and numerous other financial institutions under Section 11 of the Securities Act of 1933 in connection with a ProShares inverse-volatility ETF. Additionally, on February 27, 2019, and March 1, 2019, the Company was named as a defendant in </w:t>
      </w:r>
      <w:r>
        <w:rPr>
          <w:rFonts w:ascii="Arial" w:cs="Arial" w:eastAsia="Arial" w:hAnsi="Arial"/>
          <w:sz w:val="16"/>
          <w:szCs w:val="16"/>
          <w:i w:val="1"/>
          <w:iCs w:val="1"/>
          <w:color w:val="auto"/>
        </w:rPr>
        <w:t>Bittner v. ProShares Trust II, et al.</w:t>
      </w:r>
      <w:r>
        <w:rPr>
          <w:rFonts w:ascii="Arial" w:cs="Arial" w:eastAsia="Arial" w:hAnsi="Arial"/>
          <w:sz w:val="16"/>
          <w:szCs w:val="16"/>
          <w:color w:val="auto"/>
        </w:rPr>
        <w:t xml:space="preserve">, No. 19-cv-1840, and </w:t>
      </w:r>
      <w:r>
        <w:rPr>
          <w:rFonts w:ascii="Arial" w:cs="Arial" w:eastAsia="Arial" w:hAnsi="Arial"/>
          <w:sz w:val="16"/>
          <w:szCs w:val="16"/>
          <w:i w:val="1"/>
          <w:iCs w:val="1"/>
          <w:color w:val="auto"/>
        </w:rPr>
        <w:t>Mareno v. ProShares Trust II, et al</w:t>
      </w:r>
      <w:r>
        <w:rPr>
          <w:rFonts w:ascii="Arial" w:cs="Arial" w:eastAsia="Arial" w:hAnsi="Arial"/>
          <w:sz w:val="16"/>
          <w:szCs w:val="16"/>
          <w:color w:val="auto"/>
        </w:rPr>
        <w:t xml:space="preserve">., No. 19-cv-1955, respectively. The complaints were filed in federal district court in New York on behalf of putative classes, and asserted substantially similar claims against the Company and other financial institutions. On April 29, 2019, these three actions were consolidated in federal district court in New York as </w:t>
      </w:r>
      <w:r>
        <w:rPr>
          <w:rFonts w:ascii="Arial" w:cs="Arial" w:eastAsia="Arial" w:hAnsi="Arial"/>
          <w:sz w:val="16"/>
          <w:szCs w:val="16"/>
          <w:i w:val="1"/>
          <w:iCs w:val="1"/>
          <w:color w:val="auto"/>
        </w:rPr>
        <w:t>In re ProShares Trust II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Litigation</w:t>
      </w:r>
      <w:r>
        <w:rPr>
          <w:rFonts w:ascii="Arial" w:cs="Arial" w:eastAsia="Arial" w:hAnsi="Arial"/>
          <w:sz w:val="16"/>
          <w:szCs w:val="16"/>
          <w:color w:val="auto"/>
        </w:rPr>
        <w:t>, No. 19-cv-886-DLC. A consolidated amended complaint, which did not specify the amount of alleged damages, was filed in the consolidated action</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21, 2019. Defendants moved to dismiss the consolidated amended complaint on August 2, 2019. In response, plaintiffs filed a consolidated second amended complaint on September 6, 2019, which also did not specify the amount of alleged damages. Defendants moved to dismiss the consolidated second amended complaint on September 27, 2019. The defendants’ motion to dismiss was granted on January 3, 2020, and plaintiffs subsequently filed a Notice of Appeal of the district court's ruling on the motion to dismiss on January 31, 2020 and an opening brief on May 14, 2020. The defendants' response brief was filed August 13, 2020 and the plaintiffs' reply was filed September 17, 2020. The dismissal was affirmed by the United States Court of Appeals for the Second Circuit in March 2021. The Company believes that the claims are without merit and is defending itself vigorously.</w:t>
      </w:r>
    </w:p>
    <w:p>
      <w:pPr>
        <w:spacing w:after="0" w:line="200"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color w:val="auto"/>
        </w:rPr>
        <w:t xml:space="preserve">On November 30, 2020, the Company was named as a defendant in </w:t>
      </w:r>
      <w:r>
        <w:rPr>
          <w:rFonts w:ascii="Arial" w:cs="Arial" w:eastAsia="Arial" w:hAnsi="Arial"/>
          <w:sz w:val="17"/>
          <w:szCs w:val="17"/>
          <w:i w:val="1"/>
          <w:iCs w:val="1"/>
          <w:color w:val="auto"/>
        </w:rPr>
        <w:t>In re United States Oil Fund, LP Securities Litigation</w:t>
      </w:r>
      <w:r>
        <w:rPr>
          <w:rFonts w:ascii="Arial" w:cs="Arial" w:eastAsia="Arial" w:hAnsi="Arial"/>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its opposition to the motion on March 30, 2021. The Company believes that the claims are without merit and is defending itself vigorously.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Legal and Regulatory Matters</w:t>
      </w:r>
    </w:p>
    <w:p>
      <w:pPr>
        <w:spacing w:after="0" w:line="250" w:lineRule="exact"/>
        <w:rPr>
          <w:sz w:val="20"/>
          <w:szCs w:val="20"/>
          <w:color w:val="auto"/>
        </w:rPr>
      </w:pPr>
    </w:p>
    <w:p>
      <w:pPr>
        <w:ind w:right="40" w:firstLine="629"/>
        <w:spacing w:after="0" w:line="276" w:lineRule="auto"/>
        <w:rPr>
          <w:sz w:val="20"/>
          <w:szCs w:val="20"/>
          <w:color w:val="auto"/>
        </w:rPr>
      </w:pPr>
      <w:r>
        <w:rPr>
          <w:rFonts w:ascii="Arial" w:cs="Arial" w:eastAsia="Arial" w:hAnsi="Arial"/>
          <w:sz w:val="16"/>
          <w:szCs w:val="16"/>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an increased focus by Congress, federal and state regulators, SROs and the media on market structure issues, and in particular, the retail trading environment in the U.S. and relationships between retail broker-dealers and market making firms, high frequency trading, best execution, internalization, alternative trading system (“ATS”) manner of operations, market fragmentation and complexity, colocation, cybersecurity, access to market data feeds and remuneration arrangements, such as payment for order flow and other payment and rebate structures and arrangements.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6"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Representations and Warranties; Indemnification Arrangements</w:t>
      </w:r>
    </w:p>
    <w:p>
      <w:pPr>
        <w:spacing w:after="0" w:line="250"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 owned by Knight Capital Group, Inc., to an investor group now known as Finance of America Reverse, LLC (“FAR”). Pursuant to the terms of the Stock Purchase Agreement between KCG and FAR, Virtu has certain continuing obligations related to KCG's prior ownership of Urban and has been and, in the future may be, advised by FAR of potential claims thereunder.</w:t>
      </w:r>
    </w:p>
    <w:p>
      <w:pPr>
        <w:spacing w:after="0" w:line="209"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256" w:lineRule="exact"/>
        <w:rPr>
          <w:sz w:val="20"/>
          <w:szCs w:val="20"/>
          <w:color w:val="auto"/>
        </w:rPr>
      </w:pPr>
    </w:p>
    <w:p>
      <w:pPr>
        <w:jc w:val="both"/>
        <w:ind w:right="200" w:firstLine="629"/>
        <w:spacing w:after="0" w:line="273" w:lineRule="auto"/>
        <w:rPr>
          <w:sz w:val="20"/>
          <w:szCs w:val="20"/>
          <w:color w:val="auto"/>
        </w:rPr>
      </w:pPr>
      <w:r>
        <w:rPr>
          <w:rFonts w:ascii="Arial" w:cs="Arial" w:eastAsia="Arial" w:hAnsi="Arial"/>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2020 Annual Report on Form 10-K.</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Lease assets and liabilities are summarized as follows: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400" w:type="dxa"/>
            <w:vAlign w:val="bottom"/>
            <w:gridSpan w:val="2"/>
          </w:tcPr>
          <w:p>
            <w:pPr>
              <w:ind w:left="1260"/>
              <w:spacing w:after="0"/>
              <w:rPr>
                <w:sz w:val="20"/>
                <w:szCs w:val="20"/>
                <w:color w:val="auto"/>
              </w:rPr>
            </w:pPr>
            <w:r>
              <w:rPr>
                <w:rFonts w:ascii="Arial" w:cs="Arial" w:eastAsia="Arial" w:hAnsi="Arial"/>
                <w:sz w:val="14"/>
                <w:szCs w:val="14"/>
                <w:b w:val="1"/>
                <w:bCs w:val="1"/>
                <w:color w:val="auto"/>
              </w:rPr>
              <w:t>Financial Statement Location</w:t>
            </w: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Arial" w:cs="Arial" w:eastAsia="Arial" w:hAnsi="Arial"/>
                <w:sz w:val="14"/>
                <w:szCs w:val="14"/>
                <w:b w:val="1"/>
                <w:bCs w:val="1"/>
                <w:color w:val="auto"/>
                <w:w w:val="99"/>
              </w:rPr>
              <w:t>December 31, 2020</w:t>
            </w:r>
          </w:p>
        </w:tc>
      </w:tr>
      <w:tr>
        <w:trPr>
          <w:trHeight w:val="182"/>
        </w:trPr>
        <w:tc>
          <w:tcPr>
            <w:tcW w:w="2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Operating leases</w:t>
            </w:r>
          </w:p>
        </w:tc>
        <w:tc>
          <w:tcPr>
            <w:tcW w:w="120" w:type="dxa"/>
            <w:vAlign w:val="bottom"/>
            <w:tcBorders>
              <w:top w:val="single" w:sz="8" w:color="CCEEFF"/>
            </w:tcBorders>
            <w:shd w:val="clear" w:color="auto" w:fill="CCEEFF"/>
          </w:tcPr>
          <w:p>
            <w:pPr>
              <w:spacing w:after="0"/>
              <w:rPr>
                <w:sz w:val="15"/>
                <w:szCs w:val="15"/>
                <w:color w:val="auto"/>
              </w:rPr>
            </w:pPr>
          </w:p>
        </w:tc>
        <w:tc>
          <w:tcPr>
            <w:tcW w:w="42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spacing w:after="0"/>
              <w:rPr>
                <w:sz w:val="15"/>
                <w:szCs w:val="15"/>
                <w:color w:val="auto"/>
              </w:rPr>
            </w:pPr>
          </w:p>
        </w:tc>
      </w:tr>
      <w:tr>
        <w:trPr>
          <w:trHeight w:val="181"/>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Operating lease right-of-use assets</w:t>
            </w:r>
          </w:p>
        </w:tc>
        <w:tc>
          <w:tcPr>
            <w:tcW w:w="440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252,027</w:t>
            </w:r>
          </w:p>
        </w:tc>
        <w:tc>
          <w:tcPr>
            <w:tcW w:w="10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268,864</w:t>
            </w:r>
          </w:p>
        </w:tc>
      </w:tr>
      <w:tr>
        <w:trPr>
          <w:trHeight w:val="186"/>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 liabilities</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298,890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315,340</w:t>
            </w:r>
          </w:p>
        </w:tc>
      </w:tr>
      <w:tr>
        <w:trPr>
          <w:trHeight w:val="262"/>
        </w:trPr>
        <w:tc>
          <w:tcPr>
            <w:tcW w:w="2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183"/>
        </w:trPr>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leases</w:t>
            </w:r>
          </w:p>
        </w:tc>
        <w:tc>
          <w:tcPr>
            <w:tcW w:w="4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181"/>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Property and equipment, at cost</w:t>
            </w:r>
          </w:p>
        </w:tc>
        <w:tc>
          <w:tcPr>
            <w:tcW w:w="4400" w:type="dxa"/>
            <w:vAlign w:val="bottom"/>
            <w:gridSpan w:val="2"/>
          </w:tcPr>
          <w:p>
            <w:pPr>
              <w:spacing w:after="0"/>
              <w:rPr>
                <w:sz w:val="20"/>
                <w:szCs w:val="20"/>
                <w:color w:val="auto"/>
              </w:rPr>
            </w:pPr>
            <w:r>
              <w:rPr>
                <w:rFonts w:ascii="Arial" w:cs="Arial" w:eastAsia="Arial" w:hAnsi="Arial"/>
                <w:sz w:val="14"/>
                <w:szCs w:val="14"/>
                <w:color w:val="auto"/>
              </w:rPr>
              <w:t>Property, equipment, and capitalized software, net</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36,093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36,093</w:t>
            </w:r>
          </w:p>
        </w:tc>
      </w:tr>
      <w:tr>
        <w:trPr>
          <w:trHeight w:val="186"/>
        </w:trPr>
        <w:tc>
          <w:tcPr>
            <w:tcW w:w="28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Accumulated depreciation</w:t>
            </w:r>
          </w:p>
        </w:tc>
        <w:tc>
          <w:tcPr>
            <w:tcW w:w="4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Property, equipment, and capitalized software, net</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(24,585)</w:t>
            </w:r>
          </w:p>
        </w:tc>
      </w:tr>
      <w:tr>
        <w:trPr>
          <w:trHeight w:val="178"/>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Finance lease liabilities</w:t>
            </w:r>
          </w:p>
        </w:tc>
        <w:tc>
          <w:tcPr>
            <w:tcW w:w="4400" w:type="dxa"/>
            <w:vAlign w:val="bottom"/>
            <w:gridSpan w:val="2"/>
          </w:tcPr>
          <w:p>
            <w:pPr>
              <w:spacing w:after="0"/>
              <w:rPr>
                <w:sz w:val="20"/>
                <w:szCs w:val="20"/>
                <w:color w:val="auto"/>
              </w:rPr>
            </w:pPr>
            <w:r>
              <w:rPr>
                <w:rFonts w:ascii="Arial" w:cs="Arial" w:eastAsia="Arial" w:hAnsi="Arial"/>
                <w:sz w:val="14"/>
                <w:szCs w:val="14"/>
                <w:color w:val="auto"/>
              </w:rPr>
              <w:t>Accounts payable, accrued expenses, and other liabilities</w:t>
            </w:r>
          </w:p>
        </w:tc>
        <w:tc>
          <w:tcPr>
            <w:tcW w:w="2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9,524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11,687</w:t>
            </w:r>
          </w:p>
        </w:tc>
      </w:tr>
    </w:tbl>
    <w:p>
      <w:pPr>
        <w:spacing w:after="0" w:line="32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Weighted average remaining lease term and discount rate are as follows:</w:t>
      </w:r>
    </w:p>
    <w:p>
      <w:pPr>
        <w:spacing w:after="0" w:line="279"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43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2"/>
              </w:rPr>
              <w:t>March 31, 2021</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r>
      <w:tr>
        <w:trPr>
          <w:trHeight w:val="181"/>
        </w:trPr>
        <w:tc>
          <w:tcPr>
            <w:tcW w:w="5760" w:type="dxa"/>
            <w:vAlign w:val="bottom"/>
            <w:gridSpan w:val="2"/>
          </w:tcPr>
          <w:p>
            <w:pPr>
              <w:ind w:left="120"/>
              <w:spacing w:after="0"/>
              <w:rPr>
                <w:sz w:val="20"/>
                <w:szCs w:val="20"/>
                <w:color w:val="auto"/>
              </w:rPr>
            </w:pPr>
            <w:r>
              <w:rPr>
                <w:rFonts w:ascii="Arial" w:cs="Arial" w:eastAsia="Arial" w:hAnsi="Arial"/>
                <w:sz w:val="14"/>
                <w:szCs w:val="14"/>
                <w:color w:val="auto"/>
              </w:rPr>
              <w:t>Operating leases</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83"/>
              </w:rPr>
              <w:t>6.8 years</w:t>
            </w:r>
          </w:p>
        </w:tc>
        <w:tc>
          <w:tcPr>
            <w:tcW w:w="2000" w:type="dxa"/>
            <w:vAlign w:val="bottom"/>
          </w:tcPr>
          <w:p>
            <w:pPr>
              <w:jc w:val="right"/>
              <w:spacing w:after="0"/>
              <w:rPr>
                <w:sz w:val="20"/>
                <w:szCs w:val="20"/>
                <w:color w:val="auto"/>
              </w:rPr>
            </w:pPr>
            <w:r>
              <w:rPr>
                <w:rFonts w:ascii="Arial" w:cs="Arial" w:eastAsia="Arial" w:hAnsi="Arial"/>
                <w:sz w:val="14"/>
                <w:szCs w:val="14"/>
                <w:color w:val="auto"/>
              </w:rPr>
              <w:t>6.9 years</w:t>
            </w:r>
          </w:p>
        </w:tc>
      </w:tr>
      <w:tr>
        <w:trPr>
          <w:trHeight w:val="186"/>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Finance leases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3"/>
              </w:rPr>
              <w:t>1.9 years</w:t>
            </w: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years</w:t>
            </w:r>
          </w:p>
        </w:tc>
      </w:tr>
      <w:tr>
        <w:trPr>
          <w:trHeight w:val="181"/>
        </w:trPr>
        <w:tc>
          <w:tcPr>
            <w:tcW w:w="576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6"/>
        </w:trPr>
        <w:tc>
          <w:tcPr>
            <w:tcW w:w="5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Operating leases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5.67 %</w:t>
            </w: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5.67 %</w:t>
            </w:r>
          </w:p>
        </w:tc>
      </w:tr>
      <w:tr>
        <w:trPr>
          <w:trHeight w:val="178"/>
        </w:trPr>
        <w:tc>
          <w:tcPr>
            <w:tcW w:w="5760" w:type="dxa"/>
            <w:vAlign w:val="bottom"/>
            <w:gridSpan w:val="2"/>
          </w:tcPr>
          <w:p>
            <w:pPr>
              <w:ind w:left="120"/>
              <w:spacing w:after="0"/>
              <w:rPr>
                <w:sz w:val="20"/>
                <w:szCs w:val="20"/>
                <w:color w:val="auto"/>
              </w:rPr>
            </w:pPr>
            <w:r>
              <w:rPr>
                <w:rFonts w:ascii="Arial" w:cs="Arial" w:eastAsia="Arial" w:hAnsi="Arial"/>
                <w:sz w:val="14"/>
                <w:szCs w:val="14"/>
                <w:color w:val="auto"/>
              </w:rPr>
              <w:t>Finance leases</w:t>
            </w:r>
          </w:p>
        </w:tc>
        <w:tc>
          <w:tcPr>
            <w:tcW w:w="520" w:type="dxa"/>
            <w:vAlign w:val="bottom"/>
          </w:tcPr>
          <w:p>
            <w:pPr>
              <w:jc w:val="right"/>
              <w:spacing w:after="0"/>
              <w:rPr>
                <w:sz w:val="20"/>
                <w:szCs w:val="20"/>
                <w:color w:val="auto"/>
              </w:rPr>
            </w:pPr>
            <w:r>
              <w:rPr>
                <w:rFonts w:ascii="Arial" w:cs="Arial" w:eastAsia="Arial" w:hAnsi="Arial"/>
                <w:sz w:val="14"/>
                <w:szCs w:val="14"/>
                <w:color w:val="auto"/>
              </w:rPr>
              <w:t>2.62 %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Arial" w:cs="Arial" w:eastAsia="Arial" w:hAnsi="Arial"/>
                <w:sz w:val="14"/>
                <w:szCs w:val="14"/>
                <w:color w:val="auto"/>
              </w:rPr>
              <w:t>3.13 %</w:t>
            </w:r>
          </w:p>
        </w:tc>
      </w:tr>
    </w:tbl>
    <w:p>
      <w:pPr>
        <w:spacing w:after="0" w:line="30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components of lease expense are as follows:</w:t>
      </w:r>
    </w:p>
    <w:p>
      <w:pPr>
        <w:spacing w:after="0" w:line="43" w:lineRule="exact"/>
        <w:rPr>
          <w:sz w:val="20"/>
          <w:szCs w:val="20"/>
          <w:color w:val="auto"/>
        </w:rPr>
      </w:pPr>
    </w:p>
    <w:tbl>
      <w:tblPr>
        <w:tblLayout w:type="fixed"/>
        <w:tblInd w:w="190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Arial" w:cs="Arial" w:eastAsia="Arial" w:hAnsi="Arial"/>
                <w:sz w:val="14"/>
                <w:szCs w:val="14"/>
                <w:b w:val="1"/>
                <w:bCs w:val="1"/>
                <w:color w:val="auto"/>
              </w:rPr>
              <w:t>2020</w:t>
            </w:r>
          </w:p>
        </w:tc>
      </w:tr>
      <w:tr>
        <w:trPr>
          <w:trHeight w:val="177"/>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81"/>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Fixed</w:t>
            </w: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19,101</w:t>
            </w:r>
          </w:p>
        </w:tc>
        <w:tc>
          <w:tcPr>
            <w:tcW w:w="120" w:type="dxa"/>
            <w:vAlign w:val="bottom"/>
          </w:tcPr>
          <w:p>
            <w:pPr>
              <w:spacing w:after="0"/>
              <w:rPr>
                <w:sz w:val="15"/>
                <w:szCs w:val="15"/>
                <w:color w:val="auto"/>
              </w:rPr>
            </w:pPr>
          </w:p>
        </w:tc>
        <w:tc>
          <w:tcPr>
            <w:tcW w:w="400" w:type="dxa"/>
            <w:vAlign w:val="bottom"/>
          </w:tcPr>
          <w:p>
            <w:pPr>
              <w:jc w:val="right"/>
              <w:ind w:right="25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18,360</w:t>
            </w:r>
          </w:p>
        </w:tc>
      </w:tr>
      <w:tr>
        <w:trPr>
          <w:trHeight w:val="186"/>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2,135</w:t>
            </w:r>
          </w:p>
        </w:tc>
      </w:tr>
      <w:tr>
        <w:trPr>
          <w:trHeight w:val="181"/>
        </w:trPr>
        <w:tc>
          <w:tcPr>
            <w:tcW w:w="39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Impairment of ROU Asset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1,198</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r>
      <w:tr>
        <w:trPr>
          <w:trHeight w:val="204"/>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cost</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21,744</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20,495</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4,443</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3,477</w:t>
            </w:r>
          </w:p>
        </w:tc>
      </w:t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8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181"/>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Amortization of ROU Asset</w:t>
            </w:r>
          </w:p>
        </w:tc>
        <w:tc>
          <w:tcPr>
            <w:tcW w:w="4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2,133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3,187</w:t>
            </w:r>
          </w:p>
        </w:tc>
      </w:tr>
      <w:tr>
        <w:trPr>
          <w:trHeight w:val="183"/>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on lease liabilities</w:t>
            </w: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129</w:t>
            </w:r>
          </w:p>
        </w:tc>
      </w:tr>
      <w:tr>
        <w:trPr>
          <w:trHeight w:val="179"/>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Total Finance lease cost</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3,316</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minimum lease payments under operating and finance leases with non-cancelable lease terms, as of March 31, 2021, are as follows:</w:t>
      </w:r>
    </w:p>
    <w:p>
      <w:pPr>
        <w:spacing w:after="0" w:line="279" w:lineRule="exact"/>
        <w:rPr>
          <w:sz w:val="20"/>
          <w:szCs w:val="20"/>
          <w:color w:val="auto"/>
        </w:rPr>
      </w:pPr>
    </w:p>
    <w:tbl>
      <w:tblPr>
        <w:tblLayout w:type="fixed"/>
        <w:tblInd w:w="2580" w:type="dxa"/>
        <w:tblCellMar>
          <w:top w:w="0" w:type="dxa"/>
          <w:left w:w="0" w:type="dxa"/>
          <w:bottom w:w="0" w:type="dxa"/>
          <w:right w:w="0" w:type="dxa"/>
        </w:tblCellMar>
      </w:tblPr>
      <w:tr>
        <w:trPr>
          <w:trHeight w:val="188"/>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Arial" w:cs="Arial" w:eastAsia="Arial" w:hAnsi="Arial"/>
                <w:sz w:val="14"/>
                <w:szCs w:val="14"/>
                <w:b w:val="1"/>
                <w:bCs w:val="1"/>
                <w:color w:val="auto"/>
                <w:w w:val="97"/>
              </w:rPr>
              <w:t>Finance Leases</w:t>
            </w:r>
          </w:p>
        </w:tc>
      </w:tr>
      <w:tr>
        <w:trPr>
          <w:trHeight w:val="179"/>
        </w:trPr>
        <w:tc>
          <w:tcPr>
            <w:tcW w:w="2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60,211</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4,443</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4,035</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65,145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1,438</w:t>
            </w:r>
          </w:p>
        </w:tc>
      </w:tr>
      <w:tr>
        <w:trPr>
          <w:trHeight w:val="18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2400" w:type="dxa"/>
            <w:vAlign w:val="bottom"/>
          </w:tcPr>
          <w:p>
            <w:pPr>
              <w:ind w:left="20"/>
              <w:spacing w:after="0"/>
              <w:rPr>
                <w:sz w:val="20"/>
                <w:szCs w:val="20"/>
                <w:color w:val="auto"/>
              </w:rPr>
            </w:pPr>
            <w:r>
              <w:rPr>
                <w:rFonts w:ascii="Arial" w:cs="Arial" w:eastAsia="Arial" w:hAnsi="Arial"/>
                <w:sz w:val="14"/>
                <w:szCs w:val="14"/>
                <w:color w:val="auto"/>
              </w:rPr>
              <w:t>2025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27,786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 and thereafter</w:t>
            </w: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114,960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payments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372,244</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9,916</w:t>
            </w:r>
          </w:p>
        </w:tc>
      </w:tr>
      <w:tr>
        <w:trPr>
          <w:trHeight w:val="183"/>
        </w:trPr>
        <w:tc>
          <w:tcPr>
            <w:tcW w:w="25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Less imputed interest</w:t>
            </w:r>
          </w:p>
        </w:tc>
        <w:tc>
          <w:tcPr>
            <w:tcW w:w="24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(73,354)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179"/>
        </w:trPr>
        <w:tc>
          <w:tcPr>
            <w:tcW w:w="2520" w:type="dxa"/>
            <w:vAlign w:val="bottom"/>
            <w:gridSpan w:val="2"/>
          </w:tcPr>
          <w:p>
            <w:pPr>
              <w:ind w:left="140"/>
              <w:spacing w:after="0"/>
              <w:rPr>
                <w:sz w:val="20"/>
                <w:szCs w:val="20"/>
                <w:color w:val="auto"/>
              </w:rPr>
            </w:pPr>
            <w:r>
              <w:rPr>
                <w:rFonts w:ascii="Arial" w:cs="Arial" w:eastAsia="Arial" w:hAnsi="Arial"/>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298,890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9,524</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Cash</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a reconciliation of cash and cash equivalents together with restricted or segregated cash</w:t>
      </w:r>
    </w:p>
    <w:p>
      <w:pPr>
        <w:spacing w:after="0" w:line="26"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as reported within the Condensed Consolidated Statements of Financial Condition to the sum of the same such amounts shown in the Condensed Consolidated Statements of Cash Flows.</w:t>
      </w:r>
    </w:p>
    <w:p>
      <w:pPr>
        <w:spacing w:after="0" w:line="226"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61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Arial" w:cs="Arial" w:eastAsia="Arial" w:hAnsi="Arial"/>
                <w:sz w:val="14"/>
                <w:szCs w:val="14"/>
                <w:b w:val="1"/>
                <w:bCs w:val="1"/>
                <w:color w:val="auto"/>
                <w:w w:val="93"/>
              </w:rPr>
              <w:t>December 31, 2020</w:t>
            </w:r>
          </w:p>
        </w:tc>
      </w:tr>
      <w:tr>
        <w:trPr>
          <w:trHeight w:val="182"/>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899,041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889,559</w:t>
            </w:r>
          </w:p>
        </w:tc>
      </w:tr>
      <w:tr>
        <w:trPr>
          <w:trHeight w:val="181"/>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Cash restricted or segregated under regulations and other</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122,792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117,446</w:t>
            </w:r>
          </w:p>
        </w:tc>
      </w:tr>
      <w:tr>
        <w:trPr>
          <w:trHeight w:val="204"/>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1,021,833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1,007,005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Capital Structure</w:t>
      </w:r>
    </w:p>
    <w:p>
      <w:pPr>
        <w:spacing w:after="0" w:line="256"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82.0% of the combined voting power of our common stock as a result of its ownership of our Class C and Class D Common Stock. The Company holds approximately a 64.0% interest in Virtu Financial at March 31, 2021.</w:t>
      </w:r>
    </w:p>
    <w:p>
      <w:pPr>
        <w:spacing w:after="0" w:line="20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During the period prior to the Reorganization Transactions and IPO, Class A-2 profits interests and Class B interests in Virtu Financial were issued to Employee Holdco (as defined below) on behalf of certain key employees and stakeholders. In connection with the Reorganization Transactions, all Class A-2 profits interests and Class B interests were reclassified into Virtu Financial Units. As of March 31, 2021 and December 31, 2020, there were 5,167,956 and 5,259,713 Virtu Financial Units outstanding held by Employee Holdco (as defined below), respectively, and 91,757 and 724,327 of such Virtu Financial Units and corresponding Class C Common Stock were exchanged into Class A Common Stock, forfeited or repurchased during the three months ended March 31, 2021 and 2020,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2015 Management Incentive Plan</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The Amended and Restated 2015 Management Incentive Plan provides for the grant of stock options, restricted stock units, and other awards based on an aggregate of 21,000,000 shares of Class A Common Stock, subject to additional sublimits, including limits on the total option grant to any one participant in a single year and the total performance award to any one participant in a single year.</w:t>
      </w:r>
    </w:p>
    <w:p>
      <w:pPr>
        <w:spacing w:after="0" w:line="204" w:lineRule="exact"/>
        <w:rPr>
          <w:sz w:val="20"/>
          <w:szCs w:val="20"/>
          <w:color w:val="auto"/>
        </w:rPr>
      </w:pPr>
    </w:p>
    <w:p>
      <w:pPr>
        <w:ind w:right="20" w:firstLine="629"/>
        <w:spacing w:after="0" w:line="262" w:lineRule="auto"/>
        <w:rPr>
          <w:sz w:val="20"/>
          <w:szCs w:val="20"/>
          <w:color w:val="auto"/>
        </w:rPr>
      </w:pPr>
      <w:r>
        <w:rPr>
          <w:rFonts w:ascii="Arial" w:cs="Arial" w:eastAsia="Arial" w:hAnsi="Arial"/>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160" w:firstLine="629"/>
        <w:spacing w:after="0" w:line="280" w:lineRule="auto"/>
        <w:rPr>
          <w:sz w:val="20"/>
          <w:szCs w:val="20"/>
          <w:color w:val="auto"/>
        </w:rPr>
      </w:pPr>
      <w:r>
        <w:rPr>
          <w:rFonts w:ascii="Arial" w:cs="Arial" w:eastAsia="Arial" w:hAnsi="Arial"/>
          <w:sz w:val="16"/>
          <w:szCs w:val="16"/>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2021, the Company repurchased approximately 3.7 million shares of Class A Common Stock and Virtu Financial Units for approximately $97.3 million. As of March 31, 2021, the Company has approximately of $72.7 million remaining capacity for future purchases of shares of Class A Common Stock and Virtu Financial Units under the program.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Exchanges</w:t>
      </w:r>
    </w:p>
    <w:p>
      <w:pPr>
        <w:spacing w:after="0" w:line="250" w:lineRule="exact"/>
        <w:rPr>
          <w:sz w:val="20"/>
          <w:szCs w:val="20"/>
          <w:color w:val="auto"/>
        </w:rPr>
      </w:pPr>
    </w:p>
    <w:p>
      <w:pPr>
        <w:jc w:val="both"/>
        <w:ind w:firstLine="629"/>
        <w:spacing w:after="0" w:line="297" w:lineRule="auto"/>
        <w:rPr>
          <w:sz w:val="20"/>
          <w:szCs w:val="20"/>
          <w:color w:val="auto"/>
        </w:rPr>
      </w:pPr>
      <w:r>
        <w:rPr>
          <w:rFonts w:ascii="Arial" w:cs="Arial" w:eastAsia="Arial" w:hAnsi="Arial"/>
          <w:sz w:val="16"/>
          <w:szCs w:val="16"/>
          <w:color w:val="auto"/>
        </w:rPr>
        <w:t>During the three months ended March 31, 2021 and 2020, pursuant to the exchange agreement by and among the Company, Virtu Financial and holders of Virtu Financial Units, certain current and former employees elected to exchange 91,757 and 724,327 units, respectively in Virtu Financial held directly or on their behalf by Virtu Employee Holdco LLC (“Employee Holdco”) on a one-for-one basis for shares of Class A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Issuance</w:t>
      </w:r>
    </w:p>
    <w:p>
      <w:pPr>
        <w:spacing w:after="0" w:line="250" w:lineRule="exact"/>
        <w:rPr>
          <w:sz w:val="20"/>
          <w:szCs w:val="20"/>
          <w:color w:val="auto"/>
        </w:rPr>
      </w:pPr>
    </w:p>
    <w:p>
      <w:pPr>
        <w:ind w:right="20" w:firstLine="629"/>
        <w:spacing w:after="0" w:line="277" w:lineRule="auto"/>
        <w:rPr>
          <w:sz w:val="20"/>
          <w:szCs w:val="20"/>
          <w:color w:val="auto"/>
        </w:rPr>
      </w:pPr>
      <w:r>
        <w:rPr>
          <w:rFonts w:ascii="Arial" w:cs="Arial" w:eastAsia="Arial" w:hAnsi="Arial"/>
          <w:sz w:val="16"/>
          <w:szCs w:val="16"/>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8 "Borrowings"), and as a result no such increase in the number of shares which may be purchased has occurred or will occur pursuant to the terms of the Warrant. The exercise price per share of the Class A Common Stock issuable pursuant to the Warrant is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The Warrant may be exercised to purchase up to 3,000,000 shares of the Company's Class A Common Stock on any date after May 22, 2020 up to and including January 15, 2022. The Warrant and Class A Common Stock issuable pursuant to the Warrant were offered, and will be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0" w:lineRule="exact"/>
        <w:rPr>
          <w:sz w:val="20"/>
          <w:szCs w:val="20"/>
          <w:color w:val="auto"/>
        </w:rPr>
      </w:pPr>
    </w:p>
    <w:p>
      <w:pPr>
        <w:ind w:right="100" w:firstLine="629"/>
        <w:spacing w:after="0" w:line="265" w:lineRule="auto"/>
        <w:rPr>
          <w:sz w:val="20"/>
          <w:szCs w:val="20"/>
          <w:color w:val="auto"/>
        </w:rPr>
      </w:pPr>
      <w:r>
        <w:rPr>
          <w:rFonts w:ascii="Arial" w:cs="Arial" w:eastAsia="Arial" w:hAnsi="Arial"/>
          <w:sz w:val="17"/>
          <w:szCs w:val="17"/>
          <w:color w:val="auto"/>
        </w:rPr>
        <w:t>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changes in Other Comprehensive Income (Loss) for the three months ended March 31, 2021 and 2020:</w:t>
      </w:r>
    </w:p>
    <w:p>
      <w:pPr>
        <w:spacing w:after="0" w:line="25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 March 31, 2021</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94"/>
              </w:rPr>
              <w:t>Net change in unrealized cash flow hedges gains (losses) (1)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(33,444)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center"/>
              <w:ind w:left="810"/>
              <w:spacing w:after="0"/>
              <w:rPr>
                <w:sz w:val="20"/>
                <w:szCs w:val="20"/>
                <w:color w:val="auto"/>
              </w:rPr>
            </w:pPr>
            <w:r>
              <w:rPr>
                <w:rFonts w:ascii="Arial" w:cs="Arial" w:eastAsia="Arial" w:hAnsi="Arial"/>
                <w:sz w:val="14"/>
                <w:szCs w:val="14"/>
                <w:color w:val="auto"/>
                <w:w w:val="91"/>
              </w:rPr>
              <w:t>9,273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(20,837)</w:t>
            </w: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790"/>
              <w:spacing w:after="0"/>
              <w:rPr>
                <w:sz w:val="20"/>
                <w:szCs w:val="20"/>
                <w:color w:val="auto"/>
              </w:rPr>
            </w:pPr>
            <w:r>
              <w:rPr>
                <w:rFonts w:ascii="Arial" w:cs="Arial" w:eastAsia="Arial" w:hAnsi="Arial"/>
                <w:sz w:val="14"/>
                <w:szCs w:val="14"/>
                <w:color w:val="auto"/>
                <w:w w:val="94"/>
              </w:rPr>
              <w:t>(2,165)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center"/>
              <w:ind w:left="810"/>
              <w:spacing w:after="0"/>
              <w:rPr>
                <w:sz w:val="20"/>
                <w:szCs w:val="20"/>
                <w:color w:val="auto"/>
              </w:rPr>
            </w:pPr>
            <w:r>
              <w:rPr>
                <w:rFonts w:ascii="Arial" w:cs="Arial" w:eastAsia="Arial" w:hAnsi="Arial"/>
                <w:sz w:val="14"/>
                <w:szCs w:val="14"/>
                <w:color w:val="auto"/>
                <w:w w:val="91"/>
              </w:rPr>
              <w:t>7,108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(15,045)</w:t>
            </w:r>
          </w:p>
        </w:tc>
        <w:tc>
          <w:tcPr>
            <w:tcW w:w="0" w:type="dxa"/>
            <w:vAlign w:val="bottom"/>
          </w:tcPr>
          <w:p>
            <w:pPr>
              <w:spacing w:after="0"/>
              <w:rPr>
                <w:sz w:val="1"/>
                <w:szCs w:val="1"/>
                <w:color w:val="auto"/>
              </w:rPr>
            </w:pPr>
          </w:p>
        </w:tc>
      </w:tr>
    </w:tbl>
    <w:p>
      <w:pPr>
        <w:ind w:left="720" w:right="840" w:firstLine="9"/>
        <w:spacing w:after="0" w:line="225" w:lineRule="auto"/>
        <w:tabs>
          <w:tab w:leader="none" w:pos="893"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 As of March 31, 2021, the Company expects approximately $13.4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Three Months Ended March 31, 2020</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14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AOCI Beginning</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Amounts recorded</w:t>
            </w:r>
          </w:p>
        </w:tc>
        <w:tc>
          <w:tcPr>
            <w:tcW w:w="100" w:type="dxa"/>
            <w:vAlign w:val="bottom"/>
          </w:tcPr>
          <w:p>
            <w:pPr>
              <w:spacing w:after="0"/>
              <w:rPr>
                <w:sz w:val="11"/>
                <w:szCs w:val="11"/>
                <w:color w:val="auto"/>
              </w:rPr>
            </w:pPr>
          </w:p>
        </w:tc>
        <w:tc>
          <w:tcPr>
            <w:tcW w:w="14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Amounts reclassified</w:t>
            </w:r>
          </w:p>
        </w:tc>
        <w:tc>
          <w:tcPr>
            <w:tcW w:w="1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AOCI Ending Balance</w:t>
            </w:r>
          </w:p>
        </w:tc>
        <w:tc>
          <w:tcPr>
            <w:tcW w:w="0" w:type="dxa"/>
            <w:vAlign w:val="bottom"/>
          </w:tcPr>
          <w:p>
            <w:pPr>
              <w:spacing w:after="0"/>
              <w:rPr>
                <w:sz w:val="1"/>
                <w:szCs w:val="1"/>
                <w:color w:val="auto"/>
              </w:rPr>
            </w:pPr>
          </w:p>
        </w:tc>
      </w:tr>
      <w:tr>
        <w:trPr>
          <w:trHeight w:val="183"/>
        </w:trPr>
        <w:tc>
          <w:tcPr>
            <w:tcW w:w="3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from AOCI to income</w:t>
            </w:r>
          </w:p>
        </w:tc>
        <w:tc>
          <w:tcPr>
            <w:tcW w:w="1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change in unrealized cash flow hedges gains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(31,468)</w:t>
            </w:r>
          </w:p>
        </w:tc>
        <w:tc>
          <w:tcPr>
            <w:tcW w:w="0" w:type="dxa"/>
            <w:vAlign w:val="bottom"/>
          </w:tcPr>
          <w:p>
            <w:pPr>
              <w:spacing w:after="0"/>
              <w:rPr>
                <w:sz w:val="1"/>
                <w:szCs w:val="1"/>
                <w:color w:val="auto"/>
              </w:rPr>
            </w:pPr>
          </w:p>
        </w:tc>
      </w:tr>
      <w:tr>
        <w:trPr>
          <w:trHeight w:val="181"/>
        </w:trPr>
        <w:tc>
          <w:tcPr>
            <w:tcW w:w="3720" w:type="dxa"/>
            <w:vAlign w:val="bottom"/>
          </w:tcPr>
          <w:p>
            <w:pPr>
              <w:spacing w:after="0"/>
              <w:rPr>
                <w:sz w:val="20"/>
                <w:szCs w:val="20"/>
                <w:color w:val="auto"/>
              </w:rPr>
            </w:pPr>
            <w:r>
              <w:rPr>
                <w:rFonts w:ascii="Arial" w:cs="Arial" w:eastAsia="Arial" w:hAnsi="Arial"/>
                <w:sz w:val="14"/>
                <w:szCs w:val="14"/>
                <w:color w:val="auto"/>
              </w:rPr>
              <w:t>Foreign exchange translation adjustment</w:t>
            </w: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(5,884)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(6,531)</w:t>
            </w:r>
          </w:p>
        </w:tc>
        <w:tc>
          <w:tcPr>
            <w:tcW w:w="0" w:type="dxa"/>
            <w:vAlign w:val="bottom"/>
          </w:tcPr>
          <w:p>
            <w:pPr>
              <w:spacing w:after="0"/>
              <w:rPr>
                <w:sz w:val="1"/>
                <w:szCs w:val="1"/>
                <w:color w:val="auto"/>
              </w:rPr>
            </w:pPr>
          </w:p>
        </w:tc>
      </w:tr>
      <w:tr>
        <w:trPr>
          <w:trHeight w:val="185"/>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(37,999)</w:t>
            </w:r>
          </w:p>
        </w:tc>
        <w:tc>
          <w:tcPr>
            <w:tcW w:w="0" w:type="dxa"/>
            <w:vAlign w:val="bottom"/>
          </w:tcPr>
          <w:p>
            <w:pPr>
              <w:spacing w:after="0"/>
              <w:rPr>
                <w:sz w:val="1"/>
                <w:szCs w:val="1"/>
                <w:color w:val="auto"/>
              </w:rPr>
            </w:pPr>
          </w:p>
        </w:tc>
      </w:tr>
    </w:tbl>
    <w:p>
      <w:pPr>
        <w:ind w:left="900" w:hanging="171"/>
        <w:spacing w:after="0"/>
        <w:tabs>
          <w:tab w:leader="none" w:pos="90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Amounts reclassified from AOCI to income are included within Financing interest expense on long-term borrowings on the Consolidated Statements of Comprehensive Income.</w:t>
      </w:r>
    </w:p>
    <w:p>
      <w:pPr>
        <w:spacing w:after="0" w:line="200" w:lineRule="exact"/>
        <w:rPr>
          <w:rFonts w:ascii="Arial" w:cs="Arial" w:eastAsia="Arial" w:hAnsi="Arial"/>
          <w:sz w:val="12"/>
          <w:szCs w:val="12"/>
          <w:color w:val="auto"/>
        </w:rPr>
      </w:pPr>
    </w:p>
    <w:p>
      <w:pPr>
        <w:spacing w:after="0" w:line="233" w:lineRule="exact"/>
        <w:rPr>
          <w:rFonts w:ascii="Arial" w:cs="Arial" w:eastAsia="Arial" w:hAnsi="Arial"/>
          <w:sz w:val="12"/>
          <w:szCs w:val="12"/>
          <w:color w:val="auto"/>
        </w:rPr>
      </w:pPr>
    </w:p>
    <w:p>
      <w:pPr>
        <w:ind w:left="260" w:hanging="255"/>
        <w:spacing w:after="0"/>
        <w:tabs>
          <w:tab w:leader="none" w:pos="26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-477520</wp:posOffset>
            </wp:positionV>
            <wp:extent cx="387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36"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stock options for the three months ended March 31, 2021 and 2020:</w:t>
      </w: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w w:val="90"/>
              </w:rPr>
              <w:t>Options Outstanding</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3980" w:type="dxa"/>
            <w:vAlign w:val="bottom"/>
          </w:tcPr>
          <w:p>
            <w:pPr>
              <w:spacing w:after="0"/>
              <w:rPr>
                <w:sz w:val="11"/>
                <w:szCs w:val="11"/>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 Average</w:t>
            </w:r>
          </w:p>
        </w:tc>
        <w:tc>
          <w:tcPr>
            <w:tcW w:w="1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 Average</w:t>
            </w:r>
          </w:p>
        </w:tc>
        <w:tc>
          <w:tcPr>
            <w:tcW w:w="100" w:type="dxa"/>
            <w:vAlign w:val="bottom"/>
          </w:tcPr>
          <w:p>
            <w:pPr>
              <w:spacing w:after="0"/>
              <w:rPr>
                <w:sz w:val="11"/>
                <w:szCs w:val="11"/>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1"/>
                <w:szCs w:val="11"/>
                <w:color w:val="auto"/>
              </w:rPr>
            </w:pPr>
          </w:p>
        </w:tc>
        <w:tc>
          <w:tcPr>
            <w:tcW w:w="1380" w:type="dxa"/>
            <w:vAlign w:val="bottom"/>
          </w:tcPr>
          <w:p>
            <w:pPr>
              <w:jc w:val="center"/>
              <w:ind w:right="90"/>
              <w:spacing w:after="0" w:line="129"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31"/>
        </w:trPr>
        <w:tc>
          <w:tcPr>
            <w:tcW w:w="398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Remaining Contractual</w:t>
            </w: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183"/>
        </w:trPr>
        <w:tc>
          <w:tcPr>
            <w:tcW w:w="3980" w:type="dxa"/>
            <w:vAlign w:val="bottom"/>
          </w:tcPr>
          <w:p>
            <w:pPr>
              <w:spacing w:after="0"/>
              <w:rPr>
                <w:sz w:val="15"/>
                <w:szCs w:val="15"/>
                <w:color w:val="auto"/>
              </w:rPr>
            </w:pPr>
          </w:p>
        </w:tc>
        <w:tc>
          <w:tcPr>
            <w:tcW w:w="1100" w:type="dxa"/>
            <w:vAlign w:val="bottom"/>
          </w:tcPr>
          <w:p>
            <w:pPr>
              <w:jc w:val="right"/>
              <w:ind w:right="23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Exercise Price Per Share</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5"/>
                <w:szCs w:val="15"/>
                <w:color w:val="auto"/>
              </w:rPr>
            </w:pPr>
          </w:p>
        </w:tc>
        <w:tc>
          <w:tcPr>
            <w:tcW w:w="1380" w:type="dxa"/>
            <w:vAlign w:val="bottom"/>
          </w:tcPr>
          <w:p>
            <w:pPr>
              <w:jc w:val="center"/>
              <w:ind w:right="9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5.24</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3,233,779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March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3,020,650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4.99</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3,020,650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2020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center"/>
              <w:ind w:left="1170"/>
              <w:spacing w:after="0"/>
              <w:rPr>
                <w:sz w:val="20"/>
                <w:szCs w:val="20"/>
                <w:color w:val="auto"/>
              </w:rPr>
            </w:pPr>
            <w:r>
              <w:rPr>
                <w:rFonts w:ascii="Arial" w:cs="Arial" w:eastAsia="Arial" w:hAnsi="Arial"/>
                <w:sz w:val="14"/>
                <w:szCs w:val="14"/>
                <w:color w:val="auto"/>
                <w:w w:val="87"/>
              </w:rPr>
              <w:t>4.24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2,324,152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(154,372)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left="1090"/>
              <w:spacing w:after="0"/>
              <w:rPr>
                <w:sz w:val="20"/>
                <w:szCs w:val="20"/>
                <w:color w:val="auto"/>
              </w:rPr>
            </w:pPr>
            <w:r>
              <w:rPr>
                <w:rFonts w:ascii="Arial" w:cs="Arial" w:eastAsia="Arial" w:hAnsi="Arial"/>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181"/>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March 31, 2021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2,169,780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19.00</w:t>
            </w:r>
          </w:p>
        </w:tc>
        <w:tc>
          <w:tcPr>
            <w:tcW w:w="1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4"/>
                <w:szCs w:val="14"/>
                <w:color w:val="auto"/>
                <w:w w:val="87"/>
              </w:rPr>
              <w:t>3.99</w:t>
            </w: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2,169,780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 The stock options to purchase shares of Class A Common Stock were fully vested in 2019.</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Investment Technology Group, Inc. 2007 Omnibus Equity Compensation Plan</w:t>
      </w:r>
    </w:p>
    <w:p>
      <w:pPr>
        <w:spacing w:after="0" w:line="250"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 Restricted Stock Units and Restricted Stock Awards</w:t>
      </w:r>
    </w:p>
    <w:p>
      <w:pPr>
        <w:spacing w:after="0" w:line="250" w:lineRule="exact"/>
        <w:rPr>
          <w:sz w:val="20"/>
          <w:szCs w:val="20"/>
          <w:color w:val="auto"/>
        </w:rPr>
      </w:pPr>
    </w:p>
    <w:p>
      <w:pPr>
        <w:ind w:right="60" w:firstLine="629"/>
        <w:spacing w:after="0" w:line="299" w:lineRule="auto"/>
        <w:rPr>
          <w:sz w:val="20"/>
          <w:szCs w:val="20"/>
          <w:color w:val="auto"/>
        </w:rPr>
      </w:pPr>
      <w:r>
        <w:rPr>
          <w:rFonts w:ascii="Arial" w:cs="Arial" w:eastAsia="Arial" w:hAnsi="Arial"/>
          <w:sz w:val="15"/>
          <w:szCs w:val="15"/>
          <w:color w:val="auto"/>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2021 and 2020, respectively, there were 633,938 and 852,599 shares of immediately vested Class A Common Stock granted as part of year-end compensation. In addition, the Company accrued compensation expense of $5.0 million and $17.1 million for the three months ended March 31, 2021 and 2020,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activity related to the RSUs (including the Assumed Awards) and RSAs: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Number of RSUs and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7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1"/>
        </w:trPr>
        <w:tc>
          <w:tcPr>
            <w:tcW w:w="858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90"/>
              <w:spacing w:after="0" w:line="131" w:lineRule="exact"/>
              <w:rPr>
                <w:sz w:val="20"/>
                <w:szCs w:val="20"/>
                <w:color w:val="auto"/>
              </w:rPr>
            </w:pPr>
            <w:r>
              <w:rPr>
                <w:rFonts w:ascii="Arial" w:cs="Arial" w:eastAsia="Arial" w:hAnsi="Arial"/>
                <w:sz w:val="14"/>
                <w:szCs w:val="14"/>
                <w:b w:val="1"/>
                <w:bCs w:val="1"/>
                <w:color w:val="auto"/>
                <w:w w:val="91"/>
              </w:rPr>
              <w:t>Average Fair</w:t>
            </w:r>
          </w:p>
        </w:tc>
        <w:tc>
          <w:tcPr>
            <w:tcW w:w="0" w:type="dxa"/>
            <w:vAlign w:val="bottom"/>
          </w:tcPr>
          <w:p>
            <w:pPr>
              <w:spacing w:after="0"/>
              <w:rPr>
                <w:sz w:val="1"/>
                <w:szCs w:val="1"/>
                <w:color w:val="auto"/>
              </w:rPr>
            </w:pPr>
          </w:p>
        </w:tc>
      </w:tr>
      <w:tr>
        <w:trPr>
          <w:trHeight w:val="183"/>
        </w:trPr>
        <w:tc>
          <w:tcPr>
            <w:tcW w:w="85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RSAs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7"/>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2019</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2,993,489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24.10</w:t>
            </w:r>
          </w:p>
        </w:tc>
        <w:tc>
          <w:tcPr>
            <w:tcW w:w="0" w:type="dxa"/>
            <w:vAlign w:val="bottom"/>
          </w:tcPr>
          <w:p>
            <w:pPr>
              <w:spacing w:after="0"/>
              <w:rPr>
                <w:sz w:val="1"/>
                <w:szCs w:val="1"/>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4"/>
                <w:szCs w:val="14"/>
                <w:color w:val="auto"/>
              </w:rPr>
              <w:t>Granted</w:t>
            </w:r>
          </w:p>
        </w:tc>
        <w:tc>
          <w:tcPr>
            <w:tcW w:w="1360" w:type="dxa"/>
            <w:vAlign w:val="bottom"/>
          </w:tcPr>
          <w:p>
            <w:pPr>
              <w:jc w:val="right"/>
              <w:spacing w:after="0"/>
              <w:rPr>
                <w:sz w:val="20"/>
                <w:szCs w:val="20"/>
                <w:color w:val="auto"/>
              </w:rPr>
            </w:pPr>
            <w:r>
              <w:rPr>
                <w:rFonts w:ascii="Arial" w:cs="Arial" w:eastAsia="Arial" w:hAnsi="Arial"/>
                <w:sz w:val="14"/>
                <w:szCs w:val="14"/>
                <w:color w:val="auto"/>
              </w:rPr>
              <w:t>3,034,621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18.44</w:t>
            </w:r>
          </w:p>
        </w:tc>
        <w:tc>
          <w:tcPr>
            <w:tcW w:w="0" w:type="dxa"/>
            <w:vAlign w:val="bottom"/>
          </w:tcPr>
          <w:p>
            <w:pPr>
              <w:spacing w:after="0"/>
              <w:rPr>
                <w:sz w:val="1"/>
                <w:szCs w:val="1"/>
                <w:color w:val="auto"/>
              </w:rPr>
            </w:pPr>
          </w:p>
        </w:tc>
      </w:tr>
      <w:tr>
        <w:trPr>
          <w:trHeight w:val="181"/>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(1,854,961)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204"/>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March 31, 2020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4,012,022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8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3,393,084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81"/>
        </w:trPr>
        <w:tc>
          <w:tcPr>
            <w:tcW w:w="8580" w:type="dxa"/>
            <w:vAlign w:val="bottom"/>
          </w:tcPr>
          <w:p>
            <w:pPr>
              <w:ind w:left="120"/>
              <w:spacing w:after="0"/>
              <w:rPr>
                <w:sz w:val="20"/>
                <w:szCs w:val="20"/>
                <w:color w:val="auto"/>
              </w:rPr>
            </w:pPr>
            <w:r>
              <w:rPr>
                <w:rFonts w:ascii="Arial" w:cs="Arial" w:eastAsia="Arial" w:hAnsi="Arial"/>
                <w:sz w:val="14"/>
                <w:szCs w:val="14"/>
                <w:color w:val="auto"/>
              </w:rPr>
              <w:t>Granted (1)</w:t>
            </w:r>
          </w:p>
        </w:tc>
        <w:tc>
          <w:tcPr>
            <w:tcW w:w="1360" w:type="dxa"/>
            <w:vAlign w:val="bottom"/>
          </w:tcPr>
          <w:p>
            <w:pPr>
              <w:jc w:val="right"/>
              <w:spacing w:after="0"/>
              <w:rPr>
                <w:sz w:val="20"/>
                <w:szCs w:val="20"/>
                <w:color w:val="auto"/>
              </w:rPr>
            </w:pPr>
            <w:r>
              <w:rPr>
                <w:rFonts w:ascii="Arial" w:cs="Arial" w:eastAsia="Arial" w:hAnsi="Arial"/>
                <w:sz w:val="14"/>
                <w:szCs w:val="14"/>
                <w:color w:val="auto"/>
              </w:rPr>
              <w:t>2,105,988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27.35</w:t>
            </w:r>
          </w:p>
        </w:tc>
        <w:tc>
          <w:tcPr>
            <w:tcW w:w="0" w:type="dxa"/>
            <w:vAlign w:val="bottom"/>
          </w:tcPr>
          <w:p>
            <w:pPr>
              <w:spacing w:after="0"/>
              <w:rPr>
                <w:sz w:val="1"/>
                <w:szCs w:val="1"/>
                <w:color w:val="auto"/>
              </w:rPr>
            </w:pPr>
          </w:p>
        </w:tc>
      </w:tr>
      <w:tr>
        <w:trPr>
          <w:trHeight w:val="186"/>
        </w:trPr>
        <w:tc>
          <w:tcPr>
            <w:tcW w:w="8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Forfeited</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23.38</w:t>
            </w:r>
          </w:p>
        </w:tc>
        <w:tc>
          <w:tcPr>
            <w:tcW w:w="0" w:type="dxa"/>
            <w:vAlign w:val="bottom"/>
          </w:tcPr>
          <w:p>
            <w:pPr>
              <w:spacing w:after="0"/>
              <w:rPr>
                <w:sz w:val="1"/>
                <w:szCs w:val="1"/>
                <w:color w:val="auto"/>
              </w:rPr>
            </w:pPr>
          </w:p>
        </w:tc>
      </w:tr>
      <w:tr>
        <w:trPr>
          <w:trHeight w:val="181"/>
        </w:trPr>
        <w:tc>
          <w:tcPr>
            <w:tcW w:w="85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Vested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(1,896,407)</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jc w:val="right"/>
              <w:ind w:right="10"/>
              <w:spacing w:after="0"/>
              <w:rPr>
                <w:sz w:val="20"/>
                <w:szCs w:val="20"/>
                <w:color w:val="auto"/>
              </w:rPr>
            </w:pPr>
            <w:r>
              <w:rPr>
                <w:rFonts w:ascii="Arial" w:cs="Arial" w:eastAsia="Arial" w:hAnsi="Arial"/>
                <w:sz w:val="14"/>
                <w:szCs w:val="14"/>
                <w:color w:val="auto"/>
              </w:rPr>
              <w:t>23.22</w:t>
            </w:r>
          </w:p>
        </w:tc>
        <w:tc>
          <w:tcPr>
            <w:tcW w:w="0" w:type="dxa"/>
            <w:vAlign w:val="bottom"/>
          </w:tcPr>
          <w:p>
            <w:pPr>
              <w:spacing w:after="0"/>
              <w:rPr>
                <w:sz w:val="1"/>
                <w:szCs w:val="1"/>
                <w:color w:val="auto"/>
              </w:rPr>
            </w:pPr>
          </w:p>
        </w:tc>
      </w:tr>
      <w:tr>
        <w:trPr>
          <w:trHeight w:val="185"/>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At March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3,515,007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2"/>
          <w:szCs w:val="12"/>
          <w:color w:val="auto"/>
        </w:rPr>
        <w:t>(1) Excluded in the number of RSUs and RSAs are 200,000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5467350</wp:posOffset>
            </wp:positionH>
            <wp:positionV relativeFrom="paragraph">
              <wp:posOffset>-78740</wp:posOffset>
            </wp:positionV>
            <wp:extent cx="8731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40" w:lineRule="exact"/>
        <w:rPr>
          <w:sz w:val="20"/>
          <w:szCs w:val="20"/>
          <w:color w:val="auto"/>
        </w:rPr>
      </w:pPr>
    </w:p>
    <w:p>
      <w:pPr>
        <w:ind w:firstLine="629"/>
        <w:spacing w:after="0" w:line="289" w:lineRule="auto"/>
        <w:rPr>
          <w:sz w:val="20"/>
          <w:szCs w:val="20"/>
          <w:color w:val="auto"/>
        </w:rPr>
      </w:pPr>
      <w:r>
        <w:rPr>
          <w:rFonts w:ascii="Arial" w:cs="Arial" w:eastAsia="Arial" w:hAnsi="Arial"/>
          <w:sz w:val="16"/>
          <w:szCs w:val="16"/>
          <w:color w:val="auto"/>
        </w:rPr>
        <w:t>The Company recognized $7.8 million and $9.0 million for the three months ended March 31, 2021 and 2020, respectively, of compensation expense in relation to the RSUs. As of March 31, 2021 and December 31, 2020, total unrecognized share-based compensation expense related to unvested RSUs was $65.1 million and $37.1 million, respectively, and this amount is to be recognized over a weighted average period of 1.4 and 1.0 year, respectively. Awards in which the specific performance conditions have not been met are not included in unrecognized share-based compensation expense.</w:t>
      </w:r>
    </w:p>
    <w:p>
      <w:pPr>
        <w:spacing w:after="0" w:line="188"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November 13, 2020, the Company adopted the Virtu Financial, Inc. Deferred Compensation Plan (the "DCP"). The DCP permits eligible executive officers and other employees to defer cash or equity based compensation beginning in the calendar year ending December 31, 2021, subject to certain limitations and restrictions. Deferrals may also be directed to notional investments in certain of the employee investment opportunities. No amounts have been recognized as compensation cost under the DCP as of March 31,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Regulatory Requirement</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Subsidiary</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March 31, 2021. The required amount is determined under the exchange rules as the greater of (i) $1 million or (ii) $75,000 for every 0.1% of NYSE transaction dollar volume in each of the securities for which the Company is registered as the DMM.</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March 31, 2021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676,247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673,404</w:t>
            </w:r>
          </w:p>
        </w:tc>
        <w:tc>
          <w:tcPr>
            <w:tcW w:w="0" w:type="dxa"/>
            <w:vAlign w:val="bottom"/>
          </w:tcPr>
          <w:p>
            <w:pPr>
              <w:spacing w:after="0"/>
              <w:rPr>
                <w:sz w:val="1"/>
                <w:szCs w:val="1"/>
                <w:color w:val="auto"/>
              </w:rPr>
            </w:pPr>
          </w:p>
        </w:tc>
      </w:tr>
    </w:tbl>
    <w:p>
      <w:pPr>
        <w:spacing w:after="0" w:line="367" w:lineRule="exact"/>
        <w:rPr>
          <w:sz w:val="20"/>
          <w:szCs w:val="20"/>
          <w:color w:val="auto"/>
        </w:rPr>
      </w:pPr>
    </w:p>
    <w:p>
      <w:pPr>
        <w:ind w:right="120" w:firstLine="629"/>
        <w:spacing w:after="0" w:line="325" w:lineRule="auto"/>
        <w:rPr>
          <w:sz w:val="20"/>
          <w:szCs w:val="20"/>
          <w:color w:val="auto"/>
        </w:rPr>
      </w:pPr>
      <w:r>
        <w:rPr>
          <w:rFonts w:ascii="Arial" w:cs="Arial" w:eastAsia="Arial" w:hAnsi="Arial"/>
          <w:sz w:val="15"/>
          <w:szCs w:val="15"/>
          <w:color w:val="auto"/>
        </w:rPr>
        <w:t xml:space="preserve">As of March 31, 2021, VAL had $108.8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$13.0 million of cash in reserve bank accounts for the benefit of proprietary accounts of brokers.</w:t>
      </w:r>
      <w:r>
        <w:rPr>
          <w:rFonts w:ascii="Arial" w:cs="Arial" w:eastAsia="Arial" w:hAnsi="Arial"/>
          <w:sz w:val="15"/>
          <w:szCs w:val="15"/>
          <w:i w:val="1"/>
          <w:iCs w:val="1"/>
          <w:color w:val="auto"/>
        </w:rPr>
        <w:t xml:space="preserve"> </w:t>
      </w:r>
      <w:r>
        <w:rPr>
          <w:rFonts w:ascii="Arial" w:cs="Arial" w:eastAsia="Arial" w:hAnsi="Arial"/>
          <w:sz w:val="15"/>
          <w:szCs w:val="15"/>
          <w:color w:val="auto"/>
        </w:rPr>
        <w:t>The balances are included within Cash restricted or segregated under regulations and other on the Condensed Consolidated Statements of Financial Condition.</w:t>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VAL's regulatory capital and regulatory capital requirements as of December 31, 2020 was as follows:</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Virtu Americas LLC</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621,253</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2,917</w:t>
            </w: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618,336</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right="120" w:firstLine="629"/>
        <w:spacing w:after="0" w:line="359" w:lineRule="auto"/>
        <w:rPr>
          <w:sz w:val="20"/>
          <w:szCs w:val="20"/>
          <w:color w:val="auto"/>
        </w:rPr>
      </w:pPr>
      <w:r>
        <w:rPr>
          <w:rFonts w:ascii="Arial" w:cs="Arial" w:eastAsia="Arial" w:hAnsi="Arial"/>
          <w:sz w:val="15"/>
          <w:szCs w:val="15"/>
          <w:color w:val="auto"/>
        </w:rPr>
        <w:t xml:space="preserve">As of December 31, 2020, VAL had $96.2 million of cash in special reserve bank accounts for the benefit of customers pursuant to SEC Rule 15c3-3, </w:t>
      </w:r>
      <w:r>
        <w:rPr>
          <w:rFonts w:ascii="Arial" w:cs="Arial" w:eastAsia="Arial" w:hAnsi="Arial"/>
          <w:sz w:val="15"/>
          <w:szCs w:val="15"/>
          <w:i w:val="1"/>
          <w:iCs w:val="1"/>
          <w:color w:val="auto"/>
        </w:rPr>
        <w:t xml:space="preserve">Computation for Determination of Reserve Requirements, </w:t>
      </w:r>
      <w:r>
        <w:rPr>
          <w:rFonts w:ascii="Arial" w:cs="Arial" w:eastAsia="Arial" w:hAnsi="Arial"/>
          <w:sz w:val="15"/>
          <w:szCs w:val="15"/>
          <w:color w:val="auto"/>
        </w:rPr>
        <w:t>and $20.4 million of cash in reserve bank accounts for the benefit of proprietary accounts of brokers.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Subsidiaries</w:t>
      </w:r>
    </w:p>
    <w:p>
      <w:pPr>
        <w:spacing w:after="0" w:line="250" w:lineRule="exact"/>
        <w:rPr>
          <w:sz w:val="20"/>
          <w:szCs w:val="20"/>
          <w:color w:val="auto"/>
        </w:rPr>
      </w:pPr>
    </w:p>
    <w:p>
      <w:pPr>
        <w:ind w:right="260" w:firstLine="629"/>
        <w:spacing w:after="0" w:line="267" w:lineRule="auto"/>
        <w:rPr>
          <w:sz w:val="20"/>
          <w:szCs w:val="20"/>
          <w:color w:val="auto"/>
        </w:rPr>
      </w:pPr>
      <w:r>
        <w:rPr>
          <w:rFonts w:ascii="Arial" w:cs="Arial" w:eastAsia="Arial" w:hAnsi="Arial"/>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regulatory net capital balances and regulatory capital requirements applicable to the Company's foreign subsidiaries as of March 31, 2021 were as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15,449</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15,250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31,881</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47,312</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 (1)</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98,978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39,406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59,572</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30,420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20,764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3,142</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73"/>
        </w:trPr>
        <w:tc>
          <w:tcPr>
            <w:tcW w:w="5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(1) Preliminary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As of March 31, 2021, Virtu ITG Europe Limited and Virtu ITG Canada Corp had $0.3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0" w:firstLine="629"/>
        <w:spacing w:after="0" w:line="275" w:lineRule="auto"/>
        <w:rPr>
          <w:sz w:val="20"/>
          <w:szCs w:val="20"/>
          <w:color w:val="auto"/>
        </w:rPr>
      </w:pPr>
      <w:r>
        <w:rPr>
          <w:rFonts w:ascii="Arial" w:cs="Arial" w:eastAsia="Arial" w:hAnsi="Arial"/>
          <w:sz w:val="17"/>
          <w:szCs w:val="17"/>
          <w:color w:val="auto"/>
        </w:rPr>
        <w:t>The regulatory net capital balances and regulatory capital requirements applicable to the Company's foreign subsidiaries as of December 31, 2020 were as follows:</w:t>
      </w:r>
    </w:p>
    <w:tbl>
      <w:tblPr>
        <w:tblLayout w:type="fixed"/>
        <w:tblInd w:w="180" w:type="dxa"/>
        <w:tblCellMar>
          <w:top w:w="0" w:type="dxa"/>
          <w:left w:w="0" w:type="dxa"/>
          <w:bottom w:w="0" w:type="dxa"/>
          <w:right w:w="0" w:type="dxa"/>
        </w:tblCellMar>
      </w:tblPr>
      <w:tr>
        <w:trPr>
          <w:trHeight w:val="141"/>
        </w:trPr>
        <w:tc>
          <w:tcPr>
            <w:tcW w:w="5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3"/>
              </w:rPr>
              <w:t>Regulatory Capital</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Excess Regulatory Capital</w:t>
            </w:r>
          </w:p>
        </w:tc>
        <w:tc>
          <w:tcPr>
            <w:tcW w:w="0" w:type="dxa"/>
            <w:vAlign w:val="bottom"/>
          </w:tcPr>
          <w:p>
            <w:pPr>
              <w:spacing w:after="0"/>
              <w:rPr>
                <w:sz w:val="1"/>
                <w:szCs w:val="1"/>
                <w:color w:val="auto"/>
              </w:rPr>
            </w:pPr>
          </w:p>
        </w:tc>
      </w:tr>
      <w:tr>
        <w:trPr>
          <w:trHeight w:val="183"/>
        </w:trPr>
        <w:tc>
          <w:tcPr>
            <w:tcW w:w="5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Requirement</w:t>
            </w:r>
          </w:p>
        </w:tc>
        <w:tc>
          <w:tcPr>
            <w:tcW w:w="1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Canada</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Canada Corp</w:t>
            </w: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12,944</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5"/>
                <w:szCs w:val="15"/>
                <w:color w:val="auto"/>
              </w:rPr>
            </w:pPr>
          </w:p>
        </w:tc>
        <w:tc>
          <w:tcPr>
            <w:tcW w:w="640" w:type="dxa"/>
            <w:vAlign w:val="bottom"/>
          </w:tcPr>
          <w:p>
            <w:pPr>
              <w:jc w:val="right"/>
              <w:ind w:right="49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12,748</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Financial Canada ULC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rPr>
                <w:sz w:val="20"/>
                <w:szCs w:val="20"/>
                <w:color w:val="auto"/>
              </w:rPr>
            </w:pPr>
            <w:r>
              <w:rPr>
                <w:rFonts w:ascii="Arial" w:cs="Arial" w:eastAsia="Arial" w:hAnsi="Arial"/>
                <w:sz w:val="14"/>
                <w:szCs w:val="14"/>
                <w:b w:val="1"/>
                <w:bCs w:val="1"/>
                <w:color w:val="auto"/>
              </w:rPr>
              <w:t>Ireland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Europe Limited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57,459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32,106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25,353</w:t>
            </w: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Financial Ireland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94,528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41,038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53,490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United Kingdom</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UK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910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Asia Pacific</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Australia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30,606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12,729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17,877</w:t>
            </w:r>
          </w:p>
        </w:tc>
        <w:tc>
          <w:tcPr>
            <w:tcW w:w="0" w:type="dxa"/>
            <w:vAlign w:val="bottom"/>
          </w:tcPr>
          <w:p>
            <w:pPr>
              <w:spacing w:after="0"/>
              <w:rPr>
                <w:sz w:val="1"/>
                <w:szCs w:val="1"/>
                <w:color w:val="auto"/>
              </w:rPr>
            </w:pPr>
          </w:p>
        </w:tc>
      </w:tr>
      <w:tr>
        <w:trPr>
          <w:trHeight w:val="18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Virtu ITG Hong Kong Limited</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3,665</w:t>
            </w:r>
          </w:p>
        </w:tc>
        <w:tc>
          <w:tcPr>
            <w:tcW w:w="0" w:type="dxa"/>
            <w:vAlign w:val="bottom"/>
          </w:tcPr>
          <w:p>
            <w:pPr>
              <w:spacing w:after="0"/>
              <w:rPr>
                <w:sz w:val="1"/>
                <w:szCs w:val="1"/>
                <w:color w:val="auto"/>
              </w:rPr>
            </w:pPr>
          </w:p>
        </w:tc>
      </w:tr>
      <w:tr>
        <w:trPr>
          <w:trHeight w:val="178"/>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right="120" w:firstLine="629"/>
        <w:spacing w:after="0" w:line="273" w:lineRule="auto"/>
        <w:rPr>
          <w:sz w:val="20"/>
          <w:szCs w:val="20"/>
          <w:color w:val="auto"/>
        </w:rPr>
      </w:pPr>
      <w:r>
        <w:rPr>
          <w:rFonts w:ascii="Arial" w:cs="Arial" w:eastAsia="Arial" w:hAnsi="Arial"/>
          <w:sz w:val="17"/>
          <w:szCs w:val="17"/>
          <w:color w:val="auto"/>
        </w:rPr>
        <w:t>As of December 31, 2020, Virtu ITG Europe Limited and Virtu ITG Canada Corp had $0.2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Geographic Information and Business Segments</w:t>
      </w:r>
    </w:p>
    <w:p>
      <w:pPr>
        <w:spacing w:after="0" w:line="256"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2021 and 2020</w:t>
      </w:r>
      <w:r>
        <w:rPr>
          <w:rFonts w:ascii="Arial" w:cs="Arial" w:eastAsia="Arial" w:hAnsi="Arial"/>
          <w:sz w:val="15"/>
          <w:szCs w:val="15"/>
          <w:color w:val="auto"/>
        </w:rPr>
        <w:t>:</w:t>
      </w:r>
    </w:p>
    <w:p>
      <w:pPr>
        <w:spacing w:after="0" w:line="238" w:lineRule="exact"/>
        <w:rPr>
          <w:sz w:val="20"/>
          <w:szCs w:val="20"/>
          <w:color w:val="auto"/>
        </w:rPr>
      </w:pPr>
    </w:p>
    <w:tbl>
      <w:tblPr>
        <w:tblLayout w:type="fixed"/>
        <w:tblInd w:w="19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7"/>
        </w:trPr>
        <w:tc>
          <w:tcPr>
            <w:tcW w:w="4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r>
      <w:tr>
        <w:trPr>
          <w:trHeight w:val="18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816,054</w:t>
            </w:r>
          </w:p>
        </w:tc>
        <w:tc>
          <w:tcPr>
            <w:tcW w:w="12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793,026</w:t>
            </w:r>
          </w:p>
        </w:tc>
      </w:tr>
      <w:tr>
        <w:trPr>
          <w:trHeight w:val="18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Ireland</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121,369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107,910</w:t>
            </w:r>
          </w:p>
        </w:tc>
      </w:tr>
      <w:tr>
        <w:trPr>
          <w:trHeight w:val="18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Singapore</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42,848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67,044</w:t>
            </w:r>
          </w:p>
        </w:tc>
      </w:tr>
      <w:tr>
        <w:trPr>
          <w:trHeight w:val="18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16,957</w:t>
            </w:r>
          </w:p>
        </w:tc>
      </w:tr>
      <w:tr>
        <w:trPr>
          <w:trHeight w:val="181"/>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Australia</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12,667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11,878</w:t>
            </w:r>
          </w:p>
        </w:tc>
      </w:tr>
      <w:tr>
        <w:trPr>
          <w:trHeight w:val="186"/>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 Kingdom</w:t>
            </w: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r>
      <w:tr>
        <w:trPr>
          <w:trHeight w:val="181"/>
        </w:trPr>
        <w:tc>
          <w:tcPr>
            <w:tcW w:w="4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1,420</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1,330</w:t>
            </w:r>
          </w:p>
        </w:tc>
      </w:tr>
      <w:tr>
        <w:trPr>
          <w:trHeight w:val="204"/>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1,012,572</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1,000,621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firstLine="629"/>
        <w:spacing w:after="0" w:line="283" w:lineRule="auto"/>
        <w:rPr>
          <w:sz w:val="20"/>
          <w:szCs w:val="20"/>
          <w:color w:val="auto"/>
        </w:rPr>
      </w:pPr>
      <w:r>
        <w:rPr>
          <w:rFonts w:ascii="Arial" w:cs="Arial" w:eastAsia="Arial" w:hAnsi="Arial"/>
          <w:sz w:val="16"/>
          <w:szCs w:val="16"/>
          <w:color w:val="auto"/>
        </w:rPr>
        <w:t>The Market Making segment principally consists of market making in the cash, futures and options markets across global equities, options,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60" w:firstLine="629"/>
        <w:spacing w:after="0" w:line="260" w:lineRule="auto"/>
        <w:rPr>
          <w:sz w:val="20"/>
          <w:szCs w:val="20"/>
          <w:color w:val="auto"/>
        </w:rPr>
      </w:pPr>
      <w:r>
        <w:rPr>
          <w:rFonts w:ascii="Arial" w:cs="Arial" w:eastAsia="Arial" w:hAnsi="Arial"/>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w:t>
      </w:r>
    </w:p>
    <w:p>
      <w:pPr>
        <w:spacing w:after="0" w:line="212" w:lineRule="exact"/>
        <w:rPr>
          <w:sz w:val="20"/>
          <w:szCs w:val="20"/>
          <w:color w:val="auto"/>
        </w:rPr>
      </w:pPr>
    </w:p>
    <w:p>
      <w:pPr>
        <w:ind w:right="280" w:firstLine="629"/>
        <w:spacing w:after="0" w:line="289" w:lineRule="auto"/>
        <w:rPr>
          <w:sz w:val="20"/>
          <w:szCs w:val="20"/>
          <w:color w:val="auto"/>
        </w:rPr>
      </w:pPr>
      <w:r>
        <w:rPr>
          <w:rFonts w:ascii="Arial" w:cs="Arial" w:eastAsia="Arial" w:hAnsi="Arial"/>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84" w:lineRule="exact"/>
        <w:rPr>
          <w:sz w:val="20"/>
          <w:szCs w:val="20"/>
          <w:color w:val="auto"/>
        </w:rPr>
      </w:pPr>
    </w:p>
    <w:p>
      <w:pPr>
        <w:ind w:right="220" w:firstLine="629"/>
        <w:spacing w:after="0" w:line="297" w:lineRule="auto"/>
        <w:rPr>
          <w:sz w:val="20"/>
          <w:szCs w:val="20"/>
          <w:color w:val="auto"/>
        </w:rPr>
      </w:pPr>
      <w:r>
        <w:rPr>
          <w:rFonts w:ascii="Arial" w:cs="Arial" w:eastAsia="Arial" w:hAnsi="Arial"/>
          <w:sz w:val="16"/>
          <w:szCs w:val="16"/>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2021 and 2020 and are summarized in the following table:</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Consolidated Total</w:t>
            </w:r>
          </w:p>
        </w:tc>
      </w:tr>
      <w:tr>
        <w:trPr>
          <w:trHeight w:val="181"/>
        </w:trPr>
        <w:tc>
          <w:tcPr>
            <w:tcW w:w="48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2021</w:t>
            </w:r>
          </w:p>
        </w:tc>
        <w:tc>
          <w:tcPr>
            <w:tcW w:w="1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823,724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189,239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1,012,572</w:t>
            </w:r>
          </w:p>
        </w:tc>
      </w:tr>
      <w:tr>
        <w:trPr>
          <w:trHeight w:val="181"/>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453,277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40,351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(3,841)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489,787</w:t>
            </w:r>
          </w:p>
        </w:tc>
      </w:tr>
      <w:tr>
        <w:trPr>
          <w:trHeight w:val="212"/>
        </w:trPr>
        <w:tc>
          <w:tcPr>
            <w:tcW w:w="48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83"/>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2020</w:t>
            </w:r>
          </w:p>
        </w:tc>
        <w:tc>
          <w:tcPr>
            <w:tcW w:w="1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4"/>
        </w:trPr>
        <w:tc>
          <w:tcPr>
            <w:tcW w:w="4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revenue</w:t>
            </w:r>
          </w:p>
        </w:tc>
        <w:tc>
          <w:tcPr>
            <w:tcW w:w="1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830,586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1,000,621</w:t>
            </w:r>
          </w:p>
        </w:tc>
      </w:tr>
      <w:tr>
        <w:trPr>
          <w:trHeight w:val="178"/>
        </w:trPr>
        <w:tc>
          <w:tcPr>
            <w:tcW w:w="4820" w:type="dxa"/>
            <w:vAlign w:val="bottom"/>
          </w:tcPr>
          <w:p>
            <w:pPr>
              <w:ind w:left="140"/>
              <w:spacing w:after="0"/>
              <w:rPr>
                <w:sz w:val="20"/>
                <w:szCs w:val="20"/>
                <w:color w:val="auto"/>
              </w:rPr>
            </w:pPr>
            <w:r>
              <w:rPr>
                <w:rFonts w:ascii="Arial" w:cs="Arial" w:eastAsia="Arial" w:hAnsi="Arial"/>
                <w:sz w:val="14"/>
                <w:szCs w:val="14"/>
                <w:color w:val="auto"/>
              </w:rPr>
              <w:t>Income (loss) before income taxes and noncontrolling interest</w:t>
            </w:r>
          </w:p>
        </w:tc>
        <w:tc>
          <w:tcPr>
            <w:tcW w:w="1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451,546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466,225</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Related Party Transactions</w:t>
      </w:r>
    </w:p>
    <w:p>
      <w:pPr>
        <w:spacing w:after="0" w:line="256"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The Company incurs expenses and maintains balances with its affiliates in the ordinary course of business. As of March 31, 2021, and December 31, 2020 the Company had net receivables from its affiliates of $1.8 million and $2.3 million, respectively.</w:t>
      </w:r>
    </w:p>
    <w:p>
      <w:pPr>
        <w:spacing w:after="0" w:line="184" w:lineRule="exact"/>
        <w:rPr>
          <w:sz w:val="20"/>
          <w:szCs w:val="20"/>
          <w:color w:val="auto"/>
        </w:rPr>
      </w:pPr>
    </w:p>
    <w:p>
      <w:pPr>
        <w:ind w:right="40" w:firstLine="629"/>
        <w:spacing w:after="0" w:line="273" w:lineRule="auto"/>
        <w:rPr>
          <w:sz w:val="20"/>
          <w:szCs w:val="20"/>
          <w:color w:val="auto"/>
        </w:rPr>
      </w:pPr>
      <w:r>
        <w:rPr>
          <w:rFonts w:ascii="Arial" w:cs="Arial" w:eastAsia="Arial" w:hAnsi="Arial"/>
          <w:sz w:val="17"/>
          <w:szCs w:val="17"/>
          <w:color w:val="auto"/>
        </w:rPr>
        <w:t>The Company has held a minority interest in JNX since 2016 (see Note 9 "Financial Assets and Liabilities"). The Company pays exchange fees to JNX for the trading activities conducted on its proprietary trading system. The Company paid $2.9 million and $3.6 million for the three months ended March 31, 2021 and 2020, respectively, to JNX for these trading activities.</w:t>
      </w:r>
    </w:p>
    <w:p>
      <w:pPr>
        <w:spacing w:after="0" w:line="197"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The Company makes payments to two JVs (see Note 11 "Variable Interest Entities") to fund the construction of the microwave communication networks, and to purchase microwave communication networks, which are recorded within Communications and data processing on the Condensed Consolidated Statements of Comprehensive Income. The Company made payments of $4.7 million and $4.7 million for the three months ended March 31, 2021 and 2020, respectively, to these JVs.</w:t>
      </w:r>
    </w:p>
    <w:p>
      <w:pPr>
        <w:spacing w:after="0" w:line="204"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The Company purchases network connections services from affiliates of Level 3 Communications (“Level 3”). Temasek and its affiliates have a significant ownership interest in Level 3. The Company paid $0.5 million and $0.4 million for the three months ended March 31, 2021 and 2020, respectively, to Level 3 for these services.</w:t>
      </w:r>
    </w:p>
    <w:p>
      <w:pPr>
        <w:spacing w:after="0" w:line="197" w:lineRule="exact"/>
        <w:rPr>
          <w:sz w:val="20"/>
          <w:szCs w:val="20"/>
          <w:color w:val="auto"/>
        </w:rPr>
      </w:pPr>
    </w:p>
    <w:p>
      <w:pPr>
        <w:ind w:right="320" w:firstLine="629"/>
        <w:spacing w:after="0" w:line="322" w:lineRule="auto"/>
        <w:rPr>
          <w:sz w:val="20"/>
          <w:szCs w:val="20"/>
          <w:color w:val="auto"/>
        </w:rPr>
      </w:pPr>
      <w:r>
        <w:rPr>
          <w:rFonts w:ascii="Arial" w:cs="Arial" w:eastAsia="Arial" w:hAnsi="Arial"/>
          <w:sz w:val="16"/>
          <w:szCs w:val="16"/>
          <w:color w:val="auto"/>
        </w:rPr>
        <w:t>The Company makes commission-sharing arrangement ("CSA") payments to affiliates of DBS Group Holdings ("DBS"). Temasek and its affiliates have a significant ownership interest in DBS. Payments for the three months ended March 31, 2021 and March 31, 2020 were immaterial.</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Subsequent Events</w:t>
      </w:r>
    </w:p>
    <w:p>
      <w:pPr>
        <w:spacing w:after="0" w:line="256" w:lineRule="exact"/>
        <w:rPr>
          <w:sz w:val="20"/>
          <w:szCs w:val="20"/>
          <w:color w:val="auto"/>
        </w:rPr>
      </w:pPr>
    </w:p>
    <w:p>
      <w:pPr>
        <w:ind w:right="80" w:firstLine="629"/>
        <w:spacing w:after="0" w:line="273" w:lineRule="auto"/>
        <w:rPr>
          <w:sz w:val="20"/>
          <w:szCs w:val="20"/>
          <w:color w:val="auto"/>
        </w:rPr>
      </w:pPr>
      <w:r>
        <w:rPr>
          <w:rFonts w:ascii="Arial" w:cs="Arial" w:eastAsia="Arial" w:hAnsi="Arial"/>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7" w:lineRule="exact"/>
        <w:rPr>
          <w:sz w:val="20"/>
          <w:szCs w:val="20"/>
          <w:color w:val="auto"/>
        </w:rPr>
      </w:pPr>
    </w:p>
    <w:p>
      <w:pPr>
        <w:jc w:val="both"/>
        <w:ind w:firstLine="629"/>
        <w:spacing w:after="0" w:line="322" w:lineRule="auto"/>
        <w:rPr>
          <w:sz w:val="20"/>
          <w:szCs w:val="20"/>
          <w:color w:val="auto"/>
        </w:rPr>
      </w:pPr>
      <w:r>
        <w:rPr>
          <w:rFonts w:ascii="Arial" w:cs="Arial" w:eastAsia="Arial" w:hAnsi="Arial"/>
          <w:sz w:val="16"/>
          <w:szCs w:val="16"/>
          <w:color w:val="auto"/>
        </w:rPr>
        <w:t>On May 4, 2021, the Company’s Board of Directors declared a dividend of $0.24 per share of Class A Common Stock and Class B Common Stock and per participating Restricted Stock Unit and Restricted Stock Award that will be paid on June 15, 2021 to holders of record as of June 1, 2021.</w:t>
      </w:r>
    </w:p>
    <w:p>
      <w:pPr>
        <w:spacing w:after="0" w:line="161"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6"/>
          <w:szCs w:val="16"/>
          <w:color w:val="auto"/>
        </w:rPr>
        <w:t>On May 4, 2021, the Company's Board of Directors authorized the expansion of the Company's current share repurchase program, increasing the total authorized amount by $300.0 million to $470.0 million and extending the duration of the program through May 4, 2022. Since inception of the program through May 4, 2021, the Company repurchased approximately 5.4 million shares of Class A Common Stock and Virtu Financial Units for approximately</w:t>
      </w:r>
    </w:p>
    <w:p>
      <w:pPr>
        <w:spacing w:after="0" w:line="1"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$151.0 million. As of May 4, 2021, the Company has approximately $319.0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7" w:lineRule="exact"/>
        <w:rPr>
          <w:sz w:val="20"/>
          <w:szCs w:val="20"/>
          <w:color w:val="auto"/>
        </w:rPr>
      </w:pPr>
    </w:p>
    <w:p>
      <w:pPr>
        <w:spacing w:after="0" w:line="263" w:lineRule="auto"/>
        <w:rPr>
          <w:sz w:val="20"/>
          <w:szCs w:val="20"/>
          <w:color w:val="auto"/>
        </w:rPr>
      </w:pPr>
      <w:r>
        <w:rPr>
          <w:rFonts w:ascii="Arial" w:cs="Arial" w:eastAsia="Arial" w:hAnsi="Arial"/>
          <w:sz w:val="17"/>
          <w:szCs w:val="17"/>
          <w:i w:val="1"/>
          <w:iCs w:val="1"/>
          <w:color w:val="auto"/>
        </w:rPr>
        <w:t>The following management’s discussion and analysis covers the three months ended March 31, 2021 and 2020 and should be read in conjunction with the consolidated financial statements of Virtu Financial, Inc. (the “Company”) for the period ended March 31, 2021, which are included in Part I, Item 1 of this Quarterly Report on Form 10-Q, and the audited consolidated financial statements and accompanying notes and MD&amp;A for the year ended December 31, 2020, which are included in Items 8 and 7, respectively, of the Company's Annual Report on Form 10-K for the year ended December 31, 2020.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25"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this Quarterly Report on Form 10-Q,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Annual Report on Form 10-K for the year ended December 31, 2020, as filed with the Securities and Exchange Commission ("SEC") on February 25, 2021 (the "2020 Form 10-K"), could affect our actual financial results or results of operations and cash flows, and could cause actual results to differ materially from those in such forward-looking statements, including but not limited to:</w:t>
      </w:r>
    </w:p>
    <w:p>
      <w:pPr>
        <w:spacing w:after="0" w:line="73" w:lineRule="exact"/>
        <w:rPr>
          <w:sz w:val="20"/>
          <w:szCs w:val="20"/>
          <w:color w:val="auto"/>
        </w:rPr>
      </w:pPr>
    </w:p>
    <w:p>
      <w:pPr>
        <w:ind w:left="940" w:hanging="149"/>
        <w:spacing w:after="0" w:line="267"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currently work remotely and our return to office plan, each of which may increase operational risk, as well as increases in market, counterparty and other forms of operational risk;</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volatility in levels of overall trading activity;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failures of our customized trading platform;</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increased competition in market making activities and execution services;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risks associated with self-clearing and other operational elements of our business, including but limited to risks related to funding and liquidity;</w:t>
      </w:r>
    </w:p>
    <w:p>
      <w:pPr>
        <w:spacing w:after="0" w:line="130" w:lineRule="exact"/>
        <w:rPr>
          <w:rFonts w:ascii="Arial" w:cs="Arial" w:eastAsia="Arial" w:hAnsi="Arial"/>
          <w:sz w:val="16"/>
          <w:szCs w:val="16"/>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obligations to comply with applicable regulatory capital requirements;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118" w:lineRule="exact"/>
        <w:rPr>
          <w:rFonts w:ascii="Arial" w:cs="Arial" w:eastAsia="Arial" w:hAnsi="Arial"/>
          <w:sz w:val="17"/>
          <w:szCs w:val="17"/>
          <w:color w:val="auto"/>
        </w:rPr>
      </w:pPr>
    </w:p>
    <w:p>
      <w:pPr>
        <w:jc w:val="both"/>
        <w:ind w:left="940" w:right="400" w:hanging="149"/>
        <w:spacing w:after="0" w:line="273" w:lineRule="auto"/>
        <w:tabs>
          <w:tab w:leader="none" w:pos="93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66" w:lineRule="exact"/>
        <w:rPr>
          <w:rFonts w:ascii="Arial" w:cs="Arial" w:eastAsia="Arial" w:hAnsi="Arial"/>
          <w:sz w:val="17"/>
          <w:szCs w:val="17"/>
          <w:color w:val="auto"/>
        </w:rPr>
      </w:pPr>
    </w:p>
    <w:p>
      <w:pPr>
        <w:ind w:left="940" w:hanging="149"/>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obligations to comply with laws and regulations applicable to our operations in the U.S. and abroad;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enhanced media and regulatory scrutiny and its impact upon public perception of us or of companies in our industry;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118" w:lineRule="exact"/>
        <w:rPr>
          <w:rFonts w:ascii="Arial" w:cs="Arial" w:eastAsia="Arial" w:hAnsi="Arial"/>
          <w:sz w:val="17"/>
          <w:szCs w:val="17"/>
          <w:color w:val="auto"/>
        </w:rPr>
      </w:pPr>
    </w:p>
    <w:p>
      <w:pPr>
        <w:ind w:left="940" w:right="20" w:hanging="149"/>
        <w:spacing w:after="0" w:line="297" w:lineRule="auto"/>
        <w:tabs>
          <w:tab w:leader="none" w:pos="9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effect of the Acquisition of KCG and ITG Acquisition (as defined below) on ongoing business operations generally, including our ability to achieve cost-saving synergies related to these historical acquisitions, and the assumption of potential liabilities and risks relating to these historical acquisitions, and the significant costs and significant indebtedness that we have incurred in connection therewith;</w:t>
      </w:r>
    </w:p>
    <w:p>
      <w:pPr>
        <w:spacing w:after="0" w:line="50" w:lineRule="exact"/>
        <w:rPr>
          <w:rFonts w:ascii="Arial" w:cs="Arial" w:eastAsia="Arial" w:hAnsi="Arial"/>
          <w:sz w:val="16"/>
          <w:szCs w:val="16"/>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dependence on third-party infrastructure or systems;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protect confidential and proprietary information;</w:t>
      </w:r>
    </w:p>
    <w:p>
      <w:pPr>
        <w:spacing w:after="0" w:line="118" w:lineRule="exact"/>
        <w:rPr>
          <w:rFonts w:ascii="Arial" w:cs="Arial" w:eastAsia="Arial" w:hAnsi="Arial"/>
          <w:sz w:val="17"/>
          <w:szCs w:val="17"/>
          <w:color w:val="auto"/>
        </w:rPr>
      </w:pPr>
    </w:p>
    <w:p>
      <w:pPr>
        <w:ind w:left="940" w:right="240" w:hanging="149"/>
        <w:spacing w:after="0" w:line="289"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protect our systems from internal or external cyber threats that could result in damage to our computer systems, business interruption, loss of data or other consequences;</w:t>
      </w:r>
    </w:p>
    <w:p>
      <w:pPr>
        <w:spacing w:after="0" w:line="53"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18" w:lineRule="exact"/>
        <w:rPr>
          <w:rFonts w:ascii="Arial" w:cs="Arial" w:eastAsia="Arial" w:hAnsi="Arial"/>
          <w:sz w:val="17"/>
          <w:szCs w:val="17"/>
          <w:color w:val="auto"/>
        </w:rPr>
      </w:pPr>
    </w:p>
    <w:p>
      <w:pPr>
        <w:ind w:left="940" w:right="100" w:hanging="149"/>
        <w:spacing w:after="0" w:line="267" w:lineRule="auto"/>
        <w:tabs>
          <w:tab w:leader="none" w:pos="93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natural disasters, pandemics or extreme weather;</w:t>
      </w:r>
    </w:p>
    <w:p>
      <w:pPr>
        <w:spacing w:after="0" w:line="73"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inability to access, or delay in accessing the capital markets to sell shares or raise additional capital;</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18" w:lineRule="exact"/>
        <w:rPr>
          <w:rFonts w:ascii="Arial" w:cs="Arial" w:eastAsia="Arial" w:hAnsi="Arial"/>
          <w:sz w:val="17"/>
          <w:szCs w:val="17"/>
          <w:color w:val="auto"/>
        </w:rPr>
      </w:pPr>
    </w:p>
    <w:p>
      <w:pPr>
        <w:ind w:left="940" w:hanging="149"/>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50" w:lineRule="exact"/>
        <w:rPr>
          <w:sz w:val="20"/>
          <w:szCs w:val="20"/>
          <w:color w:val="auto"/>
        </w:rPr>
      </w:pPr>
    </w:p>
    <w:p>
      <w:pPr>
        <w:ind w:right="80" w:firstLine="629"/>
        <w:spacing w:after="0" w:line="314" w:lineRule="auto"/>
        <w:rPr>
          <w:sz w:val="20"/>
          <w:szCs w:val="20"/>
          <w:color w:val="auto"/>
        </w:rPr>
      </w:pPr>
      <w:r>
        <w:rPr>
          <w:rFonts w:ascii="Arial" w:cs="Arial" w:eastAsia="Arial" w:hAnsi="Arial"/>
          <w:sz w:val="15"/>
          <w:szCs w:val="15"/>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7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5"/>
          <w:szCs w:val="15"/>
          <w:color w:val="auto"/>
        </w:rPr>
        <w:t>For a discussion on the potential impacts of the COVID-19 outbreak on our business, see Part I Item 1A “Risk Factors” of our Annual Report on Form</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6"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9" w:lineRule="exact"/>
        <w:rPr>
          <w:sz w:val="20"/>
          <w:szCs w:val="20"/>
          <w:color w:val="auto"/>
        </w:rPr>
      </w:pPr>
    </w:p>
    <w:p>
      <w:pPr>
        <w:ind w:right="40" w:firstLine="629"/>
        <w:spacing w:after="0" w:line="285" w:lineRule="auto"/>
        <w:rPr>
          <w:sz w:val="20"/>
          <w:szCs w:val="20"/>
          <w:color w:val="auto"/>
        </w:rPr>
      </w:pPr>
      <w:r>
        <w:rPr>
          <w:rFonts w:ascii="Arial" w:cs="Arial" w:eastAsia="Arial" w:hAnsi="Arial"/>
          <w:sz w:val="16"/>
          <w:szCs w:val="16"/>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1"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4"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204" w:lineRule="exact"/>
        <w:rPr>
          <w:sz w:val="20"/>
          <w:szCs w:val="20"/>
          <w:color w:val="auto"/>
        </w:rPr>
      </w:pPr>
    </w:p>
    <w:p>
      <w:pPr>
        <w:ind w:right="400" w:firstLine="629"/>
        <w:spacing w:after="0" w:line="289" w:lineRule="auto"/>
        <w:rPr>
          <w:sz w:val="20"/>
          <w:szCs w:val="20"/>
          <w:color w:val="auto"/>
        </w:rPr>
      </w:pPr>
      <w:r>
        <w:rPr>
          <w:rFonts w:ascii="Arial" w:cs="Arial" w:eastAsia="Arial" w:hAnsi="Arial"/>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Making</w:t>
      </w:r>
    </w:p>
    <w:p>
      <w:pPr>
        <w:spacing w:after="0" w:line="250"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9"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Execution Services</w:t>
      </w:r>
    </w:p>
    <w:p>
      <w:pPr>
        <w:spacing w:after="0" w:line="250" w:lineRule="exact"/>
        <w:rPr>
          <w:sz w:val="20"/>
          <w:szCs w:val="20"/>
          <w:color w:val="auto"/>
        </w:rPr>
      </w:pPr>
    </w:p>
    <w:p>
      <w:pPr>
        <w:ind w:firstLine="629"/>
        <w:spacing w:after="0" w:line="279" w:lineRule="auto"/>
        <w:rPr>
          <w:sz w:val="20"/>
          <w:szCs w:val="20"/>
          <w:color w:val="auto"/>
        </w:rPr>
      </w:pPr>
      <w:r>
        <w:rPr>
          <w:rFonts w:ascii="Arial" w:cs="Arial" w:eastAsia="Arial" w:hAnsi="Arial"/>
          <w:sz w:val="16"/>
          <w:szCs w:val="16"/>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250" w:lineRule="exact"/>
        <w:rPr>
          <w:sz w:val="20"/>
          <w:szCs w:val="20"/>
          <w:color w:val="auto"/>
        </w:rPr>
      </w:pPr>
    </w:p>
    <w:p>
      <w:pPr>
        <w:ind w:right="600" w:firstLine="629"/>
        <w:spacing w:after="0" w:line="289" w:lineRule="auto"/>
        <w:rPr>
          <w:sz w:val="20"/>
          <w:szCs w:val="20"/>
          <w:color w:val="auto"/>
        </w:rPr>
      </w:pPr>
      <w:r>
        <w:rPr>
          <w:rFonts w:ascii="Arial" w:cs="Arial" w:eastAsia="Arial" w:hAnsi="Arial"/>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ITG and KCG</w:t>
      </w:r>
    </w:p>
    <w:p>
      <w:pPr>
        <w:spacing w:after="0" w:line="256" w:lineRule="exact"/>
        <w:rPr>
          <w:sz w:val="20"/>
          <w:szCs w:val="20"/>
          <w:color w:val="auto"/>
        </w:rPr>
      </w:pPr>
    </w:p>
    <w:p>
      <w:pPr>
        <w:ind w:firstLine="629"/>
        <w:spacing w:after="0" w:line="260" w:lineRule="auto"/>
        <w:rPr>
          <w:sz w:val="20"/>
          <w:szCs w:val="20"/>
          <w:color w:val="auto"/>
        </w:rPr>
      </w:pPr>
      <w:r>
        <w:rPr>
          <w:rFonts w:ascii="Arial" w:cs="Arial" w:eastAsia="Arial" w:hAnsi="Arial"/>
          <w:sz w:val="17"/>
          <w:szCs w:val="17"/>
          <w:color w:val="auto"/>
        </w:rPr>
        <w:t>On March 1, 2019, the "ITG Closing Date", we announced the completion of Investment Technology Group, Inc. and its subsidiaries ("ITG") in an all-cash transaction valued at $30.30 per ITG share, for a total of approximately $1.0 billion (the "ITG Acquisition"). 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 The Credit Agreement provided (i) the First Lien Term Loan Facility (as defined below) in an aggregate principal amount of $1.5 billion, drawn in its entirety on the ITG Closing Date, with approximately $404.5 million borrowed by VFH to repay all amounts outstanding under its existing term loan facility and the remaining approximately $1,095.0 million borrowed by the Acquisition Borrower to finance the consideration and fees and expenses to be paid in connection with the ITG Acquisition, and (ii) the First Lien Revolving Facility (as defined below), with a $5.0 million letter of credit subfacility and a $5.0 million swingline subfacility. After the closing of the ITG Acquisition, VFH assumed the obligations of the Acquisition Borrower in respect of the acquisition term loans. Additionally, on the ITG Closing Date, the Company’s fourth amended and restated credit agreement, dated as of June 30, 2017 (as amended on January 2, 2018 and September 19, 2018, the “Fourth Amended and Restated Credit Agreement”) was terminated.</w:t>
      </w:r>
    </w:p>
    <w:p>
      <w:pPr>
        <w:spacing w:after="0" w:line="212"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color w:val="auto"/>
        </w:rPr>
        <w:t>As described below, the Credit Agreement was amended on October 9, 2019, on which date VFH borrowed and additional $525.0 million of incremental first lien term loans, the proceeds of which were used together with cash on hand to redeem the Notes (as defined below). The Indenture (as defined below) was fully terminated following such redemption. The Credit Agreement was further amended on March 2, 2020 to, among other things, reduce the interest rate spread over LIBOR or the applicable benchmark by 0.50%.</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20, 2017 (the “KCG Closing Date”), the Company completed the all-cash acquisition of KCG Holdings, Inc. (“KCG”) (the “Acquisition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KCG”).</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2015 Management Incentive Plan</w:t>
      </w:r>
    </w:p>
    <w:p>
      <w:pPr>
        <w:spacing w:after="0" w:line="256" w:lineRule="exact"/>
        <w:rPr>
          <w:sz w:val="20"/>
          <w:szCs w:val="20"/>
          <w:color w:val="auto"/>
        </w:rPr>
      </w:pPr>
    </w:p>
    <w:p>
      <w:pPr>
        <w:ind w:right="20" w:firstLine="629"/>
        <w:spacing w:after="0" w:line="260" w:lineRule="auto"/>
        <w:rPr>
          <w:sz w:val="20"/>
          <w:szCs w:val="20"/>
          <w:color w:val="auto"/>
        </w:rPr>
      </w:pPr>
      <w:r>
        <w:rPr>
          <w:rFonts w:ascii="Arial" w:cs="Arial" w:eastAsia="Arial" w:hAnsi="Arial"/>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40" w:firstLine="629"/>
        <w:spacing w:after="0" w:line="280" w:lineRule="auto"/>
        <w:rPr>
          <w:sz w:val="20"/>
          <w:szCs w:val="20"/>
          <w:color w:val="auto"/>
        </w:rPr>
      </w:pPr>
      <w:r>
        <w:rPr>
          <w:rFonts w:ascii="Arial" w:cs="Arial" w:eastAsia="Arial" w:hAnsi="Arial"/>
          <w:sz w:val="16"/>
          <w:szCs w:val="16"/>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March 31, 2021, options to purchase 1,628,750 shares in the aggregate were forfeited and 5,429,470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 weighted average price for the three days preceding the grant, and with respect to the restricted stock units is recognized on a straight-line basis over the vesting period.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Investment Technology Group, Inc. 2007 Omnibus Equity Compensation Plan</w:t>
      </w:r>
    </w:p>
    <w:p>
      <w:pPr>
        <w:spacing w:after="0" w:line="256" w:lineRule="exact"/>
        <w:rPr>
          <w:sz w:val="20"/>
          <w:szCs w:val="20"/>
          <w:color w:val="auto"/>
        </w:rPr>
      </w:pPr>
    </w:p>
    <w:p>
      <w:pPr>
        <w:ind w:right="20" w:firstLine="629"/>
        <w:spacing w:after="0" w:line="278" w:lineRule="auto"/>
        <w:rPr>
          <w:sz w:val="20"/>
          <w:szCs w:val="20"/>
          <w:color w:val="auto"/>
        </w:rPr>
      </w:pPr>
      <w:r>
        <w:rPr>
          <w:rFonts w:ascii="Arial" w:cs="Arial" w:eastAsia="Arial" w:hAnsi="Arial"/>
          <w:sz w:val="16"/>
          <w:szCs w:val="16"/>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Company Financial Information</w:t>
      </w:r>
    </w:p>
    <w:p>
      <w:pPr>
        <w:spacing w:after="0" w:line="250" w:lineRule="exact"/>
        <w:rPr>
          <w:sz w:val="20"/>
          <w:szCs w:val="20"/>
          <w:color w:val="auto"/>
        </w:rPr>
      </w:pPr>
    </w:p>
    <w:p>
      <w:pPr>
        <w:ind w:firstLine="629"/>
        <w:spacing w:after="0" w:line="261" w:lineRule="auto"/>
        <w:rPr>
          <w:sz w:val="20"/>
          <w:szCs w:val="20"/>
          <w:color w:val="auto"/>
        </w:rPr>
      </w:pPr>
      <w:r>
        <w:rPr>
          <w:rFonts w:ascii="Arial" w:cs="Arial" w:eastAsia="Arial" w:hAnsi="Arial"/>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2021 in the amount of $163.0 million; (ii) deferred tax assets reflected on our Condensed Consolidated Statements of Financial Condition as of March 31, 2021 in the amount of $175.4 million and tax receivable agreement obligation in the amount of $271.2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2021; and (iv) provision for corporate income tax in the amount of $62.4 million reflected on our Condensed Consolidated Statements of Comprehensive Income for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56"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The following table shows our i) Total revenue, ii) Total operating expenses, and iii) Income before income taxes and noncontrolling interest by segment for the three months ended March 31, 2021 and 2020:</w:t>
      </w:r>
    </w:p>
    <w:p>
      <w:pPr>
        <w:spacing w:after="0" w:line="213" w:lineRule="exact"/>
        <w:rPr>
          <w:sz w:val="20"/>
          <w:szCs w:val="20"/>
          <w:color w:val="auto"/>
        </w:rPr>
      </w:pPr>
    </w:p>
    <w:tbl>
      <w:tblPr>
        <w:tblLayout w:type="fixed"/>
        <w:tblInd w:w="1540" w:type="dxa"/>
        <w:tblCellMar>
          <w:top w:w="0" w:type="dxa"/>
          <w:left w:w="0" w:type="dxa"/>
          <w:bottom w:w="0" w:type="dxa"/>
          <w:right w:w="0" w:type="dxa"/>
        </w:tblCellMar>
      </w:tblPr>
      <w:tr>
        <w:trPr>
          <w:trHeight w:val="188"/>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6"/>
                <w:szCs w:val="16"/>
                <w:color w:val="auto"/>
              </w:rPr>
            </w:pPr>
          </w:p>
        </w:tc>
        <w:tc>
          <w:tcPr>
            <w:tcW w:w="2620" w:type="dxa"/>
            <w:vAlign w:val="bottom"/>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823,724</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830,586</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370,447</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379,040</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453,277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451,546</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189,239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169,864</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150,469</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19,395</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171</w:t>
            </w:r>
          </w:p>
        </w:tc>
      </w:tr>
      <w:tr>
        <w:trPr>
          <w:trHeight w:val="186"/>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4,887</w:t>
            </w:r>
          </w:p>
        </w:tc>
      </w:tr>
      <w:tr>
        <w:trPr>
          <w:trHeight w:val="174"/>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(4,716)</w:t>
            </w:r>
          </w:p>
        </w:tc>
      </w:tr>
      <w:tr>
        <w:trPr>
          <w:trHeight w:val="186"/>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Total revenue</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1,012,572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Arial" w:cs="Arial" w:eastAsia="Arial" w:hAnsi="Arial"/>
                <w:sz w:val="14"/>
                <w:szCs w:val="14"/>
                <w:color w:val="auto"/>
              </w:rPr>
              <w:t>1,000,621</w:t>
            </w:r>
          </w:p>
        </w:tc>
      </w:tr>
      <w:tr>
        <w:trPr>
          <w:trHeight w:val="183"/>
        </w:trPr>
        <w:tc>
          <w:tcPr>
            <w:tcW w:w="5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522,785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534,396</w:t>
            </w:r>
          </w:p>
        </w:tc>
      </w:tr>
      <w:tr>
        <w:trPr>
          <w:trHeight w:val="179"/>
        </w:trPr>
        <w:tc>
          <w:tcPr>
            <w:tcW w:w="5260" w:type="dxa"/>
            <w:vAlign w:val="bottom"/>
            <w:gridSpan w:val="2"/>
          </w:tcPr>
          <w:p>
            <w:pPr>
              <w:ind w:left="14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489,787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466,225</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our results of operations for the three months ended March 31, 2021 and 2020:</w:t>
      </w:r>
    </w:p>
    <w:p>
      <w:pPr>
        <w:spacing w:after="0" w:line="279" w:lineRule="exact"/>
        <w:rPr>
          <w:sz w:val="20"/>
          <w:szCs w:val="20"/>
          <w:color w:val="auto"/>
        </w:rPr>
      </w:pPr>
    </w:p>
    <w:tbl>
      <w:tblPr>
        <w:tblLayout w:type="fixed"/>
        <w:tblInd w:w="152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40" w:type="dxa"/>
            <w:vAlign w:val="bottom"/>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Arial" w:cs="Arial" w:eastAsia="Arial" w:hAnsi="Arial"/>
                <w:sz w:val="14"/>
                <w:szCs w:val="14"/>
                <w:b w:val="1"/>
                <w:bCs w:val="1"/>
                <w:color w:val="auto"/>
              </w:rPr>
              <w:t>2020</w:t>
            </w:r>
          </w:p>
        </w:tc>
      </w:tr>
      <w:tr>
        <w:trPr>
          <w:trHeight w:val="176"/>
        </w:trPr>
        <w:tc>
          <w:tcPr>
            <w:tcW w:w="51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r>
      <w:tr>
        <w:trPr>
          <w:trHeight w:val="184"/>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Trading income, net</w:t>
            </w: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812,743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802,466</w:t>
            </w: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Interest and dividends income</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6,997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26,516</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191,649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170,744</w:t>
            </w:r>
          </w:p>
        </w:tc>
      </w:tr>
      <w:tr>
        <w:trPr>
          <w:trHeight w:val="181"/>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 net</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1,183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w:t>
            </w:r>
          </w:p>
        </w:tc>
      </w:tr>
      <w:tr>
        <w:trPr>
          <w:trHeight w:val="179"/>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1,012,572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1,000,621</w:t>
            </w:r>
          </w:p>
        </w:tc>
      </w:tr>
      <w:tr>
        <w:trPr>
          <w:trHeight w:val="210"/>
        </w:trPr>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3"/>
        </w:trPr>
        <w:tc>
          <w:tcPr>
            <w:tcW w:w="5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259,332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173,818</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Communication and data processing</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51,690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55,027</w:t>
            </w: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Employee compensation and payroll taxes</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104,771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170,358</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24,028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41,440</w:t>
            </w: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25,655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27,130</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16,778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17,360</w:t>
            </w: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18,958</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r>
      <w:tr>
        <w:trPr>
          <w:trHeight w:val="181"/>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4,171</w:t>
            </w:r>
          </w:p>
        </w:tc>
      </w:tr>
      <w:tr>
        <w:trPr>
          <w:trHeight w:val="186"/>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1"/>
        </w:trPr>
        <w:tc>
          <w:tcPr>
            <w:tcW w:w="5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19,492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25,670</w:t>
            </w:r>
          </w:p>
        </w:tc>
      </w:tr>
      <w:tr>
        <w:trPr>
          <w:trHeight w:val="179"/>
        </w:trPr>
        <w:tc>
          <w:tcPr>
            <w:tcW w:w="52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522,785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534,396</w:t>
            </w:r>
          </w:p>
        </w:tc>
      </w:tr>
      <w:tr>
        <w:trPr>
          <w:trHeight w:val="174"/>
        </w:trPr>
        <w:tc>
          <w:tcPr>
            <w:tcW w:w="5260" w:type="dxa"/>
            <w:vAlign w:val="bottom"/>
            <w:gridSpan w:val="2"/>
          </w:tcPr>
          <w:p>
            <w:pPr>
              <w:ind w:left="120"/>
              <w:spacing w:after="0"/>
              <w:rPr>
                <w:sz w:val="20"/>
                <w:szCs w:val="20"/>
                <w:color w:val="auto"/>
              </w:rPr>
            </w:pPr>
            <w:r>
              <w:rPr>
                <w:rFonts w:ascii="Arial" w:cs="Arial" w:eastAsia="Arial" w:hAnsi="Arial"/>
                <w:sz w:val="14"/>
                <w:szCs w:val="14"/>
                <w:color w:val="auto"/>
              </w:rPr>
              <w:t>Income before income taxes and noncontrolling interest</w:t>
            </w:r>
          </w:p>
        </w:tc>
        <w:tc>
          <w:tcPr>
            <w:tcW w:w="300" w:type="dxa"/>
            <w:vAlign w:val="bottom"/>
          </w:tcPr>
          <w:p>
            <w:pPr>
              <w:spacing w:after="0"/>
              <w:rPr>
                <w:sz w:val="15"/>
                <w:szCs w:val="15"/>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489,787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466,225</w:t>
            </w:r>
          </w:p>
        </w:tc>
      </w:tr>
      <w:tr>
        <w:trPr>
          <w:trHeight w:val="183"/>
        </w:trPr>
        <w:tc>
          <w:tcPr>
            <w:tcW w:w="5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80,555</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77,987</w:t>
            </w:r>
          </w:p>
        </w:tc>
      </w:tr>
      <w:tr>
        <w:trPr>
          <w:trHeight w:val="179"/>
        </w:trPr>
        <w:tc>
          <w:tcPr>
            <w:tcW w:w="5260" w:type="dxa"/>
            <w:vAlign w:val="bottom"/>
            <w:gridSpan w:val="2"/>
          </w:tcPr>
          <w:p>
            <w:pPr>
              <w:ind w:left="20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409,232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388,238</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127" w:right="89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95" w:lineRule="exact"/>
        <w:rPr>
          <w:sz w:val="20"/>
          <w:szCs w:val="20"/>
          <w:color w:val="auto"/>
        </w:rPr>
      </w:pPr>
    </w:p>
    <w:p>
      <w:pPr>
        <w:ind w:firstLine="629"/>
        <w:spacing w:after="0" w:line="325" w:lineRule="auto"/>
        <w:rPr>
          <w:sz w:val="20"/>
          <w:szCs w:val="20"/>
          <w:color w:val="auto"/>
        </w:rPr>
      </w:pPr>
      <w:r>
        <w:rPr>
          <w:rFonts w:ascii="Arial" w:cs="Arial" w:eastAsia="Arial" w:hAnsi="Arial"/>
          <w:sz w:val="15"/>
          <w:szCs w:val="15"/>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6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 course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making activities and is typically proportional to the level of trading activity, or volumes, and bid/ask spreads in the asset classes we serve. Our trading income is highly diversified by asset class and geography and is comprised of small amounts earned on millions of trades on various exchanges, primarily in the following two categories: (i) Global Equities and (ii) Global FICC, Options and Other. Our trading income, net, results from gains and losses associated with trading strategies, which are designed to capture small bid-ask spreads, while hedging risks. Trading income, net, accounted for 80% and 80% of our total revenues for the three months ended March 31, 2021 and 2020, respectively.</w:t>
      </w:r>
    </w:p>
    <w:p>
      <w:pPr>
        <w:spacing w:after="0" w:line="208"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securities on a regular basis, and we generate revenues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204" w:lineRule="exact"/>
        <w:rPr>
          <w:sz w:val="20"/>
          <w:szCs w:val="20"/>
          <w:color w:val="auto"/>
        </w:rPr>
      </w:pPr>
    </w:p>
    <w:p>
      <w:pPr>
        <w:ind w:right="20" w:firstLine="629"/>
        <w:spacing w:after="0" w:line="261" w:lineRule="auto"/>
        <w:rPr>
          <w:sz w:val="20"/>
          <w:szCs w:val="20"/>
          <w:color w:val="auto"/>
        </w:rPr>
      </w:pPr>
      <w:r>
        <w:rPr>
          <w:rFonts w:ascii="Arial" w:cs="Arial" w:eastAsia="Arial" w:hAnsi="Arial"/>
          <w:sz w:val="17"/>
          <w:szCs w:val="17"/>
          <w:b w:val="1"/>
          <w:bCs w:val="1"/>
          <w:i w:val="1"/>
          <w:iCs w:val="1"/>
          <w:color w:val="auto"/>
        </w:rPr>
        <w:t xml:space="preserve">Commissions, net and technology services. </w:t>
      </w:r>
      <w:r>
        <w:rPr>
          <w:rFonts w:ascii="Arial" w:cs="Arial" w:eastAsia="Arial" w:hAnsi="Arial"/>
          <w:sz w:val="17"/>
          <w:szCs w:val="17"/>
          <w:color w:val="auto"/>
        </w:rPr>
        <w:t>We earn revenues on transactions for which we charge explicit commissions or commission equivalents,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12" w:lineRule="exact"/>
        <w:rPr>
          <w:sz w:val="20"/>
          <w:szCs w:val="20"/>
          <w:color w:val="auto"/>
        </w:rPr>
      </w:pPr>
    </w:p>
    <w:p>
      <w:pPr>
        <w:ind w:right="460" w:firstLine="629"/>
        <w:spacing w:after="0" w:line="273" w:lineRule="auto"/>
        <w:rPr>
          <w:sz w:val="20"/>
          <w:szCs w:val="20"/>
          <w:color w:val="auto"/>
        </w:rPr>
      </w:pPr>
      <w:r>
        <w:rPr>
          <w:rFonts w:ascii="Arial" w:cs="Arial" w:eastAsia="Arial" w:hAnsi="Arial"/>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97"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We have interests in multiple strategic investments and telecommunications joint ventures (“JVs”). We record our pro-rata share of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JV’s earnings or losses within other, net, while fees related to the use of communication services provided by the JVs are recorded within communications and data processing.</w:t>
      </w:r>
    </w:p>
    <w:p>
      <w:pPr>
        <w:spacing w:after="0" w:line="19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We have a noncontrolling investment (the “JNX Investment”) in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97"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Other, net can also include gains on sales of businesses, revenues from service agreements related to the sale of businesses, and the gain or loss on the ineffective portion of derivatives used as cash flow hedging instruments.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b w:val="1"/>
          <w:bCs w:val="1"/>
          <w:i w:val="1"/>
          <w:iCs w:val="1"/>
          <w:color w:val="auto"/>
        </w:rPr>
        <w:t xml:space="preserve">Brokerage, exchange, clearance fees and payments for order flow, net. </w:t>
      </w:r>
      <w:r>
        <w:rPr>
          <w:rFonts w:ascii="Arial" w:cs="Arial" w:eastAsia="Arial" w:hAnsi="Arial"/>
          <w:sz w:val="16"/>
          <w:szCs w:val="16"/>
          <w:color w:val="auto"/>
        </w:rPr>
        <w:t>Brokerage, exchange, clearance fees and payments for order flow are our most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5" w:lineRule="exact"/>
        <w:rPr>
          <w:sz w:val="20"/>
          <w:szCs w:val="20"/>
          <w:color w:val="auto"/>
        </w:rPr>
      </w:pPr>
    </w:p>
    <w:p>
      <w:pPr>
        <w:ind w:right="60" w:firstLine="629"/>
        <w:spacing w:after="0" w:line="289"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and non-cash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204" w:lineRule="exact"/>
        <w:rPr>
          <w:sz w:val="20"/>
          <w:szCs w:val="20"/>
          <w:color w:val="auto"/>
        </w:rPr>
      </w:pPr>
    </w:p>
    <w:p>
      <w:pPr>
        <w:ind w:right="140" w:firstLine="629"/>
        <w:spacing w:after="0" w:line="322" w:lineRule="auto"/>
        <w:rPr>
          <w:sz w:val="20"/>
          <w:szCs w:val="20"/>
          <w:color w:val="auto"/>
        </w:rPr>
      </w:pPr>
      <w:r>
        <w:rPr>
          <w:rFonts w:ascii="Arial" w:cs="Arial" w:eastAsia="Arial" w:hAnsi="Arial"/>
          <w:sz w:val="16"/>
          <w:szCs w:val="16"/>
          <w:b w:val="1"/>
          <w:bCs w:val="1"/>
          <w:i w:val="1"/>
          <w:iCs w:val="1"/>
          <w:color w:val="auto"/>
        </w:rPr>
        <w:t xml:space="preserve">Interest and dividends expense. </w:t>
      </w:r>
      <w:r>
        <w:rPr>
          <w:rFonts w:ascii="Arial" w:cs="Arial" w:eastAsia="Arial" w:hAnsi="Arial"/>
          <w:sz w:val="16"/>
          <w:szCs w:val="16"/>
          <w:color w:val="auto"/>
        </w:rPr>
        <w:t>We incur interest expense from loaning certain equity securities in the general course of our market making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collateralized lending transactions. Typically, dividend expense is incurred when a dividend is paid on securities sold short.</w:t>
      </w:r>
    </w:p>
    <w:p>
      <w:pPr>
        <w:spacing w:after="0" w:line="161"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 professional fees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expenses.</w:t>
      </w:r>
    </w:p>
    <w:p>
      <w:pPr>
        <w:spacing w:after="0" w:line="184" w:lineRule="exact"/>
        <w:rPr>
          <w:sz w:val="20"/>
          <w:szCs w:val="20"/>
          <w:color w:val="auto"/>
        </w:rPr>
      </w:pPr>
    </w:p>
    <w:p>
      <w:pPr>
        <w:ind w:right="80" w:firstLine="629"/>
        <w:spacing w:after="0" w:line="26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208" w:lineRule="exact"/>
        <w:rPr>
          <w:sz w:val="20"/>
          <w:szCs w:val="20"/>
          <w:color w:val="auto"/>
        </w:rPr>
      </w:pPr>
    </w:p>
    <w:p>
      <w:pPr>
        <w:ind w:right="240" w:firstLine="629"/>
        <w:spacing w:after="0" w:line="267"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204"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Termination of office leases. </w:t>
      </w:r>
      <w:r>
        <w:rPr>
          <w:rFonts w:ascii="Arial" w:cs="Arial" w:eastAsia="Arial" w:hAnsi="Arial"/>
          <w:sz w:val="17"/>
          <w:szCs w:val="17"/>
          <w:color w:val="auto"/>
        </w:rPr>
        <w:t>Termination of office leases represents the write-off expense related to certain office space we ceased use of as part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effort to integrate and consolidate office space in connection with the Acquisition of KCG and the ITG Acquisition. The aggregate write-off amount includes the impairment of operating lease right-of-use assets, leasehold improvements and fixed assets, and dilapidation charges.</w:t>
      </w:r>
    </w:p>
    <w:p>
      <w:pPr>
        <w:spacing w:after="0" w:line="197" w:lineRule="exact"/>
        <w:rPr>
          <w:sz w:val="20"/>
          <w:szCs w:val="20"/>
          <w:color w:val="auto"/>
        </w:rPr>
      </w:pPr>
    </w:p>
    <w:p>
      <w:pPr>
        <w:jc w:val="both"/>
        <w:ind w:right="240" w:firstLine="629"/>
        <w:spacing w:after="0" w:line="325" w:lineRule="auto"/>
        <w:rPr>
          <w:sz w:val="20"/>
          <w:szCs w:val="20"/>
          <w:color w:val="auto"/>
        </w:rPr>
      </w:pPr>
      <w:r>
        <w:rPr>
          <w:rFonts w:ascii="Arial" w:cs="Arial" w:eastAsia="Arial" w:hAnsi="Arial"/>
          <w:sz w:val="15"/>
          <w:szCs w:val="15"/>
          <w:b w:val="1"/>
          <w:bCs w:val="1"/>
          <w:i w:val="1"/>
          <w:iCs w:val="1"/>
          <w:color w:val="auto"/>
        </w:rPr>
        <w:t xml:space="preserve">Debt issue costs related to debt refinancing, prepayment and commitment fees. </w:t>
      </w:r>
      <w:r>
        <w:rPr>
          <w:rFonts w:ascii="Arial" w:cs="Arial" w:eastAsia="Arial" w:hAnsi="Arial"/>
          <w:sz w:val="15"/>
          <w:szCs w:val="15"/>
          <w:color w:val="auto"/>
        </w:rPr>
        <w:t>As a result of the refinancing or early termination of our long-term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borrowings, we accelerate the capitalized debt issue costs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6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primarily reflect professional fees incurred by us in connection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one or more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b w:val="1"/>
          <w:bCs w:val="1"/>
          <w:i w:val="1"/>
          <w:iCs w:val="1"/>
          <w:color w:val="auto"/>
        </w:rPr>
        <w:t xml:space="preserve">Financing interest expense on long-term borrowings. </w:t>
      </w:r>
      <w:r>
        <w:rPr>
          <w:rFonts w:ascii="Arial" w:cs="Arial" w:eastAsia="Arial" w:hAnsi="Arial"/>
          <w:sz w:val="17"/>
          <w:szCs w:val="17"/>
          <w:color w:val="auto"/>
        </w:rPr>
        <w:t>Financing interest expense reflects interest accrued on outstanding indebtedness under our long-term borrowing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p>
      <w:pPr>
        <w:spacing w:after="0" w:line="25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We are subject to U.S. federal, state and local income tax at the rate applicable to corporations less the rate attributable to the noncontrolling interest in Virtu Financial.</w:t>
      </w:r>
    </w:p>
    <w:p>
      <w:pPr>
        <w:spacing w:after="0" w:line="184" w:lineRule="exact"/>
        <w:rPr>
          <w:sz w:val="20"/>
          <w:szCs w:val="20"/>
          <w:color w:val="auto"/>
        </w:rPr>
      </w:pPr>
    </w:p>
    <w:p>
      <w:pPr>
        <w:jc w:val="both"/>
        <w:ind w:right="180" w:firstLine="629"/>
        <w:spacing w:after="0" w:line="297" w:lineRule="auto"/>
        <w:rPr>
          <w:sz w:val="20"/>
          <w:szCs w:val="20"/>
          <w:color w:val="auto"/>
        </w:rPr>
      </w:pPr>
      <w:r>
        <w:rPr>
          <w:rFonts w:ascii="Arial" w:cs="Arial" w:eastAsia="Arial" w:hAnsi="Arial"/>
          <w:sz w:val="15"/>
          <w:szCs w:val="15"/>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ind w:right="300"/>
        <w:spacing w:after="0" w:line="274" w:lineRule="auto"/>
        <w:rPr>
          <w:sz w:val="20"/>
          <w:szCs w:val="20"/>
          <w:color w:val="auto"/>
        </w:rPr>
      </w:pPr>
      <w:r>
        <w:rPr>
          <w:rFonts w:ascii="Arial" w:cs="Arial" w:eastAsia="Arial" w:hAnsi="Arial"/>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7"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 and Other Items</w:t>
      </w:r>
    </w:p>
    <w:p>
      <w:pPr>
        <w:spacing w:after="0" w:line="256"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84" w:lineRule="exact"/>
        <w:rPr>
          <w:sz w:val="20"/>
          <w:szCs w:val="20"/>
          <w:color w:val="auto"/>
        </w:rPr>
      </w:pPr>
    </w:p>
    <w:p>
      <w:pPr>
        <w:ind w:left="1020" w:hanging="229"/>
        <w:spacing w:after="0" w:line="281" w:lineRule="auto"/>
        <w:tabs>
          <w:tab w:leader="none" w:pos="101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Management believes that this measurement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63" w:lineRule="exact"/>
        <w:rPr>
          <w:rFonts w:ascii="Arial" w:cs="Arial" w:eastAsia="Arial" w:hAnsi="Arial"/>
          <w:sz w:val="16"/>
          <w:szCs w:val="16"/>
          <w:color w:val="auto"/>
        </w:rPr>
      </w:pPr>
    </w:p>
    <w:p>
      <w:pPr>
        <w:ind w:left="1020" w:right="100" w:hanging="229"/>
        <w:spacing w:after="0" w:line="308" w:lineRule="auto"/>
        <w:tabs>
          <w:tab w:leader="none" w:pos="1016" w:val="left"/>
        </w:tabs>
        <w:numPr>
          <w:ilvl w:val="0"/>
          <w:numId w:val="15"/>
        </w:numPr>
        <w:rPr>
          <w:rFonts w:ascii="Arial" w:cs="Arial" w:eastAsia="Arial" w:hAnsi="Arial"/>
          <w:sz w:val="15"/>
          <w:szCs w:val="15"/>
          <w:color w:val="auto"/>
        </w:rPr>
      </w:pPr>
      <w:r>
        <w:rPr>
          <w:rFonts w:ascii="Arial" w:cs="Arial" w:eastAsia="Arial" w:hAnsi="Arial"/>
          <w:sz w:val="15"/>
          <w:szCs w:val="15"/>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 based compensation and other expenses, which includes reserves for legal matters, COVID-19 one-time costs and donations and Other, net.</w:t>
      </w:r>
    </w:p>
    <w:p>
      <w:pPr>
        <w:spacing w:after="0" w:line="45" w:lineRule="exact"/>
        <w:rPr>
          <w:rFonts w:ascii="Arial" w:cs="Arial" w:eastAsia="Arial" w:hAnsi="Arial"/>
          <w:sz w:val="15"/>
          <w:szCs w:val="15"/>
          <w:color w:val="auto"/>
        </w:rPr>
      </w:pPr>
    </w:p>
    <w:p>
      <w:pPr>
        <w:ind w:left="1020" w:right="180" w:hanging="229"/>
        <w:spacing w:after="0" w:line="267" w:lineRule="auto"/>
        <w:tabs>
          <w:tab w:leader="none" w:pos="10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“Normalized Adjusted Net Income”, “Normalized Adjusted Net Income before income taxes”, “Normalized provision for income taxes”, and “Normalized Adjusted EPS”, which we calculate by adjusting Net Income to exclude certain items including IPO-related adjustments and other non-cash items, assuming that all vested and unvested Virtu Financial Units have been exchanged for Class A Common Stock, and applying an effective tax rate, which was approximately 24%.</w:t>
      </w:r>
    </w:p>
    <w:p>
      <w:pPr>
        <w:spacing w:after="0" w:line="73" w:lineRule="exact"/>
        <w:rPr>
          <w:rFonts w:ascii="Arial" w:cs="Arial" w:eastAsia="Arial" w:hAnsi="Arial"/>
          <w:sz w:val="17"/>
          <w:szCs w:val="17"/>
          <w:color w:val="auto"/>
        </w:rPr>
      </w:pPr>
    </w:p>
    <w:p>
      <w:pPr>
        <w:ind w:left="1020" w:hanging="229"/>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76" w:lineRule="auto"/>
        <w:rPr>
          <w:sz w:val="20"/>
          <w:szCs w:val="20"/>
          <w:color w:val="auto"/>
        </w:rPr>
      </w:pPr>
      <w:r>
        <w:rPr>
          <w:rFonts w:ascii="Arial" w:cs="Arial" w:eastAsia="Arial" w:hAnsi="Arial"/>
          <w:sz w:val="16"/>
          <w:szCs w:val="16"/>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Additional information provided regarding the breakdown of total Adjusted Net Trading Income by category is also a non-GAAP financial measure but is not used by the Company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6" w:lineRule="exact"/>
        <w:rPr>
          <w:sz w:val="20"/>
          <w:szCs w:val="20"/>
          <w:color w:val="auto"/>
        </w:rPr>
      </w:pPr>
    </w:p>
    <w:p>
      <w:pPr>
        <w:ind w:right="100" w:firstLine="629"/>
        <w:spacing w:after="0" w:line="267" w:lineRule="auto"/>
        <w:rPr>
          <w:sz w:val="20"/>
          <w:szCs w:val="20"/>
          <w:color w:val="auto"/>
        </w:rPr>
      </w:pPr>
      <w:r>
        <w:rPr>
          <w:rFonts w:ascii="Arial" w:cs="Arial" w:eastAsia="Arial" w:hAnsi="Arial"/>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204" w:lineRule="exact"/>
        <w:rPr>
          <w:sz w:val="20"/>
          <w:szCs w:val="20"/>
          <w:color w:val="auto"/>
        </w:rPr>
      </w:pPr>
    </w:p>
    <w:p>
      <w:pPr>
        <w:ind w:left="1020" w:hanging="229"/>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they do not reflect every cash expenditure, future requirements for capital expenditures or contractual commitments;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1020" w:right="360" w:hanging="229"/>
        <w:spacing w:after="0" w:line="289" w:lineRule="auto"/>
        <w:tabs>
          <w:tab w:leader="none" w:pos="10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EBITDA-based measures do not reflect the significant interest expense or the cash requirements necessary to service interest or principal payment on our debt;</w:t>
      </w:r>
    </w:p>
    <w:p>
      <w:pPr>
        <w:spacing w:after="0" w:line="53" w:lineRule="exact"/>
        <w:rPr>
          <w:rFonts w:ascii="Arial" w:cs="Arial" w:eastAsia="Arial" w:hAnsi="Arial"/>
          <w:sz w:val="17"/>
          <w:szCs w:val="17"/>
          <w:color w:val="auto"/>
        </w:rPr>
      </w:pPr>
    </w:p>
    <w:p>
      <w:pPr>
        <w:ind w:left="1020" w:right="40" w:hanging="229"/>
        <w:spacing w:after="0" w:line="359" w:lineRule="auto"/>
        <w:tabs>
          <w:tab w:leader="none" w:pos="1016" w:val="left"/>
        </w:tabs>
        <w:numPr>
          <w:ilvl w:val="0"/>
          <w:numId w:val="17"/>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7" w:lineRule="exact"/>
        <w:rPr>
          <w:rFonts w:ascii="Arial" w:cs="Arial" w:eastAsia="Arial" w:hAnsi="Arial"/>
          <w:sz w:val="15"/>
          <w:szCs w:val="15"/>
          <w:color w:val="auto"/>
        </w:rPr>
      </w:pPr>
    </w:p>
    <w:p>
      <w:pPr>
        <w:ind w:left="1020" w:hanging="229"/>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are not adjusted for all non-cash income or expense items that are reflected in our statements of cash flows;</w:t>
      </w:r>
    </w:p>
    <w:p>
      <w:pPr>
        <w:spacing w:after="0" w:line="118" w:lineRule="exact"/>
        <w:rPr>
          <w:rFonts w:ascii="Arial" w:cs="Arial" w:eastAsia="Arial" w:hAnsi="Arial"/>
          <w:sz w:val="17"/>
          <w:szCs w:val="17"/>
          <w:color w:val="auto"/>
        </w:rPr>
      </w:pPr>
    </w:p>
    <w:p>
      <w:pPr>
        <w:ind w:left="1020" w:hanging="229"/>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and</w:t>
      </w:r>
    </w:p>
    <w:p>
      <w:pPr>
        <w:spacing w:after="0" w:line="130" w:lineRule="exact"/>
        <w:rPr>
          <w:rFonts w:ascii="Arial" w:cs="Arial" w:eastAsia="Arial" w:hAnsi="Arial"/>
          <w:sz w:val="16"/>
          <w:szCs w:val="16"/>
          <w:color w:val="auto"/>
        </w:rPr>
      </w:pPr>
    </w:p>
    <w:p>
      <w:pPr>
        <w:ind w:left="1020" w:hanging="229"/>
        <w:spacing w:after="0"/>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208"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The following table reconciles the Condensed Consolidated Statements of Comprehensive Income to arrive at Adjusted Net Trading Income, EBITDA, Adjusted EBITDA, and Operating Margins for the three months ended March 31, 2021 and 2020.</w:t>
      </w:r>
    </w:p>
    <w:p>
      <w:pPr>
        <w:spacing w:after="0" w:line="213"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3"/>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Arial" w:cs="Arial" w:eastAsia="Arial" w:hAnsi="Arial"/>
                <w:sz w:val="14"/>
                <w:szCs w:val="14"/>
                <w:b w:val="1"/>
                <w:bCs w:val="1"/>
                <w:color w:val="auto"/>
              </w:rPr>
              <w:t>2020</w:t>
            </w:r>
          </w:p>
        </w:tc>
      </w:tr>
      <w:tr>
        <w:trPr>
          <w:trHeight w:val="177"/>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Trading income, net</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812,743</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802,466</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and dividends income</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6,997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26,516</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Commissions, net and technology services</w:t>
            </w:r>
          </w:p>
        </w:tc>
        <w:tc>
          <w:tcPr>
            <w:tcW w:w="260" w:type="dxa"/>
            <w:vAlign w:val="bottom"/>
          </w:tcPr>
          <w:p>
            <w:pPr>
              <w:spacing w:after="0"/>
              <w:rPr>
                <w:sz w:val="15"/>
                <w:szCs w:val="15"/>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191,649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170,744</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exchange, clearance fees and payments for order flow, net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(259,332)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(173,818)</w:t>
            </w:r>
          </w:p>
        </w:tc>
      </w:tr>
      <w:tr>
        <w:trPr>
          <w:trHeight w:val="181"/>
        </w:trPr>
        <w:tc>
          <w:tcPr>
            <w:tcW w:w="5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Interest and dividends expense</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(24,028)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(41,440)</w:t>
            </w:r>
          </w:p>
        </w:tc>
      </w:tr>
      <w:tr>
        <w:trPr>
          <w:trHeight w:val="204"/>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728,029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784,468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3"/>
        </w:trPr>
        <w:tc>
          <w:tcPr>
            <w:tcW w:w="59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Net Income to EBITDA and Adjusted EBITDA</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409,232</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388,238</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Financing interest expense on long-term borrowings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19,492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25,670</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260" w:type="dxa"/>
            <w:vAlign w:val="bottom"/>
          </w:tcPr>
          <w:p>
            <w:pPr>
              <w:spacing w:after="0"/>
              <w:rPr>
                <w:sz w:val="15"/>
                <w:szCs w:val="15"/>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4,171</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16,778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17,360</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260" w:type="dxa"/>
            <w:vAlign w:val="bottom"/>
          </w:tcPr>
          <w:p>
            <w:pPr>
              <w:spacing w:after="0"/>
              <w:rPr>
                <w:sz w:val="15"/>
                <w:szCs w:val="15"/>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18,958</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80,555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77,987</w:t>
            </w:r>
          </w:p>
        </w:tc>
      </w:tr>
      <w:tr>
        <w:trPr>
          <w:trHeight w:val="174"/>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545,889</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532,384</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Severance</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4,200</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Transaction advisory fees and expenses</w:t>
            </w:r>
          </w:p>
        </w:tc>
        <w:tc>
          <w:tcPr>
            <w:tcW w:w="260" w:type="dxa"/>
            <w:vAlign w:val="bottom"/>
          </w:tcPr>
          <w:p>
            <w:pPr>
              <w:spacing w:after="0"/>
              <w:rPr>
                <w:sz w:val="15"/>
                <w:szCs w:val="15"/>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188</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Termination of office leases</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276</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2,831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6,910</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 based compensation</w:t>
            </w: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12,778</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25,744</w:t>
            </w:r>
          </w:p>
        </w:tc>
      </w:tr>
      <w:tr>
        <w:trPr>
          <w:trHeight w:val="176"/>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564,725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569,702</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6"/>
        </w:trPr>
        <w:tc>
          <w:tcPr>
            <w:tcW w:w="5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3"/>
        </w:trPr>
        <w:tc>
          <w:tcPr>
            <w:tcW w:w="592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Operating Margins</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4"/>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Income Margin (1)</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56.2 %</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49.5 %</w:t>
            </w:r>
          </w:p>
        </w:tc>
      </w:tr>
      <w:tr>
        <w:trPr>
          <w:trHeight w:val="181"/>
        </w:trPr>
        <w:tc>
          <w:tcPr>
            <w:tcW w:w="5920" w:type="dxa"/>
            <w:vAlign w:val="bottom"/>
            <w:gridSpan w:val="2"/>
          </w:tcPr>
          <w:p>
            <w:pPr>
              <w:ind w:left="120"/>
              <w:spacing w:after="0"/>
              <w:rPr>
                <w:sz w:val="20"/>
                <w:szCs w:val="20"/>
                <w:color w:val="auto"/>
              </w:rPr>
            </w:pPr>
            <w:r>
              <w:rPr>
                <w:rFonts w:ascii="Arial" w:cs="Arial" w:eastAsia="Arial" w:hAnsi="Arial"/>
                <w:sz w:val="14"/>
                <w:szCs w:val="14"/>
                <w:color w:val="auto"/>
              </w:rPr>
              <w:t>EBITDA Margin (2)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67.9 %</w:t>
            </w:r>
          </w:p>
        </w:tc>
      </w:tr>
      <w:tr>
        <w:trPr>
          <w:trHeight w:val="186"/>
        </w:trPr>
        <w:tc>
          <w:tcPr>
            <w:tcW w:w="5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Adjusted EBITDA Margin (3)</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72.6 %</w:t>
            </w:r>
          </w:p>
        </w:tc>
      </w:tr>
    </w:tbl>
    <w:p>
      <w:pPr>
        <w:spacing w:after="0" w:line="82" w:lineRule="exact"/>
        <w:rPr>
          <w:sz w:val="20"/>
          <w:szCs w:val="20"/>
          <w:color w:val="auto"/>
        </w:rPr>
      </w:pPr>
    </w:p>
    <w:p>
      <w:pPr>
        <w:ind w:left="400" w:hanging="395"/>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net income by Adjusted Net Trading Income.</w:t>
      </w:r>
    </w:p>
    <w:p>
      <w:pPr>
        <w:spacing w:after="0" w:line="13" w:lineRule="exact"/>
        <w:rPr>
          <w:rFonts w:ascii="Arial" w:cs="Arial" w:eastAsia="Arial" w:hAnsi="Arial"/>
          <w:sz w:val="16"/>
          <w:szCs w:val="16"/>
          <w:color w:val="auto"/>
        </w:rPr>
      </w:pPr>
    </w:p>
    <w:p>
      <w:pPr>
        <w:ind w:left="400" w:hanging="395"/>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EBITDA by Adjusted Net Trading Income.</w:t>
      </w:r>
    </w:p>
    <w:p>
      <w:pPr>
        <w:ind w:left="400" w:hanging="395"/>
        <w:spacing w:after="0"/>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Calculated by dividing Adjusted EBITDA by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reconciles Net Income to arrive at Normalized Adjusted Net Income before income taxes, Normalized provision for income taxes,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Normalized Adjusted Net Income and Normalized Adjusted EPS for the three months ended March 31, 2021 and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1520" w:type="dxa"/>
            <w:vAlign w:val="bottom"/>
          </w:tcPr>
          <w:p>
            <w:pPr>
              <w:spacing w:after="0"/>
              <w:rPr>
                <w:sz w:val="15"/>
                <w:szCs w:val="15"/>
                <w:color w:val="auto"/>
              </w:rPr>
            </w:pPr>
          </w:p>
        </w:tc>
        <w:tc>
          <w:tcPr>
            <w:tcW w:w="5340" w:type="dxa"/>
            <w:vAlign w:val="bottom"/>
            <w:gridSpan w:val="3"/>
          </w:tcPr>
          <w:p>
            <w:pPr>
              <w:ind w:left="3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5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Arial" w:cs="Arial" w:eastAsia="Arial" w:hAnsi="Arial"/>
                <w:sz w:val="14"/>
                <w:szCs w:val="14"/>
                <w:b w:val="1"/>
                <w:bCs w:val="1"/>
                <w:color w:val="auto"/>
              </w:rPr>
              <w:t>2020</w:t>
            </w:r>
          </w:p>
        </w:tc>
      </w:tr>
      <w:tr>
        <w:trPr>
          <w:trHeight w:val="177"/>
        </w:trPr>
        <w:tc>
          <w:tcPr>
            <w:tcW w:w="1520" w:type="dxa"/>
            <w:vAlign w:val="bottom"/>
          </w:tcPr>
          <w:p>
            <w:pPr>
              <w:spacing w:after="0"/>
              <w:rPr>
                <w:sz w:val="15"/>
                <w:szCs w:val="15"/>
                <w:color w:val="auto"/>
              </w:rPr>
            </w:pPr>
          </w:p>
        </w:tc>
        <w:tc>
          <w:tcPr>
            <w:tcW w:w="520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81"/>
        </w:trPr>
        <w:tc>
          <w:tcPr>
            <w:tcW w:w="1520" w:type="dxa"/>
            <w:vAlign w:val="bottom"/>
          </w:tcPr>
          <w:p>
            <w:pPr>
              <w:spacing w:after="0"/>
              <w:rPr>
                <w:sz w:val="15"/>
                <w:szCs w:val="15"/>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color w:val="auto"/>
              </w:rPr>
              <w:t>Net income (loss)</w:t>
            </w:r>
          </w:p>
        </w:tc>
        <w:tc>
          <w:tcPr>
            <w:tcW w:w="5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409,232</w:t>
            </w:r>
          </w:p>
        </w:tc>
        <w:tc>
          <w:tcPr>
            <w:tcW w:w="100" w:type="dxa"/>
            <w:vAlign w:val="bottom"/>
          </w:tcPr>
          <w:p>
            <w:pPr>
              <w:spacing w:after="0"/>
              <w:rPr>
                <w:sz w:val="15"/>
                <w:szCs w:val="15"/>
                <w:color w:val="auto"/>
              </w:rPr>
            </w:pPr>
          </w:p>
        </w:tc>
        <w:tc>
          <w:tcPr>
            <w:tcW w:w="6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388,238</w:t>
            </w:r>
          </w:p>
        </w:tc>
      </w:tr>
      <w:tr>
        <w:trPr>
          <w:trHeight w:val="186"/>
        </w:trPr>
        <w:tc>
          <w:tcPr>
            <w:tcW w:w="1520" w:type="dxa"/>
            <w:vAlign w:val="bottom"/>
          </w:tcPr>
          <w:p>
            <w:pPr>
              <w:spacing w:after="0"/>
              <w:rPr>
                <w:sz w:val="16"/>
                <w:szCs w:val="16"/>
                <w:color w:val="auto"/>
              </w:rPr>
            </w:pPr>
          </w:p>
        </w:tc>
        <w:tc>
          <w:tcPr>
            <w:tcW w:w="534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Provision for income taxes</w:t>
            </w:r>
          </w:p>
        </w:tc>
        <w:tc>
          <w:tcPr>
            <w:tcW w:w="5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80,555</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77,987</w:t>
            </w:r>
          </w:p>
        </w:tc>
      </w:tr>
      <w:tr>
        <w:trPr>
          <w:trHeight w:val="174"/>
        </w:trPr>
        <w:tc>
          <w:tcPr>
            <w:tcW w:w="1520" w:type="dxa"/>
            <w:vAlign w:val="bottom"/>
          </w:tcPr>
          <w:p>
            <w:pPr>
              <w:spacing w:after="0"/>
              <w:rPr>
                <w:sz w:val="15"/>
                <w:szCs w:val="15"/>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color w:val="auto"/>
              </w:rPr>
              <w:t>Income (loss) before income taxes</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489,787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466,225</w:t>
            </w:r>
          </w:p>
        </w:tc>
      </w:tr>
      <w:tr>
        <w:trPr>
          <w:trHeight w:val="212"/>
        </w:trPr>
        <w:tc>
          <w:tcPr>
            <w:tcW w:w="15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181"/>
        </w:trPr>
        <w:tc>
          <w:tcPr>
            <w:tcW w:w="1520" w:type="dxa"/>
            <w:vAlign w:val="bottom"/>
          </w:tcPr>
          <w:p>
            <w:pPr>
              <w:spacing w:after="0"/>
              <w:rPr>
                <w:sz w:val="15"/>
                <w:szCs w:val="15"/>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color w:val="auto"/>
              </w:rPr>
              <w:t>Amortization of purchased intangibles and acquired capitalized software</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18,077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18,958</w:t>
            </w:r>
          </w:p>
        </w:tc>
      </w:tr>
      <w:tr>
        <w:trPr>
          <w:trHeight w:val="186"/>
        </w:trPr>
        <w:tc>
          <w:tcPr>
            <w:tcW w:w="1520" w:type="dxa"/>
            <w:vAlign w:val="bottom"/>
          </w:tcPr>
          <w:p>
            <w:pPr>
              <w:spacing w:after="0"/>
              <w:rPr>
                <w:sz w:val="16"/>
                <w:szCs w:val="16"/>
                <w:color w:val="auto"/>
              </w:rPr>
            </w:pPr>
          </w:p>
        </w:tc>
        <w:tc>
          <w:tcPr>
            <w:tcW w:w="534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Debt issue cost related to debt refinancing, prepayment, and commitment fees</w:t>
            </w: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1,755</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w:t>
            </w:r>
          </w:p>
        </w:tc>
      </w:tr>
      <w:tr>
        <w:trPr>
          <w:trHeight w:val="181"/>
        </w:trPr>
        <w:tc>
          <w:tcPr>
            <w:tcW w:w="1520" w:type="dxa"/>
            <w:vAlign w:val="bottom"/>
          </w:tcPr>
          <w:p>
            <w:pPr>
              <w:spacing w:after="0"/>
              <w:rPr>
                <w:sz w:val="15"/>
                <w:szCs w:val="15"/>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color w:val="auto"/>
              </w:rPr>
              <w:t>Severance</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4,200</w:t>
            </w:r>
          </w:p>
        </w:tc>
      </w:tr>
      <w:tr>
        <w:trPr>
          <w:trHeight w:val="186"/>
        </w:trPr>
        <w:tc>
          <w:tcPr>
            <w:tcW w:w="1520" w:type="dxa"/>
            <w:vAlign w:val="bottom"/>
          </w:tcPr>
          <w:p>
            <w:pPr>
              <w:spacing w:after="0"/>
              <w:rPr>
                <w:sz w:val="16"/>
                <w:szCs w:val="16"/>
                <w:color w:val="auto"/>
              </w:rPr>
            </w:pPr>
          </w:p>
        </w:tc>
        <w:tc>
          <w:tcPr>
            <w:tcW w:w="534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Transaction advisory fees and expenses</w:t>
            </w: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181"/>
        </w:trPr>
        <w:tc>
          <w:tcPr>
            <w:tcW w:w="1520" w:type="dxa"/>
            <w:vAlign w:val="bottom"/>
          </w:tcPr>
          <w:p>
            <w:pPr>
              <w:spacing w:after="0"/>
              <w:rPr>
                <w:sz w:val="15"/>
                <w:szCs w:val="15"/>
                <w:color w:val="auto"/>
              </w:rPr>
            </w:pPr>
          </w:p>
        </w:tc>
        <w:tc>
          <w:tcPr>
            <w:tcW w:w="5340" w:type="dxa"/>
            <w:vAlign w:val="bottom"/>
            <w:gridSpan w:val="3"/>
          </w:tcPr>
          <w:p>
            <w:pPr>
              <w:ind w:left="440"/>
              <w:spacing w:after="0"/>
              <w:rPr>
                <w:sz w:val="20"/>
                <w:szCs w:val="20"/>
                <w:color w:val="auto"/>
              </w:rPr>
            </w:pPr>
            <w:r>
              <w:rPr>
                <w:rFonts w:ascii="Arial" w:cs="Arial" w:eastAsia="Arial" w:hAnsi="Arial"/>
                <w:sz w:val="14"/>
                <w:szCs w:val="14"/>
                <w:color w:val="auto"/>
              </w:rPr>
              <w:t>Termination of office leases</w:t>
            </w:r>
          </w:p>
        </w:tc>
        <w:tc>
          <w:tcPr>
            <w:tcW w:w="5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1,221</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276</w:t>
            </w:r>
          </w:p>
        </w:tc>
      </w:tr>
      <w:tr>
        <w:trPr>
          <w:trHeight w:val="186"/>
        </w:trPr>
        <w:tc>
          <w:tcPr>
            <w:tcW w:w="1520" w:type="dxa"/>
            <w:vAlign w:val="bottom"/>
          </w:tcPr>
          <w:p>
            <w:pPr>
              <w:spacing w:after="0"/>
              <w:rPr>
                <w:sz w:val="16"/>
                <w:szCs w:val="16"/>
                <w:color w:val="auto"/>
              </w:rPr>
            </w:pPr>
          </w:p>
        </w:tc>
        <w:tc>
          <w:tcPr>
            <w:tcW w:w="534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Other</w:t>
            </w:r>
          </w:p>
        </w:tc>
        <w:tc>
          <w:tcPr>
            <w:tcW w:w="5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6,910</w:t>
            </w:r>
          </w:p>
        </w:tc>
      </w:tr>
      <w:tr>
        <w:trPr>
          <w:trHeight w:val="181"/>
        </w:trPr>
        <w:tc>
          <w:tcPr>
            <w:tcW w:w="1520" w:type="dxa"/>
            <w:vAlign w:val="bottom"/>
          </w:tcPr>
          <w:p>
            <w:pPr>
              <w:spacing w:after="0"/>
              <w:rPr>
                <w:sz w:val="15"/>
                <w:szCs w:val="15"/>
                <w:color w:val="auto"/>
              </w:rPr>
            </w:pPr>
          </w:p>
        </w:tc>
        <w:tc>
          <w:tcPr>
            <w:tcW w:w="5340" w:type="dxa"/>
            <w:vAlign w:val="bottom"/>
            <w:tcBorders>
              <w:bottom w:val="single" w:sz="8" w:color="CCEEFF"/>
            </w:tcBorders>
            <w:gridSpan w:val="3"/>
          </w:tcPr>
          <w:p>
            <w:pPr>
              <w:ind w:left="440"/>
              <w:spacing w:after="0"/>
              <w:rPr>
                <w:sz w:val="20"/>
                <w:szCs w:val="20"/>
                <w:color w:val="auto"/>
              </w:rPr>
            </w:pPr>
            <w:r>
              <w:rPr>
                <w:rFonts w:ascii="Arial" w:cs="Arial" w:eastAsia="Arial" w:hAnsi="Arial"/>
                <w:sz w:val="14"/>
                <w:szCs w:val="14"/>
                <w:color w:val="auto"/>
              </w:rPr>
              <w:t>Share based compensation</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12,778</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25,744</w:t>
            </w:r>
          </w:p>
        </w:tc>
      </w:tr>
      <w:tr>
        <w:trPr>
          <w:trHeight w:val="179"/>
        </w:trPr>
        <w:tc>
          <w:tcPr>
            <w:tcW w:w="1520" w:type="dxa"/>
            <w:vAlign w:val="bottom"/>
          </w:tcPr>
          <w:p>
            <w:pPr>
              <w:spacing w:after="0"/>
              <w:rPr>
                <w:sz w:val="15"/>
                <w:szCs w:val="15"/>
                <w:color w:val="auto"/>
              </w:rPr>
            </w:pPr>
          </w:p>
        </w:tc>
        <w:tc>
          <w:tcPr>
            <w:tcW w:w="5340" w:type="dxa"/>
            <w:vAlign w:val="bottom"/>
            <w:gridSpan w:val="3"/>
            <w:shd w:val="clear" w:color="auto" w:fill="CCEEFF"/>
          </w:tcPr>
          <w:p>
            <w:pPr>
              <w:ind w:left="440"/>
              <w:spacing w:after="0"/>
              <w:rPr>
                <w:sz w:val="20"/>
                <w:szCs w:val="20"/>
                <w:color w:val="auto"/>
              </w:rPr>
            </w:pPr>
            <w:r>
              <w:rPr>
                <w:rFonts w:ascii="Arial" w:cs="Arial" w:eastAsia="Arial" w:hAnsi="Arial"/>
                <w:sz w:val="14"/>
                <w:szCs w:val="14"/>
                <w:color w:val="auto"/>
              </w:rPr>
              <w:t>Normalized Adjusted Net Income before income taxes</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528,455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526,672</w:t>
            </w:r>
          </w:p>
        </w:tc>
      </w:tr>
      <w:tr>
        <w:trPr>
          <w:trHeight w:val="181"/>
        </w:trPr>
        <w:tc>
          <w:tcPr>
            <w:tcW w:w="1520" w:type="dxa"/>
            <w:vAlign w:val="bottom"/>
          </w:tcPr>
          <w:p>
            <w:pPr>
              <w:spacing w:after="0"/>
              <w:rPr>
                <w:sz w:val="15"/>
                <w:szCs w:val="15"/>
                <w:color w:val="auto"/>
              </w:rPr>
            </w:pPr>
          </w:p>
        </w:tc>
        <w:tc>
          <w:tcPr>
            <w:tcW w:w="5340" w:type="dxa"/>
            <w:vAlign w:val="bottom"/>
            <w:tcBorders>
              <w:bottom w:val="single" w:sz="8" w:color="CCEEFF"/>
            </w:tcBorders>
            <w:gridSpan w:val="3"/>
          </w:tcPr>
          <w:p>
            <w:pPr>
              <w:ind w:left="440"/>
              <w:spacing w:after="0"/>
              <w:rPr>
                <w:sz w:val="20"/>
                <w:szCs w:val="20"/>
                <w:color w:val="auto"/>
              </w:rPr>
            </w:pPr>
            <w:r>
              <w:rPr>
                <w:rFonts w:ascii="Arial" w:cs="Arial" w:eastAsia="Arial" w:hAnsi="Arial"/>
                <w:sz w:val="14"/>
                <w:szCs w:val="14"/>
                <w:color w:val="auto"/>
              </w:rPr>
              <w:t>Normalized provision for income taxes (1)</w:t>
            </w:r>
          </w:p>
        </w:tc>
        <w:tc>
          <w:tcPr>
            <w:tcW w:w="5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126,829</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126,401</w:t>
            </w:r>
          </w:p>
        </w:tc>
      </w:tr>
      <w:tr>
        <w:trPr>
          <w:trHeight w:val="179"/>
        </w:trPr>
        <w:tc>
          <w:tcPr>
            <w:tcW w:w="1520" w:type="dxa"/>
            <w:vAlign w:val="bottom"/>
          </w:tcPr>
          <w:p>
            <w:pPr>
              <w:spacing w:after="0"/>
              <w:rPr>
                <w:sz w:val="15"/>
                <w:szCs w:val="15"/>
                <w:color w:val="auto"/>
              </w:rPr>
            </w:pPr>
          </w:p>
        </w:tc>
        <w:tc>
          <w:tcPr>
            <w:tcW w:w="53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Normalized Adjusted Net Income</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401,626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400,271</w:t>
            </w:r>
          </w:p>
        </w:tc>
      </w:tr>
      <w:tr>
        <w:trPr>
          <w:trHeight w:val="262"/>
        </w:trPr>
        <w:tc>
          <w:tcPr>
            <w:tcW w:w="1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83"/>
        </w:trPr>
        <w:tc>
          <w:tcPr>
            <w:tcW w:w="1520" w:type="dxa"/>
            <w:vAlign w:val="bottom"/>
          </w:tcPr>
          <w:p>
            <w:pPr>
              <w:spacing w:after="0"/>
              <w:rPr>
                <w:sz w:val="15"/>
                <w:szCs w:val="15"/>
                <w:color w:val="auto"/>
              </w:rPr>
            </w:pPr>
          </w:p>
        </w:tc>
        <w:tc>
          <w:tcPr>
            <w:tcW w:w="53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Weighted Average Adjusted shares outstanding (2)</w:t>
            </w:r>
          </w:p>
        </w:tc>
        <w:tc>
          <w:tcPr>
            <w:tcW w:w="5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196,951,685</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195,016,686</w:t>
            </w:r>
          </w:p>
        </w:tc>
      </w:tr>
      <w:tr>
        <w:trPr>
          <w:trHeight w:val="262"/>
        </w:trPr>
        <w:tc>
          <w:tcPr>
            <w:tcW w:w="1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183"/>
        </w:trPr>
        <w:tc>
          <w:tcPr>
            <w:tcW w:w="1520" w:type="dxa"/>
            <w:vAlign w:val="bottom"/>
          </w:tcPr>
          <w:p>
            <w:pPr>
              <w:spacing w:after="0"/>
              <w:rPr>
                <w:sz w:val="15"/>
                <w:szCs w:val="15"/>
                <w:color w:val="auto"/>
              </w:rPr>
            </w:pPr>
          </w:p>
        </w:tc>
        <w:tc>
          <w:tcPr>
            <w:tcW w:w="534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Normalized Adjusted EPS</w:t>
            </w:r>
          </w:p>
        </w:tc>
        <w:tc>
          <w:tcPr>
            <w:tcW w:w="5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r>
      <w:tr>
        <w:trPr>
          <w:trHeight w:val="131"/>
        </w:trPr>
        <w:tc>
          <w:tcPr>
            <w:tcW w:w="15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r>
    </w:tbl>
    <w:p>
      <w:pPr>
        <w:spacing w:after="0" w:line="134"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U.S. federal, state, and local income tax rate applicable to corporations of approximately 24% for 2021 and 2020.</w:t>
      </w:r>
    </w:p>
    <w:p>
      <w:pPr>
        <w:spacing w:after="0" w:line="13" w:lineRule="exact"/>
        <w:rPr>
          <w:rFonts w:ascii="Arial" w:cs="Arial" w:eastAsia="Arial" w:hAnsi="Arial"/>
          <w:sz w:val="16"/>
          <w:szCs w:val="16"/>
          <w:color w:val="auto"/>
        </w:rPr>
      </w:pPr>
    </w:p>
    <w:p>
      <w:pPr>
        <w:ind w:left="400" w:hanging="395"/>
        <w:spacing w:after="0" w:line="302" w:lineRule="auto"/>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months ended March 31, 2021 and 2020 as well as warrants issued in connection with the Founder Member Loan during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tables reconcile Trading income, net to Adjusted Net Trading Income by segment for the three months ended March 31, 2021 and 2020:</w:t>
      </w:r>
    </w:p>
    <w:p>
      <w:pPr>
        <w:spacing w:after="0" w:line="200" w:lineRule="exact"/>
        <w:rPr>
          <w:sz w:val="20"/>
          <w:szCs w:val="20"/>
          <w:color w:val="auto"/>
        </w:rPr>
      </w:pPr>
    </w:p>
    <w:p>
      <w:pPr>
        <w:spacing w:after="0" w:line="220"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 2021</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80" w:type="dxa"/>
            <w:vAlign w:val="bottom"/>
          </w:tcPr>
          <w:p>
            <w:pPr>
              <w:jc w:val="right"/>
              <w:ind w:right="5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801,281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11,462</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812,743</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177,519</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191,649</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(223,195)</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(36,137)</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(259,332)</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(24,028)</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575,123</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152,906</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728,029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1" w:lineRule="exact"/>
        <w:rPr>
          <w:sz w:val="20"/>
          <w:szCs w:val="20"/>
          <w:color w:val="auto"/>
        </w:rPr>
      </w:pPr>
    </w:p>
    <w:tbl>
      <w:tblPr>
        <w:tblLayout w:type="fixed"/>
        <w:tblInd w:w="106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 2020</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Execution Services</w:t>
            </w:r>
          </w:p>
        </w:tc>
        <w:tc>
          <w:tcPr>
            <w:tcW w:w="1080" w:type="dxa"/>
            <w:vAlign w:val="bottom"/>
          </w:tcPr>
          <w:p>
            <w:pPr>
              <w:jc w:val="right"/>
              <w:ind w:right="5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7"/>
        </w:trPr>
        <w:tc>
          <w:tcPr>
            <w:tcW w:w="3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Trading income, net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802,663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802,466</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Commissions, net and technology services</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169,975</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170,744</w:t>
            </w: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income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26,516</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97"/>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(136,604)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(37,214)</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(173,818)</w:t>
            </w:r>
          </w:p>
        </w:tc>
        <w:tc>
          <w:tcPr>
            <w:tcW w:w="0" w:type="dxa"/>
            <w:vAlign w:val="bottom"/>
          </w:tcPr>
          <w:p>
            <w:pPr>
              <w:spacing w:after="0"/>
              <w:rPr>
                <w:sz w:val="1"/>
                <w:szCs w:val="1"/>
                <w:color w:val="auto"/>
              </w:rPr>
            </w:pPr>
          </w:p>
        </w:tc>
      </w:tr>
      <w:tr>
        <w:trPr>
          <w:trHeight w:val="181"/>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flow, net</w:t>
            </w: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and dividends expense</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(41,440)</w:t>
            </w:r>
          </w:p>
        </w:tc>
        <w:tc>
          <w:tcPr>
            <w:tcW w:w="0" w:type="dxa"/>
            <w:vAlign w:val="bottom"/>
          </w:tcPr>
          <w:p>
            <w:pPr>
              <w:spacing w:after="0"/>
              <w:rPr>
                <w:sz w:val="1"/>
                <w:szCs w:val="1"/>
                <w:color w:val="auto"/>
              </w:rPr>
            </w:pPr>
          </w:p>
        </w:tc>
      </w:tr>
      <w:tr>
        <w:trPr>
          <w:trHeight w:val="176"/>
        </w:trPr>
        <w:tc>
          <w:tcPr>
            <w:tcW w:w="3760" w:type="dxa"/>
            <w:vAlign w:val="bottom"/>
            <w:gridSpan w:val="2"/>
          </w:tcPr>
          <w:p>
            <w:pPr>
              <w:ind w:left="20"/>
              <w:spacing w:after="0"/>
              <w:rPr>
                <w:sz w:val="20"/>
                <w:szCs w:val="20"/>
                <w:color w:val="auto"/>
              </w:rPr>
            </w:pPr>
            <w:r>
              <w:rPr>
                <w:rFonts w:ascii="Arial" w:cs="Arial" w:eastAsia="Arial" w:hAnsi="Arial"/>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652,275</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132,193</w:t>
            </w:r>
          </w:p>
        </w:tc>
        <w:tc>
          <w:tcPr>
            <w:tcW w:w="10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784,468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our Adjusted Net Trading Income and average daily Adjusted Net Trading Income by segment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March 31, 2021 and 2020:</w:t>
      </w:r>
    </w:p>
    <w:p>
      <w:pPr>
        <w:spacing w:after="0" w:line="97"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7"/>
              </w:rPr>
              <w:t>Three Months Ended March 31,</w:t>
            </w:r>
          </w:p>
        </w:tc>
        <w:tc>
          <w:tcPr>
            <w:tcW w:w="1160" w:type="dxa"/>
            <w:vAlign w:val="bottom"/>
            <w:tcBorders>
              <w:bottom w:val="single" w:sz="8" w:color="auto"/>
            </w:tcBorders>
          </w:tcPr>
          <w:p>
            <w:pPr>
              <w:spacing w:after="0"/>
              <w:rPr>
                <w:sz w:val="16"/>
                <w:szCs w:val="16"/>
                <w:color w:val="auto"/>
              </w:rPr>
            </w:pPr>
          </w:p>
        </w:tc>
      </w:tr>
      <w:tr>
        <w:trPr>
          <w:trHeight w:val="18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4"/>
              </w:rPr>
              <w:t>% Change</w:t>
            </w:r>
          </w:p>
        </w:tc>
      </w:tr>
      <w:tr>
        <w:trPr>
          <w:trHeight w:val="17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575,123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652,275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89"/>
              </w:rPr>
              <w:t>(11.8)%</w:t>
            </w:r>
          </w:p>
        </w:tc>
      </w:tr>
      <w:tr>
        <w:trPr>
          <w:trHeight w:val="181"/>
        </w:trPr>
        <w:tc>
          <w:tcPr>
            <w:tcW w:w="4680" w:type="dxa"/>
            <w:vAlign w:val="bottom"/>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152,906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132,193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4"/>
                <w:szCs w:val="14"/>
                <w:color w:val="auto"/>
                <w:w w:val="90"/>
              </w:rPr>
              <w:t>15.7%</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rPr>
              <w:t>NM</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Adjusted Net Trading Income</w:t>
            </w: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728,029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784,468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4"/>
                <w:szCs w:val="14"/>
                <w:color w:val="auto"/>
                <w:w w:val="96"/>
              </w:rPr>
              <w:t>(7.2)%</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74" w:lineRule="exact"/>
        <w:rPr>
          <w:sz w:val="20"/>
          <w:szCs w:val="20"/>
          <w:color w:val="auto"/>
        </w:rPr>
      </w:pPr>
    </w:p>
    <w:tbl>
      <w:tblPr>
        <w:tblLayout w:type="fixed"/>
        <w:tblInd w:w="104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w w:val="97"/>
              </w:rPr>
              <w:t>Three Months Ended March 31,</w:t>
            </w:r>
          </w:p>
        </w:tc>
        <w:tc>
          <w:tcPr>
            <w:tcW w:w="1160" w:type="dxa"/>
            <w:vAlign w:val="bottom"/>
            <w:tcBorders>
              <w:bottom w:val="single" w:sz="8" w:color="auto"/>
            </w:tcBorders>
          </w:tcPr>
          <w:p>
            <w:pPr>
              <w:spacing w:after="0"/>
              <w:rPr>
                <w:sz w:val="16"/>
                <w:szCs w:val="16"/>
                <w:color w:val="auto"/>
              </w:rPr>
            </w:pPr>
          </w:p>
        </w:tc>
      </w:tr>
      <w:tr>
        <w:trPr>
          <w:trHeight w:val="183"/>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w w:val="96"/>
              </w:rPr>
              <w:t>Average Daily Adjusted Net Trading Income by Segment (in thousands):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10"/>
              <w:spacing w:after="0"/>
              <w:rPr>
                <w:sz w:val="20"/>
                <w:szCs w:val="20"/>
                <w:color w:val="auto"/>
              </w:rPr>
            </w:pPr>
            <w:r>
              <w:rPr>
                <w:rFonts w:ascii="Arial" w:cs="Arial" w:eastAsia="Arial" w:hAnsi="Arial"/>
                <w:sz w:val="14"/>
                <w:szCs w:val="14"/>
                <w:b w:val="1"/>
                <w:bCs w:val="1"/>
                <w:color w:val="auto"/>
                <w:w w:val="94"/>
              </w:rPr>
              <w:t>% Change</w:t>
            </w:r>
          </w:p>
        </w:tc>
      </w:tr>
      <w:tr>
        <w:trPr>
          <w:trHeight w:val="177"/>
        </w:trPr>
        <w:tc>
          <w:tcPr>
            <w:tcW w:w="4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9,428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89"/>
              </w:rPr>
              <w:t>(10.4)%</w:t>
            </w:r>
          </w:p>
        </w:tc>
      </w:tr>
      <w:tr>
        <w:trPr>
          <w:trHeight w:val="181"/>
        </w:trPr>
        <w:tc>
          <w:tcPr>
            <w:tcW w:w="4680" w:type="dxa"/>
            <w:vAlign w:val="bottom"/>
          </w:tcPr>
          <w:p>
            <w:pPr>
              <w:ind w:left="200"/>
              <w:spacing w:after="0"/>
              <w:rPr>
                <w:sz w:val="20"/>
                <w:szCs w:val="20"/>
                <w:color w:val="auto"/>
              </w:rPr>
            </w:pPr>
            <w:r>
              <w:rPr>
                <w:rFonts w:ascii="Arial" w:cs="Arial" w:eastAsia="Arial" w:hAnsi="Arial"/>
                <w:sz w:val="14"/>
                <w:szCs w:val="14"/>
                <w:color w:val="auto"/>
              </w:rPr>
              <w:t>Execution Services</w:t>
            </w:r>
          </w:p>
        </w:tc>
        <w:tc>
          <w:tcPr>
            <w:tcW w:w="34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4"/>
                <w:szCs w:val="14"/>
                <w:color w:val="auto"/>
                <w:w w:val="90"/>
              </w:rPr>
              <w:t>17.6%</w:t>
            </w:r>
          </w:p>
        </w:tc>
      </w:tr>
      <w:tr>
        <w:trPr>
          <w:trHeight w:val="186"/>
        </w:trPr>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Corporate</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rPr>
              <w:t>NM</w:t>
            </w: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Average Daily Adjusted Net Trading Income</w:t>
            </w:r>
          </w:p>
        </w:tc>
        <w:tc>
          <w:tcPr>
            <w:tcW w:w="3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11,935</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12,653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210"/>
              <w:spacing w:after="0"/>
              <w:rPr>
                <w:sz w:val="20"/>
                <w:szCs w:val="20"/>
                <w:color w:val="auto"/>
              </w:rPr>
            </w:pPr>
            <w:r>
              <w:rPr>
                <w:rFonts w:ascii="Arial" w:cs="Arial" w:eastAsia="Arial" w:hAnsi="Arial"/>
                <w:sz w:val="14"/>
                <w:szCs w:val="14"/>
                <w:color w:val="auto"/>
                <w:w w:val="96"/>
              </w:rPr>
              <w:t>(5.7)%</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 2021 Compared to Three Months Ended March 31, 2020</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5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Our total revenues increased $12.0 million, or 1.2%, to $1,012.6 million for the three months ended March 31, 2021, compared to $1,000.6 million for the three months ended March 31, 2020. This increase was primarily attributable to revenues earned by Execution Services.</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shows the total revenues by segment for the three months ended March 31, 2021 and 2020.</w:t>
      </w:r>
    </w:p>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1220"/>
              <w:spacing w:after="0"/>
              <w:rPr>
                <w:sz w:val="20"/>
                <w:szCs w:val="20"/>
                <w:color w:val="auto"/>
              </w:rPr>
            </w:pPr>
            <w:r>
              <w:rPr>
                <w:rFonts w:ascii="Arial" w:cs="Arial" w:eastAsia="Arial" w:hAnsi="Arial"/>
                <w:sz w:val="14"/>
                <w:szCs w:val="14"/>
                <w:b w:val="1"/>
                <w:bCs w:val="1"/>
                <w:color w:val="auto"/>
              </w:rPr>
              <w:t>Three Months Ended March 31,</w:t>
            </w:r>
          </w:p>
        </w:tc>
        <w:tc>
          <w:tcPr>
            <w:tcW w:w="1360" w:type="dxa"/>
            <w:vAlign w:val="bottom"/>
            <w:tcBorders>
              <w:bottom w:val="single" w:sz="8" w:color="auto"/>
            </w:tcBorders>
          </w:tcPr>
          <w:p>
            <w:pPr>
              <w:spacing w:after="0"/>
              <w:rPr>
                <w:sz w:val="16"/>
                <w:szCs w:val="16"/>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for percentage)</w:t>
            </w: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b w:val="1"/>
                <w:bCs w:val="1"/>
                <w:color w:val="auto"/>
                <w:w w:val="91"/>
              </w:rPr>
              <w:t>% Change</w:t>
            </w:r>
          </w:p>
        </w:tc>
      </w:tr>
      <w:tr>
        <w:trPr>
          <w:trHeight w:val="177"/>
        </w:trPr>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801,281</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802,663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color w:val="auto"/>
                <w:w w:val="92"/>
              </w:rPr>
              <w:t>(0.2)%</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3"/>
              </w:rPr>
              <w:t>(73.9)%</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14,130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color w:val="auto"/>
              </w:rPr>
              <w:t>NM</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90"/>
              </w:rPr>
              <w:t>95.8%</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 from Market Making</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823,724</w:t>
            </w: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830,586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color w:val="auto"/>
                <w:w w:val="92"/>
              </w:rPr>
              <w:t>(0.8)%</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Execution Services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4"/>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rPr>
              <w:t>NM</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0"/>
              <w:spacing w:after="0"/>
              <w:rPr>
                <w:sz w:val="20"/>
                <w:szCs w:val="20"/>
                <w:color w:val="auto"/>
              </w:rPr>
            </w:pPr>
            <w:r>
              <w:rPr>
                <w:rFonts w:ascii="Arial" w:cs="Arial" w:eastAsia="Arial" w:hAnsi="Arial"/>
                <w:sz w:val="14"/>
                <w:szCs w:val="14"/>
                <w:color w:val="auto"/>
                <w:w w:val="90"/>
              </w:rPr>
              <w:t>15.7%</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177,519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169,975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3"/>
              </w:rPr>
              <w:t>4.4%</w:t>
            </w: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center"/>
              <w:ind w:right="190"/>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Execution Services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189,239</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169,864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4"/>
                <w:szCs w:val="14"/>
                <w:color w:val="auto"/>
                <w:w w:val="85"/>
              </w:rPr>
              <w:t>11.4%</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Corporate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1"/>
        </w:trPr>
        <w:tc>
          <w:tcPr>
            <w:tcW w:w="4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center"/>
              <w:ind w:right="190"/>
              <w:spacing w:after="0"/>
              <w:rPr>
                <w:sz w:val="20"/>
                <w:szCs w:val="20"/>
                <w:color w:val="auto"/>
              </w:rPr>
            </w:pPr>
            <w:r>
              <w:rPr>
                <w:rFonts w:ascii="Arial" w:cs="Arial" w:eastAsia="Arial" w:hAnsi="Arial"/>
                <w:sz w:val="14"/>
                <w:szCs w:val="14"/>
                <w:color w:val="auto"/>
              </w:rPr>
              <w:t>NM</w:t>
            </w:r>
          </w:p>
        </w:tc>
      </w:tr>
      <w:tr>
        <w:trPr>
          <w:trHeight w:val="204"/>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Total revenues from Corporate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right="190"/>
              <w:spacing w:after="0"/>
              <w:rPr>
                <w:sz w:val="20"/>
                <w:szCs w:val="20"/>
                <w:color w:val="auto"/>
              </w:rPr>
            </w:pPr>
            <w:r>
              <w:rPr>
                <w:rFonts w:ascii="Arial" w:cs="Arial" w:eastAsia="Arial" w:hAnsi="Arial"/>
                <w:sz w:val="14"/>
                <w:szCs w:val="14"/>
                <w:color w:val="auto"/>
              </w:rPr>
              <w:t>NM</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Trading income,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812,743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802,466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color w:val="auto"/>
                <w:w w:val="93"/>
              </w:rPr>
              <w:t>1.3%</w:t>
            </w:r>
          </w:p>
        </w:tc>
      </w:tr>
      <w:tr>
        <w:trPr>
          <w:trHeight w:val="186"/>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and dividends income</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ind w:right="190"/>
              <w:spacing w:after="0"/>
              <w:rPr>
                <w:sz w:val="20"/>
                <w:szCs w:val="20"/>
                <w:color w:val="auto"/>
              </w:rPr>
            </w:pPr>
            <w:r>
              <w:rPr>
                <w:rFonts w:ascii="Arial" w:cs="Arial" w:eastAsia="Arial" w:hAnsi="Arial"/>
                <w:sz w:val="14"/>
                <w:szCs w:val="14"/>
                <w:color w:val="auto"/>
                <w:w w:val="93"/>
              </w:rPr>
              <w:t>(73.6)%</w:t>
            </w:r>
          </w:p>
        </w:tc>
      </w:tr>
      <w:tr>
        <w:trPr>
          <w:trHeight w:val="181"/>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Commissions, net and technology services</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191,649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170,744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10"/>
              <w:spacing w:after="0"/>
              <w:rPr>
                <w:sz w:val="20"/>
                <w:szCs w:val="20"/>
                <w:color w:val="auto"/>
              </w:rPr>
            </w:pPr>
            <w:r>
              <w:rPr>
                <w:rFonts w:ascii="Arial" w:cs="Arial" w:eastAsia="Arial" w:hAnsi="Arial"/>
                <w:sz w:val="14"/>
                <w:szCs w:val="14"/>
                <w:color w:val="auto"/>
                <w:w w:val="90"/>
              </w:rPr>
              <w:t>12.2%</w:t>
            </w:r>
          </w:p>
        </w:tc>
      </w:tr>
      <w:tr>
        <w:trPr>
          <w:trHeight w:val="183"/>
        </w:trPr>
        <w:tc>
          <w:tcPr>
            <w:tcW w:w="4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jc w:val="center"/>
              <w:ind w:right="210"/>
              <w:spacing w:after="0"/>
              <w:rPr>
                <w:sz w:val="20"/>
                <w:szCs w:val="20"/>
                <w:color w:val="auto"/>
              </w:rPr>
            </w:pPr>
            <w:r>
              <w:rPr>
                <w:rFonts w:ascii="Arial" w:cs="Arial" w:eastAsia="Arial" w:hAnsi="Arial"/>
                <w:sz w:val="14"/>
                <w:szCs w:val="14"/>
                <w:color w:val="auto"/>
                <w:w w:val="90"/>
              </w:rPr>
              <w:t>32.2%</w:t>
            </w:r>
          </w:p>
        </w:tc>
      </w:tr>
      <w:tr>
        <w:trPr>
          <w:trHeight w:val="179"/>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1,012,572</w:t>
            </w:r>
          </w:p>
        </w:tc>
        <w:tc>
          <w:tcPr>
            <w:tcW w:w="100" w:type="dxa"/>
            <w:vAlign w:val="bottom"/>
          </w:tcPr>
          <w:p>
            <w:pPr>
              <w:spacing w:after="0"/>
              <w:rPr>
                <w:sz w:val="15"/>
                <w:szCs w:val="15"/>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1,000,621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190"/>
              <w:spacing w:after="0"/>
              <w:rPr>
                <w:sz w:val="20"/>
                <w:szCs w:val="20"/>
                <w:color w:val="auto"/>
              </w:rPr>
            </w:pPr>
            <w:r>
              <w:rPr>
                <w:rFonts w:ascii="Arial" w:cs="Arial" w:eastAsia="Arial" w:hAnsi="Arial"/>
                <w:sz w:val="14"/>
                <w:szCs w:val="14"/>
                <w:color w:val="auto"/>
                <w:w w:val="93"/>
              </w:rPr>
              <w:t>1.2%</w:t>
            </w: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Trading income, net. </w:t>
      </w:r>
      <w:r>
        <w:rPr>
          <w:rFonts w:ascii="Arial" w:cs="Arial" w:eastAsia="Arial" w:hAnsi="Arial"/>
          <w:sz w:val="16"/>
          <w:szCs w:val="16"/>
          <w:color w:val="auto"/>
        </w:rPr>
        <w:t>Trading income, net was primarily earned by our Market Making segment. Trading income, net, increased $10.3 million,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1.3%, to $812.7 million for the three months ended March 31, 2021, compared to $802.5 million for the three months ended March 31, 2020. The increase was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primarily driven by a combination of higher trading volumes in U.S. equities and lower market volatility during the three months ended March 31, 2021</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first quarter of 2020 at the onset of the COVID-19 pandemic. Average daily realized volatility of the S&amp;P 500 Index decreased 72.4%</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compared to the prior period, while average daily U.S. equity consolidated volumes increased 33.5%. Rather than analyzing trading income, net, in isolation, we</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evaluate it in the broader context of our Adjusted Net Trading Income, together with Interest and dividends income, Interest and dividends expense,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Commissions, net and technology services and Brokerage, exchange, clearance fees and payments for order flow, net, each of which are described below.</w:t>
      </w:r>
    </w:p>
    <w:p>
      <w:pPr>
        <w:spacing w:after="0" w:line="249"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was primarily earned by our Market Making segment. Interest and dividends income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$19.5 million, or 73.6%, to $7.0 million for the three months ended March 31, 2021, compared to $26.5 million for the three months ended March 31, 2020. This decrease was primarily attributable to lower interest income earned on cash collateral posted as part of securities borrowed transactions driven by lower interest rates compared to the prior period. As indicated above, rather than analyzing interest and dividends income in isolation, we evaluate it in the broader context of our Adjusted Net Trading Income.</w:t>
      </w:r>
    </w:p>
    <w:p>
      <w:pPr>
        <w:spacing w:after="0" w:line="204" w:lineRule="exact"/>
        <w:rPr>
          <w:sz w:val="20"/>
          <w:szCs w:val="20"/>
          <w:color w:val="auto"/>
        </w:rPr>
      </w:pPr>
    </w:p>
    <w:p>
      <w:pPr>
        <w:ind w:right="80" w:firstLine="629"/>
        <w:spacing w:after="0" w:line="325" w:lineRule="auto"/>
        <w:rPr>
          <w:sz w:val="20"/>
          <w:szCs w:val="20"/>
          <w:color w:val="auto"/>
        </w:rPr>
      </w:pPr>
      <w:r>
        <w:rPr>
          <w:rFonts w:ascii="Arial" w:cs="Arial" w:eastAsia="Arial" w:hAnsi="Arial"/>
          <w:sz w:val="15"/>
          <w:szCs w:val="15"/>
          <w:b w:val="1"/>
          <w:bCs w:val="1"/>
          <w:i w:val="1"/>
          <w:iCs w:val="1"/>
          <w:color w:val="auto"/>
        </w:rPr>
        <w:t xml:space="preserve">Commissions, net and technology services. </w:t>
      </w:r>
      <w:r>
        <w:rPr>
          <w:rFonts w:ascii="Arial" w:cs="Arial" w:eastAsia="Arial" w:hAnsi="Arial"/>
          <w:sz w:val="15"/>
          <w:szCs w:val="15"/>
          <w:color w:val="auto"/>
        </w:rPr>
        <w:t>Commissions, net and technology services revenues were primarily earned by our Execution Services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segment. Commissions, net and technology services revenues increased $20.9 million, or 12.2%, to $191.6 million for the three months ended March 31, 2021, compared to $170.7 million for the three months ended March 31, 2020. The increase was primarily attributable to higher trading volumes in U.S. equities.</w:t>
      </w:r>
    </w:p>
    <w:p>
      <w:pPr>
        <w:spacing w:after="0" w:line="164" w:lineRule="exact"/>
        <w:rPr>
          <w:sz w:val="20"/>
          <w:szCs w:val="20"/>
          <w:color w:val="auto"/>
        </w:rPr>
      </w:pPr>
    </w:p>
    <w:p>
      <w:pPr>
        <w:jc w:val="both"/>
        <w:ind w:right="40" w:firstLine="629"/>
        <w:spacing w:after="0" w:line="273" w:lineRule="auto"/>
        <w:rPr>
          <w:sz w:val="20"/>
          <w:szCs w:val="20"/>
          <w:color w:val="auto"/>
        </w:rPr>
      </w:pPr>
      <w:r>
        <w:rPr>
          <w:rFonts w:ascii="Arial" w:cs="Arial" w:eastAsia="Arial" w:hAnsi="Arial"/>
          <w:sz w:val="17"/>
          <w:szCs w:val="17"/>
          <w:b w:val="1"/>
          <w:bCs w:val="1"/>
          <w:i w:val="1"/>
          <w:iCs w:val="1"/>
          <w:color w:val="auto"/>
        </w:rPr>
        <w:t xml:space="preserve">Other, net. </w:t>
      </w:r>
      <w:r>
        <w:rPr>
          <w:rFonts w:ascii="Arial" w:cs="Arial" w:eastAsia="Arial" w:hAnsi="Arial"/>
          <w:sz w:val="17"/>
          <w:szCs w:val="17"/>
          <w:color w:val="auto"/>
        </w:rPr>
        <w:t>Other, net increased $0.3 million to $1.2 million for the three months ended March 31, 2021, compared to $0.9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March 31, 2020. The increase was primarily due to a $2.5 million gain on the minority investment in JNX (see Note 12 "Financial Assets and Liabilities" of Part I Item 1 “Financial Statements” of this Quarterly Report on Form 10-Q for details on the JNX Investment).</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Trading Income</w:t>
      </w:r>
    </w:p>
    <w:p>
      <w:pPr>
        <w:spacing w:after="0" w:line="250" w:lineRule="exact"/>
        <w:rPr>
          <w:sz w:val="20"/>
          <w:szCs w:val="20"/>
          <w:color w:val="auto"/>
        </w:rPr>
      </w:pPr>
    </w:p>
    <w:p>
      <w:pPr>
        <w:ind w:firstLine="629"/>
        <w:spacing w:after="0" w:line="278" w:lineRule="auto"/>
        <w:rPr>
          <w:sz w:val="20"/>
          <w:szCs w:val="20"/>
          <w:color w:val="auto"/>
        </w:rPr>
      </w:pPr>
      <w:r>
        <w:rPr>
          <w:rFonts w:ascii="Arial" w:cs="Arial" w:eastAsia="Arial" w:hAnsi="Arial"/>
          <w:sz w:val="16"/>
          <w:szCs w:val="16"/>
          <w:color w:val="auto"/>
        </w:rPr>
        <w:t>Adjusted Net Trading Income decreased $56.4 million, or 7.2%, to $728.0 million for the three months ended March 31, 2021, compared to $784.5 million for the three months ended March 31, 2020. This decrease was primarily attributable to higher Brokerage, exchange, clearance fees and payments for order flow, net (described below) incurred by Market Making and higher Commissions, net and technology services earned by Execution Services, driven by higher trading volumes despite lower volatility during the three months ended March 31, 2021 compared to the prior period. Average daily realized volatility of the S&amp;P 500 Index and average daily CVIX realized volatility decreased 72.4% and 78.1%, respectively, compared to the prior period, while average daily U.S. equity consolidated volumes increased 33.5%. Adjusted Net Trading Income per day decreased $0.7 million, or 5.7%, to $11.9 million for the three months ended March 31, 2021, compared to $12.7 million for the three months ended March 31, 2020. The number of trading days was 61 days for the three months ended March 31, 2021 and 62 days for the three months ended March 31, 2020, respectively. Adjusted Net Trading Income is a non-GAAP measure.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50"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color w:val="auto"/>
        </w:rPr>
        <w:t>Our operating expenses decreased $11.6 million, or 2.2%, to $522.8 million for the three months ended March 31, 2021, compared to $534.4 million for the three months ended March 31, 2020. The decrease in operating expenses was primarily due to lower employee compensation and payroll taxes and interest and dividends expense, offset by an increase in Brokerage, exchange, clearance fees and payments for order flow, net compared to the same period in the prior year, described in more detail below.</w:t>
      </w:r>
    </w:p>
    <w:p>
      <w:pPr>
        <w:spacing w:after="0" w:line="20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b w:val="1"/>
          <w:bCs w:val="1"/>
          <w:i w:val="1"/>
          <w:iCs w:val="1"/>
          <w:color w:val="auto"/>
        </w:rPr>
        <w:t xml:space="preserve">Brokerage, exchange, clearance fees and payments for order flow, net. </w:t>
      </w:r>
      <w:r>
        <w:rPr>
          <w:rFonts w:ascii="Arial" w:cs="Arial" w:eastAsia="Arial" w:hAnsi="Arial"/>
          <w:sz w:val="17"/>
          <w:szCs w:val="17"/>
          <w:color w:val="auto"/>
        </w:rPr>
        <w:t>Brokerage, exchange, clearance fees and payments for order flow,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$85.5 million, or 49.2%, to $259.3 million for the three months ended March 31, 2021, compared to $173.8 million for the three months ended March 31, 2020. This increase was primarily attributable to increases in volumes from our broker-dealer clients eligible for payments for order flow, driven by higher participation of retail investors in the market during the quarter compared to the prior year.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right="20" w:firstLine="629"/>
        <w:spacing w:after="0" w:line="297" w:lineRule="auto"/>
        <w:rPr>
          <w:sz w:val="20"/>
          <w:szCs w:val="20"/>
          <w:color w:val="auto"/>
        </w:rPr>
      </w:pPr>
      <w:r>
        <w:rPr>
          <w:rFonts w:ascii="Arial" w:cs="Arial" w:eastAsia="Arial" w:hAnsi="Arial"/>
          <w:sz w:val="16"/>
          <w:szCs w:val="16"/>
          <w:b w:val="1"/>
          <w:bCs w:val="1"/>
          <w:i w:val="1"/>
          <w:iCs w:val="1"/>
          <w:color w:val="auto"/>
        </w:rPr>
        <w:t xml:space="preserve">Communication and data processing. </w:t>
      </w:r>
      <w:r>
        <w:rPr>
          <w:rFonts w:ascii="Arial" w:cs="Arial" w:eastAsia="Arial" w:hAnsi="Arial"/>
          <w:sz w:val="16"/>
          <w:szCs w:val="16"/>
          <w:color w:val="auto"/>
        </w:rPr>
        <w:t>Communication and data processing expense decreased $3.3 million, or 6.1%, to $51.7 million for the three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March 31, 2021, compared to $55.0 million for the three months ended March 31, 2020. This decrease was primarily attributable to reductions in connectivity connections as a result of an on-going effort to consolidate various communication and data processing services and subscriptions.</w:t>
      </w:r>
    </w:p>
    <w:p>
      <w:pPr>
        <w:spacing w:after="0" w:line="181" w:lineRule="exact"/>
        <w:rPr>
          <w:sz w:val="20"/>
          <w:szCs w:val="20"/>
          <w:color w:val="auto"/>
        </w:rPr>
      </w:pPr>
    </w:p>
    <w:p>
      <w:pPr>
        <w:ind w:right="240" w:firstLine="629"/>
        <w:spacing w:after="0" w:line="265"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decreased $65.6 million, or 38.5%, to $104.8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March 31, 2021, compared to $170.4 million for the three months ended March 31, 2020. The decrease in compensation levels was primarily attributable to higher incentive compensation in the first quarter of 2020, which is recorded at management’s discretion and is generally accrued in connection with the overall level of profitability, as well as a result of one-time cash bonuses awarded to certain employees to mitigate the effects of the COVID-19 pandemic.</w:t>
      </w:r>
    </w:p>
    <w:p>
      <w:pPr>
        <w:spacing w:after="0" w:line="204"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We have capitalized and therefore excluded employee compensation and benefits related to software development of $9.2 million and $7.8 million for the three months ended March 31, 2021 and 2020, respectively.</w:t>
      </w:r>
    </w:p>
    <w:p>
      <w:pPr>
        <w:spacing w:after="0" w:line="184" w:lineRule="exact"/>
        <w:rPr>
          <w:sz w:val="20"/>
          <w:szCs w:val="20"/>
          <w:color w:val="auto"/>
        </w:rPr>
      </w:pPr>
    </w:p>
    <w:p>
      <w:pPr>
        <w:ind w:right="40" w:firstLine="629"/>
        <w:spacing w:after="0" w:line="267"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$17.4 million, or 42.0%, to $24.0 million for the three months ended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2021, compared to $41.4 million for the three months ended March 31, 2020. This decrease was primarily attributable to lower interest expense incurred on cash collateral received as part of securities lending transactions. As indicated above, rather than analyzing interest and dividends expense in isolation, we generally evaluate it in the broader context of our Adjusted Net Trading Income.</w:t>
      </w:r>
    </w:p>
    <w:p>
      <w:pPr>
        <w:spacing w:after="0" w:line="204"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decreased $1.5 million, or 5.4%, to $25.7 million for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2021, compared to $27.1 million for the three months ended March 31, 2020. The decrease was primarily attributable to decreases in travel and entertainment due to the on-going effects of the COVID-19 pandemic as well the on-going efforts to consolidate office premises and professional services after the ITG Acquisition.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629"/>
        <w:spacing w:after="0" w:line="273"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decreased $0.6 million, or 3.4%, to $16.8 million for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compared to $17.4 million for the three months ended March 31, 2020. This decrease was primarily attributable to certain assets being fully depreciated in 2020.</w:t>
      </w:r>
    </w:p>
    <w:p>
      <w:pPr>
        <w:spacing w:after="0" w:line="197" w:lineRule="exact"/>
        <w:rPr>
          <w:sz w:val="20"/>
          <w:szCs w:val="20"/>
          <w:color w:val="auto"/>
        </w:rPr>
      </w:pPr>
    </w:p>
    <w:p>
      <w:pPr>
        <w:ind w:right="120" w:firstLine="629"/>
        <w:spacing w:after="0" w:line="27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decreased $0.9 million, or 4.6%, to $18.1 million for the three months ended March 31, 2021, compared to $19.0 million for the three months ended March 31, 2020. This decrease was primarily attributable to certain intangible assets being fully amortized in 2020.</w:t>
      </w:r>
    </w:p>
    <w:p>
      <w:pPr>
        <w:spacing w:after="0" w:line="197" w:lineRule="exact"/>
        <w:rPr>
          <w:sz w:val="20"/>
          <w:szCs w:val="20"/>
          <w:color w:val="auto"/>
        </w:rPr>
      </w:pPr>
    </w:p>
    <w:p>
      <w:pPr>
        <w:jc w:val="both"/>
        <w:ind w:right="180" w:firstLine="629"/>
        <w:spacing w:after="0" w:line="297" w:lineRule="auto"/>
        <w:rPr>
          <w:sz w:val="20"/>
          <w:szCs w:val="20"/>
          <w:color w:val="auto"/>
        </w:rPr>
      </w:pPr>
      <w:r>
        <w:rPr>
          <w:rFonts w:ascii="Arial" w:cs="Arial" w:eastAsia="Arial" w:hAnsi="Arial"/>
          <w:sz w:val="16"/>
          <w:szCs w:val="16"/>
          <w:b w:val="1"/>
          <w:bCs w:val="1"/>
          <w:i w:val="1"/>
          <w:iCs w:val="1"/>
          <w:color w:val="auto"/>
        </w:rPr>
        <w:t xml:space="preserve">Termination of office leases. </w:t>
      </w:r>
      <w:r>
        <w:rPr>
          <w:rFonts w:ascii="Arial" w:cs="Arial" w:eastAsia="Arial" w:hAnsi="Arial"/>
          <w:sz w:val="16"/>
          <w:szCs w:val="16"/>
          <w:color w:val="auto"/>
        </w:rPr>
        <w:t>Termination of office leases was $1.2 million for the three months ended March 31, 2021, compared to $0.3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March 31, 2020. Expense from termination of office leases was due to the impairment of operating lease right-of-use assets for certain abandoned office space as part of the efforts to integrate and consolidate office space in connection with the ITG Acquisition.</w:t>
      </w:r>
    </w:p>
    <w:p>
      <w:pPr>
        <w:spacing w:after="0" w:line="181" w:lineRule="exact"/>
        <w:rPr>
          <w:sz w:val="20"/>
          <w:szCs w:val="20"/>
          <w:color w:val="auto"/>
        </w:rPr>
      </w:pPr>
    </w:p>
    <w:p>
      <w:pPr>
        <w:ind w:right="40" w:firstLine="629"/>
        <w:spacing w:after="0" w:line="263"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prepayment and commitment fees. </w:t>
      </w:r>
      <w:r>
        <w:rPr>
          <w:rFonts w:ascii="Arial" w:cs="Arial" w:eastAsia="Arial" w:hAnsi="Arial"/>
          <w:sz w:val="17"/>
          <w:szCs w:val="17"/>
          <w:color w:val="auto"/>
        </w:rPr>
        <w:t>Expense from debt issue costs related to debt refinancing, prepayment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commitment fees decreased $2.4 million, or 57.9%, to $1.8 million for the three months ended March 31, 2021, compared to $4.2 million for the three months ended March 31, 2020. The amount for the three months ended March 31, 2020 was primarily driven by the amortization of debt issue costs related to the addition of the Founder Member Loan Facility in March 2020, which expired as of September 20, 2020, as well as costs incurred related to Amendment No. 2 to the Credit Agreement (as defined below). See Note 8 "Borrowings" of Part I Item 1 “Financial Statements” of this Quarterly Report on Form 10-Q for additional details.</w:t>
      </w:r>
    </w:p>
    <w:p>
      <w:pPr>
        <w:spacing w:after="0" w:line="208" w:lineRule="exact"/>
        <w:rPr>
          <w:sz w:val="20"/>
          <w:szCs w:val="20"/>
          <w:color w:val="auto"/>
        </w:rPr>
      </w:pPr>
    </w:p>
    <w:p>
      <w:pPr>
        <w:ind w:right="100" w:firstLine="629"/>
        <w:spacing w:after="0" w:line="273" w:lineRule="auto"/>
        <w:rPr>
          <w:sz w:val="20"/>
          <w:szCs w:val="20"/>
          <w:color w:val="auto"/>
        </w:rPr>
      </w:pPr>
      <w:r>
        <w:rPr>
          <w:rFonts w:ascii="Arial" w:cs="Arial" w:eastAsia="Arial" w:hAnsi="Arial"/>
          <w:sz w:val="17"/>
          <w:szCs w:val="17"/>
          <w:b w:val="1"/>
          <w:bCs w:val="1"/>
          <w:i w:val="1"/>
          <w:iCs w:val="1"/>
          <w:color w:val="auto"/>
        </w:rPr>
        <w:t xml:space="preserve">Transaction advisory fees and expenses. </w:t>
      </w:r>
      <w:r>
        <w:rPr>
          <w:rFonts w:ascii="Arial" w:cs="Arial" w:eastAsia="Arial" w:hAnsi="Arial"/>
          <w:sz w:val="17"/>
          <w:szCs w:val="17"/>
          <w:color w:val="auto"/>
        </w:rPr>
        <w:t>Transaction advisory fees and expenses were immaterial for the three months ended March 31,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$0.2 million for the three months ended March 31, 2020. These expenses were primarily incurred in prior years related to the ITG Acquisition and Acquisition of KCG, for which we incurred significant transaction advisory fees.</w:t>
      </w:r>
    </w:p>
    <w:p>
      <w:pPr>
        <w:spacing w:after="0" w:line="197" w:lineRule="exact"/>
        <w:rPr>
          <w:sz w:val="20"/>
          <w:szCs w:val="20"/>
          <w:color w:val="auto"/>
        </w:rPr>
      </w:pPr>
    </w:p>
    <w:p>
      <w:pPr>
        <w:ind w:right="80" w:firstLine="629"/>
        <w:spacing w:after="0" w:line="289" w:lineRule="auto"/>
        <w:rPr>
          <w:sz w:val="20"/>
          <w:szCs w:val="20"/>
          <w:color w:val="auto"/>
        </w:rPr>
      </w:pPr>
      <w:r>
        <w:rPr>
          <w:rFonts w:ascii="Arial" w:cs="Arial" w:eastAsia="Arial" w:hAnsi="Arial"/>
          <w:sz w:val="16"/>
          <w:szCs w:val="16"/>
          <w:b w:val="1"/>
          <w:bCs w:val="1"/>
          <w:i w:val="1"/>
          <w:iCs w:val="1"/>
          <w:color w:val="auto"/>
        </w:rPr>
        <w:t xml:space="preserve">Financing interest expense on long term borrowings. </w:t>
      </w:r>
      <w:r>
        <w:rPr>
          <w:rFonts w:ascii="Arial" w:cs="Arial" w:eastAsia="Arial" w:hAnsi="Arial"/>
          <w:sz w:val="16"/>
          <w:szCs w:val="16"/>
          <w:color w:val="auto"/>
        </w:rPr>
        <w:t>Financing interest expense on long-term borrowings decreased $6.2 million, or 24.1%, to $19.5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March 31, 2021, compared to $25.7 million for the three months ended March 31, 2020. This decrease was primarily attributable to a decrease in outstanding principal as a result of $288.5 million in prepayments made during the year ended December 31, 2020, in addition to lower interest rates, as discussed in Note 8 "Borrowings" of Part I Item 1 “Financial Statements” of this Quarterly Report on Form 10-Q.</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50" w:lineRule="exact"/>
        <w:rPr>
          <w:sz w:val="20"/>
          <w:szCs w:val="20"/>
          <w:color w:val="auto"/>
        </w:rPr>
      </w:pPr>
    </w:p>
    <w:p>
      <w:pPr>
        <w:ind w:right="60" w:firstLine="629"/>
        <w:spacing w:after="0" w:line="325" w:lineRule="auto"/>
        <w:rPr>
          <w:sz w:val="20"/>
          <w:szCs w:val="20"/>
          <w:color w:val="auto"/>
        </w:rPr>
      </w:pPr>
      <w:r>
        <w:rPr>
          <w:rFonts w:ascii="Arial" w:cs="Arial" w:eastAsia="Arial" w:hAnsi="Arial"/>
          <w:sz w:val="15"/>
          <w:szCs w:val="15"/>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was $80.6 million for the three months ended March 31, 2021, compared to a provision for income taxes of $78.0 million for the three months ended March 31, 2020.</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50"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As of March 31, 2021, we had $899.0 million in Cash and cash equivalents. This balance is maintained primarily to support operating activities for capital expenditures and for short-term access to liquidity, and for other general corporate purposes. As of March 31, 2021, we had borrowings under our prime brokerage credit facilities of approximately $204.4 million, borrowings under our broker dealer facilities of $178.0 million, short-term bank overdrafts of $65.0 million, and long-term debt outstanding in an aggregate principal amount of approximately $1,666.7 million.</w:t>
      </w:r>
    </w:p>
    <w:p>
      <w:pPr>
        <w:spacing w:after="0" w:line="204" w:lineRule="exact"/>
        <w:rPr>
          <w:sz w:val="20"/>
          <w:szCs w:val="20"/>
          <w:color w:val="auto"/>
        </w:rPr>
      </w:pPr>
    </w:p>
    <w:p>
      <w:pPr>
        <w:ind w:right="160" w:firstLine="629"/>
        <w:spacing w:after="0" w:line="283" w:lineRule="auto"/>
        <w:rPr>
          <w:sz w:val="20"/>
          <w:szCs w:val="20"/>
          <w:color w:val="auto"/>
        </w:rPr>
      </w:pPr>
      <w:r>
        <w:rPr>
          <w:rFonts w:ascii="Arial" w:cs="Arial" w:eastAsia="Arial" w:hAnsi="Arial"/>
          <w:sz w:val="16"/>
          <w:szCs w:val="16"/>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committed credit facility and an uncommitted credit facility for our wholly-owned broker-dealer subsidiary, as discussed in Note 8 "Borrowings" of Part I Item 1 “Financial Statements” of this Quarterly Report on Form 10-Q.</w:t>
      </w:r>
    </w:p>
    <w:p>
      <w:pPr>
        <w:spacing w:after="0" w:line="184"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 We do not believe that the impacts of COVID-19 or the governmental and other responses thereto to date have adversely impacted our long-term financial condition or long-term capital requirements.</w:t>
      </w:r>
    </w:p>
    <w:p>
      <w:pPr>
        <w:spacing w:after="0" w:line="208" w:lineRule="exact"/>
        <w:rPr>
          <w:sz w:val="20"/>
          <w:szCs w:val="20"/>
          <w:color w:val="auto"/>
        </w:rPr>
      </w:pPr>
    </w:p>
    <w:p>
      <w:pPr>
        <w:ind w:right="60" w:firstLine="629"/>
        <w:spacing w:after="0" w:line="267"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50" w:lineRule="exact"/>
        <w:rPr>
          <w:sz w:val="20"/>
          <w:szCs w:val="20"/>
          <w:color w:val="auto"/>
        </w:rPr>
      </w:pPr>
    </w:p>
    <w:p>
      <w:pPr>
        <w:ind w:right="40" w:firstLine="629"/>
        <w:spacing w:after="0" w:line="299" w:lineRule="auto"/>
        <w:rPr>
          <w:sz w:val="20"/>
          <w:szCs w:val="20"/>
          <w:color w:val="auto"/>
        </w:rPr>
      </w:pPr>
      <w:r>
        <w:rPr>
          <w:rFonts w:ascii="Arial" w:cs="Arial" w:eastAsia="Arial" w:hAnsi="Arial"/>
          <w:sz w:val="15"/>
          <w:szCs w:val="15"/>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to the condensed consolidated financial statements included in Part I Item 1 “Financial Statements” of this Quarterly Report on Form 10-Q are expected to range from approximately $0.9 million to $21.7 million per year over the next 15 years. Such payments will occur only after we have filed our U.S. federal and state income tax returns and realized the cash tax savings from the favorable tax attributes. We made our first payment of $7.0 million in February 2017, our second payment of $12.4 million in September 2018, and our third payment of $13.3 million in March 2020. Future payments under the tax receivable agreements in respect of subsequent exchanges would be in addition to these amounts. We currently expect to fund these payments from realized cash tax savings from the favorable tax attributes.</w:t>
      </w:r>
    </w:p>
    <w:p>
      <w:pPr>
        <w:spacing w:after="0" w:line="183" w:lineRule="exact"/>
        <w:rPr>
          <w:sz w:val="20"/>
          <w:szCs w:val="20"/>
          <w:color w:val="auto"/>
        </w:rPr>
      </w:pPr>
    </w:p>
    <w:p>
      <w:pPr>
        <w:ind w:right="80" w:firstLine="629"/>
        <w:spacing w:after="0" w:line="305" w:lineRule="auto"/>
        <w:rPr>
          <w:sz w:val="20"/>
          <w:szCs w:val="20"/>
          <w:color w:val="auto"/>
        </w:rPr>
      </w:pPr>
      <w:r>
        <w:rPr>
          <w:rFonts w:ascii="Arial" w:cs="Arial" w:eastAsia="Arial" w:hAnsi="Arial"/>
          <w:sz w:val="15"/>
          <w:szCs w:val="15"/>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Amended Credit Agreement restricts the ability of our subsidiaries to make distributions to us) such payments will be deferred and will accrue interest until paid.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50"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Our principal U.S. subsidiary is subject to separate regulation and capital requirements in the U.S. and other jurisdictions. Virtu Americas LLC is a registered U.S. broker-dealer, and its primary regulators include the SEC and FINRA.</w:t>
      </w:r>
    </w:p>
    <w:p>
      <w:pPr>
        <w:spacing w:after="0" w:line="18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Virtu Americas LLC is also subject to rules set forth by NYSE and is required to maintain a certain level of capital in connection with the operation of its designated market maker business.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firstLine="629"/>
        <w:spacing w:after="0" w:line="280" w:lineRule="auto"/>
        <w:rPr>
          <w:sz w:val="20"/>
          <w:szCs w:val="20"/>
          <w:color w:val="auto"/>
        </w:rPr>
      </w:pPr>
      <w:r>
        <w:rPr>
          <w:rFonts w:ascii="Arial" w:cs="Arial" w:eastAsia="Arial" w:hAnsi="Arial"/>
          <w:sz w:val="16"/>
          <w:szCs w:val="16"/>
          <w:color w:val="auto"/>
        </w:rPr>
        <w:t>Our Canadian subsidiaries, Virtu ITG Canada Corp. and Virtu Financial Canada ULC, are subject to regulatory capital requirements and periodic requirements to report their regulatory capital and submit other regulatory reports set forth by the IIROC. VFIL and VIEL are regulated by the CBI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VIUK is regulated by the FCA in the United Kingdom and is subject to similar prudential capital requirements. Virtu ITG Australia Limited, Virtu ITG Hong Kong Limited, and Virtu ITG Singapore Pte Limited are also subject to local regulatory capital requirements and are regulated by the ASIC, the SFC, and the MAS, respectively.</w:t>
      </w:r>
    </w:p>
    <w:p>
      <w:pPr>
        <w:spacing w:after="0" w:line="195" w:lineRule="exact"/>
        <w:rPr>
          <w:sz w:val="20"/>
          <w:szCs w:val="20"/>
          <w:color w:val="auto"/>
        </w:rPr>
      </w:pPr>
    </w:p>
    <w:p>
      <w:pPr>
        <w:ind w:right="220" w:firstLine="629"/>
        <w:spacing w:after="0" w:line="289" w:lineRule="auto"/>
        <w:rPr>
          <w:sz w:val="20"/>
          <w:szCs w:val="20"/>
          <w:color w:val="auto"/>
        </w:rPr>
      </w:pPr>
      <w:r>
        <w:rPr>
          <w:rFonts w:ascii="Arial" w:cs="Arial" w:eastAsia="Arial" w:hAnsi="Arial"/>
          <w:sz w:val="17"/>
          <w:szCs w:val="17"/>
          <w:color w:val="auto"/>
        </w:rPr>
        <w:t>See Note 19 "Regulatory Requirement" of Part I Item 1 “Financial Statements” of this Quarterly Report on Form 10-Q for a discussion of regulatory capital requirements of our regulated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Broker Dealer Credit Facilities, Short-Term Bank Loans, and Prime Brokerage Credit Facilities</w:t>
      </w:r>
    </w:p>
    <w:p>
      <w:pPr>
        <w:spacing w:after="0" w:line="250" w:lineRule="exact"/>
        <w:rPr>
          <w:sz w:val="20"/>
          <w:szCs w:val="20"/>
          <w:color w:val="auto"/>
        </w:rPr>
      </w:pPr>
    </w:p>
    <w:p>
      <w:pPr>
        <w:ind w:right="20" w:firstLine="629"/>
        <w:spacing w:after="0" w:line="263" w:lineRule="auto"/>
        <w:rPr>
          <w:sz w:val="20"/>
          <w:szCs w:val="20"/>
          <w:color w:val="auto"/>
        </w:rPr>
      </w:pPr>
      <w:r>
        <w:rPr>
          <w:rFonts w:ascii="Arial" w:cs="Arial" w:eastAsia="Arial" w:hAnsi="Arial"/>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March 31, 2021, the outstanding principal balance on our broker-dealer facilities was $178.0 million and the outstanding aggregate short-term credit facilities with various prime brokers and other financial institutions from which the Company receives execution or clearing services was approximately $204.4 million, which was netted within Receivables from broker-dealers and clearing organizations on the Condensed Consolidated Statements of Financial Condition of Part I Item 1 “Financial Statements” of this Quarterly Report on Form 10-Q.</w:t>
      </w:r>
    </w:p>
    <w:p>
      <w:pPr>
        <w:spacing w:after="0" w:line="208"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On March 10, 2020, a broker-dealer subsidiary of the Company entered into a short term loan arrangement with Jefferies Financial Group, Inc., as lender, for a $20 million demand loan (the "Demand Loan") repayable no later than ninety (90) days after the date of borrowing. The Demand Loan bore interest at a rate of 10% per annum, increased by 2.0% with respect to any principal amounts not paid when due and payable. The Demand Loan was repaid in full as of April 17, 2020.</w:t>
      </w:r>
    </w:p>
    <w:p>
      <w:pPr>
        <w:spacing w:after="0" w:line="204" w:lineRule="exact"/>
        <w:rPr>
          <w:sz w:val="20"/>
          <w:szCs w:val="20"/>
          <w:color w:val="auto"/>
        </w:rPr>
      </w:pPr>
    </w:p>
    <w:p>
      <w:pPr>
        <w:ind w:right="460" w:firstLine="629"/>
        <w:spacing w:after="0" w:line="262" w:lineRule="auto"/>
        <w:rPr>
          <w:sz w:val="20"/>
          <w:szCs w:val="20"/>
          <w:color w:val="auto"/>
        </w:rPr>
      </w:pPr>
      <w:r>
        <w:rPr>
          <w:rFonts w:ascii="Arial" w:cs="Arial" w:eastAsia="Arial" w:hAnsi="Arial"/>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9" w:lineRule="exact"/>
        <w:rPr>
          <w:sz w:val="20"/>
          <w:szCs w:val="20"/>
          <w:color w:val="auto"/>
        </w:rPr>
      </w:pPr>
    </w:p>
    <w:p>
      <w:pPr>
        <w:ind w:right="100" w:firstLine="629"/>
        <w:spacing w:after="0" w:line="261" w:lineRule="auto"/>
        <w:rPr>
          <w:sz w:val="20"/>
          <w:szCs w:val="20"/>
          <w:color w:val="auto"/>
        </w:rPr>
      </w:pPr>
      <w:r>
        <w:rPr>
          <w:rFonts w:ascii="Arial" w:cs="Arial" w:eastAsia="Arial" w:hAnsi="Arial"/>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may purchase up to 3,000,000 shares of Class A Common Stock.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is $22.98, and the Warrant may be exercised to purchase up to 3,000,000 shares of the Company's Class A Common Stock on or after May 22, 2020 up to and including January 15, 2022. The Warrant and Class A Common Stock issuable pursuant to the Warrant were offered, and will be issued and sold, in reliance on the exemption from the registration requirements of the Securities Act, set forth under Section 4(a)(2) of the Securities Act relating to sales by an issuer not involving any public offering.</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50"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In connection with the ITG Acquisition, Virtu Financial, VFH and the Acquisition Borrower entered into the Credit Agreement, with the lenders party thereto, Jefferies Finance LLC, as administrative agent and Jefferies Finance LLC and RBC Capital Markets, as joint lead arrangers and joint bookrunners.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Credit Agreement provided (i) a senior secured first lien term loan (the “First Lien Term Loan Facility”) in an aggregate principal amount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$1,500 million, drawn in its entirety on the ITG Closing Date, of which approximately $404.5 million was borrowed by VFH to repay all amounts outstanding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under a previous term loan facility and the remaining</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right="140"/>
        <w:spacing w:after="0" w:line="267" w:lineRule="auto"/>
        <w:rPr>
          <w:sz w:val="20"/>
          <w:szCs w:val="20"/>
          <w:color w:val="auto"/>
        </w:rPr>
      </w:pPr>
      <w:r>
        <w:rPr>
          <w:rFonts w:ascii="Arial" w:cs="Arial" w:eastAsia="Arial" w:hAnsi="Arial"/>
          <w:sz w:val="17"/>
          <w:szCs w:val="17"/>
          <w:color w:val="auto"/>
        </w:rPr>
        <w:t>approximately $1,095 million was borrowed by the Acquisition Borrower to finance the consideration and fees and expenses paid in connection with the ITG Acquisition, and (ii) a $50.0 million senior secured first lien revolving facility to VFH (the “First Lien Revolving Facility”), with a $5.0 million letter of credit sub-facility and a $5.0 million swing-line sub-facility. After the ITG Closing Date, VFH assumed the obligations of the Acquisition Borrower in respect of the acquisition term loans.</w:t>
      </w:r>
    </w:p>
    <w:p>
      <w:pPr>
        <w:spacing w:after="0" w:line="204"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On October 9, 2019, VFH entered into an amendment (“Amendment No. 1”), which amended the Credit Agreement dated as of March 1, 2019, to, among other things, provide for $525.0 million in aggregate principal amount of incremental term loans (the “Incremental Term Loans”), and amend the related collateral agreement.</w:t>
      </w:r>
    </w:p>
    <w:p>
      <w:pPr>
        <w:spacing w:after="0" w:line="197" w:lineRule="exact"/>
        <w:rPr>
          <w:sz w:val="20"/>
          <w:szCs w:val="20"/>
          <w:color w:val="auto"/>
        </w:rPr>
      </w:pPr>
    </w:p>
    <w:p>
      <w:pPr>
        <w:ind w:right="80" w:firstLine="629"/>
        <w:spacing w:after="0" w:line="261" w:lineRule="auto"/>
        <w:rPr>
          <w:sz w:val="20"/>
          <w:szCs w:val="20"/>
          <w:color w:val="auto"/>
        </w:rPr>
      </w:pPr>
      <w:r>
        <w:rPr>
          <w:rFonts w:ascii="Arial" w:cs="Arial" w:eastAsia="Arial" w:hAnsi="Arial"/>
          <w:sz w:val="17"/>
          <w:szCs w:val="17"/>
          <w:color w:val="auto"/>
        </w:rPr>
        <w:t>On March 2, 2020, VFH entered into a second amendment (“Amendment No. 2”), which further amended the Credit Agreement (as amended by Amendment No. 1 and Amendment No. 2, the “Amended Credit Agreement”) to, among other things, reduce the interest rate spread over adjusted LIBOR or the alternate base rate by 0.50% per annum and eliminated any stepdown in the spread based on VFH's first lien leverage ratio. The term loan borrowings and revolver borrowings under the Amended Credit Agreement bear interest at a per annum rate equal to, at the Company's election, either (i) the greatest of (a) the prime rate in effect, (b) the greater of (1) the federal funds effective rate and (2) the overnight bank funding rate, in each case plus 0.50%, (c) an adjusted LIBOR rate for a Eurodollar borrowing with an interest period of one month plus 1.00% and (d) 1.00%, plus, in each case, 2.00%, or (ii) the greater of (x) an adjusted LIBOR rate for the interest period in effect and (y) 0%, plus, in each case, 3.00%. In addition, a commitment fee accrues at a rate of 0.50% per annum on the average daily unused amount of the First Lien Revolving Facility, with stepdowns to 0.375% and 0.25% per annum based on VFH’s first lien leverage ratio, and is payable quarterly in arrears.</w:t>
      </w:r>
    </w:p>
    <w:p>
      <w:pPr>
        <w:spacing w:after="0" w:line="209"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Under the Amended Credit Agreement, the term loans will mature on March 1, 2026. The term loans amortize in annual installments equal to 1.0% of the original aggregate principal amount of the term loans. The revolving commitments will terminate on March 1, 2022.</w:t>
      </w:r>
    </w:p>
    <w:p>
      <w:pPr>
        <w:spacing w:after="0" w:line="184" w:lineRule="exact"/>
        <w:rPr>
          <w:sz w:val="20"/>
          <w:szCs w:val="20"/>
          <w:color w:val="auto"/>
        </w:rPr>
      </w:pPr>
    </w:p>
    <w:p>
      <w:pPr>
        <w:ind w:right="220" w:firstLine="629"/>
        <w:spacing w:after="0" w:line="265" w:lineRule="auto"/>
        <w:rPr>
          <w:sz w:val="20"/>
          <w:szCs w:val="20"/>
          <w:color w:val="auto"/>
        </w:rPr>
      </w:pPr>
      <w:r>
        <w:rPr>
          <w:rFonts w:ascii="Arial" w:cs="Arial" w:eastAsia="Arial" w:hAnsi="Arial"/>
          <w:sz w:val="17"/>
          <w:szCs w:val="17"/>
          <w:color w:val="auto"/>
        </w:rPr>
        <w:t>The First Lien Revolving Facility under the Amended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4"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Amended Credit Agreement contains certain customary covenants and events of default, including relating to a change of control. If an event of default occurs and is continuing, the lenders under the Amended Credit Agreement will be entitled to take various actions, including the acceleration of amounts outstanding under the Amended Credit Agreement and all actions permitted to be taken by a secured creditor in respect of the collateral securing the obligations under the Amended Credit Agreement.</w:t>
      </w:r>
    </w:p>
    <w:p>
      <w:pPr>
        <w:spacing w:after="0" w:line="204"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In October 2019, we entered into a five-year $525.0 million floating-to-fixed interest rate swap agreement. In January 2020, we entered into a five-year $1,000.0 million floating-to-fixed interest rate swap agreement. These two interest rate swaps met the criteria to be considered and were designated as qualifying cash flow hedges under ASC 815 in the first quarter of 2020, and they effectively fix interest payment obligations on $1,000.0 million and $525.0 million of principal under the First Lien Term Loan Facility at rates of 4.4% and 4.3% through January 2025 and September 2024, respectively, based on the interest rates set forth in the Amended Credit Agreement.</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were in compliance with all applicable covenants under the Amended Credit Agreement as of March 31, 2021.</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50" w:lineRule="exact"/>
        <w:rPr>
          <w:sz w:val="20"/>
          <w:szCs w:val="20"/>
          <w:color w:val="auto"/>
        </w:rPr>
      </w:pPr>
    </w:p>
    <w:p>
      <w:pPr>
        <w:ind w:right="360" w:firstLine="629"/>
        <w:spacing w:after="0" w:line="289" w:lineRule="auto"/>
        <w:rPr>
          <w:sz w:val="20"/>
          <w:szCs w:val="20"/>
          <w:color w:val="auto"/>
        </w:rPr>
      </w:pPr>
      <w:r>
        <w:rPr>
          <w:rFonts w:ascii="Arial" w:cs="Arial" w:eastAsia="Arial" w:hAnsi="Arial"/>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table below summarizes our primary sources and uses of cash for the three months ended March 31, 2021 and 2020.</w:t>
      </w:r>
    </w:p>
    <w:p>
      <w:pPr>
        <w:spacing w:after="0" w:line="279"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cash provided by (used in):</w:t>
            </w:r>
          </w:p>
        </w:tc>
        <w:tc>
          <w:tcPr>
            <w:tcW w:w="36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77"/>
        </w:trPr>
        <w:tc>
          <w:tcPr>
            <w:tcW w:w="55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133,890</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(218,661)</w:t>
            </w:r>
          </w:p>
        </w:tc>
      </w:tr>
      <w:tr>
        <w:trPr>
          <w:trHeight w:val="181"/>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Investing activities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(20,011)</w:t>
            </w:r>
          </w:p>
        </w:tc>
      </w:tr>
      <w:tr>
        <w:trPr>
          <w:trHeight w:val="186"/>
        </w:trPr>
        <w:tc>
          <w:tcPr>
            <w:tcW w:w="5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Financing activities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(89,744)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280,989</w:t>
            </w:r>
          </w:p>
        </w:tc>
      </w:tr>
      <w:tr>
        <w:trPr>
          <w:trHeight w:val="181"/>
        </w:trPr>
        <w:tc>
          <w:tcPr>
            <w:tcW w:w="56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(10,396)</w:t>
            </w:r>
          </w:p>
        </w:tc>
      </w:tr>
      <w:tr>
        <w:trPr>
          <w:trHeight w:val="204"/>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Net increase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31,921</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160" w:firstLine="629"/>
        <w:spacing w:after="0" w:line="267" w:lineRule="auto"/>
        <w:rPr>
          <w:sz w:val="20"/>
          <w:szCs w:val="20"/>
          <w:color w:val="auto"/>
        </w:rPr>
      </w:pPr>
      <w:r>
        <w:rPr>
          <w:rFonts w:ascii="Arial" w:cs="Arial" w:eastAsia="Arial" w:hAnsi="Arial"/>
          <w:sz w:val="17"/>
          <w:szCs w:val="17"/>
          <w:color w:val="auto"/>
        </w:rPr>
        <w:t>Net cash provided by operating activities was $133.9 million for the three months ended March 31, 2021, compared to net cash used in operating activities of $218.7 million for the three months ended March 31, 2020. The increase in net cash provided by operating activities was primarily attributable to increases in net receivables from broker-dealers and clearing organizations and net receivables from customers for the three months ended March 31, 2020 compared to the current period.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50" w:lineRule="exact"/>
        <w:rPr>
          <w:sz w:val="20"/>
          <w:szCs w:val="20"/>
          <w:color w:val="auto"/>
        </w:rPr>
      </w:pPr>
    </w:p>
    <w:p>
      <w:pPr>
        <w:ind w:right="20" w:firstLine="629"/>
        <w:spacing w:after="0" w:line="297" w:lineRule="auto"/>
        <w:rPr>
          <w:sz w:val="20"/>
          <w:szCs w:val="20"/>
          <w:color w:val="auto"/>
        </w:rPr>
      </w:pPr>
      <w:r>
        <w:rPr>
          <w:rFonts w:ascii="Arial" w:cs="Arial" w:eastAsia="Arial" w:hAnsi="Arial"/>
          <w:sz w:val="16"/>
          <w:szCs w:val="16"/>
          <w:color w:val="auto"/>
        </w:rPr>
        <w:t>Net cash used in investing activities was $25.6 million for the three months ended March 31, 2021, compared to net cash used in investing activities of $20.0 million for the three months ended March 31, 2020. The increase in cash used in investing activities for the three months ended March 31, 2021 was primarily attributable to a decrease in acquisition of property and equipment, partially offset by an increase in capitalized development costs.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50" w:lineRule="exact"/>
        <w:rPr>
          <w:sz w:val="20"/>
          <w:szCs w:val="20"/>
          <w:color w:val="auto"/>
        </w:rPr>
      </w:pPr>
    </w:p>
    <w:p>
      <w:pPr>
        <w:ind w:firstLine="629"/>
        <w:spacing w:after="0" w:line="263" w:lineRule="auto"/>
        <w:rPr>
          <w:sz w:val="20"/>
          <w:szCs w:val="20"/>
          <w:color w:val="auto"/>
        </w:rPr>
      </w:pPr>
      <w:r>
        <w:rPr>
          <w:rFonts w:ascii="Arial" w:cs="Arial" w:eastAsia="Arial" w:hAnsi="Arial"/>
          <w:sz w:val="17"/>
          <w:szCs w:val="17"/>
          <w:color w:val="auto"/>
        </w:rPr>
        <w:t>Net cash used in financing activities was $89.7 million for the three months ended March 31, 2021, while net cash provided by financing activities was $281.0 million for the three months ended March 31, 2020. The cash used in financing activities for the three months ended March 31, 2021 was primarily attributable to $159.2 million in distributions made to noncontrolling interests and $63.4 million in repurchases of Class A Common Stock and Virtu Financial Units under the share repurchase program (described below). The cash provided by financing activities of $281.0 million during the same period of 2020 primarily reflects net proceeds from short-term borrowings to increase available short-term liquidity during a period of heightened volatility at the onset of the COVID-19 pandemic.</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50"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On November 6, 2020, the Company's Board of Directors authorized a new share repurchase program of up to $100.0 million in Class A Common Stock and Virtu Financial Units by December 31, 2021. The authorized amount was subsequently increased by $70 million on February 11, 2021, for a total authorization of $170 million. From the inception of the program through March 31, 2021, the Company repurchased approximately 3.7 million shares of Class A Common Stock and Virtu Financial Units for approximately $97.3 million. As of March 31, 2021, the Company has approximately of $72.7 million remaining capacity for future purchases of shares of Class A Common Stock and Virtu Financial Units under the program.</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jc w:val="both"/>
        <w:ind w:right="540" w:firstLine="629"/>
        <w:spacing w:after="0" w:line="273" w:lineRule="auto"/>
        <w:rPr>
          <w:sz w:val="20"/>
          <w:szCs w:val="20"/>
          <w:color w:val="auto"/>
        </w:rPr>
      </w:pPr>
      <w:r>
        <w:rPr>
          <w:rFonts w:ascii="Arial" w:cs="Arial" w:eastAsia="Arial" w:hAnsi="Arial"/>
          <w:sz w:val="17"/>
          <w:szCs w:val="17"/>
          <w:color w:val="auto"/>
        </w:rPr>
        <w:t>As of March 31, 2021, we did not have any off-balance sheet arrangements, as defined in Item 303(a)(4)(ii) of Regulation S-K, that have or are reasonably likely to have current or future effects on our financial condition, changes in financial condition, revenues or expenses, results of operations, liquidity, capital expenditures or capital resources that are material to investors.</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56" w:lineRule="exact"/>
        <w:rPr>
          <w:sz w:val="20"/>
          <w:szCs w:val="20"/>
          <w:color w:val="auto"/>
        </w:rPr>
      </w:pPr>
    </w:p>
    <w:p>
      <w:pPr>
        <w:ind w:right="560" w:firstLine="629"/>
        <w:spacing w:after="0" w:line="289" w:lineRule="auto"/>
        <w:rPr>
          <w:sz w:val="20"/>
          <w:szCs w:val="20"/>
          <w:color w:val="auto"/>
        </w:rPr>
      </w:pPr>
      <w:r>
        <w:rPr>
          <w:rFonts w:ascii="Arial" w:cs="Arial" w:eastAsia="Arial" w:hAnsi="Arial"/>
          <w:sz w:val="17"/>
          <w:szCs w:val="17"/>
          <w:color w:val="auto"/>
        </w:rPr>
        <w:t>We believe inflation has not had a material effect on our financial condition as of March 31, 2021, and December 31, 2020, or on our results of operations and cash flows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204" w:lineRule="exact"/>
        <w:rPr>
          <w:sz w:val="20"/>
          <w:szCs w:val="20"/>
          <w:color w:val="auto"/>
        </w:rPr>
      </w:pPr>
    </w:p>
    <w:p>
      <w:pPr>
        <w:ind w:right="60" w:firstLine="629"/>
        <w:spacing w:after="0" w:line="263" w:lineRule="auto"/>
        <w:rPr>
          <w:sz w:val="20"/>
          <w:szCs w:val="20"/>
          <w:color w:val="auto"/>
        </w:rPr>
      </w:pPr>
      <w:r>
        <w:rPr>
          <w:rFonts w:ascii="Arial" w:cs="Arial" w:eastAsia="Arial" w:hAnsi="Arial"/>
          <w:sz w:val="17"/>
          <w:szCs w:val="17"/>
          <w:color w:val="auto"/>
        </w:rPr>
        <w:t>While our significant accounting policies are described in more detail in Note 2 "Summary of Significant Accounting Policies" in our consolidated financial statements included in Part II, Item 8 of our Annual Report on Form 10-K for the year ended December 31, 2020,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50" w:lineRule="exact"/>
        <w:rPr>
          <w:sz w:val="20"/>
          <w:szCs w:val="20"/>
          <w:color w:val="auto"/>
        </w:rPr>
      </w:pPr>
    </w:p>
    <w:p>
      <w:pPr>
        <w:ind w:right="60" w:firstLine="629"/>
        <w:spacing w:after="0" w:line="308" w:lineRule="auto"/>
        <w:rPr>
          <w:sz w:val="20"/>
          <w:szCs w:val="20"/>
          <w:color w:val="auto"/>
        </w:rPr>
      </w:pPr>
      <w:r>
        <w:rPr>
          <w:rFonts w:ascii="Arial" w:cs="Arial" w:eastAsia="Arial" w:hAnsi="Arial"/>
          <w:sz w:val="15"/>
          <w:szCs w:val="15"/>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77"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Unadjusted quoted prices in active markets that are accessible at the measurement date for identical, unrestricted assets or liabilities;</w:t>
      </w:r>
    </w:p>
    <w:p>
      <w:pPr>
        <w:spacing w:after="0" w:line="261"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250"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See Note 9 "Financial Assets and Liabilities" of Part I Item 1 “Financial Statements” of this Quarterly Report on Form 10-Q for further information about fair value measurements.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50"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Commissions, net and Technology Services</w:t>
      </w:r>
    </w:p>
    <w:p>
      <w:pPr>
        <w:spacing w:after="0" w:line="250" w:lineRule="exact"/>
        <w:rPr>
          <w:sz w:val="20"/>
          <w:szCs w:val="20"/>
          <w:color w:val="auto"/>
        </w:rPr>
      </w:pPr>
    </w:p>
    <w:p>
      <w:pPr>
        <w:ind w:right="40" w:firstLine="629"/>
        <w:spacing w:after="0" w:line="265" w:lineRule="auto"/>
        <w:rPr>
          <w:sz w:val="20"/>
          <w:szCs w:val="20"/>
          <w:color w:val="auto"/>
        </w:rPr>
      </w:pPr>
      <w:r>
        <w:rPr>
          <w:rFonts w:ascii="Arial" w:cs="Arial" w:eastAsia="Arial" w:hAnsi="Arial"/>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4" w:lineRule="exact"/>
        <w:rPr>
          <w:sz w:val="20"/>
          <w:szCs w:val="20"/>
          <w:color w:val="auto"/>
        </w:rPr>
      </w:pPr>
    </w:p>
    <w:p>
      <w:pPr>
        <w:ind w:right="700" w:firstLine="629"/>
        <w:spacing w:after="0" w:line="289" w:lineRule="auto"/>
        <w:rPr>
          <w:sz w:val="20"/>
          <w:szCs w:val="20"/>
          <w:color w:val="auto"/>
        </w:rPr>
      </w:pPr>
      <w:r>
        <w:rPr>
          <w:rFonts w:ascii="Arial" w:cs="Arial" w:eastAsia="Arial" w:hAnsi="Arial"/>
          <w:sz w:val="17"/>
          <w:szCs w:val="17"/>
          <w:color w:val="auto"/>
        </w:rPr>
        <w:t>Workflow technology revenues consist of order and trade execution management and order routing services we provide through our front-end workflow solutions and network capabilities.</w:t>
      </w:r>
    </w:p>
    <w:p>
      <w:pPr>
        <w:spacing w:after="0" w:line="184" w:lineRule="exact"/>
        <w:rPr>
          <w:sz w:val="20"/>
          <w:szCs w:val="20"/>
          <w:color w:val="auto"/>
        </w:rPr>
      </w:pPr>
    </w:p>
    <w:p>
      <w:pPr>
        <w:ind w:firstLine="629"/>
        <w:spacing w:after="0" w:line="289" w:lineRule="auto"/>
        <w:rPr>
          <w:sz w:val="20"/>
          <w:szCs w:val="20"/>
          <w:color w:val="auto"/>
        </w:rPr>
      </w:pPr>
      <w:r>
        <w:rPr>
          <w:rFonts w:ascii="Arial" w:cs="Arial" w:eastAsia="Arial" w:hAnsi="Arial"/>
          <w:sz w:val="16"/>
          <w:szCs w:val="16"/>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88" w:lineRule="exact"/>
        <w:rPr>
          <w:sz w:val="20"/>
          <w:szCs w:val="20"/>
          <w:color w:val="auto"/>
        </w:rPr>
      </w:pPr>
    </w:p>
    <w:p>
      <w:pPr>
        <w:ind w:right="480" w:firstLine="629"/>
        <w:spacing w:after="0" w:line="359" w:lineRule="auto"/>
        <w:rPr>
          <w:sz w:val="20"/>
          <w:szCs w:val="20"/>
          <w:color w:val="auto"/>
        </w:rPr>
      </w:pPr>
      <w:r>
        <w:rPr>
          <w:rFonts w:ascii="Arial" w:cs="Arial" w:eastAsia="Arial" w:hAnsi="Arial"/>
          <w:sz w:val="15"/>
          <w:szCs w:val="15"/>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39"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204" w:lineRule="exact"/>
        <w:rPr>
          <w:sz w:val="20"/>
          <w:szCs w:val="20"/>
          <w:color w:val="auto"/>
        </w:rPr>
      </w:pPr>
    </w:p>
    <w:p>
      <w:pPr>
        <w:ind w:right="140" w:firstLine="629"/>
        <w:spacing w:after="0" w:line="263" w:lineRule="auto"/>
        <w:rPr>
          <w:sz w:val="20"/>
          <w:szCs w:val="20"/>
          <w:color w:val="auto"/>
        </w:rPr>
      </w:pPr>
      <w:r>
        <w:rPr>
          <w:rFonts w:ascii="Arial" w:cs="Arial" w:eastAsia="Arial" w:hAnsi="Arial"/>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8" w:lineRule="exact"/>
        <w:rPr>
          <w:sz w:val="20"/>
          <w:szCs w:val="20"/>
          <w:color w:val="auto"/>
        </w:rPr>
      </w:pPr>
    </w:p>
    <w:p>
      <w:pPr>
        <w:ind w:right="140" w:firstLine="629"/>
        <w:spacing w:after="0" w:line="273" w:lineRule="auto"/>
        <w:rPr>
          <w:sz w:val="20"/>
          <w:szCs w:val="20"/>
          <w:color w:val="auto"/>
        </w:rPr>
      </w:pPr>
      <w:r>
        <w:rPr>
          <w:rFonts w:ascii="Arial" w:cs="Arial" w:eastAsia="Arial" w:hAnsi="Arial"/>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71" w:lineRule="exact"/>
        <w:rPr>
          <w:sz w:val="20"/>
          <w:szCs w:val="20"/>
          <w:color w:val="auto"/>
        </w:rPr>
      </w:pPr>
    </w:p>
    <w:p>
      <w:pPr>
        <w:ind w:left="1260" w:right="480" w:hanging="626"/>
        <w:spacing w:after="0" w:line="264" w:lineRule="auto"/>
        <w:tabs>
          <w:tab w:leader="none" w:pos="1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commission value for each customer for the products and services it receives, which is priced using the value for similar stand-alone subscription arrangements; and</w:t>
      </w:r>
    </w:p>
    <w:p>
      <w:pPr>
        <w:spacing w:after="0" w:line="1" w:lineRule="exact"/>
        <w:rPr>
          <w:rFonts w:ascii="Arial" w:cs="Arial" w:eastAsia="Arial" w:hAnsi="Arial"/>
          <w:sz w:val="17"/>
          <w:szCs w:val="17"/>
          <w:color w:val="auto"/>
        </w:rPr>
      </w:pPr>
    </w:p>
    <w:p>
      <w:pPr>
        <w:ind w:left="1260" w:right="560" w:hanging="626"/>
        <w:spacing w:after="0" w:line="274" w:lineRule="auto"/>
        <w:tabs>
          <w:tab w:leader="none" w:pos="125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calculated ratio of the commission value for the products and services relative to the total amount of commissions generated from the customer.</w:t>
      </w:r>
    </w:p>
    <w:p>
      <w:pPr>
        <w:spacing w:after="0" w:line="19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50"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7" w:lineRule="exact"/>
        <w:rPr>
          <w:sz w:val="20"/>
          <w:szCs w:val="20"/>
          <w:color w:val="auto"/>
        </w:rPr>
      </w:pPr>
    </w:p>
    <w:p>
      <w:pPr>
        <w:ind w:right="40" w:firstLine="629"/>
        <w:spacing w:after="0" w:line="279" w:lineRule="auto"/>
        <w:rPr>
          <w:sz w:val="20"/>
          <w:szCs w:val="20"/>
          <w:color w:val="auto"/>
        </w:rPr>
      </w:pPr>
      <w:r>
        <w:rPr>
          <w:rFonts w:ascii="Arial" w:cs="Arial" w:eastAsia="Arial" w:hAnsi="Arial"/>
          <w:sz w:val="16"/>
          <w:szCs w:val="16"/>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We record as treasury stock shares repurchased from employees for the purpose of settling tax liabilities incurred upon the issuance of common stock, the vesting of RSUs or the exercise of stock options.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50"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84" w:lineRule="exact"/>
        <w:rPr>
          <w:sz w:val="20"/>
          <w:szCs w:val="20"/>
          <w:color w:val="auto"/>
        </w:rPr>
      </w:pPr>
    </w:p>
    <w:p>
      <w:pPr>
        <w:ind w:right="100" w:firstLine="629"/>
        <w:spacing w:after="0" w:line="297" w:lineRule="auto"/>
        <w:rPr>
          <w:sz w:val="20"/>
          <w:szCs w:val="20"/>
          <w:color w:val="auto"/>
        </w:rPr>
      </w:pPr>
      <w:r>
        <w:rPr>
          <w:rFonts w:ascii="Arial" w:cs="Arial" w:eastAsia="Arial" w:hAnsi="Arial"/>
          <w:sz w:val="16"/>
          <w:szCs w:val="16"/>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81" w:lineRule="exact"/>
        <w:rPr>
          <w:sz w:val="20"/>
          <w:szCs w:val="20"/>
          <w:color w:val="auto"/>
        </w:rPr>
      </w:pPr>
    </w:p>
    <w:p>
      <w:pPr>
        <w:ind w:right="100" w:firstLine="629"/>
        <w:spacing w:after="0" w:line="278" w:lineRule="auto"/>
        <w:rPr>
          <w:sz w:val="20"/>
          <w:szCs w:val="20"/>
          <w:color w:val="auto"/>
        </w:rPr>
      </w:pPr>
      <w:r>
        <w:rPr>
          <w:rFonts w:ascii="Arial" w:cs="Arial" w:eastAsia="Arial" w:hAnsi="Arial"/>
          <w:sz w:val="16"/>
          <w:szCs w:val="16"/>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Agreements</w:t>
      </w:r>
    </w:p>
    <w:p>
      <w:pPr>
        <w:spacing w:after="0" w:line="250"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50" w:lineRule="exact"/>
        <w:rPr>
          <w:sz w:val="20"/>
          <w:szCs w:val="20"/>
          <w:color w:val="auto"/>
        </w:rPr>
      </w:pPr>
    </w:p>
    <w:p>
      <w:pPr>
        <w:ind w:right="360" w:firstLine="629"/>
        <w:spacing w:after="0" w:line="267" w:lineRule="auto"/>
        <w:rPr>
          <w:sz w:val="20"/>
          <w:szCs w:val="20"/>
          <w:color w:val="auto"/>
        </w:rPr>
      </w:pPr>
      <w:r>
        <w:rPr>
          <w:rFonts w:ascii="Arial" w:cs="Arial" w:eastAsia="Arial" w:hAnsi="Arial"/>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204" w:lineRule="exact"/>
        <w:rPr>
          <w:sz w:val="20"/>
          <w:szCs w:val="20"/>
          <w:color w:val="auto"/>
        </w:rPr>
      </w:pPr>
    </w:p>
    <w:p>
      <w:pPr>
        <w:jc w:val="both"/>
        <w:ind w:right="60" w:firstLine="629"/>
        <w:spacing w:after="0" w:line="325" w:lineRule="auto"/>
        <w:rPr>
          <w:sz w:val="20"/>
          <w:szCs w:val="20"/>
          <w:color w:val="auto"/>
        </w:rPr>
      </w:pPr>
      <w:r>
        <w:rPr>
          <w:rFonts w:ascii="Arial" w:cs="Arial" w:eastAsia="Arial" w:hAnsi="Arial"/>
          <w:sz w:val="15"/>
          <w:szCs w:val="15"/>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33" w:lineRule="exact"/>
        <w:rPr>
          <w:sz w:val="20"/>
          <w:szCs w:val="20"/>
          <w:color w:val="auto"/>
        </w:rPr>
      </w:pPr>
    </w:p>
    <w:p>
      <w:pPr>
        <w:ind w:left="1260" w:hanging="312"/>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general economic conditions;</w:t>
      </w:r>
    </w:p>
    <w:p>
      <w:pPr>
        <w:spacing w:after="0" w:line="26" w:lineRule="exact"/>
        <w:rPr>
          <w:rFonts w:ascii="Arial" w:cs="Arial" w:eastAsia="Arial" w:hAnsi="Arial"/>
          <w:sz w:val="17"/>
          <w:szCs w:val="17"/>
          <w:color w:val="auto"/>
        </w:rPr>
      </w:pPr>
    </w:p>
    <w:p>
      <w:pPr>
        <w:ind w:left="1260" w:hanging="312"/>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on accessing capital;</w:t>
      </w:r>
    </w:p>
    <w:p>
      <w:pPr>
        <w:spacing w:after="0" w:line="14" w:lineRule="exact"/>
        <w:rPr>
          <w:rFonts w:ascii="Arial" w:cs="Arial" w:eastAsia="Arial" w:hAnsi="Arial"/>
          <w:sz w:val="17"/>
          <w:szCs w:val="17"/>
          <w:color w:val="auto"/>
        </w:rPr>
      </w:pPr>
    </w:p>
    <w:p>
      <w:pPr>
        <w:ind w:left="1260" w:hanging="312"/>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fluctuations in foreign exchange rates or other developments in equity and credit markets;</w:t>
      </w:r>
    </w:p>
    <w:p>
      <w:pPr>
        <w:spacing w:after="0" w:line="14" w:lineRule="exact"/>
        <w:rPr>
          <w:rFonts w:ascii="Arial" w:cs="Arial" w:eastAsia="Arial" w:hAnsi="Arial"/>
          <w:sz w:val="17"/>
          <w:szCs w:val="17"/>
          <w:color w:val="auto"/>
        </w:rPr>
      </w:pPr>
    </w:p>
    <w:p>
      <w:pPr>
        <w:ind w:left="640" w:firstLine="308"/>
        <w:spacing w:after="0" w:line="257" w:lineRule="auto"/>
        <w:tabs>
          <w:tab w:leader="none" w:pos="1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cost factors such as increases in raw materials, labor, or other costs that have a negative effect on earnings and cash flows;</w:t>
      </w:r>
    </w:p>
    <w:p>
      <w:pPr>
        <w:spacing w:after="0" w:line="14" w:lineRule="exact"/>
        <w:rPr>
          <w:rFonts w:ascii="Arial" w:cs="Arial" w:eastAsia="Arial" w:hAnsi="Arial"/>
          <w:sz w:val="17"/>
          <w:szCs w:val="17"/>
          <w:color w:val="auto"/>
        </w:rPr>
      </w:pPr>
    </w:p>
    <w:p>
      <w:pPr>
        <w:ind w:left="640" w:right="280" w:firstLine="308"/>
        <w:spacing w:after="0" w:line="257" w:lineRule="auto"/>
        <w:tabs>
          <w:tab w:leader="none" w:pos="1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 relevant entity-specific events such as changes in management, key personnel, strategy, or customers, contemplation of bankruptcy, or litigation.</w:t>
      </w:r>
    </w:p>
    <w:p>
      <w:pPr>
        <w:spacing w:after="0" w:line="197"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84" w:lineRule="exact"/>
        <w:rPr>
          <w:sz w:val="20"/>
          <w:szCs w:val="20"/>
          <w:color w:val="auto"/>
        </w:rPr>
      </w:pPr>
    </w:p>
    <w:p>
      <w:pPr>
        <w:ind w:right="180" w:firstLine="629"/>
        <w:spacing w:after="0" w:line="273" w:lineRule="auto"/>
        <w:rPr>
          <w:sz w:val="20"/>
          <w:szCs w:val="20"/>
          <w:color w:val="auto"/>
        </w:rPr>
      </w:pPr>
      <w:r>
        <w:rPr>
          <w:rFonts w:ascii="Arial" w:cs="Arial" w:eastAsia="Arial" w:hAnsi="Arial"/>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w:t>
      </w:r>
    </w:p>
    <w:p>
      <w:pPr>
        <w:spacing w:after="0" w:line="197" w:lineRule="exact"/>
        <w:rPr>
          <w:sz w:val="20"/>
          <w:szCs w:val="20"/>
          <w:color w:val="auto"/>
        </w:rPr>
      </w:pPr>
    </w:p>
    <w:p>
      <w:pPr>
        <w:ind w:right="260" w:firstLine="629"/>
        <w:spacing w:after="0" w:line="273" w:lineRule="auto"/>
        <w:rPr>
          <w:sz w:val="20"/>
          <w:szCs w:val="20"/>
          <w:color w:val="auto"/>
        </w:rPr>
      </w:pPr>
      <w:r>
        <w:rPr>
          <w:rFonts w:ascii="Arial" w:cs="Arial" w:eastAsia="Arial" w:hAnsi="Arial"/>
          <w:sz w:val="17"/>
          <w:szCs w:val="17"/>
          <w:color w:val="auto"/>
        </w:rPr>
        <w:t>We assess goodwill for impairment on an annual basis as of July 1st and on an interim basis when certain events or circumstances exist. In the impairment assessment as of July 1, 2020, we performed a qualitative assessment as described above for each reporting unit. No impairment of goodwill was identified.</w:t>
      </w:r>
    </w:p>
    <w:p>
      <w:pPr>
        <w:spacing w:after="0" w:line="197" w:lineRule="exact"/>
        <w:rPr>
          <w:sz w:val="20"/>
          <w:szCs w:val="20"/>
          <w:color w:val="auto"/>
        </w:rPr>
      </w:pPr>
    </w:p>
    <w:p>
      <w:pPr>
        <w:ind w:right="20" w:firstLine="629"/>
        <w:spacing w:after="0" w:line="251" w:lineRule="auto"/>
        <w:rPr>
          <w:sz w:val="20"/>
          <w:szCs w:val="20"/>
          <w:color w:val="auto"/>
        </w:rPr>
      </w:pPr>
      <w:r>
        <w:rPr>
          <w:rFonts w:ascii="Arial" w:cs="Arial" w:eastAsia="Arial" w:hAnsi="Arial"/>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We test finite-lived intangible assets for impairment when impairment indicators are present, and if impaired, they are written down to fair value.</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56" w:lineRule="exact"/>
        <w:rPr>
          <w:sz w:val="20"/>
          <w:szCs w:val="20"/>
          <w:color w:val="auto"/>
        </w:rPr>
      </w:pPr>
    </w:p>
    <w:p>
      <w:pPr>
        <w:ind w:right="160" w:firstLine="629"/>
        <w:spacing w:after="0" w:line="289" w:lineRule="auto"/>
        <w:rPr>
          <w:sz w:val="20"/>
          <w:szCs w:val="20"/>
          <w:color w:val="auto"/>
        </w:rPr>
      </w:pPr>
      <w:r>
        <w:rPr>
          <w:rFonts w:ascii="Arial" w:cs="Arial" w:eastAsia="Arial" w:hAnsi="Arial"/>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6"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8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95" w:lineRule="exact"/>
        <w:rPr>
          <w:sz w:val="20"/>
          <w:szCs w:val="20"/>
          <w:color w:val="auto"/>
        </w:rPr>
      </w:pPr>
    </w:p>
    <w:p>
      <w:pPr>
        <w:ind w:firstLine="629"/>
        <w:spacing w:after="0" w:line="273" w:lineRule="auto"/>
        <w:rPr>
          <w:sz w:val="20"/>
          <w:szCs w:val="20"/>
          <w:color w:val="auto"/>
        </w:rPr>
      </w:pPr>
      <w:r>
        <w:rPr>
          <w:rFonts w:ascii="Arial" w:cs="Arial" w:eastAsia="Arial" w:hAnsi="Arial"/>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7" w:lineRule="exact"/>
        <w:rPr>
          <w:sz w:val="20"/>
          <w:szCs w:val="20"/>
          <w:color w:val="auto"/>
        </w:rPr>
      </w:pPr>
    </w:p>
    <w:p>
      <w:pPr>
        <w:ind w:right="60" w:firstLine="629"/>
        <w:spacing w:after="0" w:line="273" w:lineRule="auto"/>
        <w:rPr>
          <w:sz w:val="20"/>
          <w:szCs w:val="20"/>
          <w:color w:val="auto"/>
        </w:rPr>
      </w:pPr>
      <w:r>
        <w:rPr>
          <w:rFonts w:ascii="Arial" w:cs="Arial" w:eastAsia="Arial" w:hAnsi="Arial"/>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7" w:lineRule="exact"/>
        <w:rPr>
          <w:sz w:val="20"/>
          <w:szCs w:val="20"/>
          <w:color w:val="auto"/>
        </w:rPr>
      </w:pPr>
    </w:p>
    <w:p>
      <w:pPr>
        <w:ind w:right="80" w:firstLine="629"/>
        <w:spacing w:after="0" w:line="262" w:lineRule="auto"/>
        <w:rPr>
          <w:sz w:val="20"/>
          <w:szCs w:val="20"/>
          <w:color w:val="auto"/>
        </w:rPr>
      </w:pPr>
      <w:r>
        <w:rPr>
          <w:rFonts w:ascii="Arial" w:cs="Arial" w:eastAsia="Arial" w:hAnsi="Arial"/>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 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9" w:lineRule="exact"/>
        <w:rPr>
          <w:sz w:val="20"/>
          <w:szCs w:val="20"/>
          <w:color w:val="auto"/>
        </w:rPr>
      </w:pPr>
    </w:p>
    <w:p>
      <w:pPr>
        <w:ind w:right="20" w:firstLine="629"/>
        <w:spacing w:after="0" w:line="265" w:lineRule="auto"/>
        <w:rPr>
          <w:sz w:val="20"/>
          <w:szCs w:val="20"/>
          <w:color w:val="auto"/>
        </w:rPr>
      </w:pPr>
      <w:r>
        <w:rPr>
          <w:rFonts w:ascii="Arial" w:cs="Arial" w:eastAsia="Arial" w:hAnsi="Arial"/>
          <w:sz w:val="17"/>
          <w:szCs w:val="17"/>
          <w:color w:val="auto"/>
        </w:rPr>
        <w:t>In the normal course of business, we maintain inventories of exchange-listed and other equity securities, and to a lesser extent, fixed income securities and listed equity options. The fair value of these financial instruments at March 31, 2021 and December 31, 2020 was $3.9 billion and $3.1 billion, respectively, in long positions and $3.0 billion and $2.9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204" w:lineRule="exact"/>
        <w:rPr>
          <w:sz w:val="20"/>
          <w:szCs w:val="20"/>
          <w:color w:val="auto"/>
        </w:rPr>
      </w:pPr>
    </w:p>
    <w:p>
      <w:pPr>
        <w:jc w:val="both"/>
        <w:ind w:right="40" w:firstLine="629"/>
        <w:spacing w:after="0" w:line="267" w:lineRule="auto"/>
        <w:rPr>
          <w:sz w:val="20"/>
          <w:szCs w:val="20"/>
          <w:color w:val="auto"/>
        </w:rPr>
      </w:pPr>
      <w:r>
        <w:rPr>
          <w:rFonts w:ascii="Arial" w:cs="Arial" w:eastAsia="Arial" w:hAnsi="Arial"/>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204" w:lineRule="exact"/>
        <w:rPr>
          <w:sz w:val="20"/>
          <w:szCs w:val="20"/>
          <w:color w:val="auto"/>
        </w:rPr>
      </w:pPr>
    </w:p>
    <w:p>
      <w:pPr>
        <w:ind w:right="120" w:firstLine="629"/>
        <w:spacing w:after="0" w:line="265"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 Derivative Instruments</w:t>
      </w:r>
    </w:p>
    <w:p>
      <w:pPr>
        <w:spacing w:after="0" w:line="256" w:lineRule="exact"/>
        <w:rPr>
          <w:sz w:val="20"/>
          <w:szCs w:val="20"/>
          <w:color w:val="auto"/>
        </w:rPr>
      </w:pPr>
    </w:p>
    <w:p>
      <w:pPr>
        <w:ind w:right="20" w:firstLine="629"/>
        <w:spacing w:after="0" w:line="285" w:lineRule="auto"/>
        <w:rPr>
          <w:sz w:val="20"/>
          <w:szCs w:val="20"/>
          <w:color w:val="auto"/>
        </w:rPr>
      </w:pPr>
      <w:r>
        <w:rPr>
          <w:rFonts w:ascii="Arial" w:cs="Arial" w:eastAsia="Arial" w:hAnsi="Arial"/>
          <w:sz w:val="16"/>
          <w:szCs w:val="16"/>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1" w:lineRule="exact"/>
        <w:rPr>
          <w:sz w:val="20"/>
          <w:szCs w:val="20"/>
          <w:color w:val="auto"/>
        </w:rPr>
      </w:pPr>
    </w:p>
    <w:p>
      <w:pPr>
        <w:ind w:right="40" w:firstLine="629"/>
        <w:spacing w:after="0" w:line="278" w:lineRule="auto"/>
        <w:rPr>
          <w:sz w:val="20"/>
          <w:szCs w:val="20"/>
          <w:color w:val="auto"/>
        </w:rPr>
      </w:pPr>
      <w:r>
        <w:rPr>
          <w:rFonts w:ascii="Arial" w:cs="Arial" w:eastAsia="Arial" w:hAnsi="Arial"/>
          <w:sz w:val="16"/>
          <w:szCs w:val="16"/>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0" w:lineRule="exact"/>
        <w:rPr>
          <w:sz w:val="20"/>
          <w:szCs w:val="20"/>
          <w:color w:val="auto"/>
        </w:rPr>
      </w:pPr>
    </w:p>
    <w:p>
      <w:pPr>
        <w:ind w:right="100" w:firstLine="629"/>
        <w:spacing w:after="0" w:line="285" w:lineRule="auto"/>
        <w:rPr>
          <w:sz w:val="20"/>
          <w:szCs w:val="20"/>
          <w:color w:val="auto"/>
        </w:rPr>
      </w:pPr>
      <w:r>
        <w:rPr>
          <w:rFonts w:ascii="Arial" w:cs="Arial" w:eastAsia="Arial" w:hAnsi="Arial"/>
          <w:sz w:val="16"/>
          <w:szCs w:val="16"/>
          <w:i w:val="1"/>
          <w:iCs w:val="1"/>
          <w:color w:val="auto"/>
        </w:rPr>
        <w:t>Futures Contracts</w:t>
      </w:r>
      <w:r>
        <w:rPr>
          <w:rFonts w:ascii="Arial" w:cs="Arial" w:eastAsia="Arial" w:hAnsi="Arial"/>
          <w:sz w:val="16"/>
          <w:szCs w:val="16"/>
          <w:color w:val="auto"/>
        </w:rPr>
        <w:t>. As part of our proprietary market making trading strategies, we use futures contracts to gain exposure to changes in values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1" w:lineRule="exact"/>
        <w:rPr>
          <w:sz w:val="20"/>
          <w:szCs w:val="20"/>
          <w:color w:val="auto"/>
        </w:rPr>
      </w:pPr>
    </w:p>
    <w:p>
      <w:pPr>
        <w:ind w:right="260" w:firstLine="629"/>
        <w:spacing w:after="0" w:line="289" w:lineRule="auto"/>
        <w:rPr>
          <w:sz w:val="20"/>
          <w:szCs w:val="20"/>
          <w:color w:val="auto"/>
        </w:rPr>
      </w:pPr>
      <w:r>
        <w:rPr>
          <w:rFonts w:ascii="Arial" w:cs="Arial" w:eastAsia="Arial" w:hAnsi="Arial"/>
          <w:sz w:val="17"/>
          <w:szCs w:val="17"/>
          <w:i w:val="1"/>
          <w:iCs w:val="1"/>
          <w:color w:val="auto"/>
        </w:rPr>
        <w:t>Due from Broker-Dealers and Clearing Organizations</w:t>
      </w:r>
      <w:r>
        <w:rPr>
          <w:rFonts w:ascii="Arial" w:cs="Arial" w:eastAsia="Arial" w:hAnsi="Arial"/>
          <w:sz w:val="17"/>
          <w:szCs w:val="17"/>
          <w:color w:val="auto"/>
        </w:rPr>
        <w:t>. 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56" w:lineRule="exact"/>
        <w:rPr>
          <w:sz w:val="20"/>
          <w:szCs w:val="20"/>
          <w:color w:val="auto"/>
        </w:rPr>
      </w:pPr>
    </w:p>
    <w:p>
      <w:pPr>
        <w:ind w:right="180" w:firstLine="629"/>
        <w:spacing w:after="0" w:line="265" w:lineRule="auto"/>
        <w:rPr>
          <w:sz w:val="20"/>
          <w:szCs w:val="20"/>
          <w:color w:val="auto"/>
        </w:rPr>
      </w:pPr>
      <w:r>
        <w:rPr>
          <w:rFonts w:ascii="Arial" w:cs="Arial" w:eastAsia="Arial" w:hAnsi="Arial"/>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204" w:lineRule="exact"/>
        <w:rPr>
          <w:sz w:val="20"/>
          <w:szCs w:val="20"/>
          <w:color w:val="auto"/>
        </w:rPr>
      </w:pPr>
    </w:p>
    <w:p>
      <w:pPr>
        <w:jc w:val="both"/>
        <w:ind w:right="180" w:firstLine="629"/>
        <w:spacing w:after="0" w:line="297" w:lineRule="auto"/>
        <w:rPr>
          <w:sz w:val="20"/>
          <w:szCs w:val="20"/>
          <w:color w:val="auto"/>
        </w:rPr>
      </w:pPr>
      <w:r>
        <w:rPr>
          <w:rFonts w:ascii="Arial" w:cs="Arial" w:eastAsia="Arial" w:hAnsi="Arial"/>
          <w:sz w:val="16"/>
          <w:szCs w:val="16"/>
          <w:color w:val="auto"/>
        </w:rPr>
        <w:t>Approximately 19.4% and 20.7% of our total revenues for the three months ended March 31, 2021 and 2020, respectively, were denominated in non-U.S. dollar currencies. We estimate that a hypothetical 10% adverse change in the value of the U.S. dollar relative to our foreign denominated earnings would have resulted in decreases in total revenues of $19.7 million and $20.8 million for the three months ended March 31, 2021 and 2020, respectively.</w:t>
      </w:r>
    </w:p>
    <w:p>
      <w:pPr>
        <w:spacing w:after="0" w:line="181" w:lineRule="exact"/>
        <w:rPr>
          <w:sz w:val="20"/>
          <w:szCs w:val="20"/>
          <w:color w:val="auto"/>
        </w:rPr>
      </w:pPr>
    </w:p>
    <w:p>
      <w:pPr>
        <w:ind w:firstLine="629"/>
        <w:spacing w:after="0" w:line="265"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56"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204" w:lineRule="exact"/>
        <w:rPr>
          <w:sz w:val="20"/>
          <w:szCs w:val="20"/>
          <w:color w:val="auto"/>
        </w:rPr>
      </w:pPr>
    </w:p>
    <w:p>
      <w:pPr>
        <w:ind w:firstLine="629"/>
        <w:spacing w:after="0" w:line="281" w:lineRule="auto"/>
        <w:rPr>
          <w:sz w:val="20"/>
          <w:szCs w:val="20"/>
          <w:color w:val="auto"/>
        </w:rPr>
      </w:pPr>
      <w:r>
        <w:rPr>
          <w:rFonts w:ascii="Arial" w:cs="Arial" w:eastAsia="Arial" w:hAnsi="Arial"/>
          <w:sz w:val="16"/>
          <w:szCs w:val="16"/>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6" w:lineRule="exact"/>
        <w:rPr>
          <w:sz w:val="20"/>
          <w:szCs w:val="20"/>
          <w:color w:val="auto"/>
        </w:rPr>
      </w:pPr>
    </w:p>
    <w:p>
      <w:pPr>
        <w:ind w:firstLine="629"/>
        <w:spacing w:after="0" w:line="262" w:lineRule="auto"/>
        <w:rPr>
          <w:sz w:val="20"/>
          <w:szCs w:val="20"/>
          <w:color w:val="auto"/>
        </w:rPr>
      </w:pPr>
      <w:r>
        <w:rPr>
          <w:rFonts w:ascii="Arial" w:cs="Arial" w:eastAsia="Arial" w:hAnsi="Arial"/>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2021. Based upon that evaluation, our Chief Executive Officer and Chief Financial Officer concluded that, as of March 31, 2021,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9" w:lineRule="exact"/>
        <w:rPr>
          <w:sz w:val="20"/>
          <w:szCs w:val="20"/>
          <w:color w:val="auto"/>
        </w:rPr>
      </w:pPr>
    </w:p>
    <w:p>
      <w:pPr>
        <w:ind w:right="60" w:firstLine="629"/>
        <w:spacing w:after="0" w:line="28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95"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to Internal Control over Financial Reporting</w:t>
      </w:r>
    </w:p>
    <w:p>
      <w:pPr>
        <w:spacing w:after="0" w:line="256"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No change in our internal control over financial reporting (as defined in Rule 13a-15(f) under the Exchange Act) occurred during the three months ended March 31, 2021 that has or is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56" w:lineRule="exact"/>
        <w:rPr>
          <w:sz w:val="20"/>
          <w:szCs w:val="20"/>
          <w:color w:val="auto"/>
        </w:rPr>
      </w:pPr>
    </w:p>
    <w:p>
      <w:pPr>
        <w:ind w:right="120" w:firstLine="629"/>
        <w:spacing w:after="0" w:line="322" w:lineRule="auto"/>
        <w:rPr>
          <w:sz w:val="20"/>
          <w:szCs w:val="20"/>
          <w:color w:val="auto"/>
        </w:rPr>
      </w:pPr>
      <w:r>
        <w:rPr>
          <w:rFonts w:ascii="Arial" w:cs="Arial" w:eastAsia="Arial" w:hAnsi="Arial"/>
          <w:sz w:val="16"/>
          <w:szCs w:val="16"/>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have been no material changes to the Risk Factors described in Part I Item 1A. “Risk Factors” in our 2020 Form 10-K.</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6" w:lineRule="exact"/>
        <w:rPr>
          <w:sz w:val="20"/>
          <w:szCs w:val="20"/>
          <w:color w:val="auto"/>
        </w:rPr>
      </w:pPr>
    </w:p>
    <w:p>
      <w:pPr>
        <w:ind w:right="80" w:firstLine="629"/>
        <w:spacing w:after="0" w:line="267" w:lineRule="auto"/>
        <w:rPr>
          <w:sz w:val="20"/>
          <w:szCs w:val="20"/>
          <w:color w:val="auto"/>
        </w:rPr>
      </w:pPr>
      <w:r>
        <w:rPr>
          <w:rFonts w:ascii="Arial" w:cs="Arial" w:eastAsia="Arial" w:hAnsi="Arial"/>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Total share repurchases for the three months ended March 31, 2021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 Number of 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7"/>
              </w:rPr>
              <w:t>Value of Shares that</w:t>
            </w:r>
          </w:p>
        </w:tc>
        <w:tc>
          <w:tcPr>
            <w:tcW w:w="0" w:type="dxa"/>
            <w:vAlign w:val="bottom"/>
          </w:tcPr>
          <w:p>
            <w:pPr>
              <w:spacing w:after="0"/>
              <w:rPr>
                <w:sz w:val="1"/>
                <w:szCs w:val="1"/>
                <w:color w:val="auto"/>
              </w:rPr>
            </w:pPr>
          </w:p>
        </w:tc>
      </w:tr>
      <w:tr>
        <w:trPr>
          <w:trHeight w:val="131"/>
        </w:trPr>
        <w:tc>
          <w:tcPr>
            <w:tcW w:w="5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Total Number of</w:t>
            </w:r>
          </w:p>
        </w:tc>
        <w:tc>
          <w:tcPr>
            <w:tcW w:w="14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Average Price Paid</w:t>
            </w: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Purchased as Part of</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May Yet Be Purchased</w:t>
            </w:r>
          </w:p>
        </w:tc>
        <w:tc>
          <w:tcPr>
            <w:tcW w:w="0" w:type="dxa"/>
            <w:vAlign w:val="bottom"/>
          </w:tcPr>
          <w:p>
            <w:pPr>
              <w:spacing w:after="0"/>
              <w:rPr>
                <w:sz w:val="1"/>
                <w:szCs w:val="1"/>
                <w:color w:val="auto"/>
              </w:rPr>
            </w:pPr>
          </w:p>
        </w:tc>
      </w:tr>
      <w:tr>
        <w:trPr>
          <w:trHeight w:val="131"/>
        </w:trPr>
        <w:tc>
          <w:tcPr>
            <w:tcW w:w="5240" w:type="dxa"/>
            <w:vAlign w:val="bottom"/>
            <w:gridSpan w:val="2"/>
            <w:vMerge w:val="restart"/>
          </w:tcPr>
          <w:p>
            <w:pPr>
              <w:spacing w:after="0"/>
              <w:rPr>
                <w:sz w:val="20"/>
                <w:szCs w:val="20"/>
                <w:color w:val="auto"/>
              </w:rPr>
            </w:pPr>
            <w:r>
              <w:rPr>
                <w:rFonts w:ascii="Arial" w:cs="Arial" w:eastAsia="Arial" w:hAnsi="Arial"/>
                <w:sz w:val="14"/>
                <w:szCs w:val="14"/>
                <w:color w:val="auto"/>
              </w:rPr>
              <w:t>Period</w:t>
            </w:r>
          </w:p>
        </w:tc>
        <w:tc>
          <w:tcPr>
            <w:tcW w:w="15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56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9"/>
              </w:rPr>
              <w:t>Publicly Announced</w:t>
            </w:r>
          </w:p>
        </w:tc>
        <w:tc>
          <w:tcPr>
            <w:tcW w:w="14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Under the Plans or</w:t>
            </w:r>
          </w:p>
        </w:tc>
        <w:tc>
          <w:tcPr>
            <w:tcW w:w="0" w:type="dxa"/>
            <w:vAlign w:val="bottom"/>
          </w:tcPr>
          <w:p>
            <w:pPr>
              <w:spacing w:after="0"/>
              <w:rPr>
                <w:sz w:val="1"/>
                <w:szCs w:val="1"/>
                <w:color w:val="auto"/>
              </w:rPr>
            </w:pPr>
          </w:p>
        </w:tc>
      </w:tr>
      <w:tr>
        <w:trPr>
          <w:trHeight w:val="183"/>
        </w:trPr>
        <w:tc>
          <w:tcPr>
            <w:tcW w:w="5240" w:type="dxa"/>
            <w:vAlign w:val="bottom"/>
            <w:gridSpan w:val="2"/>
            <w:vMerge w:val="continue"/>
          </w:tcPr>
          <w:p>
            <w:pPr>
              <w:spacing w:after="0"/>
              <w:rPr>
                <w:sz w:val="15"/>
                <w:szCs w:val="15"/>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Shares Purchased (1)</w:t>
            </w:r>
          </w:p>
        </w:tc>
        <w:tc>
          <w:tcPr>
            <w:tcW w:w="2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per Share</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Plans or Programs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0" w:type="dxa"/>
            <w:vAlign w:val="bottom"/>
          </w:tcPr>
          <w:p>
            <w:pPr>
              <w:spacing w:after="0"/>
              <w:rPr>
                <w:sz w:val="1"/>
                <w:szCs w:val="1"/>
                <w:color w:val="auto"/>
              </w:rPr>
            </w:pPr>
          </w:p>
        </w:tc>
      </w:tr>
      <w:tr>
        <w:trPr>
          <w:trHeight w:val="177"/>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January 1, 2021 - January 31, 2021</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Pr>
          <w:p>
            <w:pPr>
              <w:jc w:val="right"/>
              <w:spacing w:after="0"/>
              <w:rPr>
                <w:sz w:val="20"/>
                <w:szCs w:val="20"/>
                <w:color w:val="auto"/>
              </w:rPr>
            </w:pPr>
            <w:r>
              <w:rPr>
                <w:rFonts w:ascii="Arial" w:cs="Arial" w:eastAsia="Arial" w:hAnsi="Arial"/>
                <w:sz w:val="14"/>
                <w:szCs w:val="14"/>
                <w:color w:val="auto"/>
              </w:rPr>
              <w:t>1,066,591</w:t>
            </w:r>
          </w:p>
        </w:tc>
        <w:tc>
          <w:tcPr>
            <w:tcW w:w="140" w:type="dxa"/>
            <w:vAlign w:val="bottom"/>
          </w:tcPr>
          <w:p>
            <w:pPr>
              <w:spacing w:after="0"/>
              <w:rPr>
                <w:sz w:val="15"/>
                <w:szCs w:val="15"/>
                <w:color w:val="auto"/>
              </w:rPr>
            </w:pP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w w:val="86"/>
              </w:rPr>
              <w:t>643,226</w:t>
            </w: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5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1"/>
        </w:trPr>
        <w:tc>
          <w:tcPr>
            <w:tcW w:w="5240" w:type="dxa"/>
            <w:vAlign w:val="bottom"/>
            <w:gridSpan w:val="2"/>
          </w:tcPr>
          <w:p>
            <w:pPr>
              <w:spacing w:after="0"/>
              <w:rPr>
                <w:sz w:val="20"/>
                <w:szCs w:val="20"/>
                <w:color w:val="auto"/>
              </w:rPr>
            </w:pPr>
            <w:r>
              <w:rPr>
                <w:rFonts w:ascii="Arial" w:cs="Arial" w:eastAsia="Arial" w:hAnsi="Arial"/>
                <w:sz w:val="14"/>
                <w:szCs w:val="14"/>
                <w:color w:val="auto"/>
              </w:rPr>
              <w:t>February 1, 2021 - February 28, 2021</w:t>
            </w: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2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843,305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655,000</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2"/>
        </w:trPr>
        <w:tc>
          <w:tcPr>
            <w:tcW w:w="5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 2021 - March 31, 2021</w:t>
            </w:r>
          </w:p>
        </w:tc>
        <w:tc>
          <w:tcPr>
            <w:tcW w:w="1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4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Class A Common Stock / Virtu Financial Units repurchases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983,307</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w:t>
            </w: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979,183</w:t>
            </w:r>
          </w:p>
        </w:tc>
        <w:tc>
          <w:tcPr>
            <w:tcW w:w="10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4"/>
        </w:trPr>
        <w:tc>
          <w:tcPr>
            <w:tcW w:w="52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 Common Stock / Virtu Financial Unit repurchases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2,893,203</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2,277,409</w:t>
            </w:r>
          </w:p>
        </w:tc>
        <w:tc>
          <w:tcPr>
            <w:tcW w:w="10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$72,722,157</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ind w:right="100" w:firstLine="5"/>
        <w:spacing w:after="0" w:line="260" w:lineRule="auto"/>
        <w:tabs>
          <w:tab w:leader="none" w:pos="198"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the repurchase of 615,794 shares from employees in order to satisfy statutory tax withholding requirements upon the net settlement of equity awards for the three months ended March 31, 2021.</w:t>
      </w:r>
    </w:p>
    <w:p>
      <w:pPr>
        <w:spacing w:after="0" w:line="207" w:lineRule="exact"/>
        <w:rPr>
          <w:sz w:val="20"/>
          <w:szCs w:val="20"/>
          <w:color w:val="auto"/>
        </w:rPr>
      </w:pPr>
    </w:p>
    <w:p>
      <w:pPr>
        <w:ind w:right="180" w:firstLine="629"/>
        <w:spacing w:after="0" w:line="279" w:lineRule="auto"/>
        <w:rPr>
          <w:sz w:val="20"/>
          <w:szCs w:val="20"/>
          <w:color w:val="auto"/>
        </w:rPr>
      </w:pPr>
      <w:r>
        <w:rPr>
          <w:rFonts w:ascii="Arial" w:cs="Arial" w:eastAsia="Arial" w:hAnsi="Arial"/>
          <w:sz w:val="16"/>
          <w:szCs w:val="16"/>
          <w:color w:val="auto"/>
        </w:rPr>
        <w:t>On November 6, 2020, the Company's Board of Directors authorized a new share repurchase program of up to $100.0 million in Class A Common Stock and Virtu Financial Units by December 31, 2021. The Company's Board of Directors subsequently authorized the expansion of the Company's share repurchase program by $70.0 million on February 11, 2021, increasing the total authorized amount by $70.0 million to $170.0 million.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2021, the Company repurchased approximately 3.7 million shares of Class A Common Stock and Virtu Financial Units for approximately $97.3 million. As of March 31, 2021, the Company has approximately of $72.7 million remaining capacity for future purchases of shares of Class A Common Stock and Virtu Financial Units under the program.</w:t>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5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None.</w:t>
      </w: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540" w:type="dxa"/>
            <w:vAlign w:val="bottom"/>
            <w:tcBorders>
              <w:bottom w:val="single" w:sz="8" w:color="FEFEFE"/>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880" w:type="dxa"/>
            <w:vAlign w:val="bottom"/>
            <w:tcBorders>
              <w:bottom w:val="single" w:sz="8" w:color="auto"/>
            </w:tcBorders>
            <w:gridSpan w:val="8"/>
          </w:tcPr>
          <w:p>
            <w:pPr>
              <w:ind w:left="29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2"/>
        </w:trPr>
        <w:tc>
          <w:tcPr>
            <w:tcW w:w="1440" w:type="dxa"/>
            <w:vAlign w:val="bottom"/>
            <w:shd w:val="clear" w:color="auto" w:fill="FEFEFE"/>
          </w:tcPr>
          <w:p>
            <w:pPr>
              <w:ind w:left="20"/>
              <w:spacing w:after="0" w:line="182" w:lineRule="exact"/>
              <w:rPr>
                <w:sz w:val="20"/>
                <w:szCs w:val="20"/>
                <w:color w:val="auto"/>
              </w:rPr>
            </w:pPr>
            <w:r>
              <w:rPr>
                <w:rFonts w:ascii="Arial" w:cs="Arial" w:eastAsia="Arial" w:hAnsi="Arial"/>
                <w:sz w:val="17"/>
                <w:szCs w:val="17"/>
                <w:color w:val="auto"/>
              </w:rPr>
              <w:t>10.1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shd w:val="clear" w:color="auto" w:fill="FEFEFE"/>
          </w:tcPr>
          <w:p>
            <w:pPr>
              <w:spacing w:after="0" w:line="182" w:lineRule="exact"/>
              <w:rPr>
                <w:rFonts w:ascii="Arial" w:cs="Arial" w:eastAsia="Arial" w:hAnsi="Arial"/>
                <w:sz w:val="17"/>
                <w:szCs w:val="17"/>
                <w:color w:val="0000FF"/>
                <w:w w:val="95"/>
              </w:rPr>
            </w:pPr>
            <w:hyperlink r:id="rId90">
              <w:r>
                <w:rPr>
                  <w:rFonts w:ascii="Arial" w:cs="Arial" w:eastAsia="Arial" w:hAnsi="Arial"/>
                  <w:sz w:val="17"/>
                  <w:szCs w:val="17"/>
                  <w:color w:val="0000FF"/>
                  <w:w w:val="95"/>
                </w:rPr>
                <w:t>Form of Indemnification Agreement (incorporated by reference to Exhibit 10.2 to the Registrant's Registration Statement on Form</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9100" w:type="dxa"/>
            <w:vAlign w:val="bottom"/>
            <w:tcBorders>
              <w:top w:val="single" w:sz="8" w:color="0000FF"/>
            </w:tcBorders>
            <w:gridSpan w:val="8"/>
            <w:shd w:val="clear" w:color="auto" w:fill="FEFEFE"/>
          </w:tcPr>
          <w:p>
            <w:pPr>
              <w:spacing w:after="0" w:line="150" w:lineRule="exact"/>
              <w:rPr>
                <w:rFonts w:ascii="Arial" w:cs="Arial" w:eastAsia="Arial" w:hAnsi="Arial"/>
                <w:sz w:val="17"/>
                <w:szCs w:val="17"/>
                <w:color w:val="0000FF"/>
              </w:rPr>
            </w:pPr>
            <w:hyperlink r:id="rId90">
              <w:r>
                <w:rPr>
                  <w:rFonts w:ascii="Arial" w:cs="Arial" w:eastAsia="Arial" w:hAnsi="Arial"/>
                  <w:sz w:val="17"/>
                  <w:szCs w:val="17"/>
                  <w:color w:val="0000FF"/>
                </w:rPr>
                <w:t>S-1 (File No. 333-194473), filed with the SEC on March 10, 2014).</w:t>
              </w:r>
            </w:hyperlink>
          </w:p>
        </w:tc>
        <w:tc>
          <w:tcPr>
            <w:tcW w:w="14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960" w:type="dxa"/>
            <w:vAlign w:val="bottom"/>
            <w:shd w:val="clear" w:color="auto" w:fill="FEFEFE"/>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31.1*</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9"/>
              </w:rPr>
            </w:pPr>
            <w:hyperlink w:anchor="page73">
              <w:r>
                <w:rPr>
                  <w:rFonts w:ascii="Arial" w:cs="Arial" w:eastAsia="Arial" w:hAnsi="Arial"/>
                  <w:sz w:val="17"/>
                  <w:szCs w:val="17"/>
                  <w:color w:val="0000FF"/>
                  <w:w w:val="99"/>
                </w:rPr>
                <w:t>Certification of Chief Executive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5"/>
            <w:shd w:val="clear" w:color="auto" w:fill="FEFEFE"/>
          </w:tcPr>
          <w:p>
            <w:pPr>
              <w:spacing w:after="0" w:line="150" w:lineRule="exact"/>
              <w:rPr>
                <w:rFonts w:ascii="Arial" w:cs="Arial" w:eastAsia="Arial" w:hAnsi="Arial"/>
                <w:sz w:val="17"/>
                <w:szCs w:val="17"/>
                <w:color w:val="0000FF"/>
              </w:rPr>
            </w:pPr>
            <w:hyperlink w:anchor="page73">
              <w:r>
                <w:rPr>
                  <w:rFonts w:ascii="Arial" w:cs="Arial" w:eastAsia="Arial" w:hAnsi="Arial"/>
                  <w:sz w:val="17"/>
                  <w:szCs w:val="17"/>
                  <w:color w:val="0000FF"/>
                </w:rPr>
                <w:t>amended, as adopted pursuant to Section 302 of the Sarbanes-Oxley Act of 2002.</w:t>
              </w:r>
            </w:hyperlink>
          </w:p>
        </w:tc>
        <w:tc>
          <w:tcPr>
            <w:tcW w:w="22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31.2*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rPr>
            </w:pPr>
            <w:hyperlink w:anchor="page74">
              <w:r>
                <w:rPr>
                  <w:rFonts w:ascii="Arial" w:cs="Arial" w:eastAsia="Arial" w:hAnsi="Arial"/>
                  <w:sz w:val="17"/>
                  <w:szCs w:val="17"/>
                  <w:color w:val="0000FF"/>
                </w:rPr>
                <w:t>Certification of Chief Financial Officer required by Rule 13a-14(a)/15d-14(a) under the Securities Exchange Act of 1934, as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4"/>
            <w:shd w:val="clear" w:color="auto" w:fill="FEFEFE"/>
          </w:tcPr>
          <w:p>
            <w:pPr>
              <w:spacing w:after="0" w:line="150" w:lineRule="exact"/>
              <w:rPr>
                <w:rFonts w:ascii="Arial" w:cs="Arial" w:eastAsia="Arial" w:hAnsi="Arial"/>
                <w:sz w:val="17"/>
                <w:szCs w:val="17"/>
                <w:color w:val="0000FF"/>
              </w:rPr>
            </w:pPr>
            <w:hyperlink w:anchor="page74">
              <w:r>
                <w:rPr>
                  <w:rFonts w:ascii="Arial" w:cs="Arial" w:eastAsia="Arial" w:hAnsi="Arial"/>
                  <w:sz w:val="17"/>
                  <w:szCs w:val="17"/>
                  <w:color w:val="0000FF"/>
                </w:rPr>
                <w:t>amended, as adopted pursuant to Section 302 of the Sarbanes-Oxley Act of 2002.</w:t>
              </w:r>
            </w:hyperlink>
          </w:p>
        </w:tc>
        <w:tc>
          <w:tcPr>
            <w:tcW w:w="26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3280" w:type="dxa"/>
            <w:vAlign w:val="bottom"/>
            <w:gridSpan w:val="3"/>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32.1*</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5"/>
              </w:rPr>
            </w:pPr>
            <w:hyperlink w:anchor="page75">
              <w:r>
                <w:rPr>
                  <w:rFonts w:ascii="Arial" w:cs="Arial" w:eastAsia="Arial" w:hAnsi="Arial"/>
                  <w:sz w:val="17"/>
                  <w:szCs w:val="17"/>
                  <w:color w:val="0000FF"/>
                  <w:w w:val="95"/>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75">
              <w:r>
                <w:rPr>
                  <w:rFonts w:ascii="Arial" w:cs="Arial" w:eastAsia="Arial" w:hAnsi="Arial"/>
                  <w:sz w:val="17"/>
                  <w:szCs w:val="17"/>
                  <w:color w:val="0000FF"/>
                  <w:w w:val="96"/>
                </w:rPr>
                <w:t>Oxley Act of 2002.</w:t>
              </w:r>
            </w:hyperlink>
          </w:p>
        </w:tc>
        <w:tc>
          <w:tcPr>
            <w:tcW w:w="766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32.2*</w:t>
            </w:r>
          </w:p>
        </w:tc>
        <w:tc>
          <w:tcPr>
            <w:tcW w:w="540" w:type="dxa"/>
            <w:vAlign w:val="bottom"/>
            <w:tcBorders>
              <w:right w:val="single" w:sz="8" w:color="FEFEFE"/>
            </w:tcBorders>
            <w:shd w:val="clear" w:color="auto" w:fill="FEFEFE"/>
          </w:tcPr>
          <w:p>
            <w:pPr>
              <w:spacing w:after="0"/>
              <w:rPr>
                <w:sz w:val="17"/>
                <w:szCs w:val="17"/>
                <w:color w:val="auto"/>
              </w:rPr>
            </w:pPr>
          </w:p>
        </w:tc>
        <w:tc>
          <w:tcPr>
            <w:tcW w:w="9240" w:type="dxa"/>
            <w:vAlign w:val="bottom"/>
            <w:gridSpan w:val="9"/>
            <w:shd w:val="clear" w:color="auto" w:fill="FEFEFE"/>
          </w:tcPr>
          <w:p>
            <w:pPr>
              <w:spacing w:after="0"/>
              <w:rPr>
                <w:rFonts w:ascii="Arial" w:cs="Arial" w:eastAsia="Arial" w:hAnsi="Arial"/>
                <w:sz w:val="17"/>
                <w:szCs w:val="17"/>
                <w:color w:val="0000FF"/>
                <w:w w:val="95"/>
              </w:rPr>
            </w:pPr>
            <w:hyperlink w:anchor="page76">
              <w:r>
                <w:rPr>
                  <w:rFonts w:ascii="Arial" w:cs="Arial" w:eastAsia="Arial" w:hAnsi="Arial"/>
                  <w:sz w:val="17"/>
                  <w:szCs w:val="17"/>
                  <w:color w:val="0000FF"/>
                  <w:w w:val="95"/>
                </w:rPr>
                <w:t>Certification of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rFonts w:ascii="Arial" w:cs="Arial" w:eastAsia="Arial" w:hAnsi="Arial"/>
                <w:sz w:val="17"/>
                <w:szCs w:val="17"/>
                <w:color w:val="0000FF"/>
                <w:w w:val="96"/>
              </w:rPr>
            </w:pPr>
            <w:hyperlink w:anchor="page76">
              <w:r>
                <w:rPr>
                  <w:rFonts w:ascii="Arial" w:cs="Arial" w:eastAsia="Arial" w:hAnsi="Arial"/>
                  <w:sz w:val="17"/>
                  <w:szCs w:val="17"/>
                  <w:color w:val="0000FF"/>
                  <w:w w:val="96"/>
                </w:rPr>
                <w:t>Oxley Act of 2002.</w:t>
              </w:r>
            </w:hyperlink>
          </w:p>
        </w:tc>
        <w:tc>
          <w:tcPr>
            <w:tcW w:w="7600" w:type="dxa"/>
            <w:vAlign w:val="bottom"/>
            <w:tcBorders>
              <w:top w:val="single" w:sz="8" w:color="0000FF"/>
              <w:bottom w:val="single" w:sz="8" w:color="FEFEFE"/>
            </w:tcBorders>
            <w:gridSpan w:val="5"/>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101.INS*</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Instance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101.SCH*</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Schema</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101.CAL*</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Calculation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101.LAB*</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Label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101.PRE*</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Presentation Linkbase</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101.DEF*</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shd w:val="clear" w:color="auto" w:fill="FEFEFE"/>
          </w:tcPr>
          <w:p>
            <w:pPr>
              <w:spacing w:after="0"/>
              <w:rPr>
                <w:sz w:val="20"/>
                <w:szCs w:val="20"/>
                <w:color w:val="auto"/>
              </w:rPr>
            </w:pPr>
            <w:r>
              <w:rPr>
                <w:rFonts w:ascii="Arial" w:cs="Arial" w:eastAsia="Arial" w:hAnsi="Arial"/>
                <w:sz w:val="17"/>
                <w:szCs w:val="17"/>
                <w:color w:val="auto"/>
              </w:rPr>
              <w:t>XBRL Taxonomy Extension Definition Document</w:t>
            </w:r>
          </w:p>
        </w:tc>
        <w:tc>
          <w:tcPr>
            <w:tcW w:w="0" w:type="dxa"/>
            <w:vAlign w:val="bottom"/>
          </w:tcPr>
          <w:p>
            <w:pPr>
              <w:spacing w:after="0"/>
              <w:rPr>
                <w:sz w:val="1"/>
                <w:szCs w:val="1"/>
                <w:color w:val="auto"/>
              </w:rPr>
            </w:pPr>
          </w:p>
        </w:tc>
      </w:tr>
      <w:tr>
        <w:trPr>
          <w:trHeight w:val="236"/>
        </w:trPr>
        <w:tc>
          <w:tcPr>
            <w:tcW w:w="1440" w:type="dxa"/>
            <w:vAlign w:val="bottom"/>
            <w:shd w:val="clear" w:color="auto" w:fill="FEFEFE"/>
          </w:tcPr>
          <w:p>
            <w:pPr>
              <w:ind w:left="20"/>
              <w:spacing w:after="0"/>
              <w:rPr>
                <w:sz w:val="20"/>
                <w:szCs w:val="20"/>
                <w:color w:val="auto"/>
              </w:rPr>
            </w:pPr>
            <w:r>
              <w:rPr>
                <w:rFonts w:ascii="Arial" w:cs="Arial" w:eastAsia="Arial" w:hAnsi="Arial"/>
                <w:sz w:val="17"/>
                <w:szCs w:val="17"/>
                <w:color w:val="auto"/>
              </w:rPr>
              <w:t>104</w:t>
            </w:r>
          </w:p>
        </w:tc>
        <w:tc>
          <w:tcPr>
            <w:tcW w:w="540" w:type="dxa"/>
            <w:vAlign w:val="bottom"/>
            <w:tcBorders>
              <w:right w:val="single" w:sz="8" w:color="FEFEFE"/>
            </w:tcBorders>
            <w:shd w:val="clear" w:color="auto" w:fill="FEFEFE"/>
          </w:tcPr>
          <w:p>
            <w:pPr>
              <w:spacing w:after="0"/>
              <w:rPr>
                <w:sz w:val="20"/>
                <w:szCs w:val="20"/>
                <w:color w:val="auto"/>
              </w:rPr>
            </w:pPr>
          </w:p>
        </w:tc>
        <w:tc>
          <w:tcPr>
            <w:tcW w:w="9240" w:type="dxa"/>
            <w:vAlign w:val="bottom"/>
            <w:gridSpan w:val="9"/>
            <w:vMerge w:val="restart"/>
            <w:shd w:val="clear" w:color="auto" w:fill="FEFEFE"/>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9"/>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440" w:type="dxa"/>
            <w:vAlign w:val="bottom"/>
            <w:shd w:val="clear" w:color="auto" w:fill="FEFEFE"/>
          </w:tcPr>
          <w:p>
            <w:pPr>
              <w:spacing w:after="0"/>
              <w:rPr>
                <w:sz w:val="6"/>
                <w:szCs w:val="6"/>
                <w:color w:val="auto"/>
              </w:rPr>
            </w:pPr>
          </w:p>
        </w:tc>
        <w:tc>
          <w:tcPr>
            <w:tcW w:w="540" w:type="dxa"/>
            <w:vAlign w:val="bottom"/>
            <w:tcBorders>
              <w:right w:val="single" w:sz="8" w:color="FEFEFE"/>
            </w:tcBorders>
            <w:shd w:val="clear" w:color="auto" w:fill="FEFEFE"/>
          </w:tcPr>
          <w:p>
            <w:pPr>
              <w:spacing w:after="0"/>
              <w:rPr>
                <w:sz w:val="6"/>
                <w:szCs w:val="6"/>
                <w:color w:val="auto"/>
              </w:rPr>
            </w:pPr>
          </w:p>
        </w:tc>
        <w:tc>
          <w:tcPr>
            <w:tcW w:w="1360" w:type="dxa"/>
            <w:vAlign w:val="bottom"/>
            <w:shd w:val="clear" w:color="auto" w:fill="FEFEFE"/>
          </w:tcPr>
          <w:p>
            <w:pPr>
              <w:spacing w:after="0"/>
              <w:rPr>
                <w:sz w:val="6"/>
                <w:szCs w:val="6"/>
                <w:color w:val="auto"/>
              </w:rPr>
            </w:pPr>
          </w:p>
        </w:tc>
        <w:tc>
          <w:tcPr>
            <w:tcW w:w="3360" w:type="dxa"/>
            <w:vAlign w:val="bottom"/>
            <w:shd w:val="clear" w:color="auto" w:fill="FEFEFE"/>
          </w:tcPr>
          <w:p>
            <w:pPr>
              <w:spacing w:after="0"/>
              <w:rPr>
                <w:sz w:val="6"/>
                <w:szCs w:val="6"/>
                <w:color w:val="auto"/>
              </w:rPr>
            </w:pPr>
          </w:p>
        </w:tc>
        <w:tc>
          <w:tcPr>
            <w:tcW w:w="960" w:type="dxa"/>
            <w:vAlign w:val="bottom"/>
            <w:shd w:val="clear" w:color="auto" w:fill="FEFEFE"/>
          </w:tcPr>
          <w:p>
            <w:pPr>
              <w:spacing w:after="0"/>
              <w:rPr>
                <w:sz w:val="6"/>
                <w:szCs w:val="6"/>
                <w:color w:val="auto"/>
              </w:rPr>
            </w:pPr>
          </w:p>
        </w:tc>
        <w:tc>
          <w:tcPr>
            <w:tcW w:w="302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60" w:type="dxa"/>
            <w:vAlign w:val="bottom"/>
            <w:shd w:val="clear" w:color="auto" w:fill="FEFEFE"/>
          </w:tcPr>
          <w:p>
            <w:pPr>
              <w:spacing w:after="0"/>
              <w:rPr>
                <w:sz w:val="6"/>
                <w:szCs w:val="6"/>
                <w:color w:val="auto"/>
              </w:rPr>
            </w:pPr>
          </w:p>
        </w:tc>
        <w:tc>
          <w:tcPr>
            <w:tcW w:w="80" w:type="dxa"/>
            <w:vAlign w:val="bottom"/>
            <w:shd w:val="clear" w:color="auto" w:fill="FEFEFE"/>
          </w:tcPr>
          <w:p>
            <w:pPr>
              <w:spacing w:after="0"/>
              <w:rPr>
                <w:sz w:val="6"/>
                <w:szCs w:val="6"/>
                <w:color w:val="auto"/>
              </w:rPr>
            </w:pPr>
          </w:p>
        </w:tc>
        <w:tc>
          <w:tcPr>
            <w:tcW w:w="14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firstLine="629"/>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2"/>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40" w:type="dxa"/>
            <w:vAlign w:val="bottom"/>
            <w:gridSpan w:val="2"/>
          </w:tcPr>
          <w:p>
            <w:pPr>
              <w:ind w:left="660"/>
              <w:spacing w:after="0"/>
              <w:rPr>
                <w:sz w:val="20"/>
                <w:szCs w:val="20"/>
                <w:color w:val="auto"/>
              </w:rPr>
            </w:pPr>
            <w:r>
              <w:rPr>
                <w:rFonts w:ascii="Arial" w:cs="Arial" w:eastAsia="Arial" w:hAnsi="Arial"/>
                <w:sz w:val="17"/>
                <w:szCs w:val="17"/>
                <w:color w:val="auto"/>
              </w:rPr>
              <w:t>Virtu Financial, Inc.</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260" w:type="dxa"/>
            <w:vAlign w:val="bottom"/>
          </w:tcPr>
          <w:p>
            <w:pPr>
              <w:ind w:left="700"/>
              <w:spacing w:after="0"/>
              <w:rPr>
                <w:sz w:val="20"/>
                <w:szCs w:val="20"/>
                <w:color w:val="auto"/>
              </w:rPr>
            </w:pPr>
            <w:r>
              <w:rPr>
                <w:rFonts w:ascii="Arial" w:cs="Arial" w:eastAsia="Arial" w:hAnsi="Arial"/>
                <w:sz w:val="17"/>
                <w:szCs w:val="17"/>
                <w:color w:val="auto"/>
              </w:rPr>
              <w:t>May 7, 2021</w:t>
            </w:r>
          </w:p>
        </w:tc>
        <w:tc>
          <w:tcPr>
            <w:tcW w:w="1300" w:type="dxa"/>
            <w:vAlign w:val="bottom"/>
          </w:tcPr>
          <w:p>
            <w:pPr>
              <w:ind w:left="6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Douglas A. Cifu</w:t>
            </w:r>
          </w:p>
        </w:tc>
      </w:tr>
      <w:tr>
        <w:trPr>
          <w:trHeight w:val="216"/>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Douglas A. Cifu</w:t>
            </w:r>
          </w:p>
        </w:tc>
      </w:tr>
      <w:tr>
        <w:trPr>
          <w:trHeight w:val="223"/>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Arial" w:cs="Arial" w:eastAsia="Arial" w:hAnsi="Arial"/>
                <w:sz w:val="17"/>
                <w:szCs w:val="17"/>
                <w:color w:val="auto"/>
              </w:rPr>
              <w:t>DATE:</w:t>
            </w:r>
          </w:p>
        </w:tc>
        <w:tc>
          <w:tcPr>
            <w:tcW w:w="2260" w:type="dxa"/>
            <w:vAlign w:val="bottom"/>
          </w:tcPr>
          <w:p>
            <w:pPr>
              <w:ind w:left="700"/>
              <w:spacing w:after="0"/>
              <w:rPr>
                <w:sz w:val="20"/>
                <w:szCs w:val="20"/>
                <w:color w:val="auto"/>
              </w:rPr>
            </w:pPr>
            <w:r>
              <w:rPr>
                <w:rFonts w:ascii="Arial" w:cs="Arial" w:eastAsia="Arial" w:hAnsi="Arial"/>
                <w:sz w:val="17"/>
                <w:szCs w:val="17"/>
                <w:color w:val="auto"/>
              </w:rPr>
              <w:t>May 7, 2021</w:t>
            </w:r>
          </w:p>
        </w:tc>
        <w:tc>
          <w:tcPr>
            <w:tcW w:w="1300" w:type="dxa"/>
            <w:vAlign w:val="bottom"/>
          </w:tcPr>
          <w:p>
            <w:pPr>
              <w:ind w:left="660"/>
              <w:spacing w:after="0"/>
              <w:rPr>
                <w:sz w:val="20"/>
                <w:szCs w:val="20"/>
                <w:color w:val="auto"/>
              </w:rPr>
            </w:pPr>
            <w:r>
              <w:rPr>
                <w:rFonts w:ascii="Arial" w:cs="Arial" w:eastAsia="Arial" w:hAnsi="Arial"/>
                <w:sz w:val="17"/>
                <w:szCs w:val="17"/>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Sean P. Galvin</w:t>
            </w:r>
          </w:p>
        </w:tc>
      </w:tr>
      <w:tr>
        <w:trPr>
          <w:trHeight w:val="216"/>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Sean P. Galvin</w:t>
            </w:r>
          </w:p>
        </w:tc>
      </w:tr>
      <w:tr>
        <w:trPr>
          <w:trHeight w:val="223"/>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71</w:t>
            </w:r>
          </w:p>
        </w:tc>
      </w:tr>
    </w:tbl>
    <w:p>
      <w:pPr>
        <w:sectPr>
          <w:pgSz w:w="11900" w:h="16838" w:orient="portrait"/>
          <w:cols w:equalWidth="0" w:num="1">
            <w:col w:w="10660"/>
          </w:cols>
          <w:pgMar w:left="320" w:top="127" w:right="91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Douglas A. Cifu, certify that:</w:t>
      </w:r>
    </w:p>
    <w:p>
      <w:pPr>
        <w:spacing w:after="0" w:line="250" w:lineRule="exact"/>
        <w:rPr>
          <w:sz w:val="20"/>
          <w:szCs w:val="20"/>
          <w:color w:val="auto"/>
        </w:rPr>
      </w:pPr>
    </w:p>
    <w:p>
      <w:pPr>
        <w:ind w:left="640" w:right="220" w:hanging="321"/>
        <w:spacing w:after="0" w:line="289"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Date: May 7, 2021</w:t>
            </w:r>
          </w:p>
        </w:tc>
        <w:tc>
          <w:tcPr>
            <w:tcW w:w="2740" w:type="dxa"/>
            <w:vAlign w:val="bottom"/>
          </w:tcPr>
          <w:p>
            <w:pPr>
              <w:ind w:left="214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Douglas A. Cifu</w:t>
            </w:r>
          </w:p>
        </w:tc>
      </w:tr>
      <w:tr>
        <w:trPr>
          <w:trHeight w:val="216"/>
        </w:trPr>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Douglas A. Cifu</w:t>
            </w:r>
          </w:p>
        </w:tc>
      </w:tr>
      <w:tr>
        <w:trPr>
          <w:trHeight w:val="223"/>
        </w:trPr>
        <w:tc>
          <w:tcPr>
            <w:tcW w:w="34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86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31.2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CFO CERTIFICATION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SARBANES — OXLEY ACT OF 2002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Sean Galvin, certify that:</w:t>
      </w:r>
    </w:p>
    <w:p>
      <w:pPr>
        <w:spacing w:after="0" w:line="224" w:lineRule="exact"/>
        <w:rPr>
          <w:sz w:val="20"/>
          <w:szCs w:val="20"/>
          <w:color w:val="auto"/>
        </w:rPr>
      </w:pPr>
    </w:p>
    <w:p>
      <w:pPr>
        <w:ind w:left="640" w:right="220" w:hanging="321"/>
        <w:spacing w:after="0" w:line="289"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ending March 31, 2021 of Virtu Financial, Inc. (the “registrant”) as filed with the Securities and Exchange Commission on the date hereof;</w:t>
      </w:r>
    </w:p>
    <w:p>
      <w:pPr>
        <w:spacing w:after="0" w:line="184" w:lineRule="exact"/>
        <w:rPr>
          <w:rFonts w:ascii="Arial" w:cs="Arial" w:eastAsia="Arial" w:hAnsi="Arial"/>
          <w:sz w:val="17"/>
          <w:szCs w:val="17"/>
          <w:color w:val="auto"/>
        </w:rPr>
      </w:pPr>
    </w:p>
    <w:p>
      <w:pPr>
        <w:jc w:val="both"/>
        <w:ind w:left="640" w:right="460" w:hanging="321"/>
        <w:spacing w:after="0" w:line="273"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7"/>
          <w:szCs w:val="17"/>
          <w:color w:val="auto"/>
        </w:rPr>
      </w:pPr>
    </w:p>
    <w:p>
      <w:pPr>
        <w:ind w:left="640" w:right="420" w:hanging="321"/>
        <w:spacing w:after="0" w:line="289"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left="640" w:right="40" w:hanging="321"/>
        <w:spacing w:after="0" w:line="273" w:lineRule="auto"/>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ind w:left="1100" w:right="240" w:hanging="466"/>
        <w:spacing w:after="0" w:line="273" w:lineRule="auto"/>
        <w:tabs>
          <w:tab w:leader="none" w:pos="10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100" w:right="540" w:hanging="466"/>
        <w:spacing w:after="0" w:line="273"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7"/>
          <w:szCs w:val="17"/>
          <w:color w:val="auto"/>
        </w:rPr>
      </w:pPr>
    </w:p>
    <w:p>
      <w:pPr>
        <w:jc w:val="both"/>
        <w:ind w:left="1100" w:right="700" w:hanging="466"/>
        <w:spacing w:after="0" w:line="359" w:lineRule="auto"/>
        <w:tabs>
          <w:tab w:leader="none" w:pos="1097" w:val="left"/>
        </w:tabs>
        <w:numPr>
          <w:ilvl w:val="1"/>
          <w:numId w:val="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Arial" w:cs="Arial" w:eastAsia="Arial" w:hAnsi="Arial"/>
          <w:sz w:val="15"/>
          <w:szCs w:val="15"/>
          <w:color w:val="auto"/>
        </w:rPr>
      </w:pPr>
    </w:p>
    <w:p>
      <w:pPr>
        <w:ind w:left="1100" w:right="240" w:hanging="466"/>
        <w:spacing w:after="0" w:line="273"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7"/>
          <w:szCs w:val="17"/>
          <w:color w:val="auto"/>
        </w:rPr>
      </w:pPr>
    </w:p>
    <w:p>
      <w:pPr>
        <w:ind w:left="640" w:right="340" w:hanging="321"/>
        <w:spacing w:after="0" w:line="322"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100" w:right="140" w:hanging="466"/>
        <w:spacing w:after="0" w:line="289" w:lineRule="auto"/>
        <w:tabs>
          <w:tab w:leader="none" w:pos="1097"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7"/>
          <w:szCs w:val="17"/>
          <w:color w:val="auto"/>
        </w:rPr>
      </w:pPr>
    </w:p>
    <w:p>
      <w:pPr>
        <w:ind w:left="1100" w:right="100" w:hanging="466"/>
        <w:spacing w:after="0" w:line="281" w:lineRule="auto"/>
        <w:tabs>
          <w:tab w:leader="none" w:pos="10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7"/>
                <w:szCs w:val="17"/>
                <w:color w:val="auto"/>
              </w:rPr>
              <w:t>Date: May 7, 2021</w:t>
            </w:r>
          </w:p>
        </w:tc>
        <w:tc>
          <w:tcPr>
            <w:tcW w:w="2740" w:type="dxa"/>
            <w:vAlign w:val="bottom"/>
          </w:tcPr>
          <w:p>
            <w:pPr>
              <w:ind w:left="2160"/>
              <w:spacing w:after="0"/>
              <w:rPr>
                <w:sz w:val="20"/>
                <w:szCs w:val="20"/>
                <w:color w:val="auto"/>
              </w:rPr>
            </w:pPr>
            <w:r>
              <w:rPr>
                <w:rFonts w:ascii="Arial" w:cs="Arial" w:eastAsia="Arial" w:hAnsi="Arial"/>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Sean P. Galvin</w:t>
            </w:r>
          </w:p>
        </w:tc>
      </w:tr>
      <w:tr>
        <w:trPr>
          <w:trHeight w:val="216"/>
        </w:trPr>
        <w:tc>
          <w:tcPr>
            <w:tcW w:w="3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Sean Galvin</w:t>
            </w:r>
          </w:p>
        </w:tc>
      </w:tr>
      <w:tr>
        <w:trPr>
          <w:trHeight w:val="223"/>
        </w:trPr>
        <w:tc>
          <w:tcPr>
            <w:tcW w:w="3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6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b w:val="1"/>
          <w:bCs w:val="1"/>
          <w:color w:val="auto"/>
        </w:rPr>
        <w:t>EXHIBIT 32.1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March 31, 2021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7" w:lineRule="exact"/>
        <w:rPr>
          <w:sz w:val="20"/>
          <w:szCs w:val="20"/>
          <w:color w:val="auto"/>
        </w:rPr>
      </w:pPr>
    </w:p>
    <w:p>
      <w:pPr>
        <w:ind w:left="1280" w:hanging="175"/>
        <w:spacing w:after="0"/>
        <w:tabs>
          <w:tab w:leader="none" w:pos="12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1"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16510</wp:posOffset>
            </wp:positionV>
            <wp:extent cx="34766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Douglas A. Cifu</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Executive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May 7, 2021</w:t>
      </w:r>
    </w:p>
    <w:p>
      <w:pPr>
        <w:sectPr>
          <w:pgSz w:w="11900" w:h="16838" w:orient="portrait"/>
          <w:cols w:equalWidth="0" w:num="1">
            <w:col w:w="11240"/>
          </w:cols>
          <w:pgMar w:left="320" w:top="868"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Quarterly Report on Form 10-Q of Virtu Financial, Inc. (the “Company”) for the period ended March 31, 2021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71" w:lineRule="exact"/>
        <w:rPr>
          <w:sz w:val="20"/>
          <w:szCs w:val="20"/>
          <w:color w:val="auto"/>
        </w:rPr>
      </w:pPr>
    </w:p>
    <w:p>
      <w:pPr>
        <w:ind w:left="1280" w:hanging="175"/>
        <w:spacing w:after="0"/>
        <w:tabs>
          <w:tab w:leader="none" w:pos="12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and</w:t>
      </w:r>
    </w:p>
    <w:p>
      <w:pPr>
        <w:spacing w:after="0" w:line="235" w:lineRule="exact"/>
        <w:rPr>
          <w:rFonts w:ascii="Arial" w:cs="Arial" w:eastAsia="Arial" w:hAnsi="Arial"/>
          <w:sz w:val="16"/>
          <w:szCs w:val="16"/>
          <w:color w:val="auto"/>
        </w:rPr>
      </w:pPr>
    </w:p>
    <w:p>
      <w:pPr>
        <w:ind w:left="1100" w:right="580" w:firstLine="5"/>
        <w:spacing w:after="0" w:line="289" w:lineRule="auto"/>
        <w:tabs>
          <w:tab w:leader="none" w:pos="127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16510</wp:posOffset>
            </wp:positionV>
            <wp:extent cx="34931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Sean Galvin</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Chief Financial Officer</w:t>
      </w:r>
    </w:p>
    <w:p>
      <w:pPr>
        <w:spacing w:after="0" w:line="250"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Date: May 7, 2021</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decimal"/>
      <w:start w:val="18"/>
    </w:lvl>
    <w:lvl w:ilvl="1">
      <w:lvlJc w:val="left"/>
      <w:lvlText w:val="%2"/>
      <w:numFmt w:val="decimal"/>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0" Type="http://schemas.openxmlformats.org/officeDocument/2006/relationships/hyperlink" Target="https://www.sec.gov/Archives/edgar/data/1592386/000104746915001003/a2219372z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2021-05-07T14:31:07Z</dcterms:created>
  <dcterms:modified xsi:type="dcterms:W3CDTF">2021-05-07T14:31:07Z</dcterms:modified>
</cp:coreProperties>
</file>