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8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7"/>
        </w:trPr>
        <w:tc>
          <w:tcPr>
            <w:tcW w:w="3720" w:type="dxa"/>
            <w:vAlign w:val="bottom"/>
          </w:tcPr>
          <w:p>
            <w:pPr>
              <w:spacing w:after="0"/>
              <w:rPr>
                <w:sz w:val="18"/>
                <w:szCs w:val="18"/>
                <w:color w:val="auto"/>
              </w:rPr>
            </w:pPr>
          </w:p>
        </w:tc>
        <w:tc>
          <w:tcPr>
            <w:tcW w:w="7480" w:type="dxa"/>
            <w:vAlign w:val="bottom"/>
            <w:gridSpan w:val="6"/>
          </w:tcPr>
          <w:p>
            <w:pPr>
              <w:jc w:val="center"/>
              <w:ind w:right="3626"/>
              <w:spacing w:after="0"/>
              <w:rPr>
                <w:sz w:val="20"/>
                <w:szCs w:val="20"/>
                <w:color w:val="auto"/>
              </w:rPr>
            </w:pPr>
            <w:r>
              <w:rPr>
                <w:rFonts w:ascii="Times New Roman" w:cs="Times New Roman" w:eastAsia="Times New Roman" w:hAnsi="Times New Roman"/>
                <w:sz w:val="18"/>
                <w:szCs w:val="18"/>
                <w:b w:val="1"/>
                <w:bCs w:val="1"/>
                <w:color w:val="auto"/>
              </w:rPr>
              <w:t>Commission file number: 001-37352</w:t>
            </w:r>
          </w:p>
        </w:tc>
      </w:tr>
      <w:tr>
        <w:trPr>
          <w:trHeight w:val="308"/>
        </w:trPr>
        <w:tc>
          <w:tcPr>
            <w:tcW w:w="3720" w:type="dxa"/>
            <w:vAlign w:val="bottom"/>
          </w:tcPr>
          <w:p>
            <w:pPr>
              <w:spacing w:after="0"/>
              <w:rPr>
                <w:sz w:val="24"/>
                <w:szCs w:val="24"/>
                <w:color w:val="auto"/>
              </w:rPr>
            </w:pPr>
          </w:p>
        </w:tc>
        <w:tc>
          <w:tcPr>
            <w:tcW w:w="7480" w:type="dxa"/>
            <w:vAlign w:val="bottom"/>
            <w:gridSpan w:val="6"/>
          </w:tcPr>
          <w:p>
            <w:pPr>
              <w:jc w:val="center"/>
              <w:ind w:right="3626"/>
              <w:spacing w:after="0"/>
              <w:rPr>
                <w:sz w:val="20"/>
                <w:szCs w:val="20"/>
                <w:color w:val="auto"/>
              </w:rPr>
            </w:pPr>
            <w:r>
              <w:rPr>
                <w:rFonts w:ascii="Times New Roman" w:cs="Times New Roman" w:eastAsia="Times New Roman" w:hAnsi="Times New Roman"/>
                <w:sz w:val="25"/>
                <w:szCs w:val="25"/>
                <w:b w:val="1"/>
                <w:bCs w:val="1"/>
                <w:color w:val="auto"/>
                <w:w w:val="99"/>
              </w:rPr>
              <w:t>Virtu Financial, Inc.</w:t>
            </w:r>
          </w:p>
        </w:tc>
      </w:tr>
      <w:tr>
        <w:trPr>
          <w:trHeight w:val="164"/>
        </w:trPr>
        <w:tc>
          <w:tcPr>
            <w:tcW w:w="3720" w:type="dxa"/>
            <w:vAlign w:val="bottom"/>
          </w:tcPr>
          <w:p>
            <w:pPr>
              <w:spacing w:after="0"/>
              <w:rPr>
                <w:sz w:val="14"/>
                <w:szCs w:val="14"/>
                <w:color w:val="auto"/>
              </w:rPr>
            </w:pPr>
          </w:p>
        </w:tc>
        <w:tc>
          <w:tcPr>
            <w:tcW w:w="7480" w:type="dxa"/>
            <w:vAlign w:val="bottom"/>
            <w:gridSpan w:val="6"/>
          </w:tcPr>
          <w:p>
            <w:pPr>
              <w:jc w:val="center"/>
              <w:ind w:right="3646"/>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r>
      <w:tr>
        <w:trPr>
          <w:trHeight w:val="250"/>
        </w:trPr>
        <w:tc>
          <w:tcPr>
            <w:tcW w:w="3720" w:type="dxa"/>
            <w:vAlign w:val="bottom"/>
          </w:tcPr>
          <w:p>
            <w:pPr>
              <w:jc w:val="center"/>
              <w:ind w:left="182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620" w:type="dxa"/>
            <w:vAlign w:val="bottom"/>
            <w:gridSpan w:val="3"/>
          </w:tcPr>
          <w:p>
            <w:pPr>
              <w:jc w:val="right"/>
              <w:ind w:right="2306"/>
              <w:spacing w:after="0"/>
              <w:rPr>
                <w:sz w:val="20"/>
                <w:szCs w:val="20"/>
                <w:color w:val="auto"/>
              </w:rPr>
            </w:pPr>
            <w:r>
              <w:rPr>
                <w:rFonts w:ascii="Times New Roman" w:cs="Times New Roman" w:eastAsia="Times New Roman" w:hAnsi="Times New Roman"/>
                <w:sz w:val="18"/>
                <w:szCs w:val="18"/>
                <w:b w:val="1"/>
                <w:bCs w:val="1"/>
                <w:color w:val="auto"/>
              </w:rPr>
              <w:t>32-0420206</w:t>
            </w:r>
          </w:p>
        </w:tc>
      </w:tr>
      <w:tr>
        <w:trPr>
          <w:trHeight w:val="188"/>
        </w:trPr>
        <w:tc>
          <w:tcPr>
            <w:tcW w:w="6580" w:type="dxa"/>
            <w:vAlign w:val="bottom"/>
            <w:gridSpan w:val="4"/>
          </w:tcPr>
          <w:p>
            <w:pPr>
              <w:jc w:val="center"/>
              <w:ind w:right="88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jc w:val="center"/>
              <w:ind w:right="1346"/>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3"/>
        </w:trPr>
        <w:tc>
          <w:tcPr>
            <w:tcW w:w="6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One Liberty Plaza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89"/>
        </w:trPr>
        <w:tc>
          <w:tcPr>
            <w:tcW w:w="3720" w:type="dxa"/>
            <w:vAlign w:val="bottom"/>
          </w:tcPr>
          <w:p>
            <w:pPr>
              <w:jc w:val="center"/>
              <w:ind w:left="2725"/>
              <w:spacing w:after="0"/>
              <w:rPr>
                <w:sz w:val="20"/>
                <w:szCs w:val="20"/>
                <w:color w:val="auto"/>
              </w:rPr>
            </w:pPr>
            <w:r>
              <w:rPr>
                <w:rFonts w:ascii="Times New Roman" w:cs="Times New Roman" w:eastAsia="Times New Roman" w:hAnsi="Times New Roman"/>
                <w:sz w:val="14"/>
                <w:szCs w:val="14"/>
                <w:b w:val="1"/>
                <w:bCs w:val="1"/>
                <w:color w:val="auto"/>
              </w:rPr>
              <w:t>165 Broadway</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204"/>
        </w:trPr>
        <w:tc>
          <w:tcPr>
            <w:tcW w:w="6580" w:type="dxa"/>
            <w:vAlign w:val="bottom"/>
            <w:gridSpan w:val="4"/>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New York, New York</w:t>
            </w:r>
          </w:p>
        </w:tc>
        <w:tc>
          <w:tcPr>
            <w:tcW w:w="46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10006</w:t>
            </w:r>
          </w:p>
        </w:tc>
      </w:tr>
      <w:tr>
        <w:trPr>
          <w:trHeight w:val="189"/>
        </w:trPr>
        <w:tc>
          <w:tcPr>
            <w:tcW w:w="65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(Zip Code)</w:t>
            </w:r>
          </w:p>
        </w:tc>
      </w:tr>
      <w:tr>
        <w:trPr>
          <w:trHeight w:val="280"/>
        </w:trPr>
        <w:tc>
          <w:tcPr>
            <w:tcW w:w="3720" w:type="dxa"/>
            <w:vAlign w:val="bottom"/>
          </w:tcPr>
          <w:p>
            <w:pPr>
              <w:spacing w:after="0"/>
              <w:rPr>
                <w:sz w:val="24"/>
                <w:szCs w:val="24"/>
                <w:color w:val="auto"/>
              </w:rPr>
            </w:pPr>
          </w:p>
        </w:tc>
        <w:tc>
          <w:tcPr>
            <w:tcW w:w="2860" w:type="dxa"/>
            <w:vAlign w:val="bottom"/>
            <w:gridSpan w:val="3"/>
          </w:tcPr>
          <w:p>
            <w:pPr>
              <w:jc w:val="center"/>
              <w:ind w:left="833"/>
              <w:spacing w:after="0"/>
              <w:rPr>
                <w:sz w:val="20"/>
                <w:szCs w:val="20"/>
                <w:color w:val="auto"/>
              </w:rPr>
            </w:pPr>
            <w:r>
              <w:rPr>
                <w:rFonts w:ascii="Times New Roman" w:cs="Times New Roman" w:eastAsia="Times New Roman" w:hAnsi="Times New Roman"/>
                <w:sz w:val="16"/>
                <w:szCs w:val="16"/>
                <w:b w:val="1"/>
                <w:bCs w:val="1"/>
                <w:color w:val="auto"/>
              </w:rPr>
              <w:t>(212) 418-0100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10"/>
        </w:trPr>
        <w:tc>
          <w:tcPr>
            <w:tcW w:w="3720" w:type="dxa"/>
            <w:vAlign w:val="bottom"/>
          </w:tcPr>
          <w:p>
            <w:pPr>
              <w:spacing w:after="0"/>
              <w:rPr>
                <w:sz w:val="18"/>
                <w:szCs w:val="18"/>
                <w:color w:val="auto"/>
              </w:rPr>
            </w:pPr>
          </w:p>
        </w:tc>
        <w:tc>
          <w:tcPr>
            <w:tcW w:w="7480" w:type="dxa"/>
            <w:vAlign w:val="bottom"/>
            <w:gridSpan w:val="6"/>
          </w:tcPr>
          <w:p>
            <w:pPr>
              <w:jc w:val="center"/>
              <w:ind w:right="3666"/>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526"/>
        </w:trPr>
        <w:tc>
          <w:tcPr>
            <w:tcW w:w="3720" w:type="dxa"/>
            <w:vAlign w:val="bottom"/>
          </w:tcPr>
          <w:p>
            <w:pPr>
              <w:spacing w:after="0"/>
              <w:rPr>
                <w:sz w:val="24"/>
                <w:szCs w:val="24"/>
                <w:color w:val="auto"/>
              </w:rPr>
            </w:pPr>
          </w:p>
        </w:tc>
        <w:tc>
          <w:tcPr>
            <w:tcW w:w="7480" w:type="dxa"/>
            <w:vAlign w:val="bottom"/>
            <w:gridSpan w:val="6"/>
          </w:tcPr>
          <w:p>
            <w:pPr>
              <w:jc w:val="center"/>
              <w:ind w:right="3626"/>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58"/>
        </w:trPr>
        <w:tc>
          <w:tcPr>
            <w:tcW w:w="37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224"/>
              <w:spacing w:after="0"/>
              <w:rPr>
                <w:sz w:val="20"/>
                <w:szCs w:val="20"/>
                <w:color w:val="auto"/>
              </w:rPr>
            </w:pPr>
            <w:r>
              <w:rPr>
                <w:rFonts w:ascii="Times New Roman" w:cs="Times New Roman" w:eastAsia="Times New Roman" w:hAnsi="Times New Roman"/>
                <w:sz w:val="16"/>
                <w:szCs w:val="16"/>
                <w:color w:val="auto"/>
              </w:rPr>
              <w:t>VIRT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jc w:val="center"/>
        <w:ind w:right="-19"/>
        <w:spacing w:after="0"/>
        <w:rPr>
          <w:sz w:val="20"/>
          <w:szCs w:val="20"/>
          <w:color w:val="auto"/>
        </w:rPr>
      </w:pPr>
      <w:r>
        <w:rPr>
          <w:rFonts w:ascii="Times New Roman" w:cs="Times New Roman" w:eastAsia="Times New Roman" w:hAnsi="Times New Roman"/>
          <w:sz w:val="14"/>
          <w:szCs w:val="14"/>
          <w:color w:val="auto"/>
        </w:rPr>
        <w:t>(Title of class)</w:t>
      </w:r>
    </w:p>
    <w:p>
      <w:pPr>
        <w:spacing w:after="0" w:line="6"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w:t>
      </w:r>
    </w:p>
    <w:p>
      <w:pPr>
        <w:spacing w:after="0" w:line="23"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30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p>
      <w:pPr>
        <w:ind w:left="720"/>
        <w:spacing w:after="0" w:line="161" w:lineRule="exact"/>
        <w:tabs>
          <w:tab w:leader="none" w:pos="2580" w:val="left"/>
          <w:tab w:leader="none" w:pos="3060" w:val="left"/>
          <w:tab w:leader="none" w:pos="4340" w:val="left"/>
          <w:tab w:leader="none" w:pos="5500" w:val="left"/>
          <w:tab w:leader="none" w:pos="7740" w:val="left"/>
          <w:tab w:leader="none" w:pos="8480" w:val="left"/>
          <w:tab w:leader="none" w:pos="102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07" w:lineRule="exact"/>
        <w:rPr>
          <w:sz w:val="24"/>
          <w:szCs w:val="24"/>
          <w:color w:val="auto"/>
        </w:rPr>
      </w:pPr>
    </w:p>
    <w:p>
      <w:pPr>
        <w:ind w:left="4960"/>
        <w:spacing w:after="0" w:line="211" w:lineRule="exact"/>
        <w:tabs>
          <w:tab w:leader="none" w:pos="8480" w:val="left"/>
          <w:tab w:leader="none" w:pos="10220" w:val="left"/>
        </w:tabs>
        <w:rPr>
          <w:sz w:val="20"/>
          <w:szCs w:val="20"/>
          <w:color w:val="auto"/>
        </w:rPr>
      </w:pPr>
      <w:r>
        <w:rPr>
          <w:rFonts w:ascii="Times New Roman" w:cs="Times New Roman" w:eastAsia="Times New Roman" w:hAnsi="Times New Roman"/>
          <w:sz w:val="13"/>
          <w:szCs w:val="13"/>
          <w:color w:val="auto"/>
        </w:rPr>
        <w:t>(Do not check if a smaller reporting company)</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21"/>
          <w:szCs w:val="21"/>
          <w:color w:val="auto"/>
          <w:vertAlign w:val="subscript"/>
        </w:rPr>
        <w:t>☐</w:t>
      </w:r>
    </w:p>
    <w:p>
      <w:pPr>
        <w:spacing w:after="0" w:line="264" w:lineRule="exact"/>
        <w:rPr>
          <w:sz w:val="24"/>
          <w:szCs w:val="24"/>
          <w:color w:val="auto"/>
        </w:rPr>
      </w:pPr>
    </w:p>
    <w:p>
      <w:pPr>
        <w:ind w:right="26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spacing w:after="0" w:line="184" w:lineRule="exact"/>
        <w:tabs>
          <w:tab w:leader="none" w:pos="82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9080" w:type="dxa"/>
            <w:vAlign w:val="bottom"/>
            <w:gridSpan w:val="2"/>
            <w:vMerge w:val="restart"/>
          </w:tcPr>
          <w:p>
            <w:pPr>
              <w:ind w:left="406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0" w:type="dxa"/>
            <w:vAlign w:val="bottom"/>
          </w:tcPr>
          <w:p>
            <w:pPr>
              <w:spacing w:after="0"/>
              <w:rPr>
                <w:sz w:val="1"/>
                <w:szCs w:val="1"/>
                <w:color w:val="auto"/>
              </w:rPr>
            </w:pPr>
          </w:p>
        </w:tc>
      </w:tr>
      <w:tr>
        <w:trPr>
          <w:trHeight w:val="189"/>
        </w:trPr>
        <w:tc>
          <w:tcPr>
            <w:tcW w:w="9080" w:type="dxa"/>
            <w:vAlign w:val="bottom"/>
            <w:gridSpan w:val="2"/>
            <w:vMerge w:val="continue"/>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25, 2021</w:t>
            </w:r>
          </w:p>
        </w:tc>
        <w:tc>
          <w:tcPr>
            <w:tcW w:w="0" w:type="dxa"/>
            <w:vAlign w:val="bottom"/>
          </w:tcPr>
          <w:p>
            <w:pPr>
              <w:spacing w:after="0"/>
              <w:rPr>
                <w:sz w:val="1"/>
                <w:szCs w:val="1"/>
                <w:color w:val="auto"/>
              </w:rPr>
            </w:pPr>
          </w:p>
        </w:tc>
      </w:tr>
      <w:tr>
        <w:trPr>
          <w:trHeight w:val="209"/>
        </w:trPr>
        <w:tc>
          <w:tcPr>
            <w:tcW w:w="8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122,186,196</w:t>
            </w:r>
          </w:p>
        </w:tc>
        <w:tc>
          <w:tcPr>
            <w:tcW w:w="0" w:type="dxa"/>
            <w:vAlign w:val="bottom"/>
          </w:tcPr>
          <w:p>
            <w:pPr>
              <w:spacing w:after="0"/>
              <w:rPr>
                <w:sz w:val="1"/>
                <w:szCs w:val="1"/>
                <w:color w:val="auto"/>
              </w:rPr>
            </w:pPr>
          </w:p>
        </w:tc>
      </w:tr>
      <w:tr>
        <w:trPr>
          <w:trHeight w:val="213"/>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10,135,182</w:t>
            </w:r>
          </w:p>
        </w:tc>
        <w:tc>
          <w:tcPr>
            <w:tcW w:w="0" w:type="dxa"/>
            <w:vAlign w:val="bottom"/>
          </w:tcPr>
          <w:p>
            <w:pPr>
              <w:spacing w:after="0"/>
              <w:rPr>
                <w:sz w:val="1"/>
                <w:szCs w:val="1"/>
                <w:color w:val="auto"/>
              </w:rPr>
            </w:pPr>
          </w:p>
        </w:tc>
      </w:tr>
      <w:tr>
        <w:trPr>
          <w:trHeight w:val="219"/>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60,091,740</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240" w:firstLine="324"/>
        <w:spacing w:after="0" w:line="280" w:lineRule="auto"/>
        <w:rPr>
          <w:sz w:val="20"/>
          <w:szCs w:val="20"/>
          <w:color w:val="auto"/>
        </w:rPr>
      </w:pPr>
      <w:r>
        <w:rPr>
          <w:rFonts w:ascii="Times New Roman" w:cs="Times New Roman" w:eastAsia="Times New Roman" w:hAnsi="Times New Roman"/>
          <w:sz w:val="16"/>
          <w:szCs w:val="16"/>
          <w:color w:val="auto"/>
        </w:rPr>
        <w:t>The aggregate market value of voting and non-voting common stock held by non-affiliates of the registrant as of June 30, 2020 was approximately $2,371.4 million, based on the closing price of $23.60 per share as reported by NASDAQ on such date.</w:t>
      </w:r>
    </w:p>
    <w:p>
      <w:pPr>
        <w:spacing w:after="0" w:line="3" w:lineRule="exact"/>
        <w:rPr>
          <w:sz w:val="24"/>
          <w:szCs w:val="24"/>
          <w:color w:val="auto"/>
        </w:rPr>
      </w:pPr>
    </w:p>
    <w:p>
      <w:pPr>
        <w:ind w:right="120" w:firstLine="364"/>
        <w:spacing w:after="0" w:line="280" w:lineRule="auto"/>
        <w:rPr>
          <w:sz w:val="20"/>
          <w:szCs w:val="20"/>
          <w:color w:val="auto"/>
        </w:rPr>
      </w:pPr>
      <w:r>
        <w:rPr>
          <w:rFonts w:ascii="Times New Roman" w:cs="Times New Roman" w:eastAsia="Times New Roman" w:hAnsi="Times New Roman"/>
          <w:sz w:val="16"/>
          <w:szCs w:val="16"/>
          <w:color w:val="auto"/>
        </w:rPr>
        <w:t>Portions of Part III of this Form 10-K are incorporated by reference from the Registrant’s definitive proxy statement (the “2021 Proxy Statement”) for its 2021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0" w:type="dxa"/>
            <w:vAlign w:val="bottom"/>
            <w:gridSpan w:val="6"/>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VIRTU FINANCIAL, INC. AND SUBSIDIARIES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00" w:type="dxa"/>
            <w:vAlign w:val="bottom"/>
            <w:gridSpan w:val="5"/>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0" w:type="dxa"/>
            <w:vAlign w:val="bottom"/>
            <w:gridSpan w:val="6"/>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448"/>
        </w:trPr>
        <w:tc>
          <w:tcPr>
            <w:tcW w:w="1440" w:type="dxa"/>
            <w:vAlign w:val="bottom"/>
            <w:gridSpan w:val="3"/>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ITEM 1A.</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RISK FACTORS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5">
              <w:r>
                <w:rPr>
                  <w:rFonts w:ascii="Times New Roman" w:cs="Times New Roman" w:eastAsia="Times New Roman" w:hAnsi="Times New Roman"/>
                  <w:sz w:val="18"/>
                  <w:szCs w:val="18"/>
                  <w:u w:val="single" w:color="auto"/>
                  <w:color w:val="0000FF"/>
                </w:rPr>
                <w:t>16</w:t>
              </w:r>
            </w:hyperlink>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1B.</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UNRESOLVED STAFF COMMENTS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41</w:t>
              </w:r>
            </w:hyperlink>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ITEM 2.</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PROPERTIES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3.</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LEGAL PROCEEDINGS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ITEM 4.</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MINE SAFETY DISCLOSURES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42</w:t>
              </w:r>
            </w:hyperlink>
          </w:p>
        </w:tc>
        <w:tc>
          <w:tcPr>
            <w:tcW w:w="0" w:type="dxa"/>
            <w:vAlign w:val="bottom"/>
          </w:tcPr>
          <w:p>
            <w:pPr>
              <w:spacing w:after="0"/>
              <w:rPr>
                <w:sz w:val="1"/>
                <w:szCs w:val="1"/>
                <w:color w:val="auto"/>
              </w:rPr>
            </w:pPr>
          </w:p>
        </w:tc>
      </w:tr>
      <w:tr>
        <w:trPr>
          <w:trHeight w:val="481"/>
        </w:trPr>
        <w:tc>
          <w:tcPr>
            <w:tcW w:w="1440" w:type="dxa"/>
            <w:vAlign w:val="bottom"/>
            <w:gridSpan w:val="3"/>
          </w:tcPr>
          <w:p>
            <w:pPr>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PART II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320" w:type="dxa"/>
            <w:vAlign w:val="bottom"/>
            <w:gridSpan w:val="2"/>
          </w:tcPr>
          <w:p>
            <w:pPr>
              <w:spacing w:after="0" w:line="194" w:lineRule="exact"/>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ITEM 5.</w:t>
              </w:r>
            </w:hyperlink>
          </w:p>
        </w:tc>
        <w:tc>
          <w:tcPr>
            <w:tcW w:w="8580" w:type="dxa"/>
            <w:vAlign w:val="bottom"/>
            <w:gridSpan w:val="8"/>
          </w:tcPr>
          <w:p>
            <w:pPr>
              <w:spacing w:after="0" w:line="194" w:lineRule="exact"/>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MARKET FOR REGISTRANT'S COMMON EQUITY, RELATED SHAREHOLDER MATTERS AND ISSUER</w:t>
              </w:r>
            </w:hyperlink>
          </w:p>
        </w:tc>
        <w:tc>
          <w:tcPr>
            <w:tcW w:w="116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44</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PURCHASES OF EQUITY SECURITIES</w:t>
              </w:r>
            </w:hyperlink>
          </w:p>
        </w:tc>
        <w:tc>
          <w:tcPr>
            <w:tcW w:w="3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320" w:type="dxa"/>
            <w:vAlign w:val="bottom"/>
            <w:gridSpan w:val="2"/>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ITEM 6.</w:t>
              </w:r>
            </w:hyperlink>
          </w:p>
        </w:tc>
        <w:tc>
          <w:tcPr>
            <w:tcW w:w="3080" w:type="dxa"/>
            <w:vAlign w:val="bottom"/>
            <w:tcBorders>
              <w:top w:val="single" w:sz="8" w:color="0000FF"/>
            </w:tcBorders>
            <w:gridSpan w:val="3"/>
          </w:tcPr>
          <w:p>
            <w:pPr>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SELECTED FINANCIAL DATA</w:t>
              </w:r>
            </w:hyperlink>
          </w:p>
        </w:tc>
        <w:tc>
          <w:tcPr>
            <w:tcW w:w="5500" w:type="dxa"/>
            <w:vAlign w:val="bottom"/>
            <w:gridSpan w:val="5"/>
          </w:tcPr>
          <w:p>
            <w:pPr>
              <w:spacing w:after="0"/>
              <w:rPr>
                <w:sz w:val="18"/>
                <w:szCs w:val="18"/>
                <w:color w:val="auto"/>
              </w:rPr>
            </w:pPr>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ITEM 7.</w:t>
              </w:r>
            </w:hyperlink>
          </w:p>
        </w:tc>
        <w:tc>
          <w:tcPr>
            <w:tcW w:w="8580" w:type="dxa"/>
            <w:vAlign w:val="bottom"/>
            <w:gridSpan w:val="8"/>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MANAGEMENT'S DISCUSSION AND ANALYSIS OF FINANCIAL CONDITION AND RESULTS OF</w:t>
              </w:r>
            </w:hyperlink>
          </w:p>
        </w:tc>
        <w:tc>
          <w:tcPr>
            <w:tcW w:w="116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48</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w:anchor="page46">
              <w:r>
                <w:rPr>
                  <w:rFonts w:ascii="Times New Roman" w:cs="Times New Roman" w:eastAsia="Times New Roman" w:hAnsi="Times New Roman"/>
                  <w:sz w:val="18"/>
                  <w:szCs w:val="18"/>
                  <w:color w:val="0000FF"/>
                  <w:w w:val="96"/>
                </w:rPr>
                <w:t>OPERATIONS</w:t>
              </w:r>
            </w:hyperlink>
          </w:p>
        </w:tc>
        <w:tc>
          <w:tcPr>
            <w:tcW w:w="66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ITEM 7A.</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QUANTITATIVE AND QUALITATIVE DISCLOSURES ABOUT MARKET RISK</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76</w:t>
              </w:r>
            </w:hyperlink>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ITEM 8.</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FINANCIAL STATEMENTS AND SUPPLEMENTARY DATA</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78</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320" w:type="dxa"/>
            <w:vAlign w:val="bottom"/>
            <w:gridSpan w:val="2"/>
          </w:tcPr>
          <w:p>
            <w:pPr>
              <w:spacing w:after="0" w:line="194" w:lineRule="exact"/>
              <w:rPr>
                <w:rFonts w:ascii="Times New Roman" w:cs="Times New Roman" w:eastAsia="Times New Roman" w:hAnsi="Times New Roman"/>
                <w:sz w:val="18"/>
                <w:szCs w:val="18"/>
                <w:u w:val="single" w:color="auto"/>
                <w:color w:val="0000FF"/>
              </w:rPr>
            </w:pPr>
            <w:hyperlink w:anchor="page138">
              <w:r>
                <w:rPr>
                  <w:rFonts w:ascii="Times New Roman" w:cs="Times New Roman" w:eastAsia="Times New Roman" w:hAnsi="Times New Roman"/>
                  <w:sz w:val="18"/>
                  <w:szCs w:val="18"/>
                  <w:u w:val="single" w:color="auto"/>
                  <w:color w:val="0000FF"/>
                </w:rPr>
                <w:t>ITEM 9.</w:t>
              </w:r>
            </w:hyperlink>
          </w:p>
        </w:tc>
        <w:tc>
          <w:tcPr>
            <w:tcW w:w="8580" w:type="dxa"/>
            <w:vAlign w:val="bottom"/>
            <w:gridSpan w:val="8"/>
          </w:tcPr>
          <w:p>
            <w:pPr>
              <w:spacing w:after="0" w:line="194"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CHANGES IN AND DISAGREEMENTS WITH ACCOUNTANTS ON ACCOUNTING AND FINANCIAL</w:t>
              </w:r>
            </w:hyperlink>
          </w:p>
        </w:tc>
        <w:tc>
          <w:tcPr>
            <w:tcW w:w="116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38">
              <w:r>
                <w:rPr>
                  <w:rFonts w:ascii="Times New Roman" w:cs="Times New Roman" w:eastAsia="Times New Roman" w:hAnsi="Times New Roman"/>
                  <w:sz w:val="18"/>
                  <w:szCs w:val="18"/>
                  <w:u w:val="single" w:color="auto"/>
                  <w:color w:val="0000FF"/>
                </w:rPr>
                <w:t>140</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9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DISCLOSURE</w:t>
              </w:r>
            </w:hyperlink>
          </w:p>
        </w:tc>
        <w:tc>
          <w:tcPr>
            <w:tcW w:w="8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 w:type="dxa"/>
            <w:vAlign w:val="bottom"/>
          </w:tcPr>
          <w:p>
            <w:pPr>
              <w:spacing w:after="0"/>
              <w:rPr>
                <w:sz w:val="21"/>
                <w:szCs w:val="21"/>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ITEM 9A.</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CONTROLS AND PROCEDURES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140</w:t>
              </w:r>
            </w:hyperlink>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ITEM 9B.</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OTHER INFORMATION</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142</w:t>
              </w:r>
            </w:hyperlink>
          </w:p>
        </w:tc>
        <w:tc>
          <w:tcPr>
            <w:tcW w:w="0" w:type="dxa"/>
            <w:vAlign w:val="bottom"/>
          </w:tcPr>
          <w:p>
            <w:pPr>
              <w:spacing w:after="0"/>
              <w:rPr>
                <w:sz w:val="1"/>
                <w:szCs w:val="1"/>
                <w:color w:val="auto"/>
              </w:rPr>
            </w:pPr>
          </w:p>
        </w:tc>
      </w:tr>
      <w:tr>
        <w:trPr>
          <w:trHeight w:val="481"/>
        </w:trPr>
        <w:tc>
          <w:tcPr>
            <w:tcW w:w="1440" w:type="dxa"/>
            <w:vAlign w:val="bottom"/>
            <w:gridSpan w:val="3"/>
          </w:tcPr>
          <w:p>
            <w:pPr>
              <w:spacing w:after="0"/>
              <w:rPr>
                <w:rFonts w:ascii="Times New Roman" w:cs="Times New Roman" w:eastAsia="Times New Roman" w:hAnsi="Times New Roman"/>
                <w:sz w:val="18"/>
                <w:szCs w:val="18"/>
                <w:u w:val="single" w:color="auto"/>
                <w:color w:val="0000FF"/>
              </w:rPr>
            </w:pPr>
            <w:hyperlink w:anchor="page141">
              <w:r>
                <w:rPr>
                  <w:rFonts w:ascii="Times New Roman" w:cs="Times New Roman" w:eastAsia="Times New Roman" w:hAnsi="Times New Roman"/>
                  <w:sz w:val="18"/>
                  <w:szCs w:val="18"/>
                  <w:u w:val="single" w:color="auto"/>
                  <w:color w:val="0000FF"/>
                </w:rPr>
                <w:t>PART III</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42">
              <w:r>
                <w:rPr>
                  <w:rFonts w:ascii="Times New Roman" w:cs="Times New Roman" w:eastAsia="Times New Roman" w:hAnsi="Times New Roman"/>
                  <w:sz w:val="18"/>
                  <w:szCs w:val="18"/>
                  <w:u w:val="single" w:color="auto"/>
                  <w:color w:val="0000FF"/>
                </w:rPr>
                <w:t>ITEM 10.</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2">
              <w:r>
                <w:rPr>
                  <w:rFonts w:ascii="Times New Roman" w:cs="Times New Roman" w:eastAsia="Times New Roman" w:hAnsi="Times New Roman"/>
                  <w:sz w:val="18"/>
                  <w:szCs w:val="18"/>
                  <w:u w:val="single" w:color="auto"/>
                  <w:color w:val="0000FF"/>
                </w:rPr>
                <w:t>DIRECTORS, EXECUTIVE OFFICERS, AND CORPORATE GOVERNANCE</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2">
              <w:r>
                <w:rPr>
                  <w:rFonts w:ascii="Times New Roman" w:cs="Times New Roman" w:eastAsia="Times New Roman" w:hAnsi="Times New Roman"/>
                  <w:sz w:val="18"/>
                  <w:szCs w:val="18"/>
                  <w:u w:val="single" w:color="auto"/>
                  <w:color w:val="0000FF"/>
                </w:rPr>
                <w:t>144</w:t>
              </w:r>
            </w:hyperlink>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u w:val="single" w:color="auto"/>
                  <w:color w:val="0000FF"/>
                </w:rPr>
                <w:t>ITEM 11</w:t>
              </w:r>
              <w:r>
                <w:rPr>
                  <w:rFonts w:ascii="Times New Roman" w:cs="Times New Roman" w:eastAsia="Times New Roman" w:hAnsi="Times New Roman"/>
                  <w:sz w:val="18"/>
                  <w:szCs w:val="18"/>
                  <w:color w:val="0000FF"/>
                </w:rPr>
                <w:t>.</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EXECUTIVE COMPENSATION</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145</w:t>
              </w:r>
            </w:hyperlink>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320" w:type="dxa"/>
            <w:vAlign w:val="bottom"/>
            <w:gridSpan w:val="2"/>
          </w:tcPr>
          <w:p>
            <w:pPr>
              <w:spacing w:after="0" w:line="194" w:lineRule="exact"/>
              <w:rPr>
                <w:rFonts w:ascii="Times New Roman" w:cs="Times New Roman" w:eastAsia="Times New Roman" w:hAnsi="Times New Roman"/>
                <w:sz w:val="18"/>
                <w:szCs w:val="18"/>
                <w:u w:val="single" w:color="auto"/>
                <w:color w:val="0000FF"/>
              </w:rPr>
            </w:pPr>
            <w:hyperlink w:anchor="page144">
              <w:r>
                <w:rPr>
                  <w:rFonts w:ascii="Times New Roman" w:cs="Times New Roman" w:eastAsia="Times New Roman" w:hAnsi="Times New Roman"/>
                  <w:sz w:val="18"/>
                  <w:szCs w:val="18"/>
                  <w:u w:val="single" w:color="auto"/>
                  <w:color w:val="0000FF"/>
                </w:rPr>
                <w:t>ITEM 12.</w:t>
              </w:r>
            </w:hyperlink>
          </w:p>
        </w:tc>
        <w:tc>
          <w:tcPr>
            <w:tcW w:w="8580" w:type="dxa"/>
            <w:vAlign w:val="bottom"/>
            <w:gridSpan w:val="8"/>
          </w:tcPr>
          <w:p>
            <w:pPr>
              <w:spacing w:after="0" w:line="194" w:lineRule="exact"/>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SECURITY OWNERSHIP OF CERTAIN BENEFICIAL OWNERS AND MANAGEMENT AND RELATED</w:t>
              </w:r>
            </w:hyperlink>
          </w:p>
        </w:tc>
        <w:tc>
          <w:tcPr>
            <w:tcW w:w="116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144">
              <w:r>
                <w:rPr>
                  <w:rFonts w:ascii="Times New Roman" w:cs="Times New Roman" w:eastAsia="Times New Roman" w:hAnsi="Times New Roman"/>
                  <w:sz w:val="18"/>
                  <w:szCs w:val="18"/>
                  <w:u w:val="single" w:color="auto"/>
                  <w:color w:val="0000FF"/>
                </w:rPr>
                <w:t>146</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w:anchor="page144">
              <w:r>
                <w:rPr>
                  <w:rFonts w:ascii="Times New Roman" w:cs="Times New Roman" w:eastAsia="Times New Roman" w:hAnsi="Times New Roman"/>
                  <w:sz w:val="18"/>
                  <w:szCs w:val="18"/>
                  <w:color w:val="0000FF"/>
                  <w:w w:val="97"/>
                </w:rPr>
                <w:t>STOCKHOLDER MATTERS</w:t>
              </w:r>
            </w:hyperlink>
          </w:p>
        </w:tc>
        <w:tc>
          <w:tcPr>
            <w:tcW w:w="5820" w:type="dxa"/>
            <w:vAlign w:val="bottom"/>
            <w:tcBorders>
              <w:top w:val="single" w:sz="8" w:color="0000FF"/>
            </w:tcBorders>
            <w:gridSpan w:val="4"/>
          </w:tcPr>
          <w:p>
            <w:pPr>
              <w:spacing w:after="0"/>
              <w:rPr>
                <w:sz w:val="13"/>
                <w:szCs w:val="13"/>
                <w:color w:val="auto"/>
              </w:rPr>
            </w:pPr>
          </w:p>
        </w:tc>
        <w:tc>
          <w:tcPr>
            <w:tcW w:w="580" w:type="dxa"/>
            <w:vAlign w:val="bottom"/>
            <w:gridSpan w:val="2"/>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ITEM 13.</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5">
              <w:r>
                <w:rPr>
                  <w:rFonts w:ascii="Times New Roman" w:cs="Times New Roman" w:eastAsia="Times New Roman" w:hAnsi="Times New Roman"/>
                  <w:sz w:val="18"/>
                  <w:szCs w:val="18"/>
                  <w:u w:val="single" w:color="auto"/>
                  <w:color w:val="0000FF"/>
                </w:rPr>
                <w:t>147</w:t>
              </w:r>
            </w:hyperlink>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ITEM 14.</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PRINCIPAL ACCOUNTANT FEES AND SERVICES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148</w:t>
              </w:r>
            </w:hyperlink>
          </w:p>
        </w:tc>
        <w:tc>
          <w:tcPr>
            <w:tcW w:w="0" w:type="dxa"/>
            <w:vAlign w:val="bottom"/>
          </w:tcPr>
          <w:p>
            <w:pPr>
              <w:spacing w:after="0"/>
              <w:rPr>
                <w:sz w:val="1"/>
                <w:szCs w:val="1"/>
                <w:color w:val="auto"/>
              </w:rPr>
            </w:pPr>
          </w:p>
        </w:tc>
      </w:tr>
      <w:tr>
        <w:trPr>
          <w:trHeight w:val="481"/>
        </w:trPr>
        <w:tc>
          <w:tcPr>
            <w:tcW w:w="1440" w:type="dxa"/>
            <w:vAlign w:val="bottom"/>
            <w:gridSpan w:val="3"/>
          </w:tcPr>
          <w:p>
            <w:pPr>
              <w:spacing w:after="0"/>
              <w:rPr>
                <w:rFonts w:ascii="Times New Roman" w:cs="Times New Roman" w:eastAsia="Times New Roman" w:hAnsi="Times New Roman"/>
                <w:sz w:val="18"/>
                <w:szCs w:val="18"/>
                <w:u w:val="single" w:color="auto"/>
                <w:color w:val="0000FF"/>
              </w:rPr>
            </w:pPr>
            <w:hyperlink w:anchor="page147">
              <w:r>
                <w:rPr>
                  <w:rFonts w:ascii="Times New Roman" w:cs="Times New Roman" w:eastAsia="Times New Roman" w:hAnsi="Times New Roman"/>
                  <w:sz w:val="18"/>
                  <w:szCs w:val="18"/>
                  <w:u w:val="single" w:color="auto"/>
                  <w:color w:val="0000FF"/>
                </w:rPr>
                <w:t>PART IV</w:t>
              </w:r>
            </w:hyperlink>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320" w:type="dxa"/>
            <w:vAlign w:val="bottom"/>
            <w:gridSpan w:val="2"/>
          </w:tcPr>
          <w:p>
            <w:pPr>
              <w:spacing w:after="0"/>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ITEM 15.</w:t>
              </w:r>
            </w:hyperlink>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EXHIBITS AND FINANCIAL STATEMENT SCHEDULES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48">
              <w:r>
                <w:rPr>
                  <w:rFonts w:ascii="Times New Roman" w:cs="Times New Roman" w:eastAsia="Times New Roman" w:hAnsi="Times New Roman"/>
                  <w:sz w:val="18"/>
                  <w:szCs w:val="18"/>
                  <w:u w:val="single" w:color="auto"/>
                  <w:color w:val="0000FF"/>
                </w:rPr>
                <w:t>149</w:t>
              </w:r>
            </w:hyperlink>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80" w:type="dxa"/>
            <w:vAlign w:val="bottom"/>
            <w:gridSpan w:val="8"/>
          </w:tcPr>
          <w:p>
            <w:pPr>
              <w:spacing w:after="0"/>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SIGNATURES</w:t>
              </w:r>
            </w:hyperlink>
          </w:p>
        </w:tc>
        <w:tc>
          <w:tcPr>
            <w:tcW w:w="1160" w:type="dxa"/>
            <w:vAlign w:val="bottom"/>
          </w:tcPr>
          <w:p>
            <w:pPr>
              <w:jc w:val="right"/>
              <w:spacing w:after="0"/>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153</w:t>
              </w:r>
            </w:hyperlink>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331" w:lineRule="exact"/>
        <w:rPr>
          <w:sz w:val="20"/>
          <w:szCs w:val="20"/>
          <w:color w:val="auto"/>
        </w:rPr>
      </w:pPr>
    </w:p>
    <w:p>
      <w:pPr>
        <w:ind w:left="980" w:hanging="162"/>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1"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levels of overall trading activity;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trading counterparties and clearing houses performing their obligations to us;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customized trading platform;</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to the electronic market making business and trading generally;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market making activities and execution services;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continued access to sources of liquidity;</w:t>
      </w:r>
    </w:p>
    <w:p>
      <w:pPr>
        <w:spacing w:after="0" w:line="117" w:lineRule="exact"/>
        <w:rPr>
          <w:rFonts w:ascii="Times New Roman" w:cs="Times New Roman" w:eastAsia="Times New Roman" w:hAnsi="Times New Roman"/>
          <w:sz w:val="18"/>
          <w:szCs w:val="18"/>
          <w:color w:val="auto"/>
        </w:rPr>
      </w:pPr>
    </w:p>
    <w:p>
      <w:pPr>
        <w:ind w:left="980" w:right="340" w:hanging="162"/>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self-clearing and other operational elements of our business, including but not limited to risks related to funding and liquidity;</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applicable regulatory capital requirements;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legal and regulatory-based liabilities;</w:t>
      </w:r>
    </w:p>
    <w:p>
      <w:pPr>
        <w:spacing w:after="0" w:line="117" w:lineRule="exact"/>
        <w:rPr>
          <w:rFonts w:ascii="Times New Roman" w:cs="Times New Roman" w:eastAsia="Times New Roman" w:hAnsi="Times New Roman"/>
          <w:sz w:val="18"/>
          <w:szCs w:val="18"/>
          <w:color w:val="auto"/>
        </w:rPr>
      </w:pPr>
    </w:p>
    <w:p>
      <w:pPr>
        <w:jc w:val="both"/>
        <w:ind w:left="980" w:right="40" w:hanging="162"/>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laws and regulations applicable to our operations in the U.S. and abroad;</w:t>
      </w:r>
    </w:p>
    <w:p>
      <w:pPr>
        <w:spacing w:after="0" w:line="117" w:lineRule="exact"/>
        <w:rPr>
          <w:rFonts w:ascii="Times New Roman" w:cs="Times New Roman" w:eastAsia="Times New Roman" w:hAnsi="Times New Roman"/>
          <w:sz w:val="18"/>
          <w:szCs w:val="18"/>
          <w:color w:val="auto"/>
        </w:rPr>
      </w:pPr>
    </w:p>
    <w:p>
      <w:pPr>
        <w:ind w:left="980" w:right="160" w:hanging="162"/>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media and regulatory scrutiny, including attention to electronic trading and market structure and its impact upon public perception of us or of companies in our industry;</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maintain and continue developing proprietary technologies;</w:t>
      </w:r>
    </w:p>
    <w:p>
      <w:pPr>
        <w:spacing w:after="0" w:line="117" w:lineRule="exact"/>
        <w:rPr>
          <w:rFonts w:ascii="Times New Roman" w:cs="Times New Roman" w:eastAsia="Times New Roman" w:hAnsi="Times New Roman"/>
          <w:sz w:val="18"/>
          <w:szCs w:val="18"/>
          <w:color w:val="auto"/>
        </w:rPr>
      </w:pPr>
    </w:p>
    <w:p>
      <w:pPr>
        <w:ind w:left="980" w:right="20" w:hanging="162"/>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of KCG and the ITG Acquisition (as defined below) on ongoing business operations generally, including our ability to achieve cost-saving synergies related to these historical acquisitions, the assumption of potential liabilities and risks relating to these historical acquisitions, and the significant costs and significant indebtedness that we have incurred in connection therewith;</w:t>
      </w:r>
    </w:p>
    <w:p>
      <w:pPr>
        <w:spacing w:after="0" w:line="6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failures, and delays;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 w:name="page4"/>
    <w:bookmarkEnd w:id="3"/>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infrastructure or systems;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 source software;</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in our proprietary technology;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confidential and proprietary information;</w:t>
      </w:r>
    </w:p>
    <w:p>
      <w:pPr>
        <w:spacing w:after="0" w:line="117" w:lineRule="exact"/>
        <w:rPr>
          <w:rFonts w:ascii="Times New Roman" w:cs="Times New Roman" w:eastAsia="Times New Roman" w:hAnsi="Times New Roman"/>
          <w:sz w:val="18"/>
          <w:szCs w:val="18"/>
          <w:color w:val="auto"/>
        </w:rPr>
      </w:pPr>
    </w:p>
    <w:p>
      <w:pPr>
        <w:ind w:left="980" w:right="880" w:hanging="162"/>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systems from internal or external cyber threats that could result in damage to our computer systems, business interruption, loss of data or other consequences;</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 and expansion, including failed acquisitions or dispositions;</w:t>
      </w:r>
    </w:p>
    <w:p>
      <w:pPr>
        <w:spacing w:after="0" w:line="117" w:lineRule="exact"/>
        <w:rPr>
          <w:rFonts w:ascii="Times New Roman" w:cs="Times New Roman" w:eastAsia="Times New Roman" w:hAnsi="Times New Roman"/>
          <w:sz w:val="18"/>
          <w:szCs w:val="18"/>
          <w:color w:val="auto"/>
        </w:rPr>
      </w:pPr>
    </w:p>
    <w:p>
      <w:pPr>
        <w:ind w:left="980" w:right="420" w:hanging="162"/>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1"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growth and associated corporate actions;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or delay in accessing the capital markets to sell shares or raise additional capital;</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failure to recruit and retain qualified personnel; and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losing access to a significant exchange or other trading venue.</w:t>
      </w:r>
    </w:p>
    <w:p>
      <w:pPr>
        <w:spacing w:after="0" w:line="3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to reflect events or circumstances that may arise after the date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15"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third-party licensing or processing fees.</w:t>
      </w:r>
    </w:p>
    <w:p>
      <w:pPr>
        <w:spacing w:after="0" w:line="230"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We believe that technology-enabled market makers like Virtu serve an important role in maintaining and improving the overall health and efficiency of the global capital markets by ensuring that market participants have an efficient means to transfer risk and analyze the quality of execution. We believe that market participants benefit from the increased liquidity, lower overall trading costs and execution transparency that Virtu provides.</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0" w:lineRule="exact"/>
        <w:rPr>
          <w:sz w:val="20"/>
          <w:szCs w:val="20"/>
          <w:color w:val="auto"/>
        </w:rPr>
      </w:pPr>
    </w:p>
    <w:p>
      <w:pPr>
        <w:ind w:right="40" w:firstLine="648"/>
        <w:spacing w:after="0" w:line="221" w:lineRule="exact"/>
        <w:rPr>
          <w:sz w:val="20"/>
          <w:szCs w:val="20"/>
          <w:color w:val="auto"/>
        </w:rPr>
      </w:pPr>
      <w:r>
        <w:rPr>
          <w:rFonts w:ascii="Times New Roman" w:cs="Times New Roman" w:eastAsia="Times New Roman" w:hAnsi="Times New Roman"/>
          <w:sz w:val="18"/>
          <w:szCs w:val="18"/>
          <w:color w:val="auto"/>
        </w:rPr>
        <w:t>We primarily conduct our Americas equities business through our SEC registered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Virtu Americas, LLC ("VAL"). We are registered with the Central Bank of Ireland ("CBI") and the Financial Conduct Authority ("FCA") in the UK for our European trading, the Investment Industry Regulatory Organization of Canada (“IIROC”) and the Ontario Securities Commission for our Canadian trading, and the Monetary Authority of Singapore ("MAS"), Securities and Futures Commission of Hong Kong ("SFC"), and Australian Securities and Investments Commission ("ASIC")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to advocate for increased transparency. In the U.S., we conduct our business from our headquarters in New York, New York and our trading centers in Austin, Texas, Chicago, Illinois and Short Hills, New Jersey. Abroad, we conduct our business through trading centers located in London, England, Dublin, Ireland, Paris, France, Singapore, Hong Kong, and Sydney, Australia.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w:t>
      </w:r>
    </w:p>
    <w:p>
      <w:pPr>
        <w:spacing w:after="0" w:line="256"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Our Market Making segment principally consists of market making in the cash, futures, and options markets across global equities, options, fixed income, currencies and commodities. As a leading,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spacing w:after="0" w:line="22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and on alternative trading systems (“ATSs”). As a complement to electronic market making, our cash trading business handles specialized orders and transacts on the OTC Link ATS operated by OTC Markets Group Inc.</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make markets in a number of different asset classes, which are discussed in more detail below. We register as market makers and liquidity providers where available and support affirmative market making obligations.</w:t>
      </w:r>
    </w:p>
    <w:p>
      <w:pPr>
        <w:spacing w:after="0" w:line="18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while earning small bid/ask spreads.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the overall level of volumes and realized volatility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 w:name="page6"/>
    <w:bookmarkEnd w:id="5"/>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20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core operations team across our offices in North America, APAC and Europe monitors our systems 24 hours a day, five days a week. This function provides coverage for our full technology platform, including our market data, order routing, transaction processing, and risk management technology modules.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Clients and Products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generally compete based on execution quality, market coverage, payment for order flow,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continually work to provide clients with high quality, low-cost trade executions that enable them to satisfy their fiduciary obligation to seek the best execution on behalf of their customer. We continually refine our automated order routing models so that we may remain competitive.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Equities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trade over 25,000 listed and over-the-counter ("OTC") securities including, among others, equity related futures and exchange traded products ("ETPs"), on thirteen U.S. Securities and Exchange Commission (“SEC”) registered exchanges and other market centers around the world, including the New York Stock Exchange (“NYSE”), the NASDAQ, NYSE Arca, Cboe BATS, Chicago Stock Exchange, the TSX in Canada, Bovespa in Brazil and BMV in Mexico, as well as other ATSs and more than 20 private liquidity pools.</w:t>
      </w:r>
    </w:p>
    <w:p>
      <w:pPr>
        <w:spacing w:after="0" w:line="207"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Our strategy in the Americas and the rest of world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 in the Americas. As of December 31, 2020, we are the Lead Market Maker or Designated Liquidity Provider in over 600 ETPs listed in the Americas.</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also well positioned in European ETPs, as an authorized participant in many European ETPs. We are authorized participants in over 2,000 ETPs and can create and/or redeem ETPs listed outside the Americas. As of December 31, 2020, we are the registered Market Maker in over 500 ETPs listed abroad. We also hold a minority stake in Japannext Co., Ltd. (“JNX”), a leading Proprietary Trading System in Japan.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Fixed Income, Currencies and Commodities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FICC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Options, and Other</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and BGC’s Fenics 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Currencies market making, including spot, futures and forwards, comprises our activity in over 80 currencies, including deliverable, non-deliverable, fiat, and digital currencies, across dozens of venues and direct to counterparties. We are a leading participant in the major foreign exchange venues, including Reuters, Currenex, Cboe FX and NEX.</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Commodities market making takes place on the CME, ICE, and Nasdaq Futures in crude oil, natural gas, heating oil, and gasoline futures. We trade approximately 100 energy products and futures on the ICE, CME, and TOCOM. We also actively trade precious metals, including gold, silver, platinum and palladium, as well as base metals such as aluminum and copper.</w:t>
      </w:r>
    </w:p>
    <w:p>
      <w:pPr>
        <w:spacing w:after="0" w:line="20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Options and Other market making includes our activity on all of the U.S. options exchanges of which we are a member (i.e., Cboe, ISE and NYSE Arca) and on the U.S. futures exchanges.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Services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offer agency execution services and trading venues that provide transparent trading in global equities, ETFs, fixed income, currencies, and commodities </w:t>
      </w:r>
      <w:r>
        <w:rPr>
          <w:rFonts w:ascii="Times New Roman" w:cs="Times New Roman" w:eastAsia="Times New Roman" w:hAnsi="Times New Roman"/>
          <w:sz w:val="18"/>
          <w:szCs w:val="18"/>
          <w:color w:val="222222"/>
        </w:rPr>
        <w:t>to institutions, banks and broker dealers. We generally earn commissions</w:t>
      </w:r>
      <w:r>
        <w:rPr>
          <w:rFonts w:ascii="Times New Roman" w:cs="Times New Roman" w:eastAsia="Times New Roman" w:hAnsi="Times New Roman"/>
          <w:sz w:val="18"/>
          <w:szCs w:val="18"/>
          <w:color w:val="auto"/>
        </w:rPr>
        <w:t xml:space="preserve"> when transacting as an agent for our clients. </w:t>
      </w:r>
      <w:r>
        <w:rPr>
          <w:rFonts w:ascii="Times New Roman" w:cs="Times New Roman" w:eastAsia="Times New Roman" w:hAnsi="Times New Roman"/>
          <w:sz w:val="18"/>
          <w:szCs w:val="18"/>
          <w:color w:val="222222"/>
        </w:rPr>
        <w:t>Within the Execution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Services segment, we offer the following categories of products and services:</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Agency-based, execution-only trading, done through a variety of access points including:</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algorithmic trading and order routing;</w:t>
      </w:r>
    </w:p>
    <w:p>
      <w:pPr>
        <w:spacing w:after="0" w:line="9" w:lineRule="exact"/>
        <w:rPr>
          <w:rFonts w:ascii="Times New Roman" w:cs="Times New Roman" w:eastAsia="Times New Roman" w:hAnsi="Times New Roman"/>
          <w:sz w:val="18"/>
          <w:szCs w:val="18"/>
          <w:color w:val="auto"/>
        </w:rPr>
      </w:pPr>
    </w:p>
    <w:p>
      <w:pPr>
        <w:ind w:left="1300" w:right="140" w:hanging="320"/>
        <w:spacing w:after="0" w:line="250" w:lineRule="auto"/>
        <w:tabs>
          <w:tab w:leader="none" w:pos="12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sales traders who offer portfolio trading and single stock sales trading providing execution expertise for program, block and riskless principal trades in global equities and ETFs; and</w:t>
      </w: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of client conditional orders via POSIT Alert and in our ATSs, including Virtu MatchIt and POSIT.</w:t>
      </w:r>
    </w:p>
    <w:p>
      <w:pPr>
        <w:spacing w:after="0" w:line="23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Workflow Technology, and our integrated, broker-neutral trading tools delivered across the globe including order and execution management systems and order management software applications and network connectivity;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Analytics, including</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tools enabling portfolio managers and traders to improve pre-trade and real-time execution performance and post-trade analysis;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construction and optimization decisions;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valuation.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Clients and Products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2020, our Execution Services segment did not have any client that accounted for more than 10% of our total commissions earned.</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22222"/>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important sources of non-displayed liquidity. We also offer clients voice access to global markets including sales and trading for equities, ETFs and options. Certain broker-dealer affiliates </w:t>
      </w:r>
      <w:r>
        <w:rPr>
          <w:rFonts w:ascii="Times New Roman" w:cs="Times New Roman" w:eastAsia="Times New Roman" w:hAnsi="Times New Roman"/>
          <w:sz w:val="18"/>
          <w:szCs w:val="18"/>
          <w:color w:val="000000"/>
        </w:rPr>
        <w:t>also engage in foreign exchange trading to facilitate equity trades by clients in different currencies as well as other client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foreign exchange trades unrelated to equity trades. </w:t>
      </w:r>
      <w:r>
        <w:rPr>
          <w:rFonts w:ascii="Times New Roman" w:cs="Times New Roman" w:eastAsia="Times New Roman" w:hAnsi="Times New Roman"/>
          <w:sz w:val="18"/>
          <w:szCs w:val="18"/>
          <w:color w:val="222222"/>
        </w:rPr>
        <w:t>We handle large complex trades, accessing liquidity from our order flow and other sources. We provide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soft dollar and commission recapture programs.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22222"/>
        </w:rPr>
        <w:t>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Agency-based, Execution-only Trading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22222"/>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Times New Roman" w:cs="Times New Roman" w:eastAsia="Times New Roman" w:hAnsi="Times New Roman"/>
          <w:sz w:val="18"/>
          <w:szCs w:val="18"/>
          <w:color w:val="000000"/>
        </w:rPr>
        <w:t>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ind w:right="100"/>
        <w:spacing w:after="0" w:line="232" w:lineRule="exact"/>
        <w:rPr>
          <w:sz w:val="20"/>
          <w:szCs w:val="20"/>
          <w:color w:val="auto"/>
        </w:rPr>
      </w:pPr>
      <w:r>
        <w:rPr>
          <w:rFonts w:ascii="Times New Roman" w:cs="Times New Roman" w:eastAsia="Times New Roman" w:hAnsi="Times New Roman"/>
          <w:sz w:val="18"/>
          <w:szCs w:val="18"/>
          <w:color w:val="auto"/>
        </w:rPr>
        <w:t>algorithms and order routers help portfolio managers and traders to trade orders quickly, comprehensively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efficiently from our EMS or our Order Management System (“OMS”) and most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trading platforms. Our institutional sales traders offer portfolio trading and single stock sales trading which provides execution expertise for program, block and riskless principal trades in global equities and ETFs.</w:t>
      </w:r>
    </w:p>
    <w:p>
      <w:pPr>
        <w:spacing w:after="0" w:line="226"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We provide matching of client orders in our ATSs, including Virtu MatchIt, POSIT ATS, and POSIT MTF.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displayed (or dark) equity orders and price improvement opportunities within the published best bid and offer price. POSIT Alert is a block crossing mechanism within POSIT.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Workflow Technology</w:t>
      </w:r>
    </w:p>
    <w:p>
      <w:pPr>
        <w:spacing w:after="0" w:line="256" w:lineRule="exact"/>
        <w:rPr>
          <w:sz w:val="20"/>
          <w:szCs w:val="20"/>
          <w:color w:val="auto"/>
        </w:rPr>
      </w:pPr>
    </w:p>
    <w:p>
      <w:pPr>
        <w:ind w:right="100" w:firstLine="648"/>
        <w:spacing w:after="0" w:line="221" w:lineRule="exact"/>
        <w:rPr>
          <w:sz w:val="20"/>
          <w:szCs w:val="20"/>
          <w:color w:val="auto"/>
        </w:rPr>
      </w:pPr>
      <w:r>
        <w:rPr>
          <w:rFonts w:ascii="Times New Roman" w:cs="Times New Roman" w:eastAsia="Times New Roman" w:hAnsi="Times New Roman"/>
          <w:sz w:val="18"/>
          <w:szCs w:val="18"/>
          <w:color w:val="auto"/>
        </w:rPr>
        <w:t>Our workflow technology tools are designed to meet the needs of a broad range of trading styles. As an example, Triton Valor, the most recent release of our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and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neutral Triton EMS, helps to bring integrated execution and analytical tools to the user’s desktop, including the Algo Wheel, an algorithmic way for a portfolio manager to intelligently allocate volume between different providers. Triton supports global list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trading, as well as futures and options capabilities and includes ITG Net, a fully integrated and supported financial services communications network. Triton also provides traders with access to scalable,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latency,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utilities, as well as support for multiple, flexible settlement communication methods and a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process monitor.</w:t>
      </w:r>
    </w:p>
    <w:p>
      <w:pPr>
        <w:spacing w:after="0" w:line="176" w:lineRule="exact"/>
        <w:rPr>
          <w:sz w:val="20"/>
          <w:szCs w:val="20"/>
          <w:color w:val="auto"/>
        </w:rPr>
      </w:pPr>
    </w:p>
    <w:p>
      <w:pPr>
        <w:ind w:right="60" w:firstLine="648"/>
        <w:spacing w:after="0" w:line="228" w:lineRule="exact"/>
        <w:rPr>
          <w:sz w:val="20"/>
          <w:szCs w:val="20"/>
          <w:color w:val="auto"/>
        </w:rPr>
      </w:pPr>
      <w:r>
        <w:rPr>
          <w:rFonts w:ascii="Times New Roman" w:cs="Times New Roman" w:eastAsia="Times New Roman" w:hAnsi="Times New Roman"/>
          <w:sz w:val="18"/>
          <w:szCs w:val="18"/>
          <w:color w:val="auto"/>
        </w:rPr>
        <w:t>ITG Net is our global financial communications network that provides reliable and fully-supported connectivity between buy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and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firms for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order routing and indication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messages with Virtu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trading platforms. ITG Net supports approximately 9,000 global billable connections to more than 600 unique execution destinations worldwide. ITG Net also integrates the trading products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brokers and ATSs into our OMS and EMS platforms.</w:t>
      </w:r>
    </w:p>
    <w:p>
      <w:pPr>
        <w:spacing w:after="0" w:line="196" w:lineRule="exact"/>
        <w:rPr>
          <w:sz w:val="20"/>
          <w:szCs w:val="20"/>
          <w:color w:val="auto"/>
        </w:rPr>
      </w:pPr>
    </w:p>
    <w:p>
      <w:pPr>
        <w:ind w:right="40" w:firstLine="648"/>
        <w:spacing w:after="0" w:line="232" w:lineRule="exact"/>
        <w:rPr>
          <w:sz w:val="20"/>
          <w:szCs w:val="20"/>
          <w:color w:val="auto"/>
        </w:rPr>
      </w:pPr>
      <w:r>
        <w:rPr>
          <w:rFonts w:ascii="Times New Roman" w:cs="Times New Roman" w:eastAsia="Times New Roman" w:hAnsi="Times New Roman"/>
          <w:sz w:val="18"/>
          <w:szCs w:val="18"/>
          <w:color w:val="auto"/>
        </w:rPr>
        <w:t>RFQ</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hub,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platform for global listed and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(“OTC”) financial instruments, connects buy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trading desks and portfolio managers with a large network of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market makers in Europe, North America and the APAC region, allowing these trading desks to place requests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quotes (“RFQ”) in negotiated equities, futures, options, swaps, convertible bonds, structured products and commodities. RFQ</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hub is available as a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platform and is also integrated with Triton.</w:t>
      </w:r>
    </w:p>
    <w:p>
      <w:pPr>
        <w:spacing w:after="0" w:line="208"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We offer administration and consolidation of client commission arrangements across a wide range of our clients’ preferred brokerage and research providers through Commission Manager, a robust,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web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Analytics</w:t>
      </w:r>
    </w:p>
    <w:p>
      <w:pPr>
        <w:spacing w:after="0" w:line="200"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Our trading analytics suite helps enable portfolio managers and traders to analyze execution performance before the trade happens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and during trading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Corporate segment contains investments principally in strategic financial services-oriented opportunities and maintains corporate overhead expenses and all other income and expenses that are not attributable to our operating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w:t>
      </w:r>
    </w:p>
    <w:p>
      <w:pPr>
        <w:spacing w:after="0" w:line="20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have appointed a Chief Risk Officer (“CRO”) who reports independently into the Board Risk Committee. We have created a Risk Advisory Committee, which includes key personnel from each of our regions globally and is comprised of our CRO and our Chief Compliance Officer (“CCO”), members of our senior management team, senior technologists and traders, and certain senior officers. Our Risk Advisory Committee provides advice to our CRO and our senior management team in connection with our key risk management policies, procedures and risk limits. Our Board of Directors, through the Board Risk Committee, is regularly apprised of risk events, risk profiles, trends and the activities of our Risk Advisory Committee, including our risk management policies, procedures and controls.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approach to managing risk includes the following practices:</w:t>
      </w:r>
    </w:p>
    <w:p>
      <w:pPr>
        <w:spacing w:after="0" w:line="250" w:lineRule="exact"/>
        <w:rPr>
          <w:sz w:val="20"/>
          <w:szCs w:val="20"/>
          <w:color w:val="auto"/>
        </w:rPr>
      </w:pPr>
    </w:p>
    <w:p>
      <w:pPr>
        <w:jc w:val="both"/>
        <w:ind w:left="660" w:right="12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Pre-Trade Risk Controls</w:t>
      </w:r>
      <w:r>
        <w:rPr>
          <w:rFonts w:ascii="Times New Roman" w:cs="Times New Roman" w:eastAsia="Times New Roman" w:hAnsi="Times New Roman"/>
          <w:sz w:val="18"/>
          <w:szCs w:val="18"/>
          <w:color w:val="auto"/>
        </w:rPr>
        <w:t>. Messages that leave our trading environment must first pass through a series of preset risk controls, which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minimize the likelihood of unintended activities by our algorithms. Certain risk controls, when triggered, result in a strategy lockdown, which requires a manual reset in order to restart the strategy.</w:t>
      </w:r>
    </w:p>
    <w:p>
      <w:pPr>
        <w:spacing w:after="0" w:line="200"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Model Restrictions</w:t>
      </w:r>
      <w:r>
        <w:rPr>
          <w:rFonts w:ascii="Times New Roman" w:cs="Times New Roman" w:eastAsia="Times New Roman" w:hAnsi="Times New Roman"/>
          <w:sz w:val="18"/>
          <w:szCs w:val="18"/>
          <w:color w:val="auto"/>
        </w:rPr>
        <w:t>. Trading models have limits in place which restrict individual position sizes, sector exposures and imbalanced portfolios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directional risks. Trading strategies are designed to automatically reduce exposures when limits are reached. The models are monitored continuously by the trading team and the risk managers.</w:t>
      </w:r>
    </w:p>
    <w:p>
      <w:pPr>
        <w:spacing w:after="0" w:line="173" w:lineRule="exact"/>
        <w:rPr>
          <w:rFonts w:ascii="Times New Roman" w:cs="Times New Roman" w:eastAsia="Times New Roman" w:hAnsi="Times New Roman"/>
          <w:sz w:val="18"/>
          <w:szCs w:val="18"/>
          <w:color w:val="auto"/>
        </w:rPr>
      </w:pPr>
    </w:p>
    <w:p>
      <w:pPr>
        <w:ind w:left="660" w:right="40" w:hanging="328"/>
        <w:spacing w:after="0" w:line="239" w:lineRule="exact"/>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Aggregate Exposure Monitoring. </w:t>
      </w:r>
      <w:r>
        <w:rPr>
          <w:rFonts w:ascii="Times New Roman" w:cs="Times New Roman" w:eastAsia="Times New Roman" w:hAnsi="Times New Roman"/>
          <w:sz w:val="18"/>
          <w:szCs w:val="18"/>
          <w:color w:val="auto"/>
        </w:rPr>
        <w:t>Pursuant to our risk management policies, our automated management information systems monitor in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generate reports on daily and periodic bases. Exposures monitored include: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Profiles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 Risk Measures including Value at Risk (“VaR”), and Equity Betas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Stress and Scenario analysis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measures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and Loss analysis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performance reports</w:t>
      </w:r>
    </w:p>
    <w:p>
      <w:pPr>
        <w:spacing w:after="0" w:line="205" w:lineRule="exact"/>
        <w:rPr>
          <w:rFonts w:ascii="Times New Roman" w:cs="Times New Roman" w:eastAsia="Times New Roman" w:hAnsi="Times New Roman"/>
          <w:sz w:val="18"/>
          <w:szCs w:val="18"/>
          <w:color w:val="auto"/>
        </w:rPr>
      </w:pPr>
    </w:p>
    <w:p>
      <w:pPr>
        <w:ind w:left="660" w:right="20" w:hanging="328"/>
        <w:spacing w:after="0" w:line="250" w:lineRule="exact"/>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trading assets and liabilities are marked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daily for financial reporting purposes by reference to official exchange prices, and they are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valued continuously throughout the trading day for risk management and asset/liability management purposes.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Controls. </w:t>
      </w:r>
      <w:r>
        <w:rPr>
          <w:rFonts w:ascii="Times New Roman" w:cs="Times New Roman" w:eastAsia="Times New Roman" w:hAnsi="Times New Roman"/>
          <w:sz w:val="18"/>
          <w:szCs w:val="18"/>
          <w:color w:val="auto"/>
        </w:rPr>
        <w:t>We have a series of automated controls over our business. Key automated controls include:</w:t>
      </w:r>
    </w:p>
    <w:p>
      <w:pPr>
        <w:spacing w:after="0" w:line="254" w:lineRule="exact"/>
        <w:rPr>
          <w:rFonts w:ascii="Times New Roman" w:cs="Times New Roman" w:eastAsia="Times New Roman" w:hAnsi="Times New Roman"/>
          <w:sz w:val="18"/>
          <w:szCs w:val="18"/>
          <w:color w:val="auto"/>
        </w:rPr>
      </w:pPr>
    </w:p>
    <w:p>
      <w:pPr>
        <w:ind w:left="1300" w:right="60" w:hanging="320"/>
        <w:spacing w:after="0" w:line="261"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technical operations system continuously monitors our network and the proper functioning of each of our trading centers around the world;</w:t>
      </w:r>
    </w:p>
    <w:p>
      <w:pPr>
        <w:ind w:left="1300" w:right="20" w:hanging="320"/>
        <w:spacing w:after="0" w:line="216" w:lineRule="exact"/>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making system continuously evaluates the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controls over market exposure. We</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9" w:name="page10"/>
    <w:bookmarkEnd w:id="9"/>
    <w:p>
      <w:pPr>
        <w:ind w:left="1300" w:right="640"/>
        <w:spacing w:after="0" w:line="239" w:lineRule="exact"/>
        <w:rPr>
          <w:sz w:val="20"/>
          <w:szCs w:val="20"/>
          <w:color w:val="auto"/>
        </w:rPr>
      </w:pPr>
      <w:r>
        <w:rPr>
          <w:rFonts w:ascii="Times New Roman" w:cs="Times New Roman" w:eastAsia="Times New Roman" w:hAnsi="Times New Roman"/>
          <w:sz w:val="18"/>
          <w:szCs w:val="18"/>
          <w:color w:val="auto"/>
        </w:rPr>
        <w:t>connect to exchanges and other electronic venues through a network of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location facilities around the world that are monitored 24 hours a day, five days a week, by our staff of experienced network professionals;</w:t>
      </w:r>
    </w:p>
    <w:p>
      <w:pPr>
        <w:spacing w:after="0" w:line="1" w:lineRule="exact"/>
        <w:rPr>
          <w:sz w:val="20"/>
          <w:szCs w:val="20"/>
          <w:color w:val="auto"/>
        </w:rPr>
      </w:pPr>
    </w:p>
    <w:p>
      <w:pPr>
        <w:ind w:left="1300" w:right="660" w:hanging="320"/>
        <w:spacing w:after="0" w:line="265" w:lineRule="auto"/>
        <w:tabs>
          <w:tab w:leader="none" w:pos="129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clearing system captures trades in real-time and performs automated reconciliations of trades and positions, corporate action processing, options exercises, securities lending and inventory management, allowing us to effectively manage operational risk;</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developed to support our market making systems performs daily profit and loss and position reconciliations;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event reviews where operational issues are evaluated and risk mitigations are identified and subsequently implemented.</w:t>
      </w:r>
    </w:p>
    <w:p>
      <w:pPr>
        <w:spacing w:after="0" w:line="23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Controls</w:t>
      </w:r>
      <w:r>
        <w:rPr>
          <w:rFonts w:ascii="Times New Roman" w:cs="Times New Roman" w:eastAsia="Times New Roman" w:hAnsi="Times New Roman"/>
          <w:sz w:val="18"/>
          <w:szCs w:val="18"/>
          <w:color w:val="auto"/>
        </w:rPr>
        <w:t>. Trading notional limits are applied to customers and counterparts. These are monitored throughout the day by trading support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professionals.</w:t>
      </w:r>
    </w:p>
    <w:p>
      <w:pPr>
        <w:spacing w:after="0" w:line="185"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Controls</w:t>
      </w:r>
      <w:r>
        <w:rPr>
          <w:rFonts w:ascii="Times New Roman" w:cs="Times New Roman" w:eastAsia="Times New Roman" w:hAnsi="Times New Roman"/>
          <w:sz w:val="18"/>
          <w:szCs w:val="18"/>
          <w:color w:val="auto"/>
        </w:rPr>
        <w:t>. We seek to minimize liquidity risk by focusing the majority of trading in highly active and liquid instruments. Less liquid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identified and restrictions are in place as to the size of positions we hold in such instruments.</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risk mitigation can in some cases limit our overall opportunities, including by adding a degree of latency to our trading</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infrastructure which can, for example, prevent us from earning outsized returns in times of extreme market volatility. We believe that these trade-offs are necessary to properly limit risk.</w:t>
      </w:r>
    </w:p>
    <w:p>
      <w:pPr>
        <w:spacing w:after="0" w:line="2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on technology and automation to perform many functions within Virtu. Cyber threats are a risk that we are exposed to as a result of our heavy reliance on technology. These threats could include the introduction of malicious code or unauthorized access, and could result in data loss or destruction, business interruption, and the unavailability of service and other risks. We have taken steps to mitigate the various cyber threats, and we devote resources to maintain and regularly upgrade our systems and networks and review the ever-changing threat landscape. We periodically review policies and procedures to seek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spacing w:after="0" w:line="203" w:lineRule="exact"/>
        <w:rPr>
          <w:sz w:val="20"/>
          <w:szCs w:val="20"/>
          <w:color w:val="auto"/>
        </w:rPr>
      </w:pPr>
    </w:p>
    <w:p>
      <w:pPr>
        <w:ind w:right="360" w:firstLine="648"/>
        <w:spacing w:after="0" w:line="220" w:lineRule="exact"/>
        <w:rPr>
          <w:sz w:val="20"/>
          <w:szCs w:val="20"/>
          <w:color w:val="auto"/>
        </w:rPr>
      </w:pPr>
      <w:r>
        <w:rPr>
          <w:rFonts w:ascii="Times New Roman" w:cs="Times New Roman" w:eastAsia="Times New Roman" w:hAnsi="Times New Roman"/>
          <w:sz w:val="18"/>
          <w:szCs w:val="18"/>
          <w:color w:val="auto"/>
        </w:rPr>
        <w:t>Within the market making segment, our competition has been registered market making firms ranging from sole proprietors with very limited resources to large, integrated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w:t>
      </w:r>
    </w:p>
    <w:p>
      <w:pPr>
        <w:spacing w:after="0" w:line="199" w:lineRule="exact"/>
        <w:rPr>
          <w:sz w:val="20"/>
          <w:szCs w:val="20"/>
          <w:color w:val="auto"/>
        </w:rPr>
      </w:pPr>
    </w:p>
    <w:p>
      <w:pPr>
        <w:ind w:right="120" w:firstLine="648"/>
        <w:spacing w:after="0" w:line="229" w:lineRule="exact"/>
        <w:rPr>
          <w:sz w:val="20"/>
          <w:szCs w:val="20"/>
          <w:color w:val="auto"/>
        </w:rPr>
      </w:pPr>
      <w:r>
        <w:rPr>
          <w:rFonts w:ascii="Times New Roman" w:cs="Times New Roman" w:eastAsia="Times New Roman" w:hAnsi="Times New Roman"/>
          <w:sz w:val="18"/>
          <w:szCs w:val="18"/>
          <w:color w:val="auto"/>
        </w:rPr>
        <w:t>In the execution services segment, our algorithmic and smart routing products, as well as our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touch agency execution and portfolio trading internalizers services, compete with agency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and other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firms. Our trading and portfolio analytics compete with offerings from several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and independent companies. POSIT and MatchIt compete with various national and regional securities exchanges, ATSs, Electronic Communication Networks, MTFs and systematic internalizers for trade execution services. Our EMS, OMS, connectivity and RFQ services compete with offerings from independent vendors, agency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firms and other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 firms.</w:t>
      </w:r>
    </w:p>
    <w:p>
      <w:pPr>
        <w:spacing w:after="0" w:line="20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Some of our competitors in market making and execution services are larger than we are and have more captive order flow in certain assets. We believe that the high cost of developing a competitive technological framework is a significant barrier to entry by new market participants. Technology and software innovation is a primary focus for us, rather than relying solely on the speed of our network. We believe that our scalable technology allows us to access new markets and increase volumes with limited incremental costs.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256"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We rely on federal, state and international laws that govern trade secrets, trademarks, domain names, patents, copyright and contract law to protect our intellectual property and proprietary technology. We enter into confidentiality, intellectual property invention assignment and/or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agreements or restrictions with our employees, independent contractors and business partners, and we control access to, and distribution of, our intellectual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19, 2021, we had approximately 976 employees, located in nine countries around the world, all of whom were employed on a</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basis and in good standing. The approximate regional representation of our workforce is as follows: 74% Americas, 16% EMEA and 10% APAC.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covered by collective bargaining agreements. We believe that our employee relations are good.</w:t>
      </w:r>
    </w:p>
    <w:p>
      <w:pPr>
        <w:spacing w:after="0" w:line="2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shaping our culture, we aim to combine a high standard of excellence, technological innovation and agility and operational and financial discipline. We believe that our flat and transparent structure and our collaborative and collegial approach enable our employees to grow, develop and maximize their impact on our organization. To attract and retain top talent in our highly competitive industry, we have designed our compensation and benefits programs to promote the retention and growth of our employees along with their health, well-being and financial security. Our short- and long-term incentive programs are aligned with key business objectives and are intended to motivate strong performance. Our employees are eligible for medical, dental and vision insurance, a savings/retirement plan, life and disability insurance, and various wellness programs and we review the competitiveness of our compensation and benefits periodically. As an equal opportunity employer, all qualified applicants receive consideration without regard to race, national origin, gender, gender identity, sexual orientation, protected veteran status, disability, age or any other legally protected status.</w:t>
      </w:r>
    </w:p>
    <w:p>
      <w:pPr>
        <w:spacing w:after="0" w:line="2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seek to create an inclusive, equitable, culturally competent, and supportive environment where our management and employees model behavior that enriches our workplace. In 2020, we formed a Diversity and Inclusion Committee (the "D&amp;I Committee") to help further these goals and objectives. The D&amp;I Committee has focused on broadening recruitment efforts, increasing awareness of diversity and inclusiveness related issues through internal trainings and communications, and internal and external mentorship, including mentorships with New York City high school students. Additionally, we have hosted an annual Women's Winternship program since 2019, which provides a week-long internship program aimed at introducing sophomore-level female college students to a career path in financial services and features over 30 instructors across the firm from various business lines and disciplines.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ind w:right="40" w:firstLine="648"/>
        <w:spacing w:after="0" w:line="223" w:lineRule="exact"/>
        <w:rPr>
          <w:sz w:val="20"/>
          <w:szCs w:val="20"/>
          <w:color w:val="auto"/>
        </w:rPr>
      </w:pPr>
      <w:r>
        <w:rPr>
          <w:rFonts w:ascii="Times New Roman" w:cs="Times New Roman" w:eastAsia="Times New Roman" w:hAnsi="Times New Roman"/>
          <w:sz w:val="18"/>
          <w:szCs w:val="18"/>
          <w:color w:val="auto"/>
        </w:rPr>
        <w:t>We conduct our U.S. equities and options market making and provide execution services through VAL, our SEC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registered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VAL is regulated by the SEC and its designated examining authority is the Financial Industry Regulatory Authority, Inc. (“FINRA”). VAL is also registered as a floor trader firm with the Commodity Futures Trading Commission (“CFTC”). As part of the Company's integration efforts, the Company consolidated the operations of its other historical U.S. broker-dealer subsidiaries. Specifically, the broker-dealer activities of Virtu Financial BD LLC and Virtu Financial Capital Markets LLC were consolidated within VAL as of December 31, 2019 and the SEC registrations were withdrawn in March 2020. Subsequently, the Company consolidated the broker-dealer activities of Virtu ITG LLC and Virtu Alternet Securities within VAL as of June 1, 2020 and the SEC registrations were withdrawn in August 2020.</w:t>
      </w:r>
    </w:p>
    <w:p>
      <w:pPr>
        <w:spacing w:after="0" w:line="197" w:lineRule="exact"/>
        <w:rPr>
          <w:sz w:val="20"/>
          <w:szCs w:val="20"/>
          <w:color w:val="auto"/>
        </w:rPr>
      </w:pPr>
    </w:p>
    <w:p>
      <w:pPr>
        <w:ind w:right="80" w:firstLine="648"/>
        <w:spacing w:after="0" w:line="226" w:lineRule="exact"/>
        <w:rPr>
          <w:sz w:val="20"/>
          <w:szCs w:val="20"/>
          <w:color w:val="auto"/>
        </w:rPr>
      </w:pPr>
      <w:r>
        <w:rPr>
          <w:rFonts w:ascii="Times New Roman" w:cs="Times New Roman" w:eastAsia="Times New Roman" w:hAnsi="Times New Roman"/>
          <w:sz w:val="18"/>
          <w:szCs w:val="18"/>
          <w:color w:val="auto"/>
        </w:rPr>
        <w:t>Our activities in U.S. equities are both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cleared and rely on fully-disclosed clearing arrangements with third-party clearing firms. We are a full clearing member of the National Securities Clearing Corporation (“NSCC”) and the Depository Trust &amp; Clearing Corporation (“DTCC”). We use the services of prime brokers, primarily in other asset classes, who provide us direct market access to markets and often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margining and margin financing in return for execution and clearing fees. We continually monitor the credit quality of our prime brokers and rely on large multinational banks for most of our execution and clearing needs globally.</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energy, commodities and currency market making and trading activities are primarily conducted through Virtu Financial Global Markets LLC.</w:t>
      </w:r>
    </w:p>
    <w:p>
      <w:pPr>
        <w:spacing w:after="0" w:line="26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conduct our European, Middle Eastern and African (“EMEA”) market making activities from Dublin and through our subsidiary Virtu Financial Ireland Limited ("VFIL"), which is authorized as an “Investment Firm” with the CBI. VFIL maintains a branch office in London. We conduct our EMEA execution services trading activity from Dublin, London,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Paris through our subsidiary Virtu ITG Europe Limited ("VIEL"). VIEL is authorized and regulated by the CBI as an “Investment Firm” and maintains branch offices in London and Paris. The London branch offices of VFIL and VIEL currently utilize the U.K. FCA's Temporary Permissions Regime and are therefore deemed to be authorized and regulated by the FCA. VIEL's Paris branch is registered with the Banque de France. VIEL also operates a multi-lateral trading facility (“MTF”) in Ireland and Virtu ITG UK Limited ("VIUK"), a U.K. investment firm, operates a MTF in the U.K. VIUK is an investment firm which is authorized and regulated by the FCA.</w:t>
      </w:r>
    </w:p>
    <w:p>
      <w:pPr>
        <w:spacing w:after="0" w:line="21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conduct our APAC market making activities from Singapore and through our Singapore subsidiary, Virtu Financial Singapore Pte. Ltd. Virtu Financial Singapore Pte. Ltd. is registered with the MAS for an investment incentive arrangement. We conduct our APAC execution services trading activity from Singapore, Hong Kong, and Australia through our subsidiaries Virtu ITG Singapore Pte. Limited, Virtu ITG Hong Kong Limited, and Virtu ITG Australia Limited. Virtu ITG Singapore Pte. Limited is a holder of a Capital Markets Services License from the MAS, which is its principal regulator. Virtu ITG Hong Kong Limited is a participating organization of the Hong Kong Stock Exchange and a holder of a securities dealer’s license issued by the SFC, which is its principal regulator. Virtu ITG Australia Limited is a market participant of the Australian Securities Exchange (“ASX”) and Chi-X Australia Limited, and is also a holder of an Australian Financial Services License issued by the ASIC. Virtu ITG Australia Limited’s principal regulators are the ASX and ASIC.</w:t>
      </w:r>
    </w:p>
    <w:p>
      <w:pPr>
        <w:spacing w:after="0" w:line="21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Our Canadian market making activities are conducted through our subsidiary Virtu Financial Canada ULC. Virtu Financial Canada ULC is a Canadian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registered as an investment dealer with the IIROC. Our Canadian execution services trading activities are conducted through our subsidiary Virtu ITG Canada Corp. Virtu ITG Canada Corp. is a Canadian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registered as an investment dealer with IIROC,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ITG Canada Corp. is also registered as a Futures Commission Merchant in Ontario and Manitoba and Derivatives Dealer in Quebec.</w:t>
      </w:r>
    </w:p>
    <w:p>
      <w:pPr>
        <w:spacing w:after="0" w:line="230"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Most aspects of our business are subject to regulation under federal, state and foreign laws and regulations, as well as the rules of the various self-regulatory organization (“SROs”) of which our broker-dealer subsidiaries are members. The SEC, FINRA, CFTC, NFA, U.S. state securities regulators, the European Securities and Markets Authority (“ESMA”) in the European Union, the CBI in Ireland, FCA in the U.K., Banque de France in France, MAS in Singapore, SFC in Hong Kong, ASX and ASIC in Australia, IIROC and OSC in Canada,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including, but not limited to, trading practices, order handling, best execution practices,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and financial crimes, handling of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safeguarding data, compliance with exchange and clearinghouse rules, capital adequacy, customer protection, reporting, record retention, market access and the conduct of officers, employees and other associated persons.</w:t>
      </w:r>
    </w:p>
    <w:p>
      <w:pPr>
        <w:spacing w:after="0" w:line="231"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227" w:lineRule="exact"/>
        <w:rPr>
          <w:sz w:val="20"/>
          <w:szCs w:val="20"/>
          <w:color w:val="auto"/>
        </w:rPr>
      </w:pPr>
    </w:p>
    <w:p>
      <w:pPr>
        <w:ind w:right="60" w:firstLine="648"/>
        <w:spacing w:after="0" w:line="219" w:lineRule="exact"/>
        <w:rPr>
          <w:sz w:val="20"/>
          <w:szCs w:val="20"/>
          <w:color w:val="auto"/>
        </w:rPr>
      </w:pPr>
      <w:r>
        <w:rPr>
          <w:rFonts w:ascii="Times New Roman" w:cs="Times New Roman" w:eastAsia="Times New Roman" w:hAnsi="Times New Roman"/>
          <w:sz w:val="18"/>
          <w:szCs w:val="18"/>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and/or business activities, the issuance of cease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desist orders or injunctions or the suspension or disqualification of the entity and/or its officers, employees or other associated persons. From time to time, we are the subject of requests for information and documents from the SEC, FINRA and other regulators. It is our practice to cooperate and comply with the requests for information and documents. These requests could lead to administrative or court proceedings. Whether or not they result in adverse findings, they can require substantial expenditures of time and money and can have an adverse impact on a firm’s reputation, customer relationship and profitability.</w:t>
      </w:r>
    </w:p>
    <w:p>
      <w:pPr>
        <w:spacing w:after="0" w:line="228" w:lineRule="exact"/>
        <w:rPr>
          <w:sz w:val="20"/>
          <w:szCs w:val="20"/>
          <w:color w:val="auto"/>
        </w:rPr>
      </w:pPr>
    </w:p>
    <w:p>
      <w:pPr>
        <w:ind w:right="380" w:firstLine="648"/>
        <w:spacing w:after="0" w:line="220" w:lineRule="exact"/>
        <w:rPr>
          <w:sz w:val="20"/>
          <w:szCs w:val="20"/>
          <w:color w:val="auto"/>
        </w:rPr>
      </w:pPr>
      <w:r>
        <w:rPr>
          <w:rFonts w:ascii="Times New Roman" w:cs="Times New Roman" w:eastAsia="Times New Roman" w:hAnsi="Times New Roman"/>
          <w:sz w:val="17"/>
          <w:szCs w:val="17"/>
          <w:color w:val="auto"/>
        </w:rPr>
        <w:t>The regulatory environment in which we operate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dealers. We cannot predict what effect, if any, future legislative or regulatory changes might have. However, there have been in the past, and could be in the future,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t>significant technological, operational and compliance costs associated with the obligations which derive from compliance with such regulations. Regulators may propose market structure changes particularly considering the continued media, congressional and regulatory scrutiny of U.S. equities market structure, the retail trading environment in the U.S. and relationships between retail broker-dealers and market making firms, high frequency trading, short selling, alternative trading systems, and off exchange trading generally, market fragmentation, colocation, access to market data feeds, and remuneration arrangements such as payment for order flow, profit-sharing relationships, and exchange fee and rebate structures.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SEC and other SROs have enacted and are actively considering rules that may affect our operations and profitability. Among these are changes the SEC has made to Reg NMS Rule 606, as well as changes the SEC is considering to Rule 605 which are intended to provide additional information on order routing and execution quality. In 2019, Regulation ATS-N became effective, requiring operators of alternative trading systems to provide additional information regarding the ATS and other business of the operator that may pose conflicts. Broker-dealers became subject to the reporting requirements under the Reg NMS Plan providing for a Consolidated Audit Trail of equities and options data in 2020. The SEC adopted NMS Rule 610T to conduct a transaction fee pilot (the “Pilot”) designed to generate data that will help the SEC analyze the effects of exchange transaction fee and rebate pricing models on order routing behavior, execution quality, and market quality generally, however, the current form of NMS Rule 610T and the Pilot were vacated by the Court of Appeals for the District of Columbia Circuit on June 16, 2020 pending further review by the SEC. These changes and others impose additional technological, operational and compliance costs on us and creates uncertainty with regard to their effects.</w:t>
      </w:r>
    </w:p>
    <w:p>
      <w:pPr>
        <w:spacing w:after="0" w:line="187" w:lineRule="exact"/>
        <w:rPr>
          <w:sz w:val="20"/>
          <w:szCs w:val="20"/>
          <w:color w:val="auto"/>
        </w:rPr>
      </w:pPr>
    </w:p>
    <w:p>
      <w:pPr>
        <w:ind w:right="80" w:firstLine="648"/>
        <w:spacing w:after="0" w:line="226" w:lineRule="exact"/>
        <w:rPr>
          <w:sz w:val="20"/>
          <w:szCs w:val="20"/>
          <w:color w:val="auto"/>
        </w:rPr>
      </w:pPr>
      <w:r>
        <w:rPr>
          <w:rFonts w:ascii="Times New Roman" w:cs="Times New Roman" w:eastAsia="Times New Roman" w:hAnsi="Times New Roman"/>
          <w:sz w:val="18"/>
          <w:szCs w:val="18"/>
          <w:color w:val="auto"/>
        </w:rPr>
        <w:t>On July 21, 2010,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was enacted in the U.S. Implementation of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has been accomplished through extensive rulemaking by the SEC, the CFTC and other governmental agencies.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includes the “Volcker Rule,” which significantly limits the ability of banks and their affiliates to engage in proprietary trading, and Title VII, which provides a framework for the regulation of the swap markets.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22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II represented significant change in the operation of European capital markets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requires European firms to conduct all trading on European Trading Venues including Regulated Markets, MTFs, Organized Trading Facilities, Systematic Internalisers or equivalent third country venues, requires market makers, such as VFIL, to post firm quotes at competitive prices and supplemented requirements with regards to investment firms’ pre-trade risk controls related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is currently under review, with European Union authorities considering making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on February 17, 2020, a European Commission public consultation on the review of the MiFIDII/MiFIR regulatory framework and on December 18, 2020 an ESMA Consultation Paper entitled "MiFID II/MiFIR Review Report on Algorithmic Trading". Further, in light of the U.K.'s withdrawal of its membership from the E.U., which is commonly referred to as "Brexit", the passporting regime under MiFID II, which enables firms to provide services to countries across the E.U., no longer encompasses the U.K. VFIL and VIEL continue to service U.K. clients by means of their London branches, however, in light of Brexit, these branches operate in the U.K. not on the basis of MiFID II passporting rights, but on the basis of the U.K. FCA's Temporary Permissions Regime, pursuant to which the London branches of VFIL and VIEL are deemed to be authorized and regulated by the FCA.</w:t>
      </w:r>
    </w:p>
    <w:p>
      <w:pPr>
        <w:spacing w:after="0" w:line="21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Each of these legislative and regulatory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203"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and require that at least a minimum part of its assets be kept in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Failure to comply with applicable regulatory capital requirements could subject us to sanctions imposed by the SEC, FINRA and other SROs or regulatory bodies.”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and our predecessors have been in the electronic trading and market making business for more than 15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21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completion of the IPO, the Reorganization Transactions, the July 2017 Private Placement, and certain other secondary offerings and permitted exchanges by current and former employees of Virtu Financial Units for shares of the Company’s Class A Common Stock, the Company holds an approximately 64.1% interest in Virtu Financial at December 31, 2020. The remaining issued and outstanding Virtu Financial Units are held by an affiliate of Mr. Vincent Viola (the “Founder Post-IPO Member”), two entities whose equity holders include certain members of the management of Virtu Financial, and certain other current and former members of management of Virtu Financial (collectively, the “Virtu Post-IPO Members”). The Founder Post-IPO Member controls approximately 81.9% of the combined voting power of our outstanding common stock as of December 31, 2020.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21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have completed two significant acquisitions over the past four years that have expanded and complemented Virtu Financial's original electronic trading and market making business. On July 20, 2017 (the "KCG Closing Date"), the Company completed the all-cash acquisition (the "Acquisition of KCG") of KCG Holdings, Inc. ("KCG"). In connection with the Acquisition of KCG, the Company issued 8,012,821 shares of the Company’s Class A stock to Aranda Investments Pte. Ltd. (“Aranda”), an affiliate of Temasek, for an aggregate purchase price of approximately $125.0 million and 40,064,103 shares of the Company’s Class A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(collectively, the “July 2017 Private Placement”).</w:t>
      </w:r>
    </w:p>
    <w:p>
      <w:pPr>
        <w:spacing w:after="0" w:line="21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On March 1, 2019 (the “ITG Closing Date”), we completed our acquisition of Investment Technology Group, Inc. (“ITG”) in an all-cash transaction valued at $30.30 per ITG share, for approximately $1.0 billion (the “ITG Acquisition”). As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described in “Acquisition of Investment Technology Group, Inc.” below,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 decisions via liquidity, execution, analytics and workflow technology solutions.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 Section 13(a) or 15(d) of the Securities Exchange Act of 1934, as amended (the “Exchange Act”) are available free of charge on our website as soon as possible after we electronically file them with, or furnish them to, the SEC.</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Investor Relations Department can be contacted at Virtu Financial, Inc., One Liberty Plaza, 165 Broadway, New York, NY, 10006, Attn: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e-mail: investor_relations@virtu.com.</w:t>
      </w:r>
    </w:p>
    <w:p>
      <w:pPr>
        <w:spacing w:after="0" w:line="23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use our website, public conference calls, and social media channels, including our Twitter account (twitter.com/virtufinancial) and our LinkedIn account (linkedin.com/company/virtu-financial),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summary of risks below provides an overview of the principal risks we are exposed to in the normal course of our business activities. This summary does not contain all of the information that may be important to you, and you should read the more detailed discussion of risks that follows this summary.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Operations</w:t>
      </w:r>
    </w:p>
    <w:p>
      <w:pPr>
        <w:spacing w:after="0" w:line="25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results of operations and financial condition.</w:t>
      </w:r>
    </w:p>
    <w:p>
      <w:pPr>
        <w:spacing w:after="0" w:line="27"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and profitability depend on trading volume and volatility in the markets in which we operate and therefore are subject to factors beyond our control, are prone to significant fluctuations and are difficult to predict.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our trading counterparties and clearing houses to perform their obligations to us.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in our market making activities and our execution services businesses due to failures of our customized trading platform, due to market risk or from a lack of perfect information.</w:t>
      </w:r>
    </w:p>
    <w:p>
      <w:pPr>
        <w:ind w:left="660" w:right="1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the securities we hold at any particular time may result in large and occasionally anomalous swings in the value of our positions and in our earnings in any period.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other competitive dynamics which could harm our financial performance.</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making business is concentrated in U.S. equities; accordingly, our operating results may be negatively impacted by changes that affect the U.S. equity markets.</w:t>
      </w: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significant sources of revenues if we lose any of our larger clients or sources of order flow or lose access to an important exchange or other trading venue.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liquidity risk in our operations.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clearing and other elements of our trade processing expose us to operational, financial and liquidity risks.</w:t>
      </w:r>
    </w:p>
    <w:p>
      <w:pPr>
        <w:spacing w:after="0" w:line="10"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which could negatively impact our business and financial condition, and may limit our flexibility in operating our business.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technology and our results may be negatively impacted if we cannot remain competitive.</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computer systems and software could expose us to material financial and reputational harm if any of our computer systems or software were subject to any material disruption or corruption.</w:t>
      </w: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the target of a significant cyber-attack, threat or incident that impairs internal systems, results in adverse consequences to information our system process, store or transmit or causes reputation damages as a consequence.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harmed by computer and communication systems malfunctions, failures and delays.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poor performance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infrastructure or systems could adversely affect our business.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open source software may expose us to additional risks.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5" w:name="page16"/>
    <w:bookmarkEnd w:id="1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or may be prevented from using intellectual property necessary for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could negatively impact our earnings.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material losses on foreign exchange transactions entered into on behalf of clients and be exposed to material liquidity risk due to counterparty defaults or errors.</w:t>
      </w:r>
    </w:p>
    <w:p>
      <w:pPr>
        <w:ind w:left="660" w:right="3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risks associated with future growth or expansion of our operations or acquisitions, strategic investments or dispositions of businesses, and we may never realize the anticipated benefits of such activities.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efforts to sell shares of our common stock or raise additional capital may be inhibited by regulations.</w:t>
      </w:r>
    </w:p>
    <w:p>
      <w:pPr>
        <w:spacing w:after="0" w:line="9" w:lineRule="exact"/>
        <w:rPr>
          <w:rFonts w:ascii="Times New Roman" w:cs="Times New Roman" w:eastAsia="Times New Roman" w:hAnsi="Times New Roman"/>
          <w:sz w:val="18"/>
          <w:szCs w:val="18"/>
          <w:color w:val="auto"/>
        </w:rPr>
      </w:pPr>
    </w:p>
    <w:p>
      <w:pPr>
        <w:jc w:val="both"/>
        <w:ind w:left="660" w:right="120" w:hanging="328"/>
        <w:spacing w:after="0" w:line="265"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ind w:left="660" w:right="4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as a result of unforeseen or catastrophic events, including the emergence of another pandemic, social unrest, terrorist attacks, extreme weather events or other natural disasters.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Acquisitions</w:t>
      </w:r>
    </w:p>
    <w:p>
      <w:pPr>
        <w:spacing w:after="0" w:line="256" w:lineRule="exact"/>
        <w:rPr>
          <w:sz w:val="20"/>
          <w:szCs w:val="20"/>
          <w:color w:val="auto"/>
        </w:rPr>
      </w:pPr>
    </w:p>
    <w:p>
      <w:pPr>
        <w:ind w:left="660" w:right="1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and significant indebtedness were incurred in connection with the consummation of our historical acquisitions and significant costs have been and will be incurred in connection with the integration of KCG and ITG into our business, including legal, accounting, financial advisory and other costs.</w:t>
      </w:r>
    </w:p>
    <w:p>
      <w:pPr>
        <w:spacing w:after="0" w:line="1"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KCG's and ITG’s business into our business may divert management’s attention away from operations, and we may also encounter significant difficulties in integrating these businesses.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synergies, cost reductions and growth opportunities from our historical acquisitions.</w:t>
      </w:r>
    </w:p>
    <w:p>
      <w:pPr>
        <w:spacing w:after="0" w:line="9"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historical acquisitions, the Company will be subject to business uncertainties and potential liabilities that could materially and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w:t>
      </w:r>
    </w:p>
    <w:p>
      <w:pPr>
        <w:spacing w:after="0" w:line="25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uncertainties could harm our business.</w:t>
      </w:r>
    </w:p>
    <w:p>
      <w:pPr>
        <w:spacing w:after="0" w:line="27" w:lineRule="exact"/>
        <w:rPr>
          <w:rFonts w:ascii="Times New Roman" w:cs="Times New Roman" w:eastAsia="Times New Roman" w:hAnsi="Times New Roman"/>
          <w:sz w:val="18"/>
          <w:szCs w:val="18"/>
          <w:color w:val="auto"/>
        </w:rPr>
      </w:pPr>
    </w:p>
    <w:p>
      <w:pPr>
        <w:ind w:left="660" w:right="560" w:hanging="328"/>
        <w:spacing w:after="0" w:line="216" w:lineRule="exact"/>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applicable laws or regulatory requirements could subject us to sanctions and could negatively impact our reputation, prospects, revenues and earnings.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litigation and potential securities law liability.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legislation in the European Union, the U.S. and other jurisdictions that would impose taxes on certain financial transactions could have a material adverse effect on our business and financial results.</w:t>
      </w:r>
    </w:p>
    <w:p>
      <w:pPr>
        <w:ind w:left="660" w:right="1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our international operations and expansion and failure to comply with laws and regulations applicable to such operations may increase costs, reduce profits, limit growth or subject us to liability.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Brexit may negatively impact the global economy, financial markets and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Structure</w:t>
      </w:r>
    </w:p>
    <w:p>
      <w:pPr>
        <w:spacing w:after="0" w:line="243" w:lineRule="exact"/>
        <w:rPr>
          <w:sz w:val="20"/>
          <w:szCs w:val="20"/>
          <w:color w:val="auto"/>
        </w:rPr>
      </w:pPr>
    </w:p>
    <w:p>
      <w:pPr>
        <w:ind w:left="660" w:right="4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64.1% of equity interest in Virtu Financial, and we are accordingly dependent upon distributions from Virtu Financial to pay dividends, if any, taxes and other expenses.</w:t>
      </w:r>
    </w:p>
    <w:p>
      <w:pPr>
        <w:ind w:left="660" w:right="8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whose interests in our business may be different than yours, and certain statutory provisions afforded to stockholders are not applicable to us.</w:t>
      </w:r>
    </w:p>
    <w:p>
      <w:pPr>
        <w:ind w:left="660" w:right="5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remain in compliance with the covenants contained in our Credit Agreement and our obligation to comply with these covenants may adversely affect our ability to operate our business.</w:t>
      </w:r>
    </w:p>
    <w:p>
      <w:pPr>
        <w:ind w:left="660" w:right="14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ind w:left="660" w:right="5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pay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for certain tax benefits we may claim, and the amounts we may pay could be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5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in the public market could cause our stock price to fall.</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could have a material adverse effect on our business, financial condition, results of operations and cash flows, and stock price.</w:t>
      </w:r>
    </w:p>
    <w:p>
      <w:pPr>
        <w:ind w:left="660" w:right="38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pay regular dividends to our stockholders, but our ability to do so may be limited by our holding company structure, contractual restrictions and regulatory requirements.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16" w:name="page17"/>
    <w:bookmarkEnd w:id="16"/>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certain rules imposed by regulatory authorities may delay or prevent our acquisition by a third party.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stock price may be volatile.</w:t>
      </w:r>
    </w:p>
    <w:p>
      <w:pPr>
        <w:spacing w:after="0" w:line="27"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being a public company.</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trading volume could decline as a result of inaccurate or unfavorable research, or the cessation of research coverage, about us or our business published by securities or industry analysts.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reported financial results depend on management’s selection of accounting methods and certain assumptions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results of operations and financial condition.</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ongoing coronavirus (COVID-19) pandemic has caused significant disruption in the international and United States economies and financial markets, and has caused, among other matters, illness, death, quarantines, cancellation of events and travel, business and school shutdowns, reduction in business activity, travel, and financial transactions, labor shortages, supply chain interruptions and overall economic and financial market instability. The full impact this virus may have on the global financial markets and the overall economy is not currently known. Impacts to our business could be widespread and global, and material impacts may be possible, including the following:</w:t>
      </w:r>
    </w:p>
    <w:p>
      <w:pPr>
        <w:spacing w:after="0" w:line="21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our senior executives, contracting COVID-19;</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or efficiency or increases in risk as a result of the implementation of our business continuity plan (BCP), under which a significant number of our employees work from home, and potential disruptions or adverse impacts as and when we implement a return to office policy for certain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Unprecedented volatility in global financial markets, which may increase the risk or potential magnitude of operational errors;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liquidity needs, including but not limited to margin funding requirements with clearinghouses or prime brokers, for our business and challenges obtaining sufficient liquidity sources to meet such needs or requirements;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decreases in demand for our products and services, which would negatively impact our liquidity position and our results;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of our offices or the offices of our clients;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limiting our ability to collaborate internally and engage with current and potential clients and counterparties externally.</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taking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further spread of the COVID-19 outbreak may materially disrupt financial activity generally and in the areas in which we operate. Any one or more of these developments could have a material adverse effect on our and our consolidated subsidiaries' business, operations, consolidated financial condition, and consolidated results of operations.</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profitability depend on trading volume and volatility in the markets in which we operate, and therefore are subject to factors beyond our control, are prone to significant fluctuations and are difficult to predict.</w:t>
      </w:r>
    </w:p>
    <w:p>
      <w:pPr>
        <w:spacing w:after="0" w:line="18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our trading counterparties and clearing houses to perform their obligations to us.</w:t>
      </w:r>
    </w:p>
    <w:p>
      <w:pPr>
        <w:spacing w:after="0" w:line="227"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Our business consists of providing consistent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in the U.S. and similar legislation worldwide, many trades in the securities and futures markets, and an increasing number of trades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our market making activities and our execution services businesses due to failures of our customized trading platform, due to market risk or from a lack of perfect information.</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may at times trade with others who have information that may be more accurate or complete than the information we have, and as a result we may accumulate unfavorable positions preceding large price movements in a given instrument. We cannot assure you that we will be able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auto"/>
        </w:rPr>
        <w:t>manage these risks successfully or that we will not experience significant losses from such activities, which could have a material adverse effect on our business, financial condition, results of operations and cash flows.</w:t>
      </w:r>
    </w:p>
    <w:p>
      <w:pPr>
        <w:spacing w:after="0" w:line="160" w:lineRule="exact"/>
        <w:rPr>
          <w:sz w:val="20"/>
          <w:szCs w:val="20"/>
          <w:color w:val="auto"/>
        </w:rPr>
      </w:pPr>
    </w:p>
    <w:p>
      <w:pPr>
        <w:ind w:firstLine="648"/>
        <w:spacing w:after="0" w:line="223" w:lineRule="exact"/>
        <w:rPr>
          <w:sz w:val="20"/>
          <w:szCs w:val="20"/>
          <w:color w:val="auto"/>
        </w:rPr>
      </w:pPr>
      <w:r>
        <w:rPr>
          <w:rFonts w:ascii="Times New Roman" w:cs="Times New Roman" w:eastAsia="Times New Roman" w:hAnsi="Times New Roman"/>
          <w:sz w:val="18"/>
          <w:szCs w:val="18"/>
          <w:color w:val="auto"/>
        </w:rPr>
        <w:t>Our risk management activities related to our on exchange market making strategies utilize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2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8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other competitive dynamics which could harm our financial performance.</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w:t>
      </w:r>
    </w:p>
    <w:p>
      <w:pPr>
        <w:spacing w:after="0" w:line="186"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Our competitors include other registered market makers, as well as unregulated or lesser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or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making business is concentrated in U.S. equities; accordingly, our operating results may be negatively impacted by changes that affect the U.S. equity markets.</w:t>
      </w:r>
    </w:p>
    <w:p>
      <w:pPr>
        <w:spacing w:after="0" w:line="18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market making revenue for 2020 was derived from our market making in U.S. equities. The level of activity in the U.S. equity markets is directly affected by factors beyond our control, including U.S. economic and political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right="40"/>
        <w:spacing w:after="0" w:line="266" w:lineRule="auto"/>
        <w:rPr>
          <w:sz w:val="20"/>
          <w:szCs w:val="20"/>
          <w:color w:val="auto"/>
        </w:rPr>
      </w:pPr>
      <w:r>
        <w:rPr>
          <w:rFonts w:ascii="Times New Roman" w:cs="Times New Roman" w:eastAsia="Times New Roman" w:hAnsi="Times New Roman"/>
          <w:sz w:val="18"/>
          <w:szCs w:val="18"/>
          <w:color w:val="auto"/>
        </w:rPr>
        <w:t>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lose significant sources of revenues if we lose any of our larger clients or sources of order flow or lose access to an important exchange or other trading venue.</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times, a limited number of clients could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Further, changes in applicable laws, regulations or rules could adversely impact our relationship with any such client or opportunities to interact with order flows from such clients. The loss, or a significant reduction, of demand for our services from any of these clients could have a material adverse effect on our business, financial condition, results of operations and cash flows.</w:t>
      </w:r>
    </w:p>
    <w:p>
      <w:pPr>
        <w:spacing w:after="0" w:line="2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Similarly, 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liquidity risk in our operations.</w:t>
      </w:r>
    </w:p>
    <w:p>
      <w:pPr>
        <w:spacing w:after="0" w:line="256" w:lineRule="exact"/>
        <w:rPr>
          <w:sz w:val="20"/>
          <w:szCs w:val="20"/>
          <w:color w:val="auto"/>
        </w:rPr>
      </w:pPr>
    </w:p>
    <w:p>
      <w:pPr>
        <w:ind w:right="120" w:firstLine="648"/>
        <w:spacing w:after="0" w:line="219" w:lineRule="exact"/>
        <w:rPr>
          <w:sz w:val="20"/>
          <w:szCs w:val="20"/>
          <w:color w:val="auto"/>
        </w:rPr>
      </w:pPr>
      <w:r>
        <w:rPr>
          <w:rFonts w:ascii="Times New Roman" w:cs="Times New Roman" w:eastAsia="Times New Roman" w:hAnsi="Times New Roman"/>
          <w:sz w:val="18"/>
          <w:szCs w:val="18"/>
          <w:color w:val="auto"/>
        </w:rPr>
        <w:t>We require liquidity to fund various ongoing obligations, including operating expenses, margin requirements, capital expenditures, debt service and dividend payments. Our main sources of liquidity are cash flow from the operations of our subsidiaries, our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revolving credit facilities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increased funding requirements for margin or settlement with central clearinghouses, prime brokers or counterparties,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19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clearing and other elements of our trade processing operations expose us to significant operational, financial and liquidity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-38735</wp:posOffset>
            </wp:positionV>
            <wp:extent cx="3873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32"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We currently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 a substantial portion of our domestic equity trades and may expand our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clearing operations internationally and across product offerings and asset classes in the future.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22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operation of our client execution services business, we are required to finance certain of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0" w:name="page21"/>
    <w:bookmarkEnd w:id="20"/>
    <w:p>
      <w:pPr>
        <w:ind w:right="500"/>
        <w:spacing w:after="0" w:line="282" w:lineRule="auto"/>
        <w:rPr>
          <w:sz w:val="20"/>
          <w:szCs w:val="20"/>
          <w:color w:val="auto"/>
        </w:rPr>
      </w:pPr>
      <w:r>
        <w:rPr>
          <w:rFonts w:ascii="Times New Roman" w:cs="Times New Roman" w:eastAsia="Times New Roman" w:hAnsi="Times New Roman"/>
          <w:sz w:val="18"/>
          <w:szCs w:val="18"/>
          <w:color w:val="auto"/>
        </w:rPr>
        <w:t>circumstances that may be difficult to detect or foresee. In addition, concerns about, or a default by, one institution could lead to significant liquidity problems, losses or defaults by other institutions that could in turn adversely affect us.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Additionally, elevated levels of volume and volatility, which have and may continue to result in material increases in our trading activities both in our market making segment and in our execution services segment, have previously and may in the future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 term funding requirements, which may require us to depend on additional sources of liquidity and upon the availability of third parties for services such as trade clearing, and have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21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could negatively impact our business and financial condition, and may limit our flexibility in operating our business.</w:t>
      </w:r>
    </w:p>
    <w:p>
      <w:pPr>
        <w:spacing w:after="0" w:line="18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had an aggregate of $1,670.4 million outstanding indebtedness under our long-term borrowings.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203"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party to an uncommitted facility (the “Uncommitted Facility”), subject to a maximum borrowing limit of $400.0 million, under which we had $36.4 million of borrowings outstanding as of December 31, 2020. We are also a party to a $600.0 million broker-dealer revolving credit facility (the “Committed Facility”) under which we had no borrowings outstanding as of December 31, 2020. Also, certain of our non-guarantor subsidiaries are party to various short-term credit facilities with various prime brokers and other financial institutions in an aggregate amount of $616.0 million under which we had $134.7 million in borrowings outstanding at December 31, 2020.</w:t>
      </w:r>
    </w:p>
    <w:p>
      <w:pPr>
        <w:spacing w:after="0" w:line="210" w:lineRule="exact"/>
        <w:rPr>
          <w:sz w:val="20"/>
          <w:szCs w:val="20"/>
          <w:color w:val="auto"/>
        </w:rPr>
      </w:pPr>
    </w:p>
    <w:p>
      <w:pPr>
        <w:ind w:right="260" w:firstLine="177"/>
        <w:spacing w:after="0" w:line="258" w:lineRule="auto"/>
        <w:rPr>
          <w:sz w:val="20"/>
          <w:szCs w:val="20"/>
          <w:color w:val="auto"/>
        </w:rPr>
      </w:pPr>
      <w:r>
        <w:rPr>
          <w:rFonts w:ascii="Times New Roman" w:cs="Times New Roman" w:eastAsia="Times New Roman" w:hAnsi="Times New Roman"/>
          <w:sz w:val="18"/>
          <w:szCs w:val="18"/>
          <w:color w:val="auto"/>
        </w:rPr>
        <w:t>The credit agreement entered into on March 1, 2019 by and among Virtu Financial, VFH Parent LLC, a Delaware limited liability company and a subsidiary of Virtu Financial (“VFH”), Impala Borrower LLC (the “Acquisition Borrower”), a subsidiary of the Company, the lenders party thereto and Jeffries Finance LLC, as administrative agent (as amended on October 9, 2019 and as further amended from time to time, the “Credit Agreement”) contains,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21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guarantee indebtedness or issue certain preferred equity interests;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in respect of, or repurchase or redeem, our equity interests or make other restricted payments;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certain investments;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all or substantially all of our assets;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our subsidiaries as unrestricted subsidiaries.</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1" w:name="page22"/>
    <w:bookmarkEnd w:id="21"/>
    <w:p>
      <w:pPr>
        <w:ind w:right="380"/>
        <w:spacing w:after="0" w:line="282" w:lineRule="auto"/>
        <w:rPr>
          <w:sz w:val="20"/>
          <w:szCs w:val="20"/>
          <w:color w:val="auto"/>
        </w:rPr>
      </w:pPr>
      <w:r>
        <w:rPr>
          <w:rFonts w:ascii="Times New Roman" w:cs="Times New Roman" w:eastAsia="Times New Roman" w:hAnsi="Times New Roman"/>
          <w:sz w:val="18"/>
          <w:szCs w:val="18"/>
          <w:color w:val="auto"/>
        </w:rPr>
        <w:t>waived, could have a material adverse effect on our business, financial condition, results of operations and cash flows. If any such event of default has occurred and is continuing, the lenders under our Credit Agreement, among other things:</w:t>
      </w:r>
    </w:p>
    <w:p>
      <w:pPr>
        <w:spacing w:after="0" w:line="189"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lend any additional amounts to us; or</w:t>
      </w:r>
    </w:p>
    <w:p>
      <w:pPr>
        <w:spacing w:after="0" w:line="27" w:lineRule="exact"/>
        <w:rPr>
          <w:rFonts w:ascii="Times New Roman" w:cs="Times New Roman" w:eastAsia="Times New Roman" w:hAnsi="Times New Roman"/>
          <w:sz w:val="18"/>
          <w:szCs w:val="18"/>
          <w:color w:val="auto"/>
        </w:rPr>
      </w:pPr>
    </w:p>
    <w:p>
      <w:pPr>
        <w:ind w:left="980" w:right="100" w:hanging="324"/>
        <w:spacing w:after="0" w:line="260"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elect to declare all borrowings outstanding, together with accrued and unpaid interest and fees, to be immediately due and payable and terminate all commitments to extend further credit;</w:t>
      </w:r>
    </w:p>
    <w:p>
      <w:pPr>
        <w:spacing w:after="0" w:line="2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of which could result in cross defaults under our other indebtedness. If we default on our indebtedness, our business, financial condition and results of operation could suffer a material adverse effect.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21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Despite our substantial indebtedness, we may still be able to incur significantly more debt, which could intensify the risks associated with our substantial indebtedness.</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technology, and our future results may be negatively impacted if we cannot remain technologically competitive.</w:t>
      </w:r>
    </w:p>
    <w:p>
      <w:pPr>
        <w:spacing w:after="0" w:line="256"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efficient and competitive manner to technological advancements (including advancements related to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22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2" w:name="page23"/>
    <w:bookmarkEnd w:id="22"/>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the target of a significant cyber-attack, threat or incident that impairs internal systems, results in adverse consequences to information our system process, store or transmit or causes reputation damages as a consequence.</w:t>
      </w:r>
    </w:p>
    <w:p>
      <w:pPr>
        <w:spacing w:after="0" w:line="186" w:lineRule="exact"/>
        <w:rPr>
          <w:sz w:val="20"/>
          <w:szCs w:val="20"/>
          <w:color w:val="auto"/>
        </w:rPr>
      </w:pPr>
    </w:p>
    <w:p>
      <w:pPr>
        <w:ind w:right="20" w:firstLine="648"/>
        <w:spacing w:after="0" w:line="217" w:lineRule="exact"/>
        <w:rPr>
          <w:sz w:val="20"/>
          <w:szCs w:val="20"/>
          <w:color w:val="auto"/>
        </w:rPr>
      </w:pPr>
      <w:r>
        <w:rPr>
          <w:rFonts w:ascii="Times New Roman" w:cs="Times New Roman" w:eastAsia="Times New Roman" w:hAnsi="Times New Roman"/>
          <w:sz w:val="18"/>
          <w:szCs w:val="18"/>
          <w:color w:val="auto"/>
        </w:rPr>
        <w:t>Our business relies on technology and automation to perform significant functions within our firm. Because of our reliance on technology, we may be susceptible to various forms of cyber-attacks by third parties or insiders. Though we take steps to mitigate the various cyber threats and devote significant resources to maintain and update our systems and networks, we may be unable to anticipate attacks or to implement adequate preventative measures. Our cybersecurity measures may not detect or prevent all attempts to compromise our systems, including denial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attacks, viruses, malicious software,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phishing attacks, social engineering, security breaches or other attacks and similar disruptions that may jeopardize the security of information stored in and transmitted by our systems or that we otherwise maintain. Furthermore, we may have little or no oversight with respect to security measures employed by third-party service providers, which may ultimately prove to be ineffective at countering threats.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and intellectual property; deletion or modification of client information; or a denial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or other interruptions to our business operations. While we have not suffered a material breach of our cybersecurity,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by computer and communication systems malfunctions, failures and delays.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 weather events, power loss, utility or internet outages, computer viruses, intentional acts of vandalism, war,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2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Since the timing and impact of disasters and disruptions are unpredictable, we may not be able to respond to actual events as they occur. Business disruptions can vary in their scope and significance and can affect one or more of our facilities. 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war, terrorism and other similar events.</w:t>
      </w:r>
    </w:p>
    <w:p>
      <w:pPr>
        <w:spacing w:after="0" w:line="210"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Failure or poor performance of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software, infrastructure or systems on which we rely could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-38735</wp:posOffset>
            </wp:positionV>
            <wp:extent cx="3873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6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86" w:lineRule="exact"/>
        <w:rPr>
          <w:sz w:val="20"/>
          <w:szCs w:val="20"/>
          <w:color w:val="auto"/>
        </w:rPr>
      </w:pPr>
    </w:p>
    <w:p>
      <w:pPr>
        <w:ind w:right="60" w:firstLine="648"/>
        <w:spacing w:after="0" w:line="224" w:lineRule="exact"/>
        <w:rPr>
          <w:sz w:val="20"/>
          <w:szCs w:val="20"/>
          <w:color w:val="auto"/>
        </w:rPr>
      </w:pPr>
      <w:r>
        <w:rPr>
          <w:rFonts w:ascii="Times New Roman" w:cs="Times New Roman" w:eastAsia="Times New Roman" w:hAnsi="Times New Roman"/>
          <w:sz w:val="18"/>
          <w:szCs w:val="18"/>
          <w:color w:val="auto"/>
        </w:rPr>
        <w:t>We also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computer systems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may expose us to additional risks.</w:t>
      </w:r>
    </w:p>
    <w:p>
      <w:pPr>
        <w:spacing w:after="0" w:line="256" w:lineRule="exact"/>
        <w:rPr>
          <w:sz w:val="20"/>
          <w:szCs w:val="20"/>
          <w:color w:val="auto"/>
        </w:rPr>
      </w:pPr>
    </w:p>
    <w:p>
      <w:pPr>
        <w:ind w:firstLine="177"/>
        <w:spacing w:after="0" w:line="218" w:lineRule="exact"/>
        <w:rPr>
          <w:sz w:val="20"/>
          <w:szCs w:val="20"/>
          <w:color w:val="auto"/>
        </w:rPr>
      </w:pPr>
      <w:r>
        <w:rPr>
          <w:rFonts w:ascii="Times New Roman" w:cs="Times New Roman" w:eastAsia="Times New Roman" w:hAnsi="Times New Roman"/>
          <w:sz w:val="18"/>
          <w:szCs w:val="18"/>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w:t>
      </w:r>
    </w:p>
    <w:p>
      <w:pPr>
        <w:spacing w:after="0" w:line="4" w:lineRule="exact"/>
        <w:rPr>
          <w:sz w:val="20"/>
          <w:szCs w:val="20"/>
          <w:color w:val="auto"/>
        </w:rPr>
      </w:pPr>
    </w:p>
    <w:p>
      <w:pPr>
        <w:ind w:right="20" w:firstLine="8"/>
        <w:spacing w:after="0" w:line="217" w:lineRule="exact"/>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our software available under the terms of an open source license, (iv)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or may be prevented from using intellectual property necessary for our business.</w:t>
      </w:r>
    </w:p>
    <w:p>
      <w:pPr>
        <w:spacing w:after="0" w:line="256"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We rely on federal and state law, trade secrets, trademarks, domain names, copyrights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The promulgation of 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210"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could negatively impact our earnings.</w:t>
      </w:r>
    </w:p>
    <w:p>
      <w:pPr>
        <w:spacing w:after="0" w:line="256" w:lineRule="exact"/>
        <w:rPr>
          <w:sz w:val="20"/>
          <w:szCs w:val="20"/>
          <w:color w:val="auto"/>
        </w:rPr>
      </w:pPr>
    </w:p>
    <w:p>
      <w:pPr>
        <w:ind w:right="140" w:firstLine="648"/>
        <w:spacing w:after="0" w:line="219" w:lineRule="exact"/>
        <w:rPr>
          <w:sz w:val="20"/>
          <w:szCs w:val="20"/>
          <w:color w:val="auto"/>
        </w:rPr>
      </w:pPr>
      <w:r>
        <w:rPr>
          <w:rFonts w:ascii="Times New Roman" w:cs="Times New Roman" w:eastAsia="Times New Roman" w:hAnsi="Times New Roman"/>
          <w:sz w:val="18"/>
          <w:szCs w:val="18"/>
          <w:color w:val="auto"/>
        </w:rPr>
        <w:t>A significant portion of our international business is conducted in currencies other than the U.S. dollar, and changes in foreign exchange rates relative to the U.S. dollar can therefore affect the value of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net assets, revenues and expenses. Although we closely monitor potential exposures as a result of these fluctuations in currencies, and where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justified we adopt strategies that are designed to reduce the impact of these fluctuations on our financial performance, including the financing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22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material losses on foreign exchange transactions entered into on behalf of clients and be exposed to material liquidity risk due to counterparty defaults or errors.</w:t>
      </w:r>
    </w:p>
    <w:p>
      <w:pPr>
        <w:spacing w:after="0" w:line="157" w:lineRule="exact"/>
        <w:rPr>
          <w:sz w:val="20"/>
          <w:szCs w:val="20"/>
          <w:color w:val="auto"/>
        </w:rPr>
      </w:pPr>
    </w:p>
    <w:p>
      <w:pPr>
        <w:ind w:right="120" w:firstLine="648"/>
        <w:spacing w:after="0" w:line="226" w:lineRule="exact"/>
        <w:rPr>
          <w:sz w:val="20"/>
          <w:szCs w:val="20"/>
          <w:color w:val="auto"/>
        </w:rPr>
      </w:pPr>
      <w:r>
        <w:rPr>
          <w:rFonts w:ascii="Times New Roman" w:cs="Times New Roman" w:eastAsia="Times New Roman" w:hAnsi="Times New Roman"/>
          <w:sz w:val="18"/>
          <w:szCs w:val="18"/>
          <w:color w:val="auto"/>
        </w:rPr>
        <w:t>We enable clients to settle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agent in these transactions. As a result, a default by one of our counterparties prior to the settlement of their obligation could materially impact our liquidity and have a material adverse effect on our financial condition and results of operations.</w:t>
      </w:r>
    </w:p>
    <w:p>
      <w:pPr>
        <w:spacing w:after="0" w:line="22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spacing w:after="0" w:line="18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86"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saving initiatives. We cannot guarantee that we will be able to successfully integrate any company or business that we might acquire in the future, and our failure to do so could harm our current business.</w:t>
      </w:r>
    </w:p>
    <w:p>
      <w:pPr>
        <w:spacing w:after="0" w:line="22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efforts to sell shares of our common stock or raise additional capital may be inhibited by regulations.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certain of our subsidiaries are members of FINRA and other SROs, we are subject to certain regulations regarding changes in ownership or control and material changes in operations. For example, FINRA Rule 1017 generally provides that FINRA approval must be obtained in connection with certain change of ownership or control transactions, such as a transaction that results in a single entity or person owning 25% or more our equity. Similarly, VFIL, VIEL and VIUK, our regulated subsidiaries in Ireland and the U.K., are subject to change in control regulations promulgated by the CBI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2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 of certain key executives, the loss or diminished performance of whom could have a material adverse effect on our business, and our success depends in part on our ability to identify, recruit and retain skilled management and technical personnel.</w:t>
      </w:r>
    </w:p>
    <w:p>
      <w:pPr>
        <w:spacing w:after="0" w:line="18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including Douglas Cifu, our Chief Executive Officer, Joseph Molluso, our Co-President and Co-Chief Operating Officer, Brett Fairclough, our Co-President and Co-Chief Operating Officer and Sean Galvin, our Chief Financial Officer.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We cannot guarantee that these or other permitted outside activities will not impact his performance as Chief Executive Officer.</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2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as a result of unforeseen or catastrophic events, including the emergence of another pandemic, terrorist attacks, extreme weather events or other natural disasters.</w:t>
      </w:r>
    </w:p>
    <w:p>
      <w:pPr>
        <w:spacing w:after="0" w:line="18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occurrence of unforeseen or catastrophic events, including the emergence of a pandemic, such as the Ebola or Zika viruses, COVID-19, or other widespread health emergency (or concerns over the possibility of such an emergency), terrorist attacks, extreme terrestrial or solar weather events or other natural disasters, could create economic and financial disruptions, and could lead to operational difficulties (including travel limitations) that could impair our ability to manage our businesses.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Historical Acquisitions</w:t>
      </w:r>
    </w:p>
    <w:p>
      <w:pPr>
        <w:spacing w:after="0" w:line="25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costs and significant indebtedness were incurred in connection with the consummation of our historical acquisitions and significant costs have been and will be incurred in connection with the integration of KCG and ITG into our business, including legal, accounting, financial advisory and other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expect to incur and have incurred significant costs in connection with integrating the operations, products and personnel of KCG and ITG into our business, in addition to costs related directly to completing the Acquisition of KCG and ITG Acquisition. These costs may include:</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redeployment, relocation or severance;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information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of corporate and administrative functions;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pending litigation or other proceedings related to the Acquisition of KCG and the ITG Acquisition.</w:t>
      </w:r>
    </w:p>
    <w:p>
      <w:pPr>
        <w:spacing w:after="0" w:line="23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costs related to our historical acquisitions could be higher than currently estimated, depending on how difficult it will be to integrate our business with that of KCG and ITG, and the expected cost reductions and synergies may not be achieved.</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we may incur additional of non-recurring costs associated with combining the operations of KCG and ITG with ours, which cannot be estimated accurately at this time. While we have incurred a significant amount of transaction fees and other costs related to the consummation of our historical acquisitions, additional unanticipated costs may be incurred. Any expected elimination of duplicative costs, as well as the expected realization of other cost reductions, efficiencies and synergies related to the integration of our operations with those of KCG and ITG, that may offset incremental transaction and transaction-related costs over time, may not be achieved as projected, or at all.</w:t>
      </w:r>
    </w:p>
    <w:p>
      <w:pPr>
        <w:spacing w:after="0" w:line="20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KCG's and ITG’s business into our business may divert management’s attention away from operations, and we may also encounter significant difficulties in integrating these businesses.</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of KCG and the ITG Acquisition involves the integration of multiple companies that have previously operated independently. The success of these acquisitions and their anticipated financial and operational benefits, including increased revenues, synergies and cost reductions, will depend in part on our ability to successfully combine and integrate KCG and ITG’s businesses into ours, and there can be no assurance regarding when or the extent to which we will be able to realize these increased revenues, synergies, cost reductions or other benefits. These benefits may not be achieved within the anticipated time frame, or at all.</w:t>
      </w:r>
    </w:p>
    <w:p>
      <w:pPr>
        <w:spacing w:after="0" w:line="21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Successful integration of KCG and ITG’s operations, products and personnel may place a significant burden on management and other internal resources. The diversion of management’s attention, and any difficulties encountered in the transition and integration process, could harm our business, prospects, results of operations, financial condition and/or cash flows.</w:t>
      </w:r>
    </w:p>
    <w:p>
      <w:pPr>
        <w:spacing w:after="0" w:line="203"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addition, the overall integration of the businesses may result in material unanticipated problems, expenses, liabilities, and competitive responses. The difficulties of combining the operations of the companies include, among others:</w:t>
      </w:r>
    </w:p>
    <w:p>
      <w:pPr>
        <w:spacing w:after="0" w:line="18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reductions, synergies, business opportunities and growth prospects from the combination;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and systems;</w:t>
      </w:r>
    </w:p>
    <w:p>
      <w:pPr>
        <w:spacing w:after="0" w:line="9" w:lineRule="exact"/>
        <w:rPr>
          <w:rFonts w:ascii="Times New Roman" w:cs="Times New Roman" w:eastAsia="Times New Roman" w:hAnsi="Times New Roman"/>
          <w:sz w:val="18"/>
          <w:szCs w:val="18"/>
          <w:color w:val="auto"/>
        </w:rPr>
      </w:pPr>
    </w:p>
    <w:p>
      <w:pPr>
        <w:ind w:left="660" w:righ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conforming standards, controls, procedures and accounting and other policies and compensation structures between the two companies;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employees and the integration of the companies’ different organizational 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 with increased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integrating the business culture of each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replacing numerous systems, including those involving management information, purchasing, accounting and finance, sales, billing, employee benefits, payroll, data privacy and security and regulatory compliance, many of which may be dissimilar.</w:t>
      </w:r>
    </w:p>
    <w:p>
      <w:pPr>
        <w:spacing w:after="0" w:line="2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factors could result in increased costs, decreases in the amount of expected revenues and diversion of management’s time and energy, which could materially impact our business, prospects, results of operations, financial condition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synergies, cost reductions and growth opportunities from our historical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firstLine="648"/>
        <w:spacing w:after="0" w:line="253" w:lineRule="auto"/>
        <w:rPr>
          <w:sz w:val="20"/>
          <w:szCs w:val="20"/>
          <w:color w:val="auto"/>
        </w:rPr>
      </w:pPr>
      <w:r>
        <w:rPr>
          <w:rFonts w:ascii="Times New Roman" w:cs="Times New Roman" w:eastAsia="Times New Roman" w:hAnsi="Times New Roman"/>
          <w:sz w:val="18"/>
          <w:szCs w:val="18"/>
          <w:color w:val="auto"/>
        </w:rPr>
        <w:t>The benefits that we expect to achieve as a result of the Acquisition of KCG and ITG Acquisition will depend, in part, on the ability of the combined company to realize anticipated growth opportunities, net cost reductions and synergies. Our success in realizing these growth opportunities, cost reductions and synergies, and the timing of this realization, depends on the successful integration of our historical business and operations and the historical business and operations of both KCG and ITG. Even if we are able to integrate these businesses and operations successfully, the integration may not result in the realization of the full benefits of the growth opportunities, cost reductions and synergies that we currently expect from this integration within the anticipated time frame or at all. For example, we may be unable to eliminate duplicative costs. Moreover, we may incur substantial expenses in connection with the integration of our business and KCG's and ITG’s businesses. While we anticipate that certain expenses will be incurred, such expenses are difficult to estimate accurately and may exceed current estimates. Accordingly, the benefits from our historical acquisitions may be offset by costs or delays incurred in integrating the businesses. The projected net cost reductions and synergies described in our press release and supplemental materials announcing each of the Acquisition of KCG and ITG Acquisition are based on a number of assumptions relating to our business, KCG's business and ITG’s business. Those assumptions may be inaccurate, and, as a result, our projected cost reductions and synergies may be inaccurate, and our business, prospects, results of operations, financial condition and/or cash flows could be materially and adversely affected.</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historical acquisitions, the Company will be subject to business uncertainties and potential liabilities that could materially and adversely affect our business.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Uncertainty about the effect of the Acquisition of KCG and ITG Acquisition on employees, customers and suppliers may have both a material and adverse effect on both the Company and ITG. These uncertainties may impair both the Company's ability to attract, retain and motivate key personnel for a period of time after the close of these acquisitions, and could cause customers, suppliers and others who deal with the Company to seek to change existing business relationships. If key employees depart because of issues related to the uncertainty and difficulty of integration or a desire not to remain with us after these acquisitions, or if customers, suppliers or others seek to change their dealings with us as a result of these acquisitions, our business could be materially and adversely impacted.</w:t>
      </w:r>
    </w:p>
    <w:p>
      <w:pPr>
        <w:spacing w:after="0" w:line="21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KCG and ITG Acquisition, we assumed potential liabilities, indemnification obligations, and other risks relating to KCG's and ITG’s business, including but not limited to those liabilities and risks arising from or related to pending, threatened or potential litigation or regulatory matters. For example, legacy KCG and ITG entities are currently the subject of various regulatory reviews and investigations by federal, state and foreign regulators and SROs, including the SEC and FINRA.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legal uncertainties could harm our business.</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congressional, regulatory and news media attention to U.S. equities market structure, the regulatory and enforcement environment has created uncertainty with respect to various types of transactions that historically had been entered into by financial services firms and that were generally believed to be permissible and appropriate. The retail trading environment in the U.S., relationships between broker-dealers and market making firms, short selling and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 characteristics that are also commonly associated with high frequency trading and we engage in direct-to-client market making services across multiple asset classes primarily to sell-side clients including global, national and regional broker-dealers and banks and in the context of our market making and trading activities, we are party to various remuneration and rebate arrangements, including payment for order flow, profit-sharing relationships, and exchange fee and rebate structures.</w:t>
      </w:r>
    </w:p>
    <w:p>
      <w:pPr>
        <w:spacing w:after="0" w:line="219"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7"/>
          <w:szCs w:val="17"/>
          <w:color w:val="auto"/>
        </w:rPr>
        <w:t>In addition, certain market participants, SROs, government officials and regulators have requested that the U.S. Congress, the SEC, and the CFTC propose and adopt additional laws and rules, including rules relating to additional registration requirements, restrictions on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location, order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SEC's Rule 613 in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220"/>
        <w:spacing w:after="0" w:line="261" w:lineRule="auto"/>
        <w:rPr>
          <w:sz w:val="20"/>
          <w:szCs w:val="20"/>
          <w:color w:val="auto"/>
        </w:rPr>
      </w:pPr>
      <w:r>
        <w:rPr>
          <w:rFonts w:ascii="Times New Roman" w:cs="Times New Roman" w:eastAsia="Times New Roman" w:hAnsi="Times New Roman"/>
          <w:sz w:val="18"/>
          <w:szCs w:val="18"/>
          <w:color w:val="auto"/>
        </w:rPr>
        <w:t>respect of consolidated audit trail imposes new reporting requirements and additional costs on U.S. broker-dealers. Regulators may propose other market structure changes, particularly considering the continued media, congressional and regulatory scrutiny of high frequency trading, alternative trading systems, market fragmentation, colocation, access to market data feeds, and remuneration arrangements such as payment for order flow, profit-sharing relationships, and exchange fee and rebate structures.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lmit, restrict or otherwise adversely affect our ability to interact with certain order flow, impose additional costs and expenses on our business or otherwise have a material adverse effect on our business, financial condition, results of operations and cash flows.</w:t>
      </w:r>
    </w:p>
    <w:p>
      <w:pPr>
        <w:spacing w:after="0" w:line="210"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MiFID II requires certain types of firms, including VFIL, to post firm quotes at competitive prices and supplements previous requirements with regard to investment firms’ risk controls related to the safe operation of electronic systems. MiFID II also imposes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 risk management requirements. The MiFID II regime is currently under review, with European Union authorities considering making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on February 17, 2020, a European Commission public consultation on the review of the MiFIDII/MiFIR regulatory framework and on December 18, 2020 an ESMA Consultation Paper entitled “MiFID II/MiFIR review report on Algorithmic Trading”.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23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we maintain borrowing facilities with banks, prime brokers and Futures Commission Merchants (“FCMs”), and we obtain uncommitted margin financing from our prime brokers and FCMs, which are in many cases affiliated with banks. In response to the 2008 financial crisis, the Basel Committee on Banking Supervision issued a new, more stringent capital and liquidity framework known as Basel III, which national banking regulators have been implementing in the various jurisdictions in which our lenders may be incorporated. In the E.U., on December 25, 2019, a Regulation on the prudential requirements for Investment Firms (“IFR”) and a Directive on the prudential supervision of investments firms (“IFD”) entered into force. The IFR and IFD introduce new prudential requirements for investment firms, classifying them into different categories depending on the firm’s asset size and types of activity. The main provisions of the IFR and IFD are due to apply from the end of June 2021. As these rules are implemented and in certain cases impose more stringent capital and liquidity 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192"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applicable laws or regulatory requirements could subject us to sanctions and could negatively impact our reputation, prospects, revenues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-210820</wp:posOffset>
            </wp:positionV>
            <wp:extent cx="3873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Mercantile Exchange, the Intercontinental Exchange, the CFTC, the NFA Exchanges and the various state securities regulators; in the European Union, the European Securities and Markets Authority (“ESMA”); in Ireland, the CBI; in Switzerland, the Swiss Financial Market Supervisory Authority; in France, the Autorité des Marchés Financiers (“AMF”); in the United Kingdom, the FCA; in Hong Kong, the SFC; in Australia, the ASIC; in Canada, the IIROC and various Canadian provincial securities commissions; in Singapore, the MAS and the Singapore Exchange; and in Japan, the Financial Services Agency and the Japan Securities Dealers Association. Our mode of operation and profitability may be directly affected by additional legislation and changes in rules promulgated by various domestic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160"/>
        <w:spacing w:after="0" w:line="255" w:lineRule="auto"/>
        <w:rPr>
          <w:sz w:val="20"/>
          <w:szCs w:val="20"/>
          <w:color w:val="auto"/>
        </w:rPr>
      </w:pPr>
      <w:r>
        <w:rPr>
          <w:rFonts w:ascii="Times New Roman" w:cs="Times New Roman" w:eastAsia="Times New Roman" w:hAnsi="Times New Roman"/>
          <w:sz w:val="18"/>
          <w:szCs w:val="18"/>
          <w:color w:val="auto"/>
        </w:rPr>
        <w:t>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216"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Domestic and foreign stock exchanges, other SROs and state and foreign securities commissions can censure, fine, impose undertakings, issue cease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desist orders and suspend or expel a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26"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allowable assets.</w:t>
      </w:r>
    </w:p>
    <w:p>
      <w:pPr>
        <w:spacing w:after="0" w:line="20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214"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litigation and potential securities law liability.</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 support for the proposal. As of December 31, 2020 such tax has not yet been implemented within the European Union although draft legislative proposals are currently under consideration. On October 15, 2020, the Spanish Government published Law 5/2020 on the Spanish Financial Transaction Tax (“Spanish FTT”). The Spanish FTT constitutes a new tax to be applied to acquisitions of equity shares in Spanish companies having a market capitalization greater than EUR1bn (as of 1st December the previous year), that are admitted to trading on a Spanish market or a market based in another E.U. member state. The Spanish FTT was applied to transactions from trade date of January 14, 2020, although it does contain certain exemptions, including in relation to market making activity.</w:t>
      </w: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2019 U.S. legislators, including U.S. Senators Kirsten Gillibrand and Brian Schatz, have announced proposals or plans that include a financial transaction fee. President Biden's win in the 2020 U.S. Presidential election and the Democratic majorities in Congress may lead to additional proposals or plans. At the state level, the state of New Jersey has considered a bill in the state legislature providing for a financial transaction tax on trades processed on any server located in New Jersey, with other states, including New York, discussing similar measures. Discussions in New York have included a proposed bill which would reestablish a stock transfer tax by repealing a rebate previously implemented and applied to such tax since 1981.</w:t>
      </w:r>
    </w:p>
    <w:p>
      <w:pPr>
        <w:spacing w:after="0" w:line="21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21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liability.</w:t>
      </w:r>
    </w:p>
    <w:p>
      <w:pPr>
        <w:spacing w:after="0" w:line="157" w:lineRule="exact"/>
        <w:rPr>
          <w:sz w:val="20"/>
          <w:szCs w:val="20"/>
          <w:color w:val="auto"/>
        </w:rPr>
      </w:pPr>
    </w:p>
    <w:p>
      <w:pPr>
        <w:ind w:right="60" w:firstLine="648"/>
        <w:spacing w:after="0" w:line="221" w:lineRule="exact"/>
        <w:rPr>
          <w:sz w:val="20"/>
          <w:szCs w:val="20"/>
          <w:color w:val="auto"/>
        </w:rPr>
      </w:pPr>
      <w:r>
        <w:rPr>
          <w:rFonts w:ascii="Times New Roman" w:cs="Times New Roman" w:eastAsia="Times New Roman" w:hAnsi="Times New Roman"/>
          <w:sz w:val="18"/>
          <w:szCs w:val="18"/>
          <w:color w:val="auto"/>
        </w:rPr>
        <w:t>We are exposed to risks and uncertainties inherent in doing business in international markets, particularly in the heavily regulated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ind w:right="180"/>
        <w:spacing w:after="0" w:line="266" w:lineRule="auto"/>
        <w:rPr>
          <w:sz w:val="20"/>
          <w:szCs w:val="20"/>
          <w:color w:val="auto"/>
        </w:rPr>
      </w:pPr>
      <w:r>
        <w:rPr>
          <w:rFonts w:ascii="Times New Roman" w:cs="Times New Roman" w:eastAsia="Times New Roman" w:hAnsi="Times New Roman"/>
          <w:sz w:val="18"/>
          <w:szCs w:val="18"/>
          <w:color w:val="auto"/>
        </w:rPr>
        <w:t>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20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may negatively impact the global economy, financial markets and our business.</w:t>
      </w:r>
    </w:p>
    <w:p>
      <w:pPr>
        <w:spacing w:after="0" w:line="256"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such period ending on March 29, 2019 unless extended. Following extensions to that period, a Withdrawal Agreement and Political Declaration were reached between the U.K. and the E.U. On January 23, 2020, the European Union (Withdrawal Agreement) Act 2020 received Royal Assent in the U.K., and on January 31, 2020 the U.K. left the E.U. Pursuant to the terms of the Withdrawal Agreement. The U.K. and E.U. then entered into a transition period during which rules on trade, travel, and business for the U.K. and E.U. continued to apply. The transition period came to an end as of January 1, 2021, at which point U.K. investment firms which had previously used passporting permissions under MiFID II to provide services to clients in the E.U., ceased to subject to the E.U.'s MiFID II regime. Virtu accesses the E.U. markets primarily through our Irish regulated subsidiaries via MiFID II passporting permissions and accesses the U.K. market primarily via a combination of U.K. based subsidiaries and branch offices. The U.K. branch offices currently utilize the U.K. FCA’s temporary permission regime and may continue to do so in the future. The U.K. subsidiary is an investment firm authorized and regulated by the FCA with permission to operate a U.K. MTF. Poor future relations between the U.K. and E.U., however, could adversely affect European or worldwide political, fiscal, regulatory, economic or market conditions and could contribute to instability in global political institutions, regulatory agencies and financial markets. Disruptions and uncertainty caused by these events may also cause our clients to closely monitor their costs and reduce their spending budget on our services. Any of these effects of the U.K.’s departure from the E.U., and others we cannot anticipate or that may evolve over time, could adversely affect our business,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5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principal asset is our 64.1% of equity interest in Virtu Financial, and we are accordingly dependent upon distributions from Virtu Financial to pay dividends, if any, taxes and other expenses.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principal asset is our direct and indirect ownership of 64.1% of the Virtu Financial Units as of December 31, 2020. We have no independent means of generating revenue. As the sole managing member of Virtu Financial, we cause Virtu Financial to make distributions to its equityholders,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First Lien Term Loan Facility (as defined below). In addition, certain laws and regulations may result in restrictions on Virtu Financial’s ability to make distributions to its equityholders (including us), or the ability of its subsidiaries to make distributions to it. These include:</w:t>
      </w:r>
    </w:p>
    <w:p>
      <w:pPr>
        <w:spacing w:after="0" w:line="187" w:lineRule="exact"/>
        <w:rPr>
          <w:sz w:val="20"/>
          <w:szCs w:val="20"/>
          <w:color w:val="auto"/>
        </w:rPr>
      </w:pPr>
    </w:p>
    <w:p>
      <w:pPr>
        <w:ind w:left="980" w:right="180" w:hanging="324"/>
        <w:spacing w:after="0" w:line="239" w:lineRule="exact"/>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Uniform Net Capital Rule (Rule 15c3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which requires Virtu Financial’s registered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subsidiary to maintain specified levels of net capital;</w:t>
      </w:r>
    </w:p>
    <w:p>
      <w:pPr>
        <w:spacing w:after="0" w:line="1" w:lineRule="exact"/>
        <w:rPr>
          <w:rFonts w:ascii="Times New Roman" w:cs="Times New Roman" w:eastAsia="Times New Roman" w:hAnsi="Times New Roman"/>
          <w:sz w:val="18"/>
          <w:szCs w:val="18"/>
          <w:color w:val="auto"/>
        </w:rPr>
      </w:pPr>
    </w:p>
    <w:p>
      <w:pPr>
        <w:ind w:left="980" w:hanging="324"/>
        <w:spacing w:after="0" w:line="217" w:lineRule="exact"/>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Rule 4110, which imposes a requirement of prior FINRA approval for any distribution by Virtu Financial’s FINRA member registered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subsidiary in excess of 10% of its excess net capital; and</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prior approval from the CBI before Virtu Financial’s regulated Irish subsidiary completes any distribution or dividend.</w:t>
      </w:r>
    </w:p>
    <w:p>
      <w:pPr>
        <w:spacing w:after="0" w:line="23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Under the Third Amended and Restated Limited Liability Company Agreement of Virtu Financial (as amended, the “Amended and Restated Virtu Financial LLC Agreement”), Virtu Financial from time to time makes pro rata distributions in cash to its equityholders, including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As a result of (i) potential differences in the amount of net taxable income allocable to us and to Virtu Financial’s other equityholders, (ii) the lower tax rate applicable to corporations than individuals and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we expect that these tax distributions will be in amounts that exceed our tax liabilities.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w:t>
      </w:r>
    </w:p>
    <w:p>
      <w:pPr>
        <w:spacing w:after="0" w:line="186" w:lineRule="exact"/>
        <w:rPr>
          <w:sz w:val="20"/>
          <w:szCs w:val="20"/>
          <w:color w:val="auto"/>
        </w:rPr>
      </w:pPr>
    </w:p>
    <w:p>
      <w:pPr>
        <w:ind w:right="40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are controlled by the Founder 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IPO Member, whose interests in our business may be different than yours, and certain statutory provisions afforded to stockholders are not applicable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-210820</wp:posOffset>
            </wp:positionV>
            <wp:extent cx="3873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77" w:lineRule="exact"/>
        <w:rPr>
          <w:sz w:val="20"/>
          <w:szCs w:val="20"/>
          <w:color w:val="auto"/>
        </w:rPr>
      </w:pPr>
    </w:p>
    <w:p>
      <w:pPr>
        <w:ind w:right="100" w:firstLine="648"/>
        <w:spacing w:after="0" w:line="232" w:lineRule="exact"/>
        <w:rPr>
          <w:sz w:val="20"/>
          <w:szCs w:val="20"/>
          <w:color w:val="auto"/>
        </w:rPr>
      </w:pPr>
      <w:r>
        <w:rPr>
          <w:rFonts w:ascii="Times New Roman" w:cs="Times New Roman" w:eastAsia="Times New Roman" w:hAnsi="Times New Roman"/>
          <w:sz w:val="18"/>
          <w:szCs w:val="18"/>
          <w:color w:val="auto"/>
        </w:rPr>
        <w:t>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controls approximately 81.9% of the combined voting power of our common stock as a result of its ownership of our Class C and Class D Common Stock, each share of which is entitled to 1 vote and 10 votes, respectively, on all matters submitted to a vote of our stockholders.</w:t>
      </w:r>
    </w:p>
    <w:p>
      <w:pPr>
        <w:spacing w:after="0" w:line="198" w:lineRule="exact"/>
        <w:rPr>
          <w:sz w:val="20"/>
          <w:szCs w:val="20"/>
          <w:color w:val="auto"/>
        </w:rPr>
      </w:pPr>
    </w:p>
    <w:p>
      <w:pPr>
        <w:ind w:firstLine="648"/>
        <w:spacing w:after="0" w:line="225" w:lineRule="exact"/>
        <w:rPr>
          <w:sz w:val="20"/>
          <w:szCs w:val="20"/>
          <w:color w:val="auto"/>
        </w:rPr>
      </w:pPr>
      <w:r>
        <w:rPr>
          <w:rFonts w:ascii="Times New Roman" w:cs="Times New Roman" w:eastAsia="Times New Roman" w:hAnsi="Times New Roman"/>
          <w:sz w:val="18"/>
          <w:szCs w:val="18"/>
          <w:color w:val="auto"/>
        </w:rPr>
        <w:t>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even if such events are in the best interests of minority stockholders. This concentration of voting power with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is able to control our Company as long as it owns at least 25% of our issued and outstanding common Stock.</w:t>
      </w:r>
    </w:p>
    <w:p>
      <w:pPr>
        <w:spacing w:after="0" w:line="206"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 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for our stockholders unless the transaction is also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market price.</w:t>
      </w:r>
    </w:p>
    <w:p>
      <w:pPr>
        <w:spacing w:after="0" w:line="20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have opted out of Section 203 of the General Corporation Law of the State of Delaware (the “Delaware General Corporation Law”), which prohibits a publicly held Delaware corporation from engaging in a business combination transaction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3" w:name="page34"/>
    <w:bookmarkEnd w:id="33"/>
    <w:p>
      <w:pPr>
        <w:ind w:right="100"/>
        <w:spacing w:after="0" w:line="220" w:lineRule="exact"/>
        <w:rPr>
          <w:sz w:val="20"/>
          <w:szCs w:val="20"/>
          <w:color w:val="auto"/>
        </w:rPr>
      </w:pPr>
      <w:r>
        <w:rPr>
          <w:rFonts w:ascii="Times New Roman" w:cs="Times New Roman" w:eastAsia="Times New Roman" w:hAnsi="Times New Roman"/>
          <w:sz w:val="18"/>
          <w:szCs w:val="18"/>
          <w:color w:val="auto"/>
        </w:rPr>
        <w:t>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27"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7"/>
          <w:szCs w:val="17"/>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w:t>
      </w:r>
    </w:p>
    <w:p>
      <w:pPr>
        <w:spacing w:after="0" w:line="5"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are not subject to any such restriction. To the extent that the Founder Post-IPO Member, Mr. Viola, Temasek,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22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remain in compliance with the covenants contained in our Credit Agreement and our obligation to comply with these covenants may adversely affect our ability to operate our business.</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covenants in our Credit Agreement may negatively impact our ability to finance future operations or capital needs or to engage in other business activities. Our Credit Agreement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2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57"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The Founder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 controls more than 50% of our combined voting power. As a result, we are considered a “controlled company” for purposes of the NASDAQ rules and corporate governance standards, and therefore we are permitted and may elect not to or may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19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are required to pay the Virtu 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IPO Members and the Investor 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IPO Stockholders for certain tax benefits we may claim, and the amounts we may pay could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-210820</wp:posOffset>
            </wp:positionV>
            <wp:extent cx="3873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-210820</wp:posOffset>
            </wp:positionV>
            <wp:extent cx="3873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ind w:right="40"/>
        <w:spacing w:after="0" w:line="254" w:lineRule="auto"/>
        <w:rPr>
          <w:sz w:val="20"/>
          <w:szCs w:val="20"/>
          <w:color w:val="auto"/>
        </w:rPr>
      </w:pPr>
      <w:r>
        <w:rPr>
          <w:rFonts w:ascii="Times New Roman" w:cs="Times New Roman" w:eastAsia="Times New Roman" w:hAnsi="Times New Roman"/>
          <w:sz w:val="18"/>
          <w:szCs w:val="18"/>
          <w:color w:val="auto"/>
        </w:rPr>
        <w:t>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21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w:t>
      </w:r>
    </w:p>
    <w:p>
      <w:pPr>
        <w:spacing w:after="0" w:line="1" w:lineRule="exact"/>
        <w:rPr>
          <w:sz w:val="20"/>
          <w:szCs w:val="20"/>
          <w:color w:val="auto"/>
        </w:rPr>
      </w:pPr>
    </w:p>
    <w:p>
      <w:pPr>
        <w:ind w:right="400" w:firstLine="8"/>
        <w:spacing w:after="0" w:line="260"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208" w:lineRule="exact"/>
        <w:rPr>
          <w:sz w:val="20"/>
          <w:szCs w:val="20"/>
          <w:color w:val="auto"/>
        </w:rPr>
      </w:pPr>
    </w:p>
    <w:p>
      <w:pPr>
        <w:ind w:right="320" w:firstLine="648"/>
        <w:spacing w:after="0" w:line="220" w:lineRule="exact"/>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227"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 approximately $0.9 million to $21.7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or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continued ownership of us.</w:t>
      </w:r>
    </w:p>
    <w:p>
      <w:pPr>
        <w:spacing w:after="0" w:line="208" w:lineRule="exact"/>
        <w:rPr>
          <w:sz w:val="20"/>
          <w:szCs w:val="20"/>
          <w:color w:val="auto"/>
        </w:rPr>
      </w:pPr>
    </w:p>
    <w:p>
      <w:pPr>
        <w:ind w:right="80" w:firstLine="648"/>
        <w:spacing w:after="0" w:line="219" w:lineRule="exact"/>
        <w:rPr>
          <w:sz w:val="20"/>
          <w:szCs w:val="20"/>
          <w:color w:val="auto"/>
        </w:rPr>
      </w:pPr>
      <w:r>
        <w:rPr>
          <w:rFonts w:ascii="Times New Roman" w:cs="Times New Roman" w:eastAsia="Times New Roman" w:hAnsi="Times New Roman"/>
          <w:sz w:val="18"/>
          <w:szCs w:val="18"/>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under the tax receivable agreements that are greater than our actual cash tax savings and may not be able to recoup those payments, which could negatively impact our liquidity.</w:t>
      </w:r>
    </w:p>
    <w:p>
      <w:pPr>
        <w:spacing w:after="0" w:line="22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ind w:right="340"/>
        <w:spacing w:after="0" w:line="266" w:lineRule="auto"/>
        <w:rPr>
          <w:sz w:val="20"/>
          <w:szCs w:val="20"/>
          <w:color w:val="auto"/>
        </w:rPr>
      </w:pPr>
      <w:r>
        <w:rPr>
          <w:rFonts w:ascii="Times New Roman" w:cs="Times New Roman" w:eastAsia="Times New Roman" w:hAnsi="Times New Roman"/>
          <w:sz w:val="18"/>
          <w:szCs w:val="18"/>
          <w:color w:val="auto"/>
        </w:rPr>
        <w:t>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74"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In addition, the tax receivable agreements provide that in the case of a change in control of the Company,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Members and the Investor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232"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in the public market could cause our stock price to fall.</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2020, we had 122,012,180 shares of Class A Common Stock outstanding, excluding 6,539,431 shares of Class A Common Stock issuable pursuant to the Amended and Restated 2015 Management Incentive Plan (as defined below) and 70,318,679 shares of Class A Common Stock issuable upon potential exchanges and/or conversions. Of these shares, the 89,236,636 shares sold in the IPO and the Secondary Offerings are freely tradable without further restriction under the Securities Act. The remaining 106,887,307 shares of Class A Common Stock outstanding as of December 31, 2020 (including shares issuable upon exchange and/or conversion) are “restricted securities,” as that term is defined under Rule 144 of the Securities Act. The holders of these remaining 106,887,307 shares of our Class A Common Stock, including shares issuable upon exchange or conversion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21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under the Securities Act registering 21,000,000 shares of our Class A Common Stock reserved for issuance under our Amended and Restated 2015 Management Incentive Plan, 6,539,431 of which are issuable, and we entered into the Registration Rights Agreement (as defined below) pursuant to which we granted demand and piggyback registration rights to the Founder Post-IPO Member, Temasek, the North Island Stockholder and piggyback registration rights to certain of the other Virtu Post-IPO Members.</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8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Effective December 31, 2018, we are no longer an “emerging growth company”, and therefore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right="80"/>
        <w:spacing w:after="0" w:line="256" w:lineRule="auto"/>
        <w:rPr>
          <w:sz w:val="20"/>
          <w:szCs w:val="20"/>
          <w:color w:val="auto"/>
        </w:rPr>
      </w:pPr>
      <w:r>
        <w:rPr>
          <w:rFonts w:ascii="Times New Roman" w:cs="Times New Roman" w:eastAsia="Times New Roman" w:hAnsi="Times New Roman"/>
          <w:sz w:val="18"/>
          <w:szCs w:val="18"/>
          <w:color w:val="auto"/>
        </w:rPr>
        <w:t>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21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86"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Employee Trust, Virtu Employee Holdco and us, to fund our dividends. When Virtu Financial makes such distributions, the other equityholders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Failure to comply with applicable regulatory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20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certain rules imposed by regulatory authorities may delay or prevent our acquisition by a third party.</w:t>
      </w:r>
    </w:p>
    <w:p>
      <w:pPr>
        <w:spacing w:after="0" w:line="2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210"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 vote per share feature of our Class B Common Stock and Class D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and the election of each class for three-year terms;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ability of the Board of Directors to fill a vacancy created by the expansion of the Board of Directors;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9"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Triggering Event, provisions limiting stockholders' ability to call special meetings of stockholders, to require special meetings of stockholders to be called and to take action by written consent;</w:t>
      </w:r>
    </w:p>
    <w:p>
      <w:pPr>
        <w:ind w:left="980" w:right="42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1" w:lineRule="exact"/>
        <w:rPr>
          <w:rFonts w:ascii="Times New Roman" w:cs="Times New Roman" w:eastAsia="Times New Roman" w:hAnsi="Times New Roman"/>
          <w:sz w:val="18"/>
          <w:szCs w:val="18"/>
          <w:color w:val="auto"/>
        </w:rPr>
      </w:pPr>
    </w:p>
    <w:p>
      <w:pPr>
        <w:ind w:left="980" w:right="480" w:hanging="324"/>
        <w:spacing w:after="0" w:line="26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Triggering Event, the required approval of holders of at least 75% of the shares entitled to vote at an election of the directors to remove directors, which removal may only be for cause; and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left="980" w:right="340" w:hanging="324"/>
        <w:spacing w:after="0" w:line="26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20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 Rule 1017 generally provides that FINRA approval must be obtained in connection with any transaction resulting in a single person or entity owning, directly or indirectly, 25% or more of a member firm’s equity and would include a change in control of a parent company. Similarly, VFIL, VIEL and VIUK are subject to change in control regulations promulgated by the CBI and/or the FCA.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levels of legal, accounting and other expenses.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could decline as a result of inaccurate or unfavorable research, or the cessation of research cover, about our business published by securities or industry analysts.</w:t>
      </w:r>
    </w:p>
    <w:p>
      <w:pPr>
        <w:spacing w:after="0" w:line="18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depend on management’s selection of accounting methods and certain assumptions and estimates.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policies and assumptions are fundamental to our reported financial condition, and results of operations and cash flows. Our management must exercise judgment in selecting and applying many of these accounting policies and methods to comply with generally accepted accounting principles and reflect management’s judgment of the most appropriate manner to report our financial condition, results of operations and cash flows. In some cases, management must select the accounting policy or method to apply from multiple alternatives, any of which may be reasonable under the circumstances, yet each may result in the reporting of materially different results than would have been reported under a different alternative.</w:t>
      </w:r>
    </w:p>
    <w:p>
      <w:pPr>
        <w:spacing w:after="0" w:line="210"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Certain accounting policies are critical to presenting our reported financial condition and results. They require management to make difficult, subjective or complex judgments about matters that are uncertain. Materially different amounts could be reported under different conditions or using different assumptions or estimates. If such estimates or assumptions underlying our financial statements are incorrect, we may experience material losses.</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Additionally, from time to time, the Financial Accounting Standards Board and the SEC change the financial accounting and reporting standards or the interpretation of those standards that govern the preparation of our financial statements. These changes are beyond our control, can be difficult to predict and could materially impact how we report our financial condition, results of operations and cash flows. Changes in these standards are continuously occurring, and given the current economic environment, more drastic changes may occur. The implementation of such changes could have a material adverse effect on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headquarters are located in leased office space at One Liberty Plaza, 165 Broadway, New York, NY 10006. We also lease space for our offices in the U.S., Canada, Europe, Asia and Australia. We are in the process of terminating or subleasing office space that we no longer need, subsequent to the consolidations in staff and technology following the Acquisition of KCG and ITG Acquisition.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in the “Legal Proceedings” section in Note 16 "Commitments, Contingencies and Guarantees" to the Company’s consolidated financial statements included in Part II Item 8 “Financial Statements and Supplementary Data”, which is incorporated by reference herein.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9019"/>
          </w:cols>
          <w:pgMar w:left="1440" w:top="8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type w:val="continuous"/>
        </w:sectPr>
      </w:pPr>
    </w:p>
    <w:bookmarkStart w:id="42" w:name="page43"/>
    <w:bookmarkEnd w:id="42"/>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Class A Common Stock trade on NASDAQ under the ticker symbol “VIRT”. There is no established public trading market for Class B Common Stock, Class C Common Stock or Class 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Based on information made available to us by the transfer agent, as of February 19, 2020, there are thirty-six stockholders of record of our Class A Common Stock, one of which was Cede &amp; Co., a nominee for The Depository Trust Company, zero stockholders of record of our Class B Common Stock, six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Capital Return Policy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policy of returning excess cash to our stockholders. The Board of Directors declared and we paid quarterly cash dividends of $0.24 during the years ended December 31, 2020, 2019 and 2018. The Company intends to continue paying regular quarterly dividends to holders of our Class A Common Stock and Class B Common Stock and to holders of RSUs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20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stock performance graph below compares the performance of an investment in our Class A Common Stock, from December 31, 2015 through December 31, 2020, with the S&amp;P 500 Index and the NYSE ARCA Securities Broker/Dealer Index. The graph assumes $100 was invested in our Class A Common Stock, the S&amp;P 500 Index and the NYSE Arca Securities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43" w:name="page44"/>
    <w:bookmarkEnd w:id="43"/>
    <w:p>
      <w:pPr>
        <w:ind w:right="240"/>
        <w:spacing w:after="0" w:line="282" w:lineRule="auto"/>
        <w:rPr>
          <w:sz w:val="20"/>
          <w:szCs w:val="20"/>
          <w:color w:val="auto"/>
        </w:rPr>
      </w:pPr>
      <w:r>
        <w:rPr>
          <w:rFonts w:ascii="Times New Roman" w:cs="Times New Roman" w:eastAsia="Times New Roman" w:hAnsi="Times New Roman"/>
          <w:sz w:val="18"/>
          <w:szCs w:val="18"/>
          <w:color w:val="auto"/>
        </w:rPr>
        <w:t>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285750</wp:posOffset>
            </wp:positionV>
            <wp:extent cx="5846445" cy="4114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64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12/31/2015</w:t>
            </w:r>
          </w:p>
        </w:tc>
        <w:tc>
          <w:tcPr>
            <w:tcW w:w="12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6/30/2016</w:t>
            </w:r>
          </w:p>
        </w:tc>
        <w:tc>
          <w:tcPr>
            <w:tcW w:w="1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12/30/2016</w:t>
            </w: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6/30/2017</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12/29/2017</w:t>
            </w: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6/29/2018</w:t>
            </w:r>
          </w:p>
        </w:tc>
        <w:tc>
          <w:tcPr>
            <w:tcW w:w="12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12/31/2018</w:t>
            </w: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6/28/2019</w:t>
            </w:r>
          </w:p>
        </w:tc>
        <w:tc>
          <w:tcPr>
            <w:tcW w:w="1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12/31/2019</w:t>
            </w:r>
          </w:p>
        </w:tc>
        <w:tc>
          <w:tcPr>
            <w:tcW w:w="10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06/30/2020</w:t>
            </w:r>
          </w:p>
        </w:tc>
        <w:tc>
          <w:tcPr>
            <w:tcW w:w="12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12/31/2020</w:t>
            </w:r>
          </w:p>
        </w:tc>
        <w:tc>
          <w:tcPr>
            <w:tcW w:w="0" w:type="dxa"/>
            <w:vAlign w:val="bottom"/>
          </w:tcPr>
          <w:p>
            <w:pPr>
              <w:spacing w:after="0"/>
              <w:rPr>
                <w:sz w:val="1"/>
                <w:szCs w:val="1"/>
                <w:color w:val="auto"/>
              </w:rPr>
            </w:pPr>
          </w:p>
        </w:tc>
      </w:tr>
      <w:tr>
        <w:trPr>
          <w:trHeight w:val="175"/>
        </w:trPr>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Virtu Financial Inc.</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81.50</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74.58</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84.93</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90.63</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132.28</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114.12</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86.16</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130.17</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141.67</w:t>
            </w:r>
          </w:p>
        </w:tc>
        <w:tc>
          <w:tcPr>
            <w:tcW w:w="0" w:type="dxa"/>
            <w:vAlign w:val="bottom"/>
          </w:tcPr>
          <w:p>
            <w:pPr>
              <w:spacing w:after="0"/>
              <w:rPr>
                <w:sz w:val="1"/>
                <w:szCs w:val="1"/>
                <w:color w:val="auto"/>
              </w:rPr>
            </w:pPr>
          </w:p>
        </w:tc>
      </w:tr>
      <w:tr>
        <w:trPr>
          <w:trHeight w:val="1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102.69</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118.57</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151.68</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183.77</w:t>
            </w:r>
          </w:p>
        </w:tc>
        <w:tc>
          <w:tcPr>
            <w:tcW w:w="0" w:type="dxa"/>
            <w:vAlign w:val="bottom"/>
          </w:tcPr>
          <w:p>
            <w:pPr>
              <w:spacing w:after="0"/>
              <w:rPr>
                <w:sz w:val="1"/>
                <w:szCs w:val="1"/>
                <w:color w:val="auto"/>
              </w:rPr>
            </w:pPr>
          </w:p>
        </w:tc>
      </w:tr>
      <w:tr>
        <w:trPr>
          <w:trHeight w:val="127"/>
        </w:trPr>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NYSE Arca</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Securities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84.46</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115.27</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126.57</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148.94</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152.98</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133.27</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150.02</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163.05</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152.65</w:t>
            </w: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212.02</w:t>
            </w:r>
          </w:p>
        </w:tc>
        <w:tc>
          <w:tcPr>
            <w:tcW w:w="0" w:type="dxa"/>
            <w:vAlign w:val="bottom"/>
          </w:tcPr>
          <w:p>
            <w:pPr>
              <w:spacing w:after="0"/>
              <w:rPr>
                <w:sz w:val="1"/>
                <w:szCs w:val="1"/>
                <w:color w:val="auto"/>
              </w:rPr>
            </w:pPr>
          </w:p>
        </w:tc>
      </w:tr>
      <w:tr>
        <w:trPr>
          <w:trHeight w:val="175"/>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Broker/Dealer</w:t>
            </w: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Common Units Repurchases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2018, the Company's Board of Directors authorized a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From the inception of the program in February 2018 to the expiration of the program on September 30, 2019, the Company repurchased approximately 2.6 million shares of Class A Common Stock and Virtu Financial Units for approximately $65.9 million.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firstLine="648"/>
        <w:spacing w:after="0" w:line="254" w:lineRule="auto"/>
        <w:rPr>
          <w:sz w:val="20"/>
          <w:szCs w:val="20"/>
          <w:color w:val="auto"/>
        </w:rPr>
      </w:pPr>
      <w:r>
        <w:rPr>
          <w:rFonts w:ascii="Times New Roman" w:cs="Times New Roman" w:eastAsia="Times New Roman" w:hAnsi="Times New Roman"/>
          <w:sz w:val="18"/>
          <w:szCs w:val="18"/>
          <w:color w:val="auto"/>
        </w:rPr>
        <w:t>On November 6, 2020, the Company's Board of Directors authorized a new share repurchase program of up to $100.0 million in Class A common stock and Virtu Financial Units by December 31, 2021.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From the inception of the program through December 31, 2020, the Company has repurchased approximately 1.4 million shares of Class A Common Stock and Virtu Financial Units for approximately $33.9 million. The Company has approximately $66.1 million of remaining capacity for future purchases of shares of Class A Common Stock and Virtu Financial Units under the program.</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Company’s purchases of its Class A Common Stock and Class C Common Stock during the three months ended December 31, 2020:</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3"/>
                <w:szCs w:val="13"/>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8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360" w:type="dxa"/>
            <w:vAlign w:val="bottom"/>
            <w:gridSpan w:val="3"/>
            <w:vMerge w:val="continue"/>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434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8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8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2020 - October 31, 2020</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22,166</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20" w:type="dxa"/>
            <w:vAlign w:val="bottom"/>
          </w:tcPr>
          <w:p>
            <w:pPr>
              <w:spacing w:after="0"/>
              <w:rPr>
                <w:sz w:val="16"/>
                <w:szCs w:val="16"/>
                <w:color w:val="auto"/>
              </w:rPr>
            </w:pP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2020 - November 30, 2020</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383,563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378,256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2020 - December 31, 2020</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1,058,070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C Common Stock/ Virtu Financial Units repurchases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1,573,144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1,436,326</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66,081,593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right="80" w:hanging="4"/>
        <w:spacing w:after="0" w:line="282" w:lineRule="auto"/>
        <w:tabs>
          <w:tab w:leader="none" w:pos="86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136,818 shares from employees in order to satisfy statutory tax withholding requirements upon the net settlement of equity awards for the three months ended December 31, 2020</w:t>
      </w:r>
    </w:p>
    <w:p>
      <w:pPr>
        <w:spacing w:after="0" w:line="16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pursuant to the Exchange Agreement, certain current and former employees elected to exchange 2,660,239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ind w:right="8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about shares of common stock available for future awards under all of the Company’s equity compensation plans as of December 31, 2020:</w:t>
      </w:r>
    </w:p>
    <w:tbl>
      <w:tblPr>
        <w:tblLayout w:type="fixed"/>
        <w:tblInd w:w="740" w:type="dxa"/>
        <w:tblCellMar>
          <w:top w:w="0" w:type="dxa"/>
          <w:left w:w="0" w:type="dxa"/>
          <w:bottom w:w="0" w:type="dxa"/>
          <w:right w:w="0" w:type="dxa"/>
        </w:tblCellMar>
      </w:tblPr>
      <w:tr>
        <w:trPr>
          <w:trHeight w:val="147"/>
        </w:trPr>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24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0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first column)</w:t>
            </w:r>
          </w:p>
        </w:tc>
        <w:tc>
          <w:tcPr>
            <w:tcW w:w="0" w:type="dxa"/>
            <w:vAlign w:val="bottom"/>
          </w:tcPr>
          <w:p>
            <w:pPr>
              <w:spacing w:after="0"/>
              <w:rPr>
                <w:sz w:val="1"/>
                <w:szCs w:val="1"/>
                <w:color w:val="auto"/>
              </w:rPr>
            </w:pPr>
          </w:p>
        </w:tc>
      </w:tr>
      <w:tr>
        <w:trPr>
          <w:trHeight w:val="129"/>
        </w:trPr>
        <w:tc>
          <w:tcPr>
            <w:tcW w:w="24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Equity compensation plans approved</w:t>
            </w:r>
          </w:p>
        </w:tc>
        <w:tc>
          <w:tcPr>
            <w:tcW w:w="23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Amended and Restated 2015</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6,539,431</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by security holders</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Incentive Plan</w:t>
            </w:r>
          </w:p>
        </w:tc>
        <w:tc>
          <w:tcPr>
            <w:tcW w:w="1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1"/>
                <w:szCs w:val="11"/>
                <w:color w:val="auto"/>
              </w:rPr>
            </w:pPr>
          </w:p>
        </w:tc>
        <w:tc>
          <w:tcPr>
            <w:tcW w:w="1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approved by security holders</w:t>
            </w:r>
          </w:p>
        </w:tc>
        <w:tc>
          <w:tcPr>
            <w:tcW w:w="2420" w:type="dxa"/>
            <w:vAlign w:val="bottom"/>
            <w:tcBorders>
              <w:bottom w:val="single" w:sz="8" w:color="CCEEFF"/>
            </w:tcBorders>
            <w:gridSpan w:val="2"/>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5,324,152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6,539,431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covers the years ended December 31, 2020, 2019 and 2018 and should be read in conjunction with the audited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88" w:lineRule="exact"/>
        <w:rPr>
          <w:sz w:val="20"/>
          <w:szCs w:val="20"/>
          <w:color w:val="auto"/>
        </w:rPr>
      </w:pPr>
    </w:p>
    <w:p>
      <w:pPr>
        <w:ind w:left="980" w:hanging="162"/>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1"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levels of overall trading activity;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trading counterparties and clearing houses performing their obligations to us;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customized trading platform;</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to the electronic market making business and trading generally;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market making activities and execution services;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continued access to sources of liquidity;</w:t>
      </w:r>
    </w:p>
    <w:p>
      <w:pPr>
        <w:spacing w:after="0" w:line="117" w:lineRule="exact"/>
        <w:rPr>
          <w:rFonts w:ascii="Times New Roman" w:cs="Times New Roman" w:eastAsia="Times New Roman" w:hAnsi="Times New Roman"/>
          <w:sz w:val="18"/>
          <w:szCs w:val="18"/>
          <w:color w:val="auto"/>
        </w:rPr>
      </w:pPr>
    </w:p>
    <w:p>
      <w:pPr>
        <w:ind w:left="980" w:right="620" w:hanging="162"/>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self-clearing and other operational elements of our business, including but limited to risks related to funding and liquidity;</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applicable regulatory capital requirements;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legal and regulatory-based liabilities;</w:t>
      </w:r>
    </w:p>
    <w:p>
      <w:pPr>
        <w:spacing w:after="0" w:line="117" w:lineRule="exact"/>
        <w:rPr>
          <w:rFonts w:ascii="Times New Roman" w:cs="Times New Roman" w:eastAsia="Times New Roman" w:hAnsi="Times New Roman"/>
          <w:sz w:val="18"/>
          <w:szCs w:val="18"/>
          <w:color w:val="auto"/>
        </w:rPr>
      </w:pPr>
    </w:p>
    <w:p>
      <w:pPr>
        <w:jc w:val="both"/>
        <w:ind w:left="980" w:right="40" w:hanging="162"/>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laws and regulations applicable to our operations in the U.S. and abroad;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media and regulatory scrutiny and its impact upon public perception of us or of companies in our industry;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maintain and continue developing proprietary technologies;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7" w:name="page48"/>
    <w:bookmarkEnd w:id="47"/>
    <w:p>
      <w:pPr>
        <w:ind w:left="980" w:right="60" w:hanging="162"/>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of KCG and ITG Acquisition (as defined below) on ongoing business operations generally, including our ability to achieve cost-saving synergies related to these historical acquisitions, and the assumption of potential liabilities and risks relating to these historical acquisitions, and the significant costs and significant indebtedness that we have incurred in connection therewith;</w:t>
      </w:r>
    </w:p>
    <w:p>
      <w:pPr>
        <w:spacing w:after="0" w:line="6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failures, and delays;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infrastructure or systems;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 source software;</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in our proprietary technology;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confidential and proprietary information;</w:t>
      </w:r>
    </w:p>
    <w:p>
      <w:pPr>
        <w:spacing w:after="0" w:line="117" w:lineRule="exact"/>
        <w:rPr>
          <w:rFonts w:ascii="Times New Roman" w:cs="Times New Roman" w:eastAsia="Times New Roman" w:hAnsi="Times New Roman"/>
          <w:sz w:val="18"/>
          <w:szCs w:val="18"/>
          <w:color w:val="auto"/>
        </w:rPr>
      </w:pPr>
    </w:p>
    <w:p>
      <w:pPr>
        <w:ind w:left="980" w:right="800" w:hanging="162"/>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systems from internal or external cyber threats that could result in damage to our computer systems, business interruption, loss of data or other consequences;</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 and expansion, including failed acquisitions or dispositions;</w:t>
      </w:r>
    </w:p>
    <w:p>
      <w:pPr>
        <w:spacing w:after="0" w:line="117" w:lineRule="exact"/>
        <w:rPr>
          <w:rFonts w:ascii="Times New Roman" w:cs="Times New Roman" w:eastAsia="Times New Roman" w:hAnsi="Times New Roman"/>
          <w:sz w:val="18"/>
          <w:szCs w:val="18"/>
          <w:color w:val="auto"/>
        </w:rPr>
      </w:pPr>
    </w:p>
    <w:p>
      <w:pPr>
        <w:ind w:left="980" w:right="340" w:hanging="162"/>
        <w:spacing w:after="0" w:line="261"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1"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growth and associated corporate actions;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or delay in accessing the capital markets to sell shares or raise additional capital;</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failure to recruit and retain qualified personnel; and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losing access to a significant exchange or other trading venue.</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for the years ended December 31, 2020 and 2019 reflect our operations and those of our consolidated subsidiaries. As discussed in Note 1 "Organization and Basis of Presentation" and in Note 3 "ITG Acquisition" of Part II Item 8 “Financial Statements and Supplementary Data” of this Annual Report on Form 10-K, we have accounted for the ITG Acquisition under the acquisition method of accounting. Under the acquisition method of accounting, the assets and liabilities of ITG, as of March 1, 2019 (the "ITG Closing Date"),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 The financial results for the year ended December 31, 2019 comprise our results for the entire applicable period and the results of ITG from the ITG Closing Date through December 31, 2019. All periods prior to the ITG Closing Date comprise our results without the results of ITG.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volatility and instability. The United States now has the world’s most reported COVID-19 cases, and all 50 states and the District of Columbia have reported cases of infected individuals. Similar impacts have been experienced in every country in which we do business. The Company has been impacted in various ways by the COVID-19 outbreak, including experiencing elevated levels of trading volumes and market volatility in the markets in which we operate during certain periods, which contributed positively to our results, and increases in short term funding requirements with clearing houses and counterparties as a consequence of these elevated trading volumes and market volatility. The Company also implemented its business continuity plan, including remote work arrangements for the majority of our employees during this pandemic.</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will continue to monitor the impact of COVID-19, but at the date of this report it is too early to determine the full impact this virus may have on the global financial markets and the overall economy, as well as our business. Should this emerging macro-economic risk continue for an extended period, there could be an adverse material financial impact to the Company's businesses and investments, including a material reduction in the Company's results of operations. For more information on the potential impacts of the COVID-19 outbreak on our business, see Part I Item 1A “Risk Factors” of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1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Market Making</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1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Services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ITG</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1, 2019, the ITG Closing Date, we announced the completion of the ITG Acquisition, a cash transaction valued at $30.30 per ITG share, or a total of approximately $1.0 billion.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21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December 31, 2020, options to purchase 1,628,750 shares in the aggregate were forfeited and 5,275,098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i) Total revenue, ii) Total operating expenses, and iii) Income before income taxes and noncontrolling interest by segment for the years ended December 31, 2020, 2019 and 2018:</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195"/>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40" w:type="dxa"/>
            <w:vAlign w:val="bottom"/>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6"/>
                <w:szCs w:val="16"/>
                <w:color w:val="auto"/>
              </w:rPr>
            </w:pPr>
          </w:p>
        </w:tc>
      </w:tr>
      <w:tr>
        <w:trPr>
          <w:trHeight w:val="187"/>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2"/>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1,028,094</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1,384,475</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1,352,029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918,904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961,827</w:t>
            </w:r>
          </w:p>
        </w:tc>
      </w:tr>
      <w:tr>
        <w:trPr>
          <w:trHeight w:val="182"/>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1,241,313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422,648</w:t>
            </w:r>
          </w:p>
        </w:tc>
      </w:tr>
      <w:tr>
        <w:trPr>
          <w:trHeight w:val="18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491,736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496,333</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475,526</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618,667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171,290</w:t>
            </w:r>
          </w:p>
        </w:tc>
      </w:tr>
      <w:tr>
        <w:trPr>
          <w:trHeight w:val="182"/>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174,617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325,043</w:t>
            </w:r>
          </w:p>
        </w:tc>
      </w:tr>
      <w:tr>
        <w:trPr>
          <w:trHeight w:val="18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49,238</w:t>
            </w:r>
          </w:p>
        </w:tc>
      </w:tr>
      <w:tr>
        <w:trPr>
          <w:trHeight w:val="182"/>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(51,328)</w:t>
            </w:r>
          </w:p>
        </w:tc>
      </w:tr>
      <w:tr>
        <w:trPr>
          <w:trHeight w:val="18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1,517,492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1,878,718</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1,856,494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1,633,474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1,182,355</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696,363</w:t>
            </w:r>
          </w:p>
        </w:tc>
      </w:tr>
      <w:tr>
        <w:trPr>
          <w:trHeight w:val="21"/>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results of operations for the years ended December 31, 2020, 2019 and 2018:</w:t>
      </w:r>
    </w:p>
    <w:p>
      <w:pPr>
        <w:spacing w:after="0" w:line="286" w:lineRule="exact"/>
        <w:rPr>
          <w:sz w:val="20"/>
          <w:szCs w:val="20"/>
          <w:color w:val="auto"/>
        </w:rPr>
      </w:pPr>
    </w:p>
    <w:tbl>
      <w:tblPr>
        <w:tblLayout w:type="fixed"/>
        <w:tblInd w:w="76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2,493,248</w:t>
            </w:r>
          </w:p>
        </w:tc>
        <w:tc>
          <w:tcPr>
            <w:tcW w:w="48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912,316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1,266,682</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108,778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87,508</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600,510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498,544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184,339</w:t>
            </w:r>
          </w:p>
        </w:tc>
      </w:tr>
      <w:tr>
        <w:trPr>
          <w:trHeight w:val="189"/>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83,454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340,189</w:t>
            </w:r>
          </w:p>
        </w:tc>
      </w:tr>
      <w:tr>
        <w:trPr>
          <w:trHeight w:val="183"/>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1,517,492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1,878,718</w:t>
            </w: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758,843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386,888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376,424</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213,750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209,393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176,120</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383,713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215,556</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158,039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141,814</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94,558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103,642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66,769</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66,741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65,644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61,154</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70,595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26,123</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23,357</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11,727</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11,487</w:t>
            </w: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Charges related to share based compensation at IPO</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89"/>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87,735</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121,859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71,800</w:t>
            </w:r>
          </w:p>
        </w:tc>
      </w:tr>
      <w:tr>
        <w:trPr>
          <w:trHeight w:val="182"/>
        </w:trPr>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1,856,494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1,633,474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1,182,355</w:t>
            </w:r>
          </w:p>
        </w:tc>
      </w:tr>
      <w:tr>
        <w:trPr>
          <w:trHeight w:val="183"/>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696,363</w:t>
            </w:r>
          </w:p>
        </w:tc>
      </w:tr>
      <w:tr>
        <w:trPr>
          <w:trHeight w:val="189"/>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76,171</w:t>
            </w:r>
          </w:p>
        </w:tc>
      </w:tr>
      <w:tr>
        <w:trPr>
          <w:trHeight w:val="208"/>
        </w:trPr>
        <w:tc>
          <w:tcPr>
            <w:tcW w:w="5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620,192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95" w:right="5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56" w:lineRule="exact"/>
        <w:rPr>
          <w:sz w:val="20"/>
          <w:szCs w:val="20"/>
          <w:color w:val="auto"/>
        </w:rPr>
      </w:pPr>
    </w:p>
    <w:p>
      <w:pPr>
        <w:ind w:right="160" w:firstLine="648"/>
        <w:spacing w:after="0" w:line="273"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20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represents revenue earned from bid/ask spreads. Trading income is generated in the normal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 (i) Global Equities and (ii) Global FICC, Options and Other. Our trading income, net, results from gains and losses associated with trading strategies, which are designed to capture small bid-ask spreads, while hedging risks. Trading income, net, accounted for 77% and 60% of our total revenues for the years ended December 31, 2020 and 2019, respectively.</w:t>
      </w:r>
    </w:p>
    <w:p>
      <w:pPr>
        <w:spacing w:after="0" w:line="20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Our market making activities require us to hold securities on a regular basis, and we generate revenues in the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We earn revenues on transactions for which we charge explicit commissions or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9"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have interests in multiple strategic investments and telecommunications joint ventures (“JVs”). We record our pro-rata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JV’s earnings or losses within other, net, while fees related to the use of communication services provided by the JVs are recorded within communications and data processing.</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 noncontrolling investment (the “JNX Investment”) in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net also includes gains on sales of businesses, revenues from service agreements related to the sale of MATCHNow, and the gain or loss on the ineffective portion of derivatives used as cash flow hedging instruments.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clearance fees and payments for order flow, net. </w:t>
      </w:r>
      <w:r>
        <w:rPr>
          <w:rFonts w:ascii="Times New Roman" w:cs="Times New Roman" w:eastAsia="Times New Roman" w:hAnsi="Times New Roman"/>
          <w:sz w:val="18"/>
          <w:szCs w:val="18"/>
          <w:color w:val="auto"/>
        </w:rPr>
        <w:t>Brokerage, exchange, clearance fees and payments for order flow are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212"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represent primarily fixed expenses for leased equipment,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206"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include employee salaries, cash and non-cash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206" w:lineRule="exact"/>
        <w:rPr>
          <w:sz w:val="20"/>
          <w:szCs w:val="20"/>
          <w:color w:val="auto"/>
        </w:rPr>
      </w:pPr>
    </w:p>
    <w:p>
      <w:pPr>
        <w:ind w:right="460"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pursuant to collateralized lending transactions. Typically, dividend expense is incurred when a dividend is paid on securities sold short.</w:t>
      </w:r>
    </w:p>
    <w:p>
      <w:pPr>
        <w:spacing w:after="0" w:line="15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represents occupancy, recruiting, travel and related expense,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and other expenses.</w:t>
      </w:r>
    </w:p>
    <w:p>
      <w:pPr>
        <w:spacing w:after="0" w:line="18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fixed assets, such as computing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0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203"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represents the write-off expense related to certain office space we ceased use of as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8" w:lineRule="exact"/>
        <w:rPr>
          <w:sz w:val="20"/>
          <w:szCs w:val="20"/>
          <w:color w:val="auto"/>
        </w:rPr>
      </w:pPr>
    </w:p>
    <w:p>
      <w:pPr>
        <w:jc w:val="both"/>
        <w:ind w:right="2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prepayment and commitment fees. </w:t>
      </w:r>
      <w:r>
        <w:rPr>
          <w:rFonts w:ascii="Times New Roman" w:cs="Times New Roman" w:eastAsia="Times New Roman" w:hAnsi="Times New Roman"/>
          <w:sz w:val="18"/>
          <w:szCs w:val="18"/>
          <w:color w:val="auto"/>
        </w:rPr>
        <w:t>As a result of the refinancing or early termination of our long-term 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20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primarily reflect professional fees incurred by us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ITG Acquisition in 2019 and the sale of BondPoint in 2018.</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4" w:name="page55"/>
    <w:bookmarkEnd w:id="54"/>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long-term borrowings. </w:t>
      </w:r>
      <w:r>
        <w:rPr>
          <w:rFonts w:ascii="Times New Roman" w:cs="Times New Roman" w:eastAsia="Times New Roman" w:hAnsi="Times New Roman"/>
          <w:sz w:val="18"/>
          <w:szCs w:val="18"/>
          <w:color w:val="auto"/>
        </w:rPr>
        <w:t>Financing interest expense reflects interest accrued on outstanding indebtedness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borrowing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local income tax at the rate applicable to corporations less the rate attributable to the noncontrolling interest in Virtu Financial.</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II Item 8 “Financial Statements and Supplementary Data” of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Items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in the United States (“U.S. GAAP”), we use the following non-U.S. GAAP (“Non-GAAP”) financial measures of financial performance:</w:t>
      </w:r>
    </w:p>
    <w:p>
      <w:pPr>
        <w:spacing w:after="0" w:line="189" w:lineRule="exact"/>
        <w:rPr>
          <w:sz w:val="20"/>
          <w:szCs w:val="20"/>
          <w:color w:val="auto"/>
        </w:rPr>
      </w:pPr>
    </w:p>
    <w:p>
      <w:pPr>
        <w:ind w:left="1060" w:right="40" w:hanging="242"/>
        <w:spacing w:after="0" w:line="254"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83" w:lineRule="exact"/>
        <w:rPr>
          <w:rFonts w:ascii="Times New Roman" w:cs="Times New Roman" w:eastAsia="Times New Roman" w:hAnsi="Times New Roman"/>
          <w:sz w:val="18"/>
          <w:szCs w:val="18"/>
          <w:color w:val="auto"/>
        </w:rPr>
      </w:pPr>
    </w:p>
    <w:p>
      <w:pPr>
        <w:ind w:left="1060" w:right="100" w:hanging="242"/>
        <w:spacing w:after="0" w:line="256"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79" w:lineRule="exact"/>
        <w:rPr>
          <w:rFonts w:ascii="Times New Roman" w:cs="Times New Roman" w:eastAsia="Times New Roman" w:hAnsi="Times New Roman"/>
          <w:sz w:val="18"/>
          <w:szCs w:val="18"/>
          <w:color w:val="auto"/>
        </w:rPr>
      </w:pPr>
    </w:p>
    <w:p>
      <w:pPr>
        <w:ind w:left="1060" w:hanging="242"/>
        <w:spacing w:after="0" w:line="261"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an effective tax rate, which was approximately 24%.</w:t>
      </w:r>
    </w:p>
    <w:p>
      <w:pPr>
        <w:spacing w:after="0" w:line="71"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which are calculated by dividing net income, EBITDA, and Adjusted EBITDA by Adjusted Net Trading Income.</w:t>
      </w:r>
    </w:p>
    <w:p>
      <w:pPr>
        <w:spacing w:after="0" w:line="25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2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207" w:lineRule="exact"/>
        <w:rPr>
          <w:sz w:val="20"/>
          <w:szCs w:val="20"/>
          <w:color w:val="auto"/>
        </w:rPr>
      </w:pPr>
    </w:p>
    <w:p>
      <w:pPr>
        <w:ind w:left="1060" w:hanging="242"/>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56" w:name="page57"/>
    <w:bookmarkEnd w:id="56"/>
    <w:p>
      <w:pPr>
        <w:ind w:left="1060" w:hanging="242"/>
        <w:spacing w:after="0" w:line="282" w:lineRule="auto"/>
        <w:tabs>
          <w:tab w:leader="none" w:pos="10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EBITDA-based measures do not reflect the significant interest expense or the cash requirements necessary to service interest or principal payment on our debt;</w:t>
      </w:r>
    </w:p>
    <w:p>
      <w:pPr>
        <w:spacing w:after="0" w:line="53" w:lineRule="exact"/>
        <w:rPr>
          <w:rFonts w:ascii="Times New Roman" w:cs="Times New Roman" w:eastAsia="Times New Roman" w:hAnsi="Times New Roman"/>
          <w:sz w:val="18"/>
          <w:szCs w:val="18"/>
          <w:color w:val="auto"/>
        </w:rPr>
      </w:pPr>
    </w:p>
    <w:p>
      <w:pPr>
        <w:ind w:left="1060" w:right="240" w:hanging="242"/>
        <w:spacing w:after="0" w:line="266" w:lineRule="auto"/>
        <w:tabs>
          <w:tab w:leader="none" w:pos="10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6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and</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limitations on our costs related to transferring earnings from our subsidiaries to us.</w:t>
      </w:r>
    </w:p>
    <w:p>
      <w:pPr>
        <w:spacing w:after="0" w:line="2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1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Consolidated Statements of Comprehensive Income to arrive at Adjusted Net Trading Income, EBITDA, Adjusted EBITDA, and Operating Margins for the years ended December 31, 2020, 2019 and 2018.</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2,493,248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912,316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1,266,682</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62,119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108,778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87,508</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600,510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498,544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184,339</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(758,843)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(386,888)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(376,424)</w:t>
            </w:r>
          </w:p>
        </w:tc>
        <w:tc>
          <w:tcPr>
            <w:tcW w:w="0" w:type="dxa"/>
            <w:vAlign w:val="bottom"/>
          </w:tcPr>
          <w:p>
            <w:pPr>
              <w:spacing w:after="0"/>
              <w:rPr>
                <w:sz w:val="1"/>
                <w:szCs w:val="1"/>
                <w:color w:val="auto"/>
              </w:rPr>
            </w:pPr>
          </w:p>
        </w:tc>
      </w:tr>
      <w:tr>
        <w:trPr>
          <w:trHeight w:val="189"/>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(125,649)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(158,039)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(141,814)</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2,271,385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974,711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1,020,291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1,120,913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(103,705)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620,192</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87,735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121,859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71,800</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28,879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11,727</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66,741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65,644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61,154</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74,254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70,595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26,123</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261,924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(12,277)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76,171</w:t>
            </w:r>
          </w:p>
        </w:tc>
        <w:tc>
          <w:tcPr>
            <w:tcW w:w="0" w:type="dxa"/>
            <w:vAlign w:val="bottom"/>
          </w:tcPr>
          <w:p>
            <w:pPr>
              <w:spacing w:after="0"/>
              <w:rPr>
                <w:sz w:val="1"/>
                <w:szCs w:val="1"/>
                <w:color w:val="auto"/>
              </w:rPr>
            </w:pPr>
          </w:p>
        </w:tc>
      </w:tr>
      <w:tr>
        <w:trPr>
          <w:trHeight w:val="18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1,640,446</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183,248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867,167</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Severance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102,768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10,974</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11,487</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66,452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23,357</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sale of business</w:t>
            </w:r>
          </w:p>
        </w:tc>
        <w:tc>
          <w:tcPr>
            <w:tcW w:w="30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(58,652)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(335,210)</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7,342</w:t>
            </w: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0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50,627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29,065</w:t>
            </w:r>
          </w:p>
        </w:tc>
        <w:tc>
          <w:tcPr>
            <w:tcW w:w="0" w:type="dxa"/>
            <w:vAlign w:val="bottom"/>
          </w:tcPr>
          <w:p>
            <w:pPr>
              <w:spacing w:after="0"/>
              <w:rPr>
                <w:sz w:val="1"/>
                <w:szCs w:val="1"/>
                <w:color w:val="auto"/>
              </w:rPr>
            </w:pPr>
          </w:p>
        </w:tc>
      </w:tr>
      <w:tr>
        <w:trPr>
          <w:trHeight w:val="135"/>
        </w:trPr>
        <w:tc>
          <w:tcPr>
            <w:tcW w:w="58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Charges related to share based compensation at IPO, Amended and Restated 2015 Management</w:t>
            </w:r>
          </w:p>
        </w:tc>
        <w:tc>
          <w:tcPr>
            <w:tcW w:w="3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5,781</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Incentive Plan</w:t>
            </w:r>
          </w:p>
        </w:tc>
        <w:tc>
          <w:tcPr>
            <w:tcW w:w="3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30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8"/>
        </w:trPr>
        <w:tc>
          <w:tcPr>
            <w:tcW w:w="5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1,648,049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431,863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619,987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 Margin (1)</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0" w:type="dxa"/>
            <w:vAlign w:val="bottom"/>
          </w:tcPr>
          <w:p>
            <w:pPr>
              <w:spacing w:after="0"/>
              <w:rPr>
                <w:sz w:val="1"/>
                <w:szCs w:val="1"/>
                <w:color w:val="auto"/>
              </w:rPr>
            </w:pPr>
          </w:p>
        </w:tc>
      </w:tr>
      <w:tr>
        <w:trPr>
          <w:trHeight w:val="189"/>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EBITDA Margin (2)</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88"/>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Adjusted EBITDA Margin (3)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7" w:name="page58"/>
    <w:bookmarkEnd w:id="57"/>
    <w:p>
      <w:pPr>
        <w:ind w:left="420" w:hanging="412"/>
        <w:spacing w:after="0"/>
        <w:tabs>
          <w:tab w:leader="none" w:pos="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23"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00" w:lineRule="exact"/>
        <w:rPr>
          <w:sz w:val="20"/>
          <w:szCs w:val="20"/>
          <w:color w:val="auto"/>
        </w:rPr>
      </w:pPr>
    </w:p>
    <w:p>
      <w:pPr>
        <w:spacing w:after="0" w:line="20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to arrive at Normalized Adjusted Net Income before income taxes, Normalized provision for income taxes, Normalized Adjusted Net Income and Normalized Adjusted EPS for the years ended December 31, 2020, 2019 and 2018:</w:t>
      </w:r>
    </w:p>
    <w:p>
      <w:pPr>
        <w:spacing w:after="0" w:line="169" w:lineRule="exact"/>
        <w:rPr>
          <w:sz w:val="20"/>
          <w:szCs w:val="20"/>
          <w:color w:val="auto"/>
        </w:rPr>
      </w:pPr>
    </w:p>
    <w:tbl>
      <w:tblPr>
        <w:tblLayout w:type="fixed"/>
        <w:tblInd w:w="720" w:type="dxa"/>
        <w:tblCellMar>
          <w:top w:w="0" w:type="dxa"/>
          <w:left w:w="0" w:type="dxa"/>
          <w:bottom w:w="0" w:type="dxa"/>
          <w:right w:w="0" w:type="dxa"/>
        </w:tblCellMar>
      </w:tblPr>
      <w:tr>
        <w:trPr>
          <w:trHeight w:val="194"/>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18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(103,705)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620,192</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76,171</w:t>
            </w: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696,363</w:t>
            </w:r>
          </w:p>
        </w:tc>
      </w:tr>
      <w:tr>
        <w:trPr>
          <w:trHeight w:val="216"/>
        </w:trPr>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74,254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26,123</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11,727</w:t>
            </w: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Severance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10,974</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11,487</w:t>
            </w: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23,357</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 of business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(335,210)</w:t>
            </w: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7,342</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29,065</w:t>
            </w:r>
          </w:p>
        </w:tc>
      </w:tr>
      <w:tr>
        <w:trPr>
          <w:trHeight w:val="189"/>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Charges related to share based compensation at IPO, 2015 Management Incentive Plan</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5,781</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182"/>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1,493,573</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244,360</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487,033</w:t>
            </w:r>
          </w:p>
        </w:tc>
      </w:tr>
      <w:tr>
        <w:trPr>
          <w:trHeight w:val="189"/>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358,458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112,018</w:t>
            </w:r>
          </w:p>
        </w:tc>
      </w:tr>
      <w:tr>
        <w:trPr>
          <w:trHeight w:val="18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1,135,115</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185,714</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375,015</w:t>
            </w:r>
          </w:p>
        </w:tc>
      </w:tr>
      <w:tr>
        <w:trPr>
          <w:trHeight w:val="270"/>
        </w:trPr>
        <w:tc>
          <w:tcPr>
            <w:tcW w:w="5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18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196,929,673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193,153,745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190,886,342</w:t>
            </w:r>
          </w:p>
        </w:tc>
      </w:tr>
      <w:tr>
        <w:trPr>
          <w:trHeight w:val="270"/>
        </w:trPr>
        <w:tc>
          <w:tcPr>
            <w:tcW w:w="5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18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84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64" w:lineRule="exact"/>
        <w:rPr>
          <w:sz w:val="20"/>
          <w:szCs w:val="20"/>
          <w:color w:val="auto"/>
        </w:rPr>
      </w:pPr>
    </w:p>
    <w:p>
      <w:pPr>
        <w:ind w:left="420" w:hanging="412"/>
        <w:spacing w:after="0"/>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2020, 24% for 2019 and 23% for 2018.</w:t>
      </w:r>
    </w:p>
    <w:p>
      <w:pPr>
        <w:spacing w:after="0" w:line="23" w:lineRule="exact"/>
        <w:rPr>
          <w:rFonts w:ascii="Times New Roman" w:cs="Times New Roman" w:eastAsia="Times New Roman" w:hAnsi="Times New Roman"/>
          <w:sz w:val="16"/>
          <w:szCs w:val="16"/>
          <w:color w:val="auto"/>
        </w:rPr>
      </w:pPr>
    </w:p>
    <w:p>
      <w:pPr>
        <w:ind w:left="420" w:hanging="412"/>
        <w:spacing w:after="0" w:line="248" w:lineRule="auto"/>
        <w:tabs>
          <w:tab w:leader="none" w:pos="4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years ended December 31, 2020, 2019 and 2018 as well as warrants issued in connection with the Founder Member Loan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years ended December 31, 2020, 2019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0" w:lineRule="exact"/>
        <w:rPr>
          <w:sz w:val="20"/>
          <w:szCs w:val="20"/>
          <w:color w:val="auto"/>
        </w:rPr>
      </w:pP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2,455,182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38,066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2,493,248</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548,057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600,510</w:t>
            </w: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61,485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62,119</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(662,994)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(95,849)</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(758,843)</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(125,649)</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1,782,411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488,974</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2,271,385</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tbl>
      <w:tblPr>
        <w:tblLayout w:type="fixed"/>
        <w:tblInd w:w="108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908,328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912,316</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475,018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498,544</w:t>
            </w: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96,197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12,581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108,778</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(277,668)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(109,220)</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rPr>
              <w:t>(386,888)</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(158,039)</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604,601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370,110</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974,711</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1,265,866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1,266,682</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155,526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184,339</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86,741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87,508</w:t>
            </w:r>
          </w:p>
        </w:tc>
        <w:tc>
          <w:tcPr>
            <w:tcW w:w="0" w:type="dxa"/>
            <w:vAlign w:val="bottom"/>
          </w:tcPr>
          <w:p>
            <w:pPr>
              <w:spacing w:after="0"/>
              <w:rPr>
                <w:sz w:val="1"/>
                <w:szCs w:val="1"/>
                <w:color w:val="auto"/>
              </w:rPr>
            </w:pPr>
          </w:p>
        </w:tc>
      </w:tr>
      <w:tr>
        <w:trPr>
          <w:trHeight w:val="135"/>
        </w:trPr>
        <w:tc>
          <w:tcPr>
            <w:tcW w:w="37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(317,365)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(59,059)</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(376,424)</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(141,814)</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923,935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96,294</w:t>
            </w:r>
          </w:p>
        </w:tc>
        <w:tc>
          <w:tcPr>
            <w:tcW w:w="10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1,020,291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7"/>
          <w:szCs w:val="17"/>
          <w:color w:val="auto"/>
        </w:rPr>
        <w:t>The following tables reconcile our Market Making segment Trading income, net to Adjusted Net Trading Income by category for the years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2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89"/>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18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2,182,234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272,948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2,455,182</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52,453</w:t>
            </w:r>
          </w:p>
        </w:tc>
        <w:tc>
          <w:tcPr>
            <w:tcW w:w="0" w:type="dxa"/>
            <w:vAlign w:val="bottom"/>
          </w:tcPr>
          <w:p>
            <w:pPr>
              <w:spacing w:after="0"/>
              <w:rPr>
                <w:sz w:val="1"/>
                <w:szCs w:val="1"/>
                <w:color w:val="auto"/>
              </w:rPr>
            </w:pPr>
          </w:p>
        </w:tc>
      </w:tr>
      <w:tr>
        <w:trPr>
          <w:trHeight w:val="135"/>
        </w:trPr>
        <w:tc>
          <w:tcPr>
            <w:tcW w:w="36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(631,354)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(662,994)</w:t>
            </w: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 flow, net</w:t>
            </w: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0" w:type="dxa"/>
            <w:vAlign w:val="bottom"/>
          </w:tcPr>
          <w:p>
            <w:pPr>
              <w:spacing w:after="0"/>
              <w:rPr>
                <w:sz w:val="1"/>
                <w:szCs w:val="1"/>
                <w:color w:val="auto"/>
              </w:rPr>
            </w:pPr>
          </w:p>
        </w:tc>
      </w:tr>
      <w:tr>
        <w:trPr>
          <w:trHeight w:val="208"/>
        </w:trPr>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1,548,776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233,635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1,782,411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2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40" w:type="dxa"/>
            <w:vAlign w:val="bottom"/>
          </w:tcPr>
          <w:p>
            <w:pPr>
              <w:spacing w:after="0"/>
              <w:rPr>
                <w:sz w:val="11"/>
                <w:szCs w:val="11"/>
                <w:color w:val="auto"/>
              </w:rPr>
            </w:pPr>
          </w:p>
        </w:tc>
        <w:tc>
          <w:tcPr>
            <w:tcW w:w="106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89"/>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18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730,215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178,639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908,328</w:t>
            </w: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23,526</w:t>
            </w:r>
          </w:p>
        </w:tc>
        <w:tc>
          <w:tcPr>
            <w:tcW w:w="0" w:type="dxa"/>
            <w:vAlign w:val="bottom"/>
          </w:tcPr>
          <w:p>
            <w:pPr>
              <w:spacing w:after="0"/>
              <w:rPr>
                <w:sz w:val="1"/>
                <w:szCs w:val="1"/>
                <w:color w:val="auto"/>
              </w:rPr>
            </w:pPr>
          </w:p>
        </w:tc>
      </w:tr>
      <w:tr>
        <w:trPr>
          <w:trHeight w:val="135"/>
        </w:trPr>
        <w:tc>
          <w:tcPr>
            <w:tcW w:w="36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(277,668)</w:t>
            </w: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 flow, net</w:t>
            </w: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(49,585)</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128,873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604,601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2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40" w:type="dxa"/>
            <w:vAlign w:val="bottom"/>
          </w:tcPr>
          <w:p>
            <w:pPr>
              <w:spacing w:after="0"/>
              <w:rPr>
                <w:sz w:val="11"/>
                <w:szCs w:val="11"/>
                <w:color w:val="auto"/>
              </w:rPr>
            </w:pPr>
          </w:p>
        </w:tc>
        <w:tc>
          <w:tcPr>
            <w:tcW w:w="106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250,521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1,265,866</w:t>
            </w:r>
          </w:p>
        </w:tc>
        <w:tc>
          <w:tcPr>
            <w:tcW w:w="0" w:type="dxa"/>
            <w:vAlign w:val="bottom"/>
          </w:tcPr>
          <w:p>
            <w:pPr>
              <w:spacing w:after="0"/>
              <w:rPr>
                <w:sz w:val="1"/>
                <w:szCs w:val="1"/>
                <w:color w:val="auto"/>
              </w:rPr>
            </w:pPr>
          </w:p>
        </w:tc>
      </w:tr>
      <w:tr>
        <w:trPr>
          <w:trHeight w:val="18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28,813</w:t>
            </w: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(257,061)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(317,365)</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 flow, net</w:t>
            </w: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(53,379)</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744,702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182,792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923,935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34" w:right="45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Adjusted Net Trading Income, average daily Adjusted Net Trading Income and percentage of Adjusted Net Trading Income by asset class for the years ended December 31, 2020, 2019 and 2018:</w:t>
      </w:r>
    </w:p>
    <w:p>
      <w:pPr>
        <w:spacing w:after="0" w:line="35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4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Adjusted Net Trading Income by</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tcBorders>
              <w:top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Global Equities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1,548,776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475,844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744,702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18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Unallocated(1)</w:t>
            </w:r>
          </w:p>
        </w:tc>
        <w:tc>
          <w:tcPr>
            <w:tcW w:w="2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 Making</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1,782,411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78.5 %</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62.0 %</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923,935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90.6 %</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Execution Services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2,271,385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427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8"/>
        <w:spacing w:after="0" w:line="251" w:lineRule="auto"/>
        <w:tabs>
          <w:tab w:leader="none" w:pos="64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methodology for recording “trading income, net” in our Consolidated Statements of Comprehensive Income from Part II Item 8 “Financial Statements and Supplementary Data” of this Annual Report on Form 10-K,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2020 Compared to Year Ended December 31,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total revenues increased $1,721.8 million, or 113.5%, to $3,239.3 million for the year ended December 31, 2020, compared to $1,517.5 million for the year ended December 31, 2019. This increase was primarily attributable to an increase in Trading income, net, of $1,580.9 million, which was driven by higher market volatility and trading volumes during 2020 compared to 2019, from the impacts of COVID-19 and the governmental and other responses thereto. In addition, 2020 included the results of ITG for the full first quarter of 2020 compared to the results of ITG from the ITG Closing Date through December 31, 2019 in the prior year.</w:t>
      </w:r>
    </w:p>
    <w:p>
      <w:pPr>
        <w:spacing w:after="0" w:line="21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Though our total revenues increased during the period, Commissions, net and technology services within the Execution Services segment did not have the same relative increase in part because we selectively limited our client trading business during certain periods throughout 2020 due to the extraordinary volume and volatility during the period and the operational challenges caused directly or indirectly by COVID-19, including working remotely and increases in short term liquidity requirements.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The following table shows the total revenues by segment for the years ended December 31, 2020 and 2019.</w:t>
      </w:r>
    </w:p>
    <w:p>
      <w:pPr>
        <w:spacing w:after="0" w:line="286" w:lineRule="exact"/>
        <w:rPr>
          <w:sz w:val="20"/>
          <w:szCs w:val="20"/>
          <w:color w:val="auto"/>
        </w:rPr>
      </w:pPr>
    </w:p>
    <w:tbl>
      <w:tblPr>
        <w:tblLayout w:type="fixed"/>
        <w:tblInd w:w="960" w:type="dxa"/>
        <w:tblCellMar>
          <w:top w:w="0" w:type="dxa"/>
          <w:left w:w="0" w:type="dxa"/>
          <w:bottom w:w="0" w:type="dxa"/>
          <w:right w:w="0" w:type="dxa"/>
        </w:tblCellMar>
      </w:tblPr>
      <w:tr>
        <w:trPr>
          <w:trHeight w:val="19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2,455,182</w:t>
            </w: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908,328</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170.3%</w:t>
            </w: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96,197</w:t>
            </w:r>
          </w:p>
        </w:tc>
        <w:tc>
          <w:tcPr>
            <w:tcW w:w="1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(36.1)%</w:t>
            </w: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23,526</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123.0%</w:t>
            </w: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r>
      <w:tr>
        <w:trPr>
          <w:trHeight w:val="183"/>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1,028,094</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152.2%</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183"/>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854.5</w:t>
            </w: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12,581</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(95.0)%</w:t>
            </w: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475,018</w:t>
            </w:r>
          </w:p>
        </w:tc>
        <w:tc>
          <w:tcPr>
            <w:tcW w:w="1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15.4%</w:t>
            </w:r>
          </w:p>
        </w:tc>
      </w:tr>
      <w:tr>
        <w:trPr>
          <w:trHeight w:val="189"/>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r>
      <w:tr>
        <w:trPr>
          <w:trHeight w:val="208"/>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491,736</w:t>
            </w:r>
          </w:p>
        </w:tc>
        <w:tc>
          <w:tcPr>
            <w:tcW w:w="17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32.2%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r>
        <w:trPr>
          <w:trHeight w:val="163"/>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9"/>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72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77.7%</w:t>
            </w:r>
          </w:p>
        </w:tc>
      </w:tr>
      <w:tr>
        <w:trPr>
          <w:trHeight w:val="208"/>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7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77.7%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r>
        <w:trPr>
          <w:trHeight w:val="163"/>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2,493,248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912,316</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173.3%</w:t>
            </w: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108,778</w:t>
            </w:r>
          </w:p>
        </w:tc>
        <w:tc>
          <w:tcPr>
            <w:tcW w:w="17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(42.9)%</w:t>
            </w: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498,544</w:t>
            </w:r>
          </w:p>
        </w:tc>
        <w:tc>
          <w:tcPr>
            <w:tcW w:w="1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20.5%</w:t>
            </w:r>
          </w:p>
        </w:tc>
      </w:tr>
      <w:tr>
        <w:trPr>
          <w:trHeight w:val="189"/>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r>
      <w:tr>
        <w:trPr>
          <w:trHeight w:val="183"/>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1,517,492</w:t>
            </w:r>
          </w:p>
        </w:tc>
        <w:tc>
          <w:tcPr>
            <w:tcW w:w="17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113.5%</w:t>
            </w:r>
          </w:p>
        </w:tc>
      </w:tr>
      <w:tr>
        <w:trPr>
          <w:trHeight w:val="21"/>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was primarily earned by our Market Making segment. Trading income, net, increased $1,580.9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173.3%, to $2,493.2 million for the year ended December 31, 2020, compared to $912.3 million for the year ended December 31, 2019. The increase was primarily driven by the higher market volatility and trading volumes across global markets and major asset categories during the year ended December 31, 2020 compared to the same period in the prior year. Average daily realized volatility of the S&amp;P 500 Index increased 145.4% compared to the prior period, while average daily U.S. equity consolidated volumes increased 55.4%.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21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Interest and dividends income was primarily earned by our Market Making segment. Interest and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decreased $46.7 million, or 42.9%, to $62.1 million for the year ended December 31, 2020, compared to $108.8 million for the year ended December 31, 2019. This decrease was primarily attributable to lower interest income earned on cash collateral posted as part of securities borrowed transactions driven by lower interest rates and lower balances compared to the prior period. As indicated above, rather than analyzing interest and dividends income in isolation, we evaluate it in the broader context of our Adjusted Net Trading Income.</w:t>
      </w:r>
    </w:p>
    <w:p>
      <w:pPr>
        <w:spacing w:after="0" w:line="20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Commissions, net and technology services revenues were primarily earned by our Execution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Commissions, net and technology services revenues increased $102.0 million, or 20.5%, to $600.5 million for the year ended December 31, 2020, compared to $498.5 million for the year ended December 31, 2019. The increase was primarily attributable to the results of ITG for the full year 2020 compared to the results of ITG from the ITG Closing Date through December 31, 2019. The ITG Acquisition brought recurring connectivity revenues generated from workflow technology and subscription revenues from analytics services to Commissions, net and technology services.</w:t>
      </w:r>
    </w:p>
    <w:p>
      <w:pPr>
        <w:spacing w:after="0" w:line="206"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increased $85.6 million to $83.5 million for the year ended December 31, 2020, compared to $(2.1)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2019. The increase was primarily due to a $58.7 million gain recognized on the sale of MATCHNow (see Note 5 "Sale of MATCHNow" of Part II Item 8 “Financial Statements and Supplementary Data”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right="1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In addition, we recognized a $17.4 million gain on the minority investment in JNX (see Note 12 "Financial Assets and Liabilities" of Part II Item 8 “Financial Statements and Supplementary Data” of this Annual Report on Form 10-K for details on the JNX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Trading Income</w:t>
      </w:r>
    </w:p>
    <w:p>
      <w:pPr>
        <w:spacing w:after="0" w:line="256"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Adjusted Net Trading Income increased $1,296.7 million, or 133.0%, to $2,271.4 million for the year ended December 31, 2020, compared to $974.7 million for the year ended December 31, 2019. This increase was primarily attributable to higher Trading income, net, driven by higher market volatility and trading volumes across major asset categories during the year ended December 31, 2020 compared to the prior period. Average daily realized volatility of the S&amp;P 500 Index and average daily CVIX realized volatility increased 145.4% and 86.5%, respectively, compared to the prior period, while average daily U.S. equity consolidated volumes increased 55.4%. There were increases in Trading income, net in Global Equities of $1,072.9 million, and in Global FICC, Options and Other of $104.8 million, from the Market Making segment. There was also an increase of $118.9 million, or 32.1%, in the Execution Services segment primarily driven by the increase in Commissions, net and technology services that was primarily attributable to the results of ITG for the full year of 2020 compared to the results of ITG from the ITG Closing Date through December 31, 2019. Adjusted Net Trading Income per day increased $5.1 million, or 133.0%, to $9.0 million for the year ended December 31, 2020, compared to $3.9 million for the year ended December 31, 2019. The number of trading days was 253 for both the year ended December 31, 2020 and 2019, respectively. Adjusted Net Trading Income is a non-GAAP measure.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$223.0 million, or 13.7%, to $1,856.5 million for the year ended December 31, 2020, compared to $1,633.5 million for the year ended December 31, 2019. The increase in operating expenses was primarily due to higher trading related expenses as a result of the increases in volumes traded during the year ended December 31, 2020 compared to the prior period. Additionally, the results of ITG for the full year of 2020 compared to the results of ITG from the ITG Closing Date through December 31, 2019 caused an overall increase in expenses in multiple expense categories as described in more detail below.</w:t>
      </w:r>
    </w:p>
    <w:p>
      <w:pPr>
        <w:spacing w:after="0" w:line="20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clearance fees and payments for order flow, net. </w:t>
      </w:r>
      <w:r>
        <w:rPr>
          <w:rFonts w:ascii="Times New Roman" w:cs="Times New Roman" w:eastAsia="Times New Roman" w:hAnsi="Times New Roman"/>
          <w:sz w:val="18"/>
          <w:szCs w:val="18"/>
          <w:color w:val="auto"/>
        </w:rPr>
        <w:t>Brokerage, exchange, clearance fees and payments for order flow,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$372.0 million, or 96.1%, to $758.8 million for the year ended December 31, 2020, compared to $386.9 million for the year ended December 31, 2019. This increase was primarily attributable to an increase in payments for order flow and increases in volumes we traded in Global Equities instruments and other asset categories. The increase in payments for order flow was primarily attributable to the increase in volumes from our broker-dealer clients eligible for payments for order flow, driven by high participation of retail investors in the market during the year compared to the prior year. We evaluate this category, representing direct costs associated with transacting our business, in the broader context of our Adjusted Net Trading Income.</w:t>
      </w:r>
    </w:p>
    <w:p>
      <w:pPr>
        <w:spacing w:after="0" w:line="20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expense increased $4.4 million, or 2.1%, to $213.8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2020, compared to $209.4 million for the year ended December 31, 2019. This increase was primarily attributable to the results of ITG for the full year of 2020 compared to the results of ITG from the ITG Closing Date through December 31, 2019, as well as additional telecommunication and networking services from activating our back-up facilities and enabling the majority of our employees to work from home. The increase was partially offset by reductions in connectivity connections as a result of an on-going effort to consolidate various communication and data processing subscriptions.</w:t>
      </w:r>
    </w:p>
    <w:p>
      <w:pPr>
        <w:spacing w:after="0" w:line="20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increased $9.8 million, or 2.6%, to $393.5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2020, compared to $383.7 million for the year ended December 31, 2019. The increase in compensation levels was primarily attributable to increased incentive compensation, which is recorded at management’s discretion and is generally accrued in connection with the overall level of profitability. Furthermore, we incurred additional compensation expense as a result of one-time cash bonuses awarded to certain employees to mitigate the effects of the COVID-19 pandemic. We have capitalized and therefore excluded employee compensation and benefits related to software development of $37.0 million and $32.5 million for the years ended December 31, 2020 and 2019, respectively.</w:t>
      </w:r>
    </w:p>
    <w:p>
      <w:pPr>
        <w:spacing w:after="0" w:line="20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expense. </w:t>
      </w:r>
      <w:r>
        <w:rPr>
          <w:rFonts w:ascii="Times New Roman" w:cs="Times New Roman" w:eastAsia="Times New Roman" w:hAnsi="Times New Roman"/>
          <w:sz w:val="18"/>
          <w:szCs w:val="18"/>
          <w:color w:val="auto"/>
        </w:rPr>
        <w:t>Interest and dividends expense decreased $32.4 million, or 20.5%, to $125.6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2020, compared to $158.0 million for the year ended December 31, 2019. This decrease was primarily attributable to lower interest expense incurred on cash collateral received as part of securities lending transactions. As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right="440"/>
        <w:spacing w:after="0" w:line="282" w:lineRule="auto"/>
        <w:rPr>
          <w:sz w:val="20"/>
          <w:szCs w:val="20"/>
          <w:color w:val="auto"/>
        </w:rPr>
      </w:pPr>
      <w:r>
        <w:rPr>
          <w:rFonts w:ascii="Times New Roman" w:cs="Times New Roman" w:eastAsia="Times New Roman" w:hAnsi="Times New Roman"/>
          <w:sz w:val="18"/>
          <w:szCs w:val="18"/>
          <w:color w:val="auto"/>
        </w:rPr>
        <w:t>indicated above, rather than analyzing interest and dividends expense in isolation, we generally evaluate it in the broader context of our Adjusted Net Trading Income.</w:t>
      </w:r>
    </w:p>
    <w:p>
      <w:pPr>
        <w:spacing w:after="0" w:line="18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decreased $9.1 million, or 8.8%, to $94.6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compared to $103.6 million for the year ended December 31, 2019.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20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$1.1 million, or 1.7%, to $66.7 million for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compared to $65.6 million for the year ended December 31, 2019. This increase was primarily attributable to depreciation and amortization of additional assets resulting from the ITG acquisition for the full year of 2020 compared to the prior period which excluded depreciation and amortization on ITG assets prior to the ITG Closing Date, partially offset by certain assets being fully depreciated in 2020.</w:t>
      </w:r>
    </w:p>
    <w:p>
      <w:pPr>
        <w:spacing w:after="0" w:line="20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increased $3.7 million, or 5.2%, to $74.3 million for the year ended December 31, 2020, compared to $70.6 million for the year ended December 31, 2019. This increase was due to the amortization of intangible assets acquired in connection with the ITG Acquisition for the full year of 2020 compared to amortization from the ITG Closing Date through December 31, 2019 in the prior year.</w:t>
      </w:r>
    </w:p>
    <w:p>
      <w:pPr>
        <w:spacing w:after="0" w:line="20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was $9.6 million for the year ended December 31, 2020, compared to $66.5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2019. Expense from termination of office leases was due to the impairment of operating lease right-of-use assets and leasehold improvements and fixed assets incurred in 2019 and 2020 for certain abandoned office space as part of the efforts to integrate and consolidate office space in connection with the ITG Acquisition.</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prepayment and commitment fees. </w:t>
      </w:r>
      <w:r>
        <w:rPr>
          <w:rFonts w:ascii="Times New Roman" w:cs="Times New Roman" w:eastAsia="Times New Roman" w:hAnsi="Times New Roman"/>
          <w:sz w:val="18"/>
          <w:szCs w:val="18"/>
          <w:color w:val="auto"/>
        </w:rPr>
        <w:t>Expense from debt issue costs related to debt refinancing,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prepayment and commitment fees decreased $12.3 million, or 29.8%, to $28.9 million for the year ended December 31, 2020, compared to $41.1 million for the year ended December 31, 2019. The amount for the year ended December 31, 2019 was primarily driven by costs incurred related to the termination of the Previous Term Loan Facility (as defined below) in the first quarter of 2019, and costs incurred related to Amendment No. 1 to the Credit Agreement (as defined below) in the fourth quarter of 2019 that provided for $525.0 million of incremental term loans. The amount for the year ended December 31, 2020 mainly reflects amortization of debt issue costs related to the Founder Member Loan Facility (see Note 11 "Borrowings" of Part II Item 8 “Financial Statements and Supplementary Data” of this Annual Report on Form 10-K), which expired as of September 20, 2020, in addition to debt issue costs that were accelerated as a result of $288.5 million in prepayments made during the year ended December 31, 2020.</w:t>
      </w:r>
    </w:p>
    <w:p>
      <w:pPr>
        <w:spacing w:after="0" w:line="212"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decreased $23.2 million, or 88.7%, to $2.9 million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2020, compared to $26.1 million for the year ended December 31, 2019. The decrease was primarily attributable to the ITG Acquisition, for which we incurred significant transaction advisory fees during 2019. The decrease was partially offset by one-time transaction costs incurred as a result of the sale of MATCHNow.</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decreased $34.1 million, or 28.0%,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$87.7 million for the year ended December 31, 2020, compared to $121.9 million for the year ended December 31, 2019. This decrease was primarily attributable to a decrease in outstanding principal as a result of the First Lien Term Loan Facility and the Incremental Term Loans in addition to lower interest rates as discussed in Note 11 "Borrowings" of Part II Item 8 “Financial Statements and Supplementary Data”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$261.9 million for the year ended December 31, 2020, compared to a benefit from income taxes of $12.3 million for the year ended December 31, 2019. The change was primarily due to the income before income taxes and noncontrolling interest for the year ended December 31, 2020, compared to a loss before taxes during the prior year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Year Ended December 31, 2019 Compared to Year Ended December 31, 2018</w:t>
      </w:r>
    </w:p>
    <w:p>
      <w:pPr>
        <w:spacing w:after="0" w:line="256" w:lineRule="exact"/>
        <w:rPr>
          <w:sz w:val="20"/>
          <w:szCs w:val="20"/>
          <w:color w:val="auto"/>
        </w:rPr>
      </w:pPr>
    </w:p>
    <w:p>
      <w:pPr>
        <w:ind w:right="200" w:firstLine="180"/>
        <w:spacing w:after="0" w:line="266" w:lineRule="auto"/>
        <w:rPr>
          <w:sz w:val="20"/>
          <w:szCs w:val="20"/>
          <w:color w:val="auto"/>
        </w:rPr>
      </w:pPr>
      <w:r>
        <w:rPr>
          <w:rFonts w:ascii="Times New Roman" w:cs="Times New Roman" w:eastAsia="Times New Roman" w:hAnsi="Times New Roman"/>
          <w:sz w:val="18"/>
          <w:szCs w:val="18"/>
          <w:color w:val="auto"/>
        </w:rPr>
        <w:t>For discussion around our results of operations for the year ended December 31, 2018 and for a comparison of our results of operations for the year ended December 31, 2019 and year ended December 31, 2018, see Item 7, Management’s Discussion and Analysis of Financial Condition and Results of Operations, of our Annual Report on Form 10-K for fiscal year ended December 31, 2019, filed with the SEC on February 28, 2020.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380"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2020, we had $889.6 million in Cash and cash equivalents. This balance is maintained primarily to support operating activities for capital expenditures and for short-term access to liquidity, and for other general corporate purposes. As of December 31, 2020, we had borrowings under our prime brokerage credit facilities of approximately $134.7 million, borrowings under our broker dealer facilities of $36.4 million, short-term bank overdrafts of $28.7 million, and long-term debt outstanding in an aggregate principal amount of approximately $1,670.4 million.</w:t>
      </w:r>
    </w:p>
    <w:p>
      <w:pPr>
        <w:spacing w:after="0" w:line="19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subsidiary, as discussed in Note 11 "Borrowings" of Part II Item 8 “Financial Statements and Supplementary Data” of this Annual Report on Form 10-K.</w:t>
      </w: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substantially elevated volume and volatility environment during the year attributable largely to the COVID-19 pandemic and governmental and other responses thereto, our trading activities both in our market making segment and in our execution services segment increased materially relative to the prior year. This increase in our activity and our customers’ activity together with the extraordinary volatility during certain periods within the year has driven our short-term liquidity needs significantly higher as compared to prior periods, though these levels declined meaningfully during the year relative to their peaks in the first quarter of 2020. In order to manage these increased daily funding obligations, we have taken steps to increase available short-term liquidity and to reduce our short term funding requirements. Increases to our available short-term liquidity included entering into the Founder Member Loan Facility (as defined below, and which expired in the third quarter of 2020), the Demand Loan (as defined below, which was fully repaid during the second quarter of 2020) and certain changes to the Committed Broker Dealer Facility, each of which are described in further detail below as well as in Note 11 "Borrowings" of Part II Item 8 “Financial Statements and Supplementary Data” of this Annual Report on Form 10-K. Steps taken to reduce our short-term funding requirements have included arranging for select clients trades to be cleared by another large financial institution, reducing limits on daily client trading activity on a client-by-client basis and selectively reducing our market making activities in certain asset classes or products.</w:t>
      </w:r>
    </w:p>
    <w:p>
      <w:pPr>
        <w:spacing w:after="0" w:line="217"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Based on our current level of operations and following the steps taken as detailed above,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long-term financial condition or long-term capital requirements.</w:t>
      </w:r>
    </w:p>
    <w:p>
      <w:pPr>
        <w:spacing w:after="0" w:line="2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7 "Tax Receivable Agreements" to the consolidated financial statements included in Part II Item 8 “Financial Statements and Supplementary Data” of this Annual Report on Form 10-K are expected to range from approximately $0.9 million to $21.7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and our third payment of $13.3 million in March 2020. Future payments under the tax receivable agreements in respect of subsequent exchanges would be in addition to these amounts. We currently expect to fund these payments from realized cash tax savings from the favorable tax attributes.</w:t>
      </w:r>
    </w:p>
    <w:p>
      <w:pPr>
        <w:spacing w:after="0" w:line="2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U.S. subsidiary is subject to separate regulation and capital requirements in the United States and other jurisdictions. Virtu Americas LLC is a registered U.S. broker-dealer, and its primary regulators include the SEC and FINRA.</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 subject to rules set forth by NYSE and is required to maintain a certain level of capital in connection with the operation of its designated market maker business.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Canadian subsidiaries, Virtu ITG Canada Corp. and Virtu Financial Canada ULC, are subject to regulatory capital requirements and periodic requirements to report their regulatory capital and submit other regulatory reports set forth by the IIIROC. VFIL and VIEL are regulated by the CBI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VIUK is regulated by the FCA in the United Kingdom and is subject to similar prudential capital requirements. Virtu ITG Australia Limited, Virtu ITG Hong Kong Limited, and Virtu ITG Singapore Pte Limited are also subject to local regulatory capital requirements and are regulated by the ASX, the SFC, and the MAS, respectively.</w:t>
      </w: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See Note 22 "Regulatory Requirement" of Part II Item 8 “Financial Statements and Supplementary Data” of this Annual Report on Form 10-K for a discussion of regulatory capital requirements of our regulated subsidiaries.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Broker Dealer Credit Facilities, Short-Term Bank Loans, and Prime Brokerage Credit Facilities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maintain various broker-dealer facilities and short-term credit facilities as part of our daily trading operations. See Note 11 "Borrowings" of Part II Item 8 “Financial Statements and Supplementary Data” of this Annual Report on Form 10-K for details on our various credit facilities. As of December 31, 2020, the outstanding principal balance on our broker-dealer facilities was $36.4 million and the outstanding aggregate short-term credit facilities with various prime brokers and other financial institutions from which the Company receives execution or clearing services was approximately $134.7 million, which was netted within Receivables from broker-dealers and clearing organizations on the Consolidated Statements of Financial Condition of Part II Item 8 “Financial Statements and Supplementary Data” of this Annual Report on Form 10-K.</w:t>
      </w:r>
    </w:p>
    <w:p>
      <w:pPr>
        <w:spacing w:after="0" w:line="2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as described below.</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If at any time during the term of the Founder Member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is $22.98, and the Warrant may be exercised to purchase up to 3,000,000 shares of the Company's Class A Common Stock on or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20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provided (i) a senior secured first lien term loan (the “First Lien Term Loan Facility”) in an aggregate principal amount of $1,500 million, drawn in its entirety on the ITG Closing Date, of which approximately $404.5 million was borrowed by VFH to repay all amounts outstanding under the Previous Term Loan Facility (as defined below)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1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October 9, 2019 (the “Amendment No. 1 Closing Date”), VFH entered into an amendment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paid related fees and expenses. The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ind w:right="280"/>
        <w:spacing w:after="0" w:line="282" w:lineRule="auto"/>
        <w:rPr>
          <w:sz w:val="20"/>
          <w:szCs w:val="20"/>
          <w:color w:val="auto"/>
        </w:rPr>
      </w:pPr>
      <w:r>
        <w:rPr>
          <w:rFonts w:ascii="Times New Roman" w:cs="Times New Roman" w:eastAsia="Times New Roman" w:hAnsi="Times New Roman"/>
          <w:sz w:val="18"/>
          <w:szCs w:val="18"/>
          <w:color w:val="auto"/>
        </w:rPr>
        <w:t>terms, conditions and covenants applicable to the Incremental Term Loans are the same as the terms, conditions and covenants applicable to the existing term loans under the Credit Agreement, including a maturity date of March 1, 2026.</w:t>
      </w:r>
    </w:p>
    <w:p>
      <w:pPr>
        <w:spacing w:after="0" w:line="18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On March 2, 2020 (the “Amendment No. 2 Closing Date”),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w:t>
      </w:r>
    </w:p>
    <w:p>
      <w:pPr>
        <w:spacing w:after="0" w:line="5"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1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Under the Amended Credit Agreement, the term loans will mature on March 1, 2026. The term loans amortize in annual installments equal to 1.0% of the original aggregate principal amount of the term loans. The revolving commitments will terminate on March 1,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In October 2019, we entered into a five-year $525.0 million floating-to-fixed interest rate swap agreement. In January 2020, we entered into a five-year $1,000.0 million floating-to-fixed interest rate swap agreement. These two interest rate swaps meet the criteria to be considered and were designated as qualifying cash flow hedges under ASC 815 in the first quarter of 2020, and they effectively fix interest payment obligations on $1,000.0 million and $525.0 million of principal under the First Lien Term Loan Facility at rates of 4.4% and 4.3% through January 2025 and September 2024, respectively, based on the interest rates set forth in the Amended Credit Agreement.</w:t>
      </w:r>
    </w:p>
    <w:p>
      <w:pPr>
        <w:spacing w:after="0" w:line="21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“Previous Term Loan Facility”). As described above, the Previous Term Loan Facility was fully terminated following its repayment in full with the proceeds of the First Lien Term Loan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applicable covenants under the Amended Credit Agreement as of December 31,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main sources of liquidity are cash flow from the operations of our subsidiaries, our broker-dealer credit facilities (as described above), margin financing provided by our prime brokers and cash on hand.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The table below summarizes our primary sources and uses of cash for the years ended December 31, 2020, 2019 and 2018.</w:t>
      </w:r>
    </w:p>
    <w:p>
      <w:pPr>
        <w:spacing w:after="0" w:line="286"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6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5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1,060,884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168,771</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714,595</w:t>
            </w:r>
          </w:p>
        </w:tc>
      </w:tr>
      <w:tr>
        <w:trPr>
          <w:trHeight w:val="189"/>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(899,643)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329,174</w:t>
            </w:r>
          </w:p>
        </w:tc>
      </w:tr>
      <w:tr>
        <w:trPr>
          <w:trHeight w:val="189"/>
        </w:trPr>
        <w:tc>
          <w:tcPr>
            <w:tcW w:w="5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769,580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(835,482)</w:t>
            </w:r>
          </w:p>
        </w:tc>
      </w:tr>
      <w:tr>
        <w:trPr>
          <w:trHeight w:val="189"/>
        </w:trPr>
        <w:tc>
          <w:tcPr>
            <w:tcW w:w="5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(5,127)</w:t>
            </w:r>
          </w:p>
        </w:tc>
      </w:tr>
      <w:tr>
        <w:trPr>
          <w:trHeight w:val="208"/>
        </w:trPr>
        <w:tc>
          <w:tcPr>
            <w:tcW w:w="5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233,725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203,160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$1,060.9 million for the year ended December 31, 2020, compared to net cash provided by operating activities of $168.8 million for the year ended December 31, 2019. The increase in net cash provided by operating activities was primarily attributable to increases in trading income, net for the year ended December 31, 2020 compared to the prior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$2.6 million for the year ended December 31, 2020, compared to net cash used in investing activities of $899.6 million for the year ended December 31, 2019. The decrease in cash used in investing activities for the year ended December 31, 2020 was primarily attributable to the $835.6 million cash used for the ITG Acquisition on the ITG Closing Date during the same period of 2019 (see Note 3 "ITG Acquisition" of Part II Item 8 “Financial Statements and Supplementary Data” of this Annual Report on Form 10-K), partially offset by $60.6 million cash provided by the sale of MATCHNow in the third quarter of 2020 (see Note 5 "Sale of MATCHNow" of Part II Item 8 “Financial Statements and Supplementary Data” of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$839.9 million for the year ended December 31, 2020, while net cash provided by financing activities was $769.6 million for the year ended December 31, 2019. The cash used in financing activities for the year ended December 31, 2020 was primarily attributable to $288.5 million in prepayments on our long-term borrowings and by distributions made to noncontrolling interests of $363.9 million. The cash provided by financing activities of $769.6 million during the same period of 2019 primarily reflects net proceeds from long-term borrowings associated with our entering into the Credit Agreement on the ITG Closing Date, as described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8, 2018, the Company’s Board of Directors authorized a share repurchase program of up to $50.0 million</w:t>
      </w:r>
    </w:p>
    <w:p>
      <w:pPr>
        <w:spacing w:after="0" w:line="2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in Class A Common Stock and Virtu Financial Units, which was expanded to $100.0 million on July 27, 2018. The Company repurchased approximately 2.6 million shares of Class A Common Stock and Virtu Financial Units for approximately $65.9 million under this program, which expired on September 30, 2019.</w:t>
      </w:r>
    </w:p>
    <w:p>
      <w:pPr>
        <w:spacing w:after="0" w:line="21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6, 2020, the Company's Board of Directors authorized a new share repurchase program of up to $100.0 million in Class A common stock and Virtu Financial Units by December 31, 2021. From the inception of the program through December 31, 2020, the Company repurchased approximately 1.4 million shares of Class A Common Stock and Virtu Financial Units for approximately $33.9 million. As of December 31, 2020, the Company has approximately of $66.1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 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21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contractual obligations as of December 31, 2020. Amounts we pay in future periods may vary from those reflected in the table.</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Payments due by periods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1"/>
                <w:szCs w:val="11"/>
                <w:color w:val="auto"/>
              </w:rPr>
            </w:pPr>
          </w:p>
        </w:tc>
        <w:tc>
          <w:tcPr>
            <w:tcW w:w="90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8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obligations (1)</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1,670,410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33,898</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1,636,512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leases</w:t>
            </w: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384,951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114,873</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2,067,608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81,364</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171,971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1,699,400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114,873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660" w:right="440" w:hanging="328"/>
        <w:spacing w:after="0" w:line="268"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Balances consist of principal payments under the First Lien Term Loan Facility and the SBI bonds, which do not include unamortized discount, unamortized commitment fees or utilization fees, and interest accrued.</w:t>
      </w:r>
    </w:p>
    <w:p>
      <w:pPr>
        <w:spacing w:after="0" w:line="16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contractual obligation table above excludes contractual amounts owed under the tax receivable agreement as the ultimate amount and timing of the amounts due are not presently known. As of December 31, 2020, a total of $271.2 million has been recorded for amounts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inflation has not had a material effect on our financial condition as of December 31, 2020, and December 31, 2019, or on our results of operations and cash flows for the years ended December 31, 2020, 2019 and 2018.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21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12 "Financial Assets and Liabilities" of Part II Item 8 “Financial Statements and Supplementary Data” of this Annual Report on Form 10-K for further information about fair value measurements.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Income, Net</w:t>
      </w:r>
    </w:p>
    <w:p>
      <w:pPr>
        <w:spacing w:after="0" w:line="2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Interest and Dividends Income/Interest and Dividends Expense</w:t>
      </w:r>
    </w:p>
    <w:p>
      <w:pPr>
        <w:spacing w:after="0" w:line="25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 net and Technology Services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w:t>
      </w:r>
    </w:p>
    <w:p>
      <w:pPr>
        <w:spacing w:after="0" w:line="21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Workflow technology revenues consist of order and trade execution management and order routing services we provide through our front-end workflow solutions and network capabilities.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207"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6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1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6" w:lineRule="exact"/>
        <w:rPr>
          <w:sz w:val="20"/>
          <w:szCs w:val="20"/>
          <w:color w:val="auto"/>
        </w:rPr>
      </w:pPr>
    </w:p>
    <w:p>
      <w:pPr>
        <w:ind w:left="1300" w:right="140" w:hanging="644"/>
        <w:spacing w:after="0" w:line="261"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220" w:hanging="644"/>
        <w:spacing w:after="0" w:line="260" w:lineRule="auto"/>
        <w:tabs>
          <w:tab w:leader="none" w:pos="12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2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RSUs or the exercise of stock options.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20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2"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accessing capital;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or other developments in equity and credit markets;</w:t>
      </w:r>
    </w:p>
    <w:p>
      <w:pPr>
        <w:spacing w:after="0" w:line="9" w:lineRule="exact"/>
        <w:rPr>
          <w:rFonts w:ascii="Times New Roman" w:cs="Times New Roman" w:eastAsia="Times New Roman" w:hAnsi="Times New Roman"/>
          <w:sz w:val="18"/>
          <w:szCs w:val="18"/>
          <w:color w:val="auto"/>
        </w:rPr>
      </w:pPr>
    </w:p>
    <w:p>
      <w:pPr>
        <w:ind w:left="660" w:right="100" w:firstLine="320"/>
        <w:spacing w:after="0" w:line="250" w:lineRule="auto"/>
        <w:tabs>
          <w:tab w:leader="none" w:pos="13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such as increases in raw materials, labor, or other costs that have a negative effect on earnings and cash flows;</w:t>
      </w:r>
    </w:p>
    <w:p>
      <w:pPr>
        <w:spacing w:after="0" w:line="9" w:lineRule="exact"/>
        <w:rPr>
          <w:rFonts w:ascii="Times New Roman" w:cs="Times New Roman" w:eastAsia="Times New Roman" w:hAnsi="Times New Roman"/>
          <w:sz w:val="18"/>
          <w:szCs w:val="18"/>
          <w:color w:val="auto"/>
        </w:rPr>
      </w:pPr>
    </w:p>
    <w:p>
      <w:pPr>
        <w:ind w:left="660" w:right="280" w:firstLine="320"/>
        <w:spacing w:after="0" w:line="250" w:lineRule="auto"/>
        <w:tabs>
          <w:tab w:leader="none" w:pos="13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 such as negative or declining cash flows or a decline in actual or planned revenue or earnings compared with actual and projected results of relevant prior periods;</w:t>
      </w:r>
    </w:p>
    <w:p>
      <w:pPr>
        <w:ind w:left="660" w:right="40" w:firstLine="320"/>
        <w:spacing w:after="0" w:line="260" w:lineRule="auto"/>
        <w:tabs>
          <w:tab w:leader="none" w:pos="13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entity-specific events such as changes in management, key personnel, strategy, or customers, contemplation of bankruptcy, or litigation.</w:t>
      </w:r>
    </w:p>
    <w:p>
      <w:pPr>
        <w:spacing w:after="0" w:line="20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assess goodwill for impairment on an annual basis as of July 1st and on an interim basis when certain events or circumstances exist. In the impairment assessment as of July 1, 2020, we performed a qualitative assessment as described above for each reporting unit. No impairment of goodwill was identified.</w:t>
      </w:r>
    </w:p>
    <w:p>
      <w:pPr>
        <w:spacing w:after="0" w:line="20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We test finite-lived intangible assets for impairment when impairment indicators are present, and if impaired, they are written down to fair value.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our consolidated financial statements, see Note 2 "Summary of Significant Accounting Policies" of Part II Item 8 “Financial Statements and Supplementary Data”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20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Market risk was elevated during the period, largely as a result of the COVID-19 pandemic and the governmental and other responses thereto.</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maintain inventories of exchange-listed and other equity securities, and to a lesser extent, fixed income securities and listed equity options. The fair value of these financial instruments at December 31, 2020 and December 31, 2019 was $3.1 billion and $2.8 billion, respectively, in long positions and $2.9 billion and $2.5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Interest Rate Risk, Derivative Instruments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21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Due from Broker-Dealers and Clearing Organizations</w:t>
      </w:r>
      <w:r>
        <w:rPr>
          <w:rFonts w:ascii="Times New Roman" w:cs="Times New Roman" w:eastAsia="Times New Roman" w:hAnsi="Times New Roman"/>
          <w:sz w:val="18"/>
          <w:szCs w:val="18"/>
          <w:color w:val="auto"/>
        </w:rPr>
        <w:t>. Management periodically evaluates our counterparty credit exposures to various brokers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clearing organizations with a view to limiting potential losses resulting from counterparty insolvency.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10"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Approximately 20.7% and 25.3% of our total revenues for the years ended December 31, 2020 and 2019, respectively, were denominated in non-U.S. Dollar currencies. We estimate that a hypothetical 10% adverse change in the value of the U.S. dollar relative to our foreign denominated earnings would have resulted in decreases in total revenues of $67.0 million and $38.4 million for the years ended December 31, 2020 and 2019, respectively.</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 Balance Sheet Risk</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49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r>
      <w:tr>
        <w:trPr>
          <w:trHeight w:val="43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Report of Independent Registered Public Accounting Firm</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79</w:t>
              </w:r>
            </w:hyperlink>
          </w:p>
        </w:tc>
        <w:tc>
          <w:tcPr>
            <w:tcW w:w="20" w:type="dxa"/>
            <w:vAlign w:val="bottom"/>
          </w:tcPr>
          <w:p>
            <w:pPr>
              <w:spacing w:after="0"/>
              <w:rPr>
                <w:sz w:val="24"/>
                <w:szCs w:val="24"/>
                <w:color w:val="auto"/>
              </w:rPr>
            </w:pPr>
          </w:p>
        </w:tc>
      </w:tr>
      <w:tr>
        <w:trPr>
          <w:trHeight w:val="45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Consolidated Statements of Financial Condition</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81</w:t>
              </w:r>
            </w:hyperlink>
          </w:p>
        </w:tc>
        <w:tc>
          <w:tcPr>
            <w:tcW w:w="20" w:type="dxa"/>
            <w:vAlign w:val="bottom"/>
          </w:tcPr>
          <w:p>
            <w:pPr>
              <w:spacing w:after="0"/>
              <w:rPr>
                <w:sz w:val="24"/>
                <w:szCs w:val="24"/>
                <w:color w:val="auto"/>
              </w:rPr>
            </w:pPr>
          </w:p>
        </w:tc>
      </w:tr>
      <w:tr>
        <w:trPr>
          <w:trHeight w:val="45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Consolidated Statements of Comprehensive Income (Loss)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83</w:t>
              </w:r>
            </w:hyperlink>
          </w:p>
        </w:tc>
        <w:tc>
          <w:tcPr>
            <w:tcW w:w="20" w:type="dxa"/>
            <w:vAlign w:val="bottom"/>
          </w:tcPr>
          <w:p>
            <w:pPr>
              <w:spacing w:after="0"/>
              <w:rPr>
                <w:sz w:val="24"/>
                <w:szCs w:val="24"/>
                <w:color w:val="auto"/>
              </w:rPr>
            </w:pPr>
          </w:p>
        </w:tc>
      </w:tr>
      <w:tr>
        <w:trPr>
          <w:trHeight w:val="45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Consolidated Statements of Changes in Equity</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84</w:t>
              </w:r>
            </w:hyperlink>
          </w:p>
        </w:tc>
        <w:tc>
          <w:tcPr>
            <w:tcW w:w="20" w:type="dxa"/>
            <w:vAlign w:val="bottom"/>
          </w:tcPr>
          <w:p>
            <w:pPr>
              <w:spacing w:after="0"/>
              <w:rPr>
                <w:sz w:val="24"/>
                <w:szCs w:val="24"/>
                <w:color w:val="auto"/>
              </w:rPr>
            </w:pPr>
          </w:p>
        </w:tc>
      </w:tr>
      <w:tr>
        <w:trPr>
          <w:trHeight w:val="45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Consolidated Statements of Cash Flows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84">
              <w:r>
                <w:rPr>
                  <w:rFonts w:ascii="Times New Roman" w:cs="Times New Roman" w:eastAsia="Times New Roman" w:hAnsi="Times New Roman"/>
                  <w:sz w:val="18"/>
                  <w:szCs w:val="18"/>
                  <w:u w:val="single" w:color="auto"/>
                  <w:color w:val="0000FF"/>
                </w:rPr>
                <w:t>86</w:t>
              </w:r>
            </w:hyperlink>
          </w:p>
        </w:tc>
        <w:tc>
          <w:tcPr>
            <w:tcW w:w="20" w:type="dxa"/>
            <w:vAlign w:val="bottom"/>
          </w:tcPr>
          <w:p>
            <w:pPr>
              <w:spacing w:after="0"/>
              <w:rPr>
                <w:sz w:val="24"/>
                <w:szCs w:val="24"/>
                <w:color w:val="auto"/>
              </w:rPr>
            </w:pPr>
          </w:p>
        </w:tc>
      </w:tr>
      <w:tr>
        <w:trPr>
          <w:trHeight w:val="459"/>
        </w:trPr>
        <w:tc>
          <w:tcPr>
            <w:tcW w:w="4920" w:type="dxa"/>
            <w:vAlign w:val="bottom"/>
          </w:tcPr>
          <w:p>
            <w:pPr>
              <w:ind w:left="4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Notes to Consolidated Financial Statements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88</w:t>
              </w:r>
            </w:hyperlink>
          </w:p>
        </w:tc>
        <w:tc>
          <w:tcPr>
            <w:tcW w:w="20" w:type="dxa"/>
            <w:vAlign w:val="bottom"/>
          </w:tcPr>
          <w:p>
            <w:pPr>
              <w:spacing w:after="0"/>
              <w:rPr>
                <w:sz w:val="24"/>
                <w:szCs w:val="24"/>
                <w:color w:val="auto"/>
              </w:rPr>
            </w:pPr>
          </w:p>
        </w:tc>
      </w:tr>
      <w:tr>
        <w:trPr>
          <w:trHeight w:val="878"/>
        </w:trPr>
        <w:tc>
          <w:tcPr>
            <w:tcW w:w="4920" w:type="dxa"/>
            <w:vAlign w:val="bottom"/>
          </w:tcPr>
          <w:p>
            <w:pPr>
              <w:spacing w:after="0"/>
              <w:rPr>
                <w:sz w:val="24"/>
                <w:szCs w:val="24"/>
                <w:color w:val="auto"/>
              </w:rPr>
            </w:pPr>
          </w:p>
        </w:tc>
        <w:tc>
          <w:tcPr>
            <w:tcW w:w="5100" w:type="dxa"/>
            <w:vAlign w:val="bottom"/>
          </w:tcPr>
          <w:p>
            <w:pPr>
              <w:jc w:val="right"/>
              <w:ind w:right="4210"/>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7" w:name="page78"/>
    <w:bookmarkEnd w:id="7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Virtu Financial,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condition of Virtu Financial, Inc. and its subsidiaries (the “Company”) as of December 31, 2020 and 2019, and the related consolidated statements of comprehensive income (loss), changes in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8" w:name="page79"/>
    <w:bookmarkEnd w:id="78"/>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Income, net (“</w:t>
      </w:r>
      <w:r>
        <w:rPr>
          <w:rFonts w:ascii="Times New Roman" w:cs="Times New Roman" w:eastAsia="Times New Roman" w:hAnsi="Times New Roman"/>
          <w:sz w:val="18"/>
          <w:szCs w:val="18"/>
          <w:color w:val="auto"/>
        </w:rPr>
        <w:t>Trading Income</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$2.493 billion of the Company’s Trading Income for the year ended December 31, 2020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Trading Income is a critical audit matter are the significant audit effort in performing procedures and evaluating audit evidence related to the transactions which comprise the trading income.</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calculation of Trading Income, including controls over the completeness, accuracy, existence, and valuation of trading assets and trading liabilities. These procedures also included, among others, testing of the inputs used by management in their trading income calculations and independently recalculating trading income. The procedures performed over testing of the inputs include (i) confirming a sample of trading assets, trading liabilities and cash (collectively the “equity value”) within each trading portfolio at the balance sheet date with external third parties; (ii) developing independent prices for a sample of trading assets and liabilities at the balance sheet date and comparing management’s prices to the independently developed prices (iii) testing a sample of purchases and sales throughout the year by agreeing the quantity and price to third-party documentation, and (iv) testing the equity value of a sample of trading portfolios throughout the year by comparing the amounts to third party clearing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732,164</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41,116</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1,425,016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1,928,763</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143,032</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1,684,006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1,318,584</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2,068,734</w:t>
            </w:r>
          </w:p>
        </w:tc>
        <w:tc>
          <w:tcPr>
            <w:tcW w:w="0" w:type="dxa"/>
            <w:vAlign w:val="bottom"/>
          </w:tcPr>
          <w:p>
            <w:pPr>
              <w:spacing w:after="0"/>
              <w:rPr>
                <w:sz w:val="1"/>
                <w:szCs w:val="1"/>
                <w:color w:val="auto"/>
              </w:rPr>
            </w:pPr>
          </w:p>
        </w:tc>
      </w:tr>
      <w:tr>
        <w:trPr>
          <w:trHeight w:val="21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696,956</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103,531</w:t>
            </w:r>
          </w:p>
        </w:tc>
        <w:tc>
          <w:tcPr>
            <w:tcW w:w="0" w:type="dxa"/>
            <w:vAlign w:val="bottom"/>
          </w:tcPr>
          <w:p>
            <w:pPr>
              <w:spacing w:after="0"/>
              <w:rPr>
                <w:sz w:val="1"/>
                <w:szCs w:val="1"/>
                <w:color w:val="auto"/>
              </w:rPr>
            </w:pPr>
          </w:p>
        </w:tc>
      </w:tr>
      <w:tr>
        <w:trPr>
          <w:trHeight w:val="162"/>
        </w:trPr>
        <w:tc>
          <w:tcPr>
            <w:tcW w:w="85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Property, equipment and capitalized software (net of accumulated depreciation of $455,961 and $457,229 as of December 31,</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113,590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116,089</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2020 and December 31, 2019,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314,526</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65"/>
        </w:trPr>
        <w:tc>
          <w:tcPr>
            <w:tcW w:w="85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Intangibles (net of accumulated amortization of $183,494 and $219,239 as of December 31, 2020 and December 31, 2019,</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529,638</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214,671</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($68,316 and $48,966, at fair value, as of December 31, 2020 and December 31, 2019, respectively)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317,747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252,640</w:t>
            </w:r>
          </w:p>
        </w:tc>
        <w:tc>
          <w:tcPr>
            <w:tcW w:w="0" w:type="dxa"/>
            <w:vAlign w:val="bottom"/>
          </w:tcPr>
          <w:p>
            <w:pPr>
              <w:spacing w:after="0"/>
              <w:rPr>
                <w:sz w:val="1"/>
                <w:szCs w:val="1"/>
                <w:color w:val="auto"/>
              </w:rPr>
            </w:pPr>
          </w:p>
        </w:tc>
      </w:tr>
      <w:tr>
        <w:trPr>
          <w:trHeight w:val="212"/>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9,965,798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9,609,370</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73,486</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1,600,099</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340,742</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826,750</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89,719</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2,497,958</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269,282</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399,168</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365,364</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1,639,280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1,917,866</w:t>
            </w: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8,380,434</w:t>
            </w:r>
          </w:p>
        </w:tc>
        <w:tc>
          <w:tcPr>
            <w:tcW w:w="0" w:type="dxa"/>
            <w:vAlign w:val="bottom"/>
          </w:tcPr>
          <w:p>
            <w:pPr>
              <w:spacing w:after="0"/>
              <w:rPr>
                <w:sz w:val="1"/>
                <w:szCs w:val="1"/>
                <w:color w:val="auto"/>
              </w:rPr>
            </w:pPr>
          </w:p>
        </w:tc>
      </w:tr>
      <w:tr>
        <w:trPr>
          <w:trHeight w:val="162"/>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125,627,277</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120,435,912 shares, Outstanding — 122,012,180 and 118,257,141 shares at December 31, 2020 and December 31, 2019,</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Class B common stock (par value $0.00001), Authorized — 175,000,000 and 175,000,000 shares, Issued and Outstanding — 0</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0 shares at December 31, 2020 and December 31, 2019, respectively</w:t>
            </w: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10,226,939 and 12,887,178 shares at December 31, 2020 and December 31, 2019, respectively</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5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December 31, 2020 and December 31, 2019, 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Treasury stock, at cost, 3,615,097 and 2,178,771 shares at December 31, 2020 and December 31, 2019, respectively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(55,005)</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1,077,398</w:t>
            </w:r>
          </w:p>
        </w:tc>
        <w:tc>
          <w:tcPr>
            <w:tcW w:w="0" w:type="dxa"/>
            <w:vAlign w:val="bottom"/>
          </w:tcPr>
          <w:p>
            <w:pPr>
              <w:spacing w:after="0"/>
              <w:rPr>
                <w:sz w:val="1"/>
                <w:szCs w:val="1"/>
                <w:color w:val="auto"/>
              </w:rPr>
            </w:pPr>
          </w:p>
        </w:tc>
      </w:tr>
      <w:tr>
        <w:trPr>
          <w:trHeight w:val="21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(90,374)</w:t>
            </w:r>
          </w:p>
        </w:tc>
        <w:tc>
          <w:tcPr>
            <w:tcW w:w="0" w:type="dxa"/>
            <w:vAlign w:val="bottom"/>
          </w:tcPr>
          <w:p>
            <w:pPr>
              <w:spacing w:after="0"/>
              <w:rPr>
                <w:sz w:val="1"/>
                <w:szCs w:val="1"/>
                <w:color w:val="auto"/>
              </w:rPr>
            </w:pPr>
          </w:p>
        </w:tc>
      </w:tr>
      <w:tr>
        <w:trPr>
          <w:trHeight w:val="219"/>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4"/>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1,468,540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5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386,498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1,855,038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5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9,965,798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9,609,370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60" w:type="dxa"/>
            <w:vAlign w:val="bottom"/>
            <w:gridSpan w:val="3"/>
          </w:tcPr>
          <w:p>
            <w:pPr>
              <w:jc w:val="center"/>
              <w:ind w:right="219"/>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7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35" w:lineRule="exact"/>
        <w:rPr>
          <w:sz w:val="20"/>
          <w:szCs w:val="20"/>
          <w:color w:val="auto"/>
        </w:rPr>
      </w:pPr>
    </w:p>
    <w:tbl>
      <w:tblPr>
        <w:tblLayout w:type="fixed"/>
        <w:tblInd w:w="84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6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Trading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2,493,248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912,316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1,266,682</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87,508</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184,339</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340,189</w:t>
            </w:r>
          </w:p>
        </w:tc>
      </w:tr>
      <w:tr>
        <w:trPr>
          <w:trHeight w:val="207"/>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3,239,331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1,517,492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1,878,718</w:t>
            </w:r>
          </w:p>
        </w:tc>
      </w:tr>
      <w:tr>
        <w:trPr>
          <w:trHeight w:val="219"/>
        </w:trPr>
        <w:tc>
          <w:tcPr>
            <w:tcW w:w="5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376,424</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176,120</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215,556</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141,814</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66,769</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61,154</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26,123</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23,357</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11,727</w:t>
            </w: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11,487</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Charges related to share based compensation at IPO</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6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71,800</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1,856,494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1,633,474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1,182,355</w:t>
            </w:r>
          </w:p>
        </w:tc>
      </w:tr>
      <w:tr>
        <w:trPr>
          <w:trHeight w:val="207"/>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1,382,837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696,363</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76,171</w:t>
            </w:r>
          </w:p>
        </w:tc>
      </w:tr>
      <w:tr>
        <w:trPr>
          <w:trHeight w:val="207"/>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1,120,913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620,192</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(330,751)</w:t>
            </w:r>
          </w:p>
        </w:tc>
      </w:tr>
      <w:tr>
        <w:trPr>
          <w:trHeight w:val="216"/>
        </w:trPr>
        <w:tc>
          <w:tcPr>
            <w:tcW w:w="5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35"/>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for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per share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121,692,443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113,918,103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100,875,793</w:t>
            </w:r>
          </w:p>
        </w:tc>
      </w:tr>
      <w:tr>
        <w:trPr>
          <w:trHeight w:val="219"/>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122,332,190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113,918,103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102,089,139</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620,192</w:t>
            </w:r>
          </w:p>
        </w:tc>
      </w:tr>
      <w:tr>
        <w:trPr>
          <w:trHeight w:val="21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w:t>
            </w:r>
          </w:p>
        </w:tc>
      </w:tr>
      <w:tr>
        <w:trPr>
          <w:trHeight w:val="213"/>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1,077,212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615,065</w:t>
            </w:r>
          </w:p>
        </w:tc>
      </w:tr>
      <w:tr>
        <w:trPr>
          <w:trHeight w:val="213"/>
        </w:trPr>
        <w:tc>
          <w:tcPr>
            <w:tcW w:w="6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(328,697)</w:t>
            </w:r>
          </w:p>
        </w:tc>
      </w:tr>
      <w:tr>
        <w:trPr>
          <w:trHeight w:val="237"/>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286,368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82" w:name="page83"/>
    <w:bookmarkEnd w:id="82"/>
    <w:p>
      <w:pPr>
        <w:ind w:left="26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2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9"/>
                <w:szCs w:val="9"/>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9"/>
                <w:szCs w:val="9"/>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4"/>
                <w:szCs w:val="4"/>
                <w:color w:val="auto"/>
              </w:rPr>
            </w:pPr>
          </w:p>
        </w:tc>
        <w:tc>
          <w:tcPr>
            <w:tcW w:w="760" w:type="dxa"/>
            <w:vAlign w:val="bottom"/>
            <w:gridSpan w:val="2"/>
            <w:vMerge w:val="restart"/>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760" w:type="dxa"/>
            <w:vAlign w:val="bottom"/>
            <w:gridSpan w:val="3"/>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Financial Inc.</w:t>
            </w:r>
          </w:p>
        </w:tc>
        <w:tc>
          <w:tcPr>
            <w:tcW w:w="100" w:type="dxa"/>
            <w:vAlign w:val="bottom"/>
          </w:tcPr>
          <w:p>
            <w:pPr>
              <w:spacing w:after="0"/>
              <w:rPr>
                <w:sz w:val="4"/>
                <w:szCs w:val="4"/>
                <w:color w:val="auto"/>
              </w:rPr>
            </w:pPr>
          </w:p>
        </w:tc>
        <w:tc>
          <w:tcPr>
            <w:tcW w:w="58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Non-</w:t>
            </w:r>
          </w:p>
        </w:tc>
        <w:tc>
          <w:tcPr>
            <w:tcW w:w="60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1"/>
        </w:trPr>
        <w:tc>
          <w:tcPr>
            <w:tcW w:w="15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vMerge w:val="continue"/>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8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70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2"/>
        </w:trPr>
        <w:tc>
          <w:tcPr>
            <w:tcW w:w="1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2017</w:t>
            </w:r>
          </w:p>
        </w:tc>
        <w:tc>
          <w:tcPr>
            <w:tcW w:w="6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90,415,532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17,880,239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79,610,490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(616,923)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(11,041)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900,746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(62,129)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830,569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321,009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$ 1,151,578</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Share based compensation</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1,027,861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34,909</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Class C</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(210,891)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(8,216)</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Treasury stock purchases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(1,007,230)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(1,561,848)</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(66,218)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exercised</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4,080,673</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76,754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76,754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76,754</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289,441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289,441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330,751</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620,192</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Foreign exchange translation</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(2,054)</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(5,127)</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adjustment</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Distribution from Virtu</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Financial to non-controlling</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(206,903)</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(206,903)</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(100,329)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(100,329)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(100,329)</w:t>
            </w: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Class A common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employee</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3,919,462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exchanges</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secondary</w:t>
            </w: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10,518,750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(10,518,750)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offering, net of offering costs</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Virtu Financial</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Units and corresponding</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number of Class C common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stock in connection with</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(3,919,462)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employee exchanges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tax receivable</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agreements in connection with</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employee exchange</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2018</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8"/>
              </w:rPr>
              <w:t>108,955,048</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13,749,886</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69,091,740</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(2,178,771)</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(55,005)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1,010,468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96,513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1,051,896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442,803</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$ 1,494,699</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Share based compensation</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2,226,676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72,381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72,381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72,381</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Class C</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Treasury stock purchases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(720,323)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(15,878)</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exercised</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121,344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(45,110)</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(103,705)</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Foreign exchange translation</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adjustment</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Distribution from Virtu</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Financial to non-controlling</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(99,221)</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(99,221)</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(112,414)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(112,414)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(112,414)</w:t>
            </w: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Class A common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employee</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853,167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exchanges</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secondary</w:t>
            </w: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9,000,000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(9,000,000)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offering, net of offering costs</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Virtu Financial</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Units and corresponding</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number of Class C common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stock in connection with</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(853,167)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employee exchanges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tax receivable</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agreements in connection with</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employee exchange</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2019</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8"/>
              </w:rPr>
              <w:t>120,435,912</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12,887,178</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60,091,740</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(2,178,771)</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(55,005)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1,077,398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(90,374)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931,374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297,562</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$ 1,228,936</w:t>
            </w:r>
          </w:p>
        </w:tc>
        <w:tc>
          <w:tcPr>
            <w:tcW w:w="0" w:type="dxa"/>
            <w:vAlign w:val="bottom"/>
          </w:tcPr>
          <w:p>
            <w:pPr>
              <w:spacing w:after="0"/>
              <w:rPr>
                <w:sz w:val="1"/>
                <w:szCs w:val="1"/>
                <w:color w:val="auto"/>
              </w:rPr>
            </w:pPr>
          </w:p>
        </w:tc>
      </w:tr>
      <w:tr>
        <w:trPr>
          <w:trHeight w:val="1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 based compensation</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2,489,483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56,629</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Class C</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Treasury stock purchases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(867,984)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(1,436,326)</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(49,864)</w:t>
            </w: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exercised</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909,627</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16,440</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Warrants issued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11,488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2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8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9"/>
                <w:szCs w:val="9"/>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68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6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80" w:type="dxa"/>
            <w:vAlign w:val="bottom"/>
          </w:tcPr>
          <w:p>
            <w:pPr>
              <w:spacing w:after="0"/>
              <w:rPr>
                <w:sz w:val="4"/>
                <w:szCs w:val="4"/>
                <w:color w:val="auto"/>
              </w:rPr>
            </w:pPr>
          </w:p>
        </w:tc>
        <w:tc>
          <w:tcPr>
            <w:tcW w:w="760" w:type="dxa"/>
            <w:vAlign w:val="bottom"/>
            <w:gridSpan w:val="2"/>
            <w:vMerge w:val="restart"/>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Other</w:t>
            </w:r>
          </w:p>
        </w:tc>
        <w:tc>
          <w:tcPr>
            <w:tcW w:w="760" w:type="dxa"/>
            <w:vAlign w:val="bottom"/>
            <w:gridSpan w:val="2"/>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Financial Inc.</w:t>
            </w:r>
          </w:p>
        </w:tc>
        <w:tc>
          <w:tcPr>
            <w:tcW w:w="680" w:type="dxa"/>
            <w:vAlign w:val="bottom"/>
            <w:gridSpan w:val="2"/>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Non-</w:t>
            </w:r>
          </w:p>
        </w:tc>
        <w:tc>
          <w:tcPr>
            <w:tcW w:w="60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1"/>
        </w:trPr>
        <w:tc>
          <w:tcPr>
            <w:tcW w:w="15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vMerge w:val="continue"/>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7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4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6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70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2"/>
        </w:trPr>
        <w:tc>
          <w:tcPr>
            <w:tcW w:w="15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649,197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CCEEFF"/>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649,197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471,716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1,120,913</w:t>
            </w: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Foreign exchange translation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8,604</w:t>
            </w:r>
          </w:p>
        </w:tc>
        <w:tc>
          <w:tcPr>
            <w:tcW w:w="8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8,604</w:t>
            </w: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6,714</w:t>
            </w: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15,318</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adjustment</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Net change in unrealized cash</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(33,444)</w:t>
            </w: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(33,444)</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(25,575)</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(59,019)</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flow hedges gains (losses)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Distribution from Virtu</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Financial to non-controlling</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(363,919)</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(363,919)</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(120,496)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(120,496)</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(120,496)</w:t>
            </w: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Class A common</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employee</w:t>
            </w:r>
          </w:p>
        </w:tc>
        <w:tc>
          <w:tcPr>
            <w:tcW w:w="6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2,660,239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exchanges</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Common Stock in</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connection with secondary</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offering, net of offering costs</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Repurchase of Virtu Financial</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Units and corresponding</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number of Class C common</w:t>
            </w: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stock in connection with</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(2,660,239)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employee exchanges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Issuance of tax receivable</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agreements in connection with</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0" w:type="dxa"/>
            <w:vAlign w:val="bottom"/>
          </w:tcPr>
          <w:p>
            <w:pPr>
              <w:spacing w:after="0"/>
              <w:rPr>
                <w:sz w:val="1"/>
                <w:szCs w:val="1"/>
                <w:color w:val="auto"/>
              </w:rPr>
            </w:pPr>
          </w:p>
        </w:tc>
      </w:tr>
      <w:tr>
        <w:trPr>
          <w:trHeight w:val="140"/>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employee exchange</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8"/>
              </w:rPr>
              <w:t>125,627,277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10,226,939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60,091,740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(3,615,097)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 (88,923)</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$ 1,160,567</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$422,381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(25,487)</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1,468,540</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386,498</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$ 1,855,038</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1,120,913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(103,705)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620,192</w:t>
            </w:r>
          </w:p>
        </w:tc>
      </w:tr>
      <w:tr>
        <w:trPr>
          <w:trHeight w:val="216"/>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61,154</w:t>
            </w: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74,254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26,123</w:t>
            </w:r>
          </w:p>
        </w:tc>
      </w:tr>
      <w:tr>
        <w:trPr>
          <w:trHeight w:val="189"/>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10,645</w:t>
            </w: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10,419</w:t>
            </w:r>
          </w:p>
        </w:tc>
      </w:tr>
      <w:tr>
        <w:trPr>
          <w:trHeight w:val="189"/>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23,357</w:t>
            </w: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59,838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31,934</w:t>
            </w:r>
          </w:p>
        </w:tc>
      </w:tr>
      <w:tr>
        <w:trPr>
          <w:trHeight w:val="189"/>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4,131</w:t>
            </w: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Gain on sale of business as described in Notes 4 and 5</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(335,211)</w:t>
            </w:r>
          </w:p>
        </w:tc>
      </w:tr>
      <w:tr>
        <w:trPr>
          <w:trHeight w:val="189"/>
        </w:trPr>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7,677</w:t>
            </w:r>
          </w:p>
        </w:tc>
      </w:tr>
      <w:tr>
        <w:trPr>
          <w:trHeight w:val="189"/>
        </w:trPr>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Changes in operating assets and liabilities </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borrowed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503,747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71,488</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120,166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(15,475)</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(111,344)</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72,701</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(18,087)</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39,659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125,272</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Securities loaned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375,352</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120,493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(108,781)</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(148,764)</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Payables to customers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(28,875)</w:t>
            </w:r>
          </w:p>
        </w:tc>
      </w:tr>
      <w:tr>
        <w:trPr>
          <w:trHeight w:val="18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425,750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90,797</w:t>
            </w:r>
          </w:p>
        </w:tc>
      </w:tr>
      <w:tr>
        <w:trPr>
          <w:trHeight w:val="189"/>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81,954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(50,110)</w:t>
            </w:r>
          </w:p>
        </w:tc>
      </w:tr>
      <w:tr>
        <w:trPr>
          <w:trHeight w:val="183"/>
        </w:trPr>
        <w:tc>
          <w:tcPr>
            <w:tcW w:w="7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1,060,884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714,595</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(21,482)</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(26,467)</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sale of telecommunication assets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sale of business as described in Notes 4 and 5</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60,592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400,192</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ITG Acquisition, net of cash acquired, described in Note 3</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(23,669)</w:t>
            </w:r>
          </w:p>
        </w:tc>
      </w:tr>
      <w:tr>
        <w:trPr>
          <w:trHeight w:val="183"/>
        </w:trPr>
        <w:tc>
          <w:tcPr>
            <w:tcW w:w="7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(899,643)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329,174</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Distribution from Virtu Financial to non-controlling interest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(363,919)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(206,903)</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(100,329)</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(8,216)</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(66,218)</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 options exercised</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76,754</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(12,359)</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in connection with secondary offering, net of offering costs</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83"/>
        </w:trPr>
        <w:tc>
          <w:tcPr>
            <w:tcW w:w="704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(839,918)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769,580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(835,482)</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233,725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203,160</w:t>
            </w:r>
          </w:p>
        </w:tc>
      </w:tr>
      <w:tr>
        <w:trPr>
          <w:trHeight w:val="189"/>
        </w:trPr>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773,280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736,047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532,887</w:t>
            </w:r>
          </w:p>
        </w:tc>
      </w:tr>
      <w:tr>
        <w:trPr>
          <w:trHeight w:val="208"/>
        </w:trPr>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1,007,005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736,047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173,645</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205,433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139,412</w:t>
            </w: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248,532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93,991</w:t>
            </w:r>
          </w:p>
        </w:tc>
      </w:t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r>
      <w:tr>
        <w:trPr>
          <w:trHeight w:val="216"/>
        </w:trPr>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receivable agreement described in Note 7</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r>
    </w:tbl>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(1) Net of ITG Acquisition for the three months ended March 31, 2019;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003415" cy="1117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3415" cy="111760"/>
                    </a:xfrm>
                    <a:prstGeom prst="rect">
                      <a:avLst/>
                    </a:prstGeom>
                    <a:noFill/>
                  </pic:spPr>
                </pic:pic>
              </a:graphicData>
            </a:graphic>
          </wp:anchor>
        </w:drawing>
      </w:r>
    </w:p>
    <w:p>
      <w:pPr>
        <w:spacing w:after="0" w:line="26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shares and per share amounts, unless otherwise noted)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2020, VFI owned approximately 64.1% of the membership interests of Virtu Financial. VFI is the sole managing member of Virtu Financial and operates and controls all of the businesses and affairs of Virtu Financial and its subsidiaries (the “Group”).</w:t>
      </w:r>
    </w:p>
    <w:p>
      <w:pPr>
        <w:spacing w:after="0" w:line="19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has completed two significant acquisitions over the past four years that have expanded and complemented Virtu Financial's original electronic trading and marking making business. On July 20, 2017 (the “KCG Closing Date”), the Company completed the all-cash acquisition of KCG Holdings, Inc. (“KCG”) (the “Acquisition of KCG”). On March 1, 2019 (the “ITG Closing Date”), the Company completed the acquisition of Investment Technology Group, Inc. and its subsidiaries (“ITG”) in an all-cash transaction valued at $30.30 per ITG share, for a total of approximately $1.0 billion (the “ITG Acquisition”). ITG was a global financial technology company. ITG's business contributes to the Company's Execution Services segment. See Note 3 "ITG Acquisition" for further details.</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Virtu Financial’s principal U.S. subsidiary is Virtu Americas LLC (“VAL”), which is a U.S. broker-dealer. As part of the Company's integration efforts, the Company consolidated the operations of its other historical U.S. broker-dealer subsidiaries. Specifically, the broker-dealer activities of Virtu Financial BD LLC and Virtu Financial Capital Markets LLC were consolidated within VAL as of December 31, 2019 and the SEC registrations were withdrawn in March 2020. The Company consolidated the broker-dealer activities of Virtu ITG LLC ("VITG") and Virtu Alternet Securities within VAL as of June 1, 2020 and the SEC registrations were withdrawn in August 2020.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UK Limited,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1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 See Note 23 "Geographic Information and Business Segments" for a further discussion of the Company’s segments.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Form of Presentation</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presented in U.S. dollars, have been prepared pursuant to the rules and regulations of the U.S. Securities and Exchange Commission (“SEC”) regarding financial reporting with respect to Form 10-K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results for the periods presented. The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20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Effective for the quarter ended June 30, 2020, the Company has changed the presentation of its Consolidated Statements of Comprehensive Income. As a result, the Company made the following reclassifications to prior period amounts to be consistent with current period presentation. For the years ended December 31, 2019 and 2018, the Company reclassified $102.1 million and $74.6 million, respectively, of Payments for order flow to Brokerage, exchange, clearance fees and payments for order flow, net, previously reported as Payments for order flow and Brokerage, exchange and clearance fees, net, respectively. Brokerage, exchange and clearance fees, net and Payments for order flow both represent costs associated with transacting trades. For the year ended December 31, 2019, the Company reclassified $12.6 million of sublease income from Other, net within Total revenues to net with other occupancy costs recorded in Operations and administrative within Operating expenses.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conformity with U.S. GAAP, which require management to make estimates and assumptions regarding measurements including the fair value of trading assets and liabilities, allowance for doubtful accounts,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grants restricted stock awards ("RSAs") and restricted stock units (“RSUs”), certain of which entitle recipients to receive nonforfeitable dividends during the vesting period on a basis equivalent to the dividends paid to holders of 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or proprietary accounts of broker-dealers, (ii) funds 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Borrowed and Securities Loaned</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Purchased Under Agreements to Resell and Securities Sold Under Agreements to Repurchase</w:t>
      </w:r>
    </w:p>
    <w:p>
      <w:pPr>
        <w:spacing w:after="0" w:line="25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from/Payables to Broker-dealers and Clearing Organizations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21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Owned Including Those Pledged as Collateral and Financial Instruments Sold, Not Yet Purchased</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based on inputs: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52"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 Trading</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Consolidated Statements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210" w:lineRule="exact"/>
        <w:rPr>
          <w:sz w:val="20"/>
          <w:szCs w:val="20"/>
          <w:color w:val="auto"/>
        </w:rPr>
      </w:pPr>
    </w:p>
    <w:p>
      <w:pPr>
        <w:ind w:right="720" w:firstLine="648"/>
        <w:spacing w:after="0" w:line="312" w:lineRule="auto"/>
        <w:rPr>
          <w:sz w:val="20"/>
          <w:szCs w:val="20"/>
          <w:color w:val="auto"/>
        </w:rPr>
      </w:pPr>
      <w:r>
        <w:rPr>
          <w:rFonts w:ascii="Times New Roman" w:cs="Times New Roman" w:eastAsia="Times New Roman" w:hAnsi="Times New Roman"/>
          <w:sz w:val="17"/>
          <w:szCs w:val="17"/>
          <w:color w:val="auto"/>
        </w:rPr>
        <w:t>The Company presents its trading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 Hedging</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use derivative instruments for risk management purposes, including cash flow hedges used to manage interest rate risk on long-term borrowings and net investment hedges used to manage foreign exchange risk. The Company has entered into floating-to-fixed interest rate swap agreements in order to manage interest rate risk associated with its long-term debt obligations. Additionally, the Company may seek to reduce the impact of fluctuations in foreign exchange rates on its net investment in certain non-U.S. operations through the use of foreign currency forward contracts. For interest rate swap agreements and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Consolidated Statements of Financial Condition and Other comprehensive income on the Consolidated Statements of Comprehensive Income. The ineffective portion, if any, is recorded in Other, net on the Consolidated Statements of Comprehensive Income.</w:t>
      </w:r>
    </w:p>
    <w:p>
      <w:pPr>
        <w:spacing w:after="0" w:line="2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Consolidated Statements of Financial Condition. Cash flows associated with such derivative activities are included in cash flows from operating activities on the Consolidated Statements of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25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arrangement. Operating leases are included in Operating lease right-of-use ("ROU") assets and Operating lease liabilities on the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Consolidated Statements of Comprehensive Income. Lease expense related to the leasing of data centers and other technology is recorded in Communication and Data Processing on the Consolidated Statements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Consolidated Statements of Comprehensive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on July 1 and on an interim basis when certain events occur or certain circumstances exist. In the impairment assessment as of July 1, 2020, the Company assessed qualitative factors as described in ASC 350-20 for each of its reporting units for any indicators that the fair values of the reporting units were less than their carrying values. No impairment was identified.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Memberships and Stock</w:t>
      </w:r>
    </w:p>
    <w:p>
      <w:pPr>
        <w:spacing w:after="0" w:line="256"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Exchange memberships are recorded at cost or, if any other than temporary impairment in value has occurred, at a value that reflects management’s estimate of fair value. Exchange stock includes shares that entitle the Company to certain trading privileges.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Income, net</w:t>
      </w:r>
    </w:p>
    <w:p>
      <w:pPr>
        <w:spacing w:after="0" w:line="25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 net and Technology Services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Dividends Income/Interest and Dividends Expense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Exchange, Clearance Fees and Payments for Order Flow, Net</w:t>
      </w:r>
    </w:p>
    <w:p>
      <w:pPr>
        <w:spacing w:after="0" w:line="256" w:lineRule="exact"/>
        <w:rPr>
          <w:sz w:val="20"/>
          <w:szCs w:val="20"/>
          <w:color w:val="auto"/>
        </w:rPr>
      </w:pPr>
    </w:p>
    <w:p>
      <w:pPr>
        <w:jc w:val="both"/>
        <w:ind w:right="260" w:firstLine="648"/>
        <w:spacing w:after="0" w:line="272" w:lineRule="auto"/>
        <w:rPr>
          <w:sz w:val="20"/>
          <w:szCs w:val="20"/>
          <w:color w:val="auto"/>
        </w:rPr>
      </w:pPr>
      <w:r>
        <w:rPr>
          <w:rFonts w:ascii="Times New Roman" w:cs="Times New Roman" w:eastAsia="Times New Roman" w:hAnsi="Times New Roman"/>
          <w:sz w:val="17"/>
          <w:szCs w:val="17"/>
          <w:color w:val="auto"/>
        </w:rPr>
        <w:t>Brokerage, exchange, clearance fees and payments for order flow, net, comprise the costs of executing and clearing trades and are accrued on a trade date basis in the Consolidated Statements of Comprehensive Income. These costs are net of rebates, which consist of volume discounts, credits or payments received from exchanges or other marketplaces related to the placement and/or removal of liquidity from the order flow in the marketplace.</w:t>
      </w:r>
    </w:p>
    <w:p>
      <w:pPr>
        <w:spacing w:after="0" w:line="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Rebates are recorded on an accrual basis. Payments for order flow represent payments to broker-dealer clients, in the normal course of business, for directing their order flow in U.S. equities to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 comprises current tax and deferred tax. Current tax represents the tax on current year tax returns, using tax rates enacted at the balance sheet date. Deferred tax assets are recognized in full and then reduced by a valuation allowance if it is more likely than not that some or all of the deferred tax assets will not be recognized.</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(“OCI”). The Company’s OCI comprises foreign currency translation adjustments and mark-to-market gains and losses on the Company's derivative instruments designated as hedging instruments under ASC 815.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component of stockholders’ equity. 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214"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included in Accumulated other comprehensive income on the Consolidated Statements of Financial Condition and Other comprehensive income on the Consolidated Statements of Comprehensive Income, to the extent they are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RSAs and RSUs, as applicable.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8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0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December 31, 2020, the Company held noncontrolling interests of 10% and 50%, respectively, in these JVs.</w:t>
      </w:r>
    </w:p>
    <w:p>
      <w:pPr>
        <w:spacing w:after="0" w:line="20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interest in a JV that offers derivatives trading technology and execution services to broker-dealers, professional traders and select hedge funds. As of December 31, 2020, the Company held approximately a 10% noncontrolling interest in this JV.</w:t>
      </w:r>
    </w:p>
    <w:p>
      <w:pPr>
        <w:spacing w:after="0" w:line="189"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interest in a JV that is developing a member-owned equities exchange with the goal of increasing competition and transparency, while reducing fixed costs and simplifying execution of equity trading in the U.S. As of December 31, 2020, the Company held approximately a 14.1% noncontrolling interest in this JV.</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JV within Accounts payable, accrued expenses and other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liabilities on the Consolidated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2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exposure to the obligations of these VIEs is generally limited to its interests in each respective JV, which is the carrying value of the equity investment in each JV.</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December 31, 2020:</w:t>
      </w:r>
    </w:p>
    <w:p>
      <w:pPr>
        <w:spacing w:after="0" w:line="313"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December 31, 2019:</w:t>
      </w:r>
    </w:p>
    <w:p>
      <w:pPr>
        <w:spacing w:after="0" w:line="367"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28,579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119,051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 In August 2018, the FASB issued ASU 2018-13,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8"/>
          <w:szCs w:val="18"/>
          <w:color w:val="auto"/>
        </w:rPr>
        <w:t>, which modified the disclosure requirements on fair value measurements in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820, Fair 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this ASU on January 1, 2020. The updated disclosures are included in Note 12 "Financial Assets and Liabilities".</w:t>
      </w:r>
    </w:p>
    <w:p>
      <w:pPr>
        <w:spacing w:after="0" w:line="21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w:t>
      </w:r>
      <w:r>
        <w:rPr>
          <w:rFonts w:ascii="Times New Roman" w:cs="Times New Roman" w:eastAsia="Times New Roman" w:hAnsi="Times New Roman"/>
          <w:sz w:val="18"/>
          <w:szCs w:val="18"/>
          <w:color w:val="auto"/>
        </w:rPr>
        <w:t>- In October 2018, the FASB issued ASU 2018-17,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Consolidation (Topic 810): Targeted Improvements to Related Party Guidance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for Variable Interest Entities</w:t>
      </w:r>
      <w:r>
        <w:rPr>
          <w:rFonts w:ascii="Times New Roman" w:cs="Times New Roman" w:eastAsia="Times New Roman" w:hAnsi="Times New Roman"/>
          <w:sz w:val="18"/>
          <w:szCs w:val="18"/>
          <w:color w:val="auto"/>
        </w:rPr>
        <w:t>, which modified how VIEs are assessed for consolidation purposes under ASC Topic 810, Consolidation. Under the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interests held through related parties in common control arrangements should be considered on a proportional basis for determining whether fees paid to decision makers and service providers are variable interests. The Company adopted this ASU on January 1, 2020, and it did not have a material impact on its consolidated financial statements.</w:t>
      </w:r>
    </w:p>
    <w:p>
      <w:pPr>
        <w:spacing w:after="0" w:line="20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Measurement of Credit Losses on Financial Instruments </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(Topic 326) -Measurement of Credit Losses on Financial Instruments</w:t>
      </w:r>
      <w:r>
        <w:rPr>
          <w:rFonts w:ascii="Times New Roman" w:cs="Times New Roman" w:eastAsia="Times New Roman" w:hAnsi="Times New Roman"/>
          <w:sz w:val="18"/>
          <w:szCs w:val="18"/>
          <w:color w:val="auto"/>
        </w:rPr>
        <w:t>. This ASU amends several aspects of the measurement of credit losses on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previous U.S. GAAP.</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adopted this ASU on January 1, 2020 using the modified retrospective method of adoption. The ASU impacts only those financial instruments that are carried by the Company at amortized cost such as collateralized financing arrangements (repurchase agreements and securities borrowing/ lending transactions) and receivables from customers, broker-dealers and clearing organizations. The adoption of this ASU did not have a material impact to the Company's financial condition, results of operations or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applied the collateral maintenance practical expedient to its collateralized financing arrangements, including Securities borrowed and Securities purchased under agreements to resell, which are subject to collateral maintenance provisions where the borrower is required to continually adjust the amount of collateral securing the financial asset as a result of changes in the fair value of the collateral. Interest accrued on Securities borrowed is recorded in Other assets on the Consolidated Statements of Financial Condition. When the fair value of the collateral is less than the amortized cost basis of the financial assets, the Company evaluates whether an allowance for credit losses is necessary for the unsecured amount of the amortized cost basis, limited to the difference between the fair value of the collateral at the reporting date and the amortized cost basis of the financial assets.</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Financial assets measured at amortized cost that are not eligible for the collateral maintenance practical expedient consist of commissions and fees receivable due from customers, recorded in Receivables from customers on the Consolidated Statements of Financial Condition, commissions and fees receivable due from broker-dealers and clearing organizations, unsettled trades and securities failed to deliver, recorded in Receivables from broker-dealers and clearing organizations on the Consolidated Statements of Financial Condition, as well as any unsecured amounts for instruments applying the practical expedient. The Company continually monitors collections and payments from its clients and maintains an allowance for doubtful accounts. The allowance is based on an estimate of the amount of potential credit losses in existing receivables. The Company determines this allowance based on a review of aging schedules and past due balances, and considers the short-term nature of credit exposure, counterparty credit quality, historical experience and current customer and economic conditions. The provision is recorded as bad debt expense within Operations and administrative expenses on the Consolidated Statements of Comprehensive Income. The allowance was immaterial as of December 31, 2020.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 as of December 31, 2020</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 December 2019, the FASB issued ASU 2019-12,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removes certain exceptions related to the approach for intraperiod tax allocation, the methodology for calculating 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ASU is effective for periods beginning after December 15, 2020, including interim periods within that fiscal year; early adoption is permitted. Most amendments within the ASU are required to be applied on a prospective basis, while certain amendments must be applied on a retrospective or modified retrospective basis. The Company does not expect the new standard to have a material impact on its Consolidated Financial Statements and related disclosures.</w:t>
      </w:r>
    </w:p>
    <w:p>
      <w:pPr>
        <w:spacing w:after="0" w:line="21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Reference Rate Reform </w:t>
      </w:r>
      <w:r>
        <w:rPr>
          <w:rFonts w:ascii="Times New Roman" w:cs="Times New Roman" w:eastAsia="Times New Roman" w:hAnsi="Times New Roman"/>
          <w:sz w:val="18"/>
          <w:szCs w:val="18"/>
          <w:color w:val="auto"/>
        </w:rPr>
        <w:t>- In March 2020, the FASB issued ASU 2020-04,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Reference Rate Reform on Financial Reporting</w:t>
      </w:r>
      <w:r>
        <w:rPr>
          <w:rFonts w:ascii="Times New Roman" w:cs="Times New Roman" w:eastAsia="Times New Roman" w:hAnsi="Times New Roman"/>
          <w:sz w:val="18"/>
          <w:szCs w:val="18"/>
          <w:color w:val="auto"/>
        </w:rPr>
        <w:t>, which is designed to ease the potential burden in accounting for the transition away from LIBOR.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applies to 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The Company is evaluating the impact of the ASU, but does not expect it to have a material impact on its Consolidated Financial Statements and related disclosures.</w:t>
      </w:r>
    </w:p>
    <w:p>
      <w:pPr>
        <w:spacing w:after="0" w:line="210"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Instruments </w:t>
      </w:r>
      <w:r>
        <w:rPr>
          <w:rFonts w:ascii="Times New Roman" w:cs="Times New Roman" w:eastAsia="Times New Roman" w:hAnsi="Times New Roman"/>
          <w:sz w:val="18"/>
          <w:szCs w:val="18"/>
          <w:color w:val="auto"/>
        </w:rPr>
        <w:t>- In August 2020, the FASB issued ASU 2020-06,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and Derivatives and Hedging - Contracts in Entity's Own Equity (Subtopic 815-40). </w:t>
      </w:r>
      <w:r>
        <w:rPr>
          <w:rFonts w:ascii="Times New Roman" w:cs="Times New Roman" w:eastAsia="Times New Roman" w:hAnsi="Times New Roman"/>
          <w:sz w:val="18"/>
          <w:szCs w:val="18"/>
          <w:color w:val="auto"/>
        </w:rPr>
        <w:t>The ASU simplifies accounting for certain financial instruments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liabilities and equity, including convertible instruments and contracts in an entity's own equity and updates selected EPS guidance. The ASU is effective for periods beginning after December 15, 2021. The Company is currently evaluating the impact of the new standard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ITG Acquisition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(as amended from time to time, the “Credit Agreement”), with the lenders party thereto, Jefferies Finance LLC, as administrative agent and Jefferies Finance LLC and RBC Capital Markets, as joint lead arrangers and joint bookrunners. The Credit Agreement provided (i) a senior secured first lien term loan in an aggregate principal amount of $1,500.0 million,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The Credit Agreement was subsequently amended as described further in Note 11 "Borrowings".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 of the ITG Acquisition</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ITG Acquisition has been accounted for as a business combination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year ended December 31, 2019 comprise the results of the Company for the entire applicable period and the results of ITG from the ITG Closing Date through December 31, 2019. All periods prior to the ITG Closing Date comprise solely the results of the Company.</w:t>
      </w:r>
    </w:p>
    <w:p>
      <w:pPr>
        <w:spacing w:after="0" w:line="212"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Consolidated Statements of Comprehensive Income for the year ended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goodwill</w:t>
      </w:r>
    </w:p>
    <w:p>
      <w:pPr>
        <w:spacing w:after="0" w:line="25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aggregate cash purchase price of approximately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purchase price was allocated to the assets acquired and liabilities assumed using their fair values at the ITG Closing Date,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2460" w:type="dxa"/>
        <w:tblCellMar>
          <w:top w:w="0" w:type="dxa"/>
          <w:left w:w="0" w:type="dxa"/>
          <w:bottom w:w="0" w:type="dxa"/>
          <w:right w:w="0" w:type="dxa"/>
        </w:tblCellMar>
      </w:tblPr>
      <w:tr>
        <w:trPr>
          <w:trHeight w:val="195"/>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Adjusted Purchase Price</w:t>
            </w:r>
          </w:p>
        </w:tc>
      </w:tr>
      <w:tr>
        <w:trPr>
          <w:trHeight w:val="188"/>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equivalents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197,072</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securities segregated under federal regulations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14,232</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13,182</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328,112</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122,697</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46,408</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517,200</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17,605</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100,285</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31,652</w:t>
            </w:r>
          </w:p>
        </w:tc>
      </w:tr>
      <w:tr>
        <w:trPr>
          <w:trHeight w:val="182"/>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1,388,968</w:t>
            </w: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18,651</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17,663</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152,043</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customers</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116,419</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 and accrued expenses and other liabilities</w:t>
            </w: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178,893</w:t>
            </w: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99,693</w:t>
            </w:r>
          </w:p>
        </w:tc>
      </w:tr>
      <w:tr>
        <w:trPr>
          <w:trHeight w:val="189"/>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71,053</w:t>
            </w:r>
          </w:p>
        </w:tc>
      </w:tr>
      <w:tr>
        <w:trPr>
          <w:trHeight w:val="182"/>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654,426</w:t>
            </w: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r>
      <w:tr>
        <w:trPr>
          <w:trHeight w:val="182"/>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identified assets acquired, net of assumed liabilities</w:t>
            </w:r>
          </w:p>
        </w:tc>
        <w:tc>
          <w:tcPr>
            <w:tcW w:w="1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734,542</w:t>
            </w: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189"/>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312,343</w:t>
            </w: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r>
      <w:tr>
        <w:trPr>
          <w:trHeight w:val="183"/>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Purchase Price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1,046,885</w:t>
            </w: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allocated to intangible assets, the amortization period and goodwill were as follows:</w:t>
      </w:r>
    </w:p>
    <w:p>
      <w:pPr>
        <w:spacing w:after="0" w:line="2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3"/>
                <w:szCs w:val="13"/>
                <w:color w:val="auto"/>
              </w:rPr>
            </w:pPr>
          </w:p>
        </w:tc>
        <w:tc>
          <w:tcPr>
            <w:tcW w:w="12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2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83"/>
        </w:trPr>
        <w:tc>
          <w:tcPr>
            <w:tcW w:w="2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76,000</w:t>
            </w: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437,600</w:t>
            </w:r>
          </w:p>
        </w:tc>
        <w:tc>
          <w:tcPr>
            <w:tcW w:w="17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7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2"/>
        </w:trPr>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517,200</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312,343</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829,543</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The total goodwill of $312.3 million was assigned to the Execution Services segment. Such goodwill is attributable to the expansion of product offerings and expected synergies of the combined workforce, products and technologies of the Company and ITG.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Equity Compensation Plan</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 a Registration Statement on Form S-8 on the ITG Closing Date to register such shares of Class 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treatment of the ITG Acquisition</w:t>
      </w:r>
    </w:p>
    <w:p>
      <w:pPr>
        <w:spacing w:after="0" w:line="25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ITG Acquisition is being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20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15 "Income Taxes".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254" w:lineRule="exact"/>
        <w:rPr>
          <w:sz w:val="20"/>
          <w:szCs w:val="20"/>
          <w:color w:val="auto"/>
        </w:rPr>
      </w:pPr>
    </w:p>
    <w:p>
      <w:pPr>
        <w:ind w:right="2240" w:firstLine="648"/>
        <w:spacing w:after="0" w:line="282" w:lineRule="auto"/>
        <w:rPr>
          <w:sz w:val="20"/>
          <w:szCs w:val="20"/>
          <w:color w:val="auto"/>
        </w:rPr>
      </w:pPr>
      <w:r>
        <w:rPr>
          <w:rFonts w:ascii="Times New Roman" w:cs="Times New Roman" w:eastAsia="Times New Roman" w:hAnsi="Times New Roman"/>
          <w:sz w:val="18"/>
          <w:szCs w:val="18"/>
          <w:color w:val="auto"/>
        </w:rPr>
        <w:t>Included in the Company’s results for the year ended December 31, 2019 are results from the business acquired as a result of the ITG Acquisition, from the ITG Closing Date through December 31, 2019 as follows:</w:t>
      </w:r>
    </w:p>
    <w:p>
      <w:pPr>
        <w:spacing w:after="0" w:line="223" w:lineRule="exact"/>
        <w:rPr>
          <w:sz w:val="20"/>
          <w:szCs w:val="20"/>
          <w:color w:val="auto"/>
        </w:rPr>
      </w:pPr>
    </w:p>
    <w:tbl>
      <w:tblPr>
        <w:tblLayout w:type="fixed"/>
        <w:tblInd w:w="3300" w:type="dxa"/>
        <w:tblCellMar>
          <w:top w:w="0" w:type="dxa"/>
          <w:left w:w="0" w:type="dxa"/>
          <w:bottom w:w="0" w:type="dxa"/>
          <w:right w:w="0" w:type="dxa"/>
        </w:tblCellMar>
      </w:tblP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347,859</w:t>
            </w:r>
          </w:p>
        </w:tc>
      </w:tr>
      <w:tr>
        <w:trPr>
          <w:trHeight w:val="18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(64,917)</w:t>
            </w:r>
          </w:p>
        </w:tc>
      </w:tr>
    </w:tbl>
    <w:p>
      <w:pPr>
        <w:spacing w:after="0" w:line="33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 nonrecurring costs associated with the ITG Acquisition, which comprise advisory and other professional fees incurred by the Company and ITG of $15.1 million and $18.2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21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years ended December 31, 2019 and 2018:</w:t>
      </w:r>
    </w:p>
    <w:p>
      <w:pPr>
        <w:spacing w:after="0" w:line="241" w:lineRule="exact"/>
        <w:rPr>
          <w:sz w:val="20"/>
          <w:szCs w:val="20"/>
          <w:color w:val="auto"/>
        </w:rPr>
      </w:pPr>
    </w:p>
    <w:tbl>
      <w:tblPr>
        <w:tblLayout w:type="fixed"/>
        <w:tblInd w:w="228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8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1,605,340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2,388,194</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514,821</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240,265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BondPoint</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On January 2, 2018, the Company completed the sale of BondPoint to ICE for total gross proceeds of $400.2 million in cash. The Company incurred one-time transaction costs of $8.6 million, which included professional fees of $7.1 million related to the sale and $1.4 million of compensation expense, which is recorded in Transaction advisory fees and expenses and Employee compensation and payroll taxes, respectively, on the Consolidated Statements of Comprehensive Income. The Company recognized a gain on sale of $337.6 million, which is recorded in Other, net on the Consolidated Statements of Comprehensive Income for the year ended December 31, 2018.</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carrying value of BondPoint and gain on sale of BondPoint is as follows:</w:t>
      </w:r>
    </w:p>
    <w:p>
      <w:pPr>
        <w:spacing w:after="0" w:line="52" w:lineRule="exact"/>
        <w:rPr>
          <w:sz w:val="20"/>
          <w:szCs w:val="20"/>
          <w:color w:val="auto"/>
        </w:rPr>
      </w:pPr>
    </w:p>
    <w:tbl>
      <w:tblPr>
        <w:tblLayout w:type="fixed"/>
        <w:tblInd w:w="2080" w:type="dxa"/>
        <w:tblCellMar>
          <w:top w:w="0" w:type="dxa"/>
          <w:left w:w="0" w:type="dxa"/>
          <w:bottom w:w="0" w:type="dxa"/>
          <w:right w:w="0" w:type="dxa"/>
        </w:tblCellMar>
      </w:tblPr>
      <w:tr>
        <w:trPr>
          <w:trHeight w:val="21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sale proceeds received</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400,192</w:t>
            </w: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Business assets and liabilities held for sale as of December 31, 2017:</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 dealers and clearing organizations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13"/>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Intangibles and other assets</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w:t>
            </w:r>
          </w:p>
        </w:tc>
      </w:tr>
      <w:tr>
        <w:trPr>
          <w:trHeight w:val="21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carrying value of BondPoint as of December 31, 2017: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54,342</w:t>
            </w: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adjustment allocated to BondPoint</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7"/>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337,550</w:t>
            </w:r>
          </w:p>
        </w:tc>
      </w:tr>
      <w:tr>
        <w:trPr>
          <w:trHeight w:val="216"/>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costs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212"/>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 net of transaction costs</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328,982</w:t>
            </w: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MATCHNow</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2020, the Company entered into a Securities Purchase Agreement ("SPA") with Cboe Global Markets, Inc. (“CBOE”) pursuant to which the Company agreed to sell 100% of the outstanding interests in TriAct Canada Marketplace LP and TCM Corp., which operate an equities alternative trading system (“MATCHNow”) in Canada. Pursuant to the terms of the SPA, the Company also agreed to enter into a licensing agreement for the licensing of certain software and intellectual property used in support of MATCHNow.</w:t>
      </w:r>
    </w:p>
    <w:p>
      <w:pPr>
        <w:spacing w:after="0" w:line="20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On August 4, 2020 (the "MATCHNow Closing Date"), the Company completed the sale of MATCHNow to CBOE for total gross proceeds of $60.6 million in cash, with additional contingent consideration of up to approximately $23.0 million. The Company incurred one-time transaction costs including professional fees related to the sale of $2.5 million, which were recorded in Transaction advisory fees and expenses on the Consolidated Statements of Comprehensive Income. The Company recognized a gain on sale of $58.7 million, which was recorded in Other, net on the Consolidated Statements of Comprehensive Income for the year ended December 31, 2020.</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carrying value of MATCHNow and gain on sale of MATCHNow is as follows:</w:t>
      </w:r>
    </w:p>
    <w:p>
      <w:pPr>
        <w:spacing w:after="0" w:line="2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8"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sale proceeds received</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60,592</w:t>
            </w:r>
          </w:p>
        </w:tc>
        <w:tc>
          <w:tcPr>
            <w:tcW w:w="0" w:type="dxa"/>
            <w:vAlign w:val="bottom"/>
          </w:tcPr>
          <w:p>
            <w:pPr>
              <w:spacing w:after="0"/>
              <w:rPr>
                <w:sz w:val="1"/>
                <w:szCs w:val="1"/>
                <w:color w:val="auto"/>
              </w:rPr>
            </w:pPr>
          </w:p>
        </w:tc>
      </w:tr>
      <w:tr>
        <w:trPr>
          <w:trHeight w:val="162"/>
        </w:trPr>
        <w:tc>
          <w:tcPr>
            <w:tcW w:w="4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Total carrying value of MATCHNow as of MATCHNow Closing</w:t>
            </w:r>
          </w:p>
        </w:tc>
        <w:tc>
          <w:tcPr>
            <w:tcW w:w="920" w:type="dxa"/>
            <w:vAlign w:val="bottom"/>
          </w:tcPr>
          <w:p>
            <w:pPr>
              <w:spacing w:after="0"/>
              <w:rPr>
                <w:sz w:val="14"/>
                <w:szCs w:val="14"/>
                <w:color w:val="auto"/>
              </w:rPr>
            </w:pPr>
          </w:p>
        </w:tc>
        <w:tc>
          <w:tcPr>
            <w:tcW w:w="134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MATCHNow</w:t>
            </w:r>
          </w:p>
        </w:tc>
        <w:tc>
          <w:tcPr>
            <w:tcW w:w="920" w:type="dxa"/>
            <w:vAlign w:val="bottom"/>
            <w:shd w:val="clear" w:color="auto" w:fill="CCEEFF"/>
          </w:tcPr>
          <w:p>
            <w:pPr>
              <w:spacing w:after="0"/>
              <w:rPr>
                <w:sz w:val="18"/>
                <w:szCs w:val="18"/>
                <w:color w:val="auto"/>
              </w:rPr>
            </w:pPr>
          </w:p>
        </w:tc>
        <w:tc>
          <w:tcPr>
            <w:tcW w:w="13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58,652</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MATCHNow, net of transaction costs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56,199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Contingent consideration will be earned based on the future performance of MATCHNow following the MATCHNow Closing Date. Deferred payments will be assessed quarterly until December 31, 2022 and recorded in Other, net on the Consolidated Statements of Comprehensive Income when the contingency is resolved and payments become payable by CBOE.</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the Company entered into a Transition Services Agreement ("TSA") with CBOE, pursuant to which the Company agreed to provide certain telecom and general and administrative services for a defined period. Income from performing services under the TSA will be recorded in Other, net on the Consolidated Statements of Comprehensive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licensing of certain software and intellectual property associated with MATCHNow, the Company performed an assessment of impairment of long-lived intangible assets acquired in connection with the ITG acquisition, of which MATCHNow technology was a component. No impairment was recognized for the year ended December 31, 2020.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56" w:lineRule="exact"/>
        <w:rPr>
          <w:sz w:val="20"/>
          <w:szCs w:val="20"/>
          <w:color w:val="auto"/>
        </w:rPr>
      </w:pPr>
    </w:p>
    <w:p>
      <w:pPr>
        <w:ind w:right="860" w:firstLine="648"/>
        <w:spacing w:after="0" w:line="270" w:lineRule="auto"/>
        <w:rPr>
          <w:sz w:val="20"/>
          <w:szCs w:val="20"/>
          <w:color w:val="auto"/>
        </w:rPr>
      </w:pPr>
      <w:r>
        <w:rPr>
          <w:rFonts w:ascii="Times New Roman" w:cs="Times New Roman" w:eastAsia="Times New Roman" w:hAnsi="Times New Roman"/>
          <w:sz w:val="18"/>
          <w:szCs w:val="18"/>
          <w:color w:val="auto"/>
        </w:rPr>
        <w:t>The below table contains a reconciliation of net income (loss) before noncontrolling interest to net income (loss) available for common stockholders:</w:t>
      </w:r>
    </w:p>
    <w:tbl>
      <w:tblPr>
        <w:tblLayout w:type="fixed"/>
        <w:tblInd w:w="580" w:type="dxa"/>
        <w:tblCellMar>
          <w:top w:w="0" w:type="dxa"/>
          <w:left w:w="0" w:type="dxa"/>
          <w:bottom w:w="0" w:type="dxa"/>
          <w:right w:w="0" w:type="dxa"/>
        </w:tblCellMar>
      </w:tblPr>
      <w:tr>
        <w:trPr>
          <w:trHeight w:val="194"/>
        </w:trPr>
        <w:tc>
          <w:tcPr>
            <w:tcW w:w="1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3"/>
          </w:tcPr>
          <w:p>
            <w:pPr>
              <w:ind w:lef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(115,982)</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696,363</w:t>
            </w:r>
          </w:p>
        </w:tc>
        <w:tc>
          <w:tcPr>
            <w:tcW w:w="80" w:type="dxa"/>
            <w:vAlign w:val="bottom"/>
            <w:tcBorders>
              <w:top w:val="single" w:sz="8" w:color="auto"/>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(12,277)</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76,171</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(103,705)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620,192</w:t>
            </w:r>
          </w:p>
        </w:tc>
        <w:tc>
          <w:tcPr>
            <w:tcW w:w="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(471,716)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45,110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(330,751)</w:t>
            </w:r>
          </w:p>
        </w:tc>
        <w:tc>
          <w:tcPr>
            <w:tcW w:w="0" w:type="dxa"/>
            <w:vAlign w:val="bottom"/>
          </w:tcPr>
          <w:p>
            <w:pPr>
              <w:spacing w:after="0"/>
              <w:rPr>
                <w:sz w:val="1"/>
                <w:szCs w:val="1"/>
                <w:color w:val="auto"/>
              </w:rPr>
            </w:pPr>
          </w:p>
        </w:tc>
      </w:tr>
      <w:tr>
        <w:trPr>
          <w:trHeight w:val="216"/>
        </w:trPr>
        <w:tc>
          <w:tcPr>
            <w:tcW w:w="10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649,197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(58,595)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289,441</w:t>
            </w:r>
          </w:p>
        </w:tc>
        <w:tc>
          <w:tcPr>
            <w:tcW w:w="80" w:type="dxa"/>
            <w:vAlign w:val="bottom"/>
            <w:tcBorders>
              <w:left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0" w:type="dxa"/>
            <w:vAlign w:val="bottom"/>
          </w:tcPr>
          <w:p>
            <w:pPr>
              <w:spacing w:after="0"/>
              <w:rPr>
                <w:sz w:val="24"/>
                <w:szCs w:val="24"/>
                <w:color w:val="auto"/>
              </w:rPr>
            </w:pPr>
          </w:p>
        </w:tc>
        <w:tc>
          <w:tcPr>
            <w:tcW w:w="598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13"/>
          </w:tcPr>
          <w:p>
            <w:pPr>
              <w:ind w:lef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9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Borders>
              <w:right w:val="single" w:sz="8" w:color="CCEEFF"/>
            </w:tcBorders>
          </w:tcPr>
          <w:p>
            <w:pPr>
              <w:spacing w:after="0"/>
              <w:rPr>
                <w:sz w:val="15"/>
                <w:szCs w:val="15"/>
                <w:color w:val="auto"/>
              </w:rPr>
            </w:pPr>
          </w:p>
        </w:tc>
        <w:tc>
          <w:tcPr>
            <w:tcW w:w="5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(58,595)</w:t>
            </w:r>
          </w:p>
        </w:tc>
        <w:tc>
          <w:tcPr>
            <w:tcW w:w="3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CCEEFF"/>
            </w:tcBorders>
          </w:tcPr>
          <w:p>
            <w:pPr>
              <w:spacing w:after="0"/>
              <w:rPr>
                <w:sz w:val="16"/>
                <w:szCs w:val="16"/>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(17,383)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(1,926)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980" w:type="dxa"/>
            <w:vAlign w:val="bottom"/>
            <w:gridSpan w:val="4"/>
          </w:tcPr>
          <w:p>
            <w:pPr>
              <w:spacing w:after="0" w:line="115" w:lineRule="exact"/>
              <w:rPr>
                <w:sz w:val="20"/>
                <w:szCs w:val="20"/>
                <w:color w:val="auto"/>
              </w:rPr>
            </w:pPr>
            <w:r>
              <w:rPr>
                <w:rFonts w:ascii="Times New Roman" w:cs="Times New Roman" w:eastAsia="Times New Roman" w:hAnsi="Times New Roman"/>
                <w:sz w:val="13"/>
                <w:szCs w:val="13"/>
                <w:color w:val="auto"/>
              </w:rPr>
              <w:t>Net income (loss) available for common stockholders, net of dividends and undistributed earnings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631,814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(60,521)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284,023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59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Borders>
              <w:right w:val="single" w:sz="8" w:color="CCEEFF"/>
            </w:tcBorders>
          </w:tcPr>
          <w:p>
            <w:pPr>
              <w:spacing w:after="0"/>
              <w:rPr>
                <w:sz w:val="16"/>
                <w:szCs w:val="16"/>
                <w:color w:val="auto"/>
              </w:rPr>
            </w:pPr>
          </w:p>
        </w:tc>
        <w:tc>
          <w:tcPr>
            <w:tcW w:w="59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121,692,443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113,918,103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100,875,793</w:t>
            </w:r>
          </w:p>
        </w:tc>
        <w:tc>
          <w:tcPr>
            <w:tcW w:w="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CCEEFF"/>
            </w:tcBorders>
          </w:tcPr>
          <w:p>
            <w:pPr>
              <w:spacing w:after="0"/>
              <w:rPr>
                <w:sz w:val="17"/>
                <w:szCs w:val="17"/>
                <w:color w:val="auto"/>
              </w:rPr>
            </w:pPr>
          </w:p>
        </w:tc>
        <w:tc>
          <w:tcPr>
            <w:tcW w:w="5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 w:type="dxa"/>
            <w:vAlign w:val="bottom"/>
          </w:tcPr>
          <w:p>
            <w:pPr>
              <w:spacing w:after="0"/>
              <w:rPr>
                <w:sz w:val="24"/>
                <w:szCs w:val="24"/>
                <w:color w:val="auto"/>
              </w:rPr>
            </w:pPr>
          </w:p>
        </w:tc>
        <w:tc>
          <w:tcPr>
            <w:tcW w:w="5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ind w:lef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59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9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98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(loss) available for common stockholders, net of dividends and undistributed earnings</w:t>
            </w:r>
          </w:p>
        </w:tc>
        <w:tc>
          <w:tcPr>
            <w:tcW w:w="34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631,814</w:t>
            </w:r>
          </w:p>
        </w:tc>
        <w:tc>
          <w:tcPr>
            <w:tcW w:w="60" w:type="dxa"/>
            <w:vAlign w:val="bottom"/>
          </w:tcPr>
          <w:p>
            <w:pPr>
              <w:spacing w:after="0"/>
              <w:rPr>
                <w:sz w:val="11"/>
                <w:szCs w:val="11"/>
                <w:color w:val="auto"/>
              </w:rPr>
            </w:pPr>
          </w:p>
        </w:tc>
        <w:tc>
          <w:tcPr>
            <w:tcW w:w="32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284,023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34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9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Issued and outstanding</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121,692,443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113,918,103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100,875,793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980" w:type="dxa"/>
            <w:vAlign w:val="bottom"/>
            <w:gridSpan w:val="4"/>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Amended and</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980" w:type="dxa"/>
            <w:vAlign w:val="bottom"/>
            <w:gridSpan w:val="4"/>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Restated Investment Technology Group, Inc. 2007 Omnibus Equity Compensation Plan, and</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639,747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1,213,346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9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 issued in connection with the Founder Member Loan (1)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122,332,190</w:t>
            </w: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113,918,103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102,089,139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960" w:type="dxa"/>
            <w:vAlign w:val="bottom"/>
            <w:gridSpan w:val="3"/>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3"/>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59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100" w:type="dxa"/>
            <w:vAlign w:val="bottom"/>
            <w:gridSpan w:val="2"/>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5.16</w:t>
            </w:r>
          </w:p>
        </w:tc>
        <w:tc>
          <w:tcPr>
            <w:tcW w:w="6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left="340" w:right="120" w:hanging="332"/>
        <w:spacing w:after="0" w:line="261"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dilutive impact excludes from the computation of earnings (loss) per share 377,677 unexercised stock options and 440,335 restricted stock units issuable pursuant to the Amended and Restated Investment Technology Group, Inc. 2007 Omnibus Equity Compensation Plan for the year ended December 31, 2019, because the inclusion of these instruments would have been anti-dilutive.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Tax Receivable Agreements</w:t>
      </w:r>
    </w:p>
    <w:p>
      <w:pPr>
        <w:spacing w:after="0" w:line="36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Consolidated Statements of Financial Condition, which amounted to $271.2 million and $269.3 million as of December 31, 2020 and December 31, 2019,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its second payment of $12.4 million in September 2018, and its third payment of $13.3 million in March 2020.</w:t>
      </w:r>
    </w:p>
    <w:p>
      <w:pPr>
        <w:spacing w:after="0" w:line="217" w:lineRule="exact"/>
        <w:rPr>
          <w:sz w:val="20"/>
          <w:szCs w:val="20"/>
          <w:color w:val="auto"/>
        </w:rPr>
      </w:pPr>
    </w:p>
    <w:p>
      <w:pPr>
        <w:ind w:firstLine="683"/>
        <w:spacing w:after="0" w:line="253" w:lineRule="auto"/>
        <w:rPr>
          <w:sz w:val="20"/>
          <w:szCs w:val="20"/>
          <w:color w:val="auto"/>
        </w:rPr>
      </w:pPr>
      <w:r>
        <w:rPr>
          <w:rFonts w:ascii="Times New Roman" w:cs="Times New Roman" w:eastAsia="Times New Roman" w:hAnsi="Times New Roman"/>
          <w:sz w:val="18"/>
          <w:szCs w:val="18"/>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$0.9 million to $21.7 million per year over the next 15 years.</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employee exchanges and May 2019 Secondary Offering between the Company and TJMT Holdings LLC and the other selling stockholders, both as described in Note 19 "Capital Structure", the Company recorded an additional deferred tax asset of $49.1 million and payment liability pursuant to the tax receivable agreements of $54.9 million, with the $5.8 million difference recorded as a decrease to additional paid-in capital during the year ended December 31, 2019.</w:t>
      </w:r>
    </w:p>
    <w:p>
      <w:pPr>
        <w:spacing w:after="0" w:line="20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2020 and December 31, 2019, the Company’s remaining deferred tax assets that relate to the matters described above were approximately $199.1 million and $197.6 million, respectively, and the Company’s liabilities over the next 15 years pursuant to the tax receivable agreements were approximately $271.2 million and $269.3 million, respectively. The amounts recorded as of December 31, 2020 are based on best estimates available at the respective dates and may be subject to change after the filing of the Company’s U.S. federal and state income tax returns for the years in which tax savings were realized.</w:t>
      </w:r>
    </w:p>
    <w:p>
      <w:pPr>
        <w:spacing w:after="0" w:line="21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256"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Company has two operating segments: (i) Market Making; (ii) Execution Services; and one non-operating segment: Corporate. As of December 31, 2020 and December 31, 2019, the Company’s total amount of goodwill recorded was $1,148.9 million. No goodwill impairment was recognized during the years ended December 31, 2020, 2019 and 2018.</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goodwill by segment as of December 31, 2020 and December 31,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the Company's total amount of intangible assets recorded was $454.5 million and $529.6 million, respectively. Acquired intangible assets consisted of the following as of December 31, 2020 and December 31, 2019:</w:t>
      </w:r>
    </w:p>
    <w:p>
      <w:pPr>
        <w:spacing w:after="0" w:line="88"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2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48"/>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(94,299)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392,301</w:t>
            </w: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10</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380" w:type="dxa"/>
            <w:vAlign w:val="bottom"/>
            <w:tcBorders>
              <w:top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53,597</w:t>
            </w:r>
          </w:p>
        </w:tc>
        <w:tc>
          <w:tcPr>
            <w:tcW w:w="50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w w:val="85"/>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3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500" w:type="dxa"/>
            <w:vAlign w:val="bottom"/>
            <w:gridSpan w:val="2"/>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85"/>
              </w:rPr>
              <w:t>3</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3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637,993</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(183,494)</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454,499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48"/>
              <w:spacing w:after="0" w:line="134"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440,144</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10</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Borders>
              <w:top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77,797</w:t>
            </w:r>
          </w:p>
        </w:tc>
        <w:tc>
          <w:tcPr>
            <w:tcW w:w="52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w w:val="85"/>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technology</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52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w w:val="85"/>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748,877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(219,239)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529,638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finite-lived intangible assets was approximately $74.3 million, $70.6 million and $26.1 million for the years ended December 31, 2020, 2019 and 2018, respectively. This is included in Amortization of purchased intangibles and acquired capitalized software in the accompanying Consolidated Statements of Comprehensive Income.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record amortization expense as follows over the next five years ended December 31:</w:t>
      </w:r>
    </w:p>
    <w:p>
      <w:pPr>
        <w:spacing w:after="0" w:line="286" w:lineRule="exact"/>
        <w:rPr>
          <w:sz w:val="20"/>
          <w:szCs w:val="20"/>
          <w:color w:val="auto"/>
        </w:rPr>
      </w:pPr>
    </w:p>
    <w:tbl>
      <w:tblPr>
        <w:tblLayout w:type="fixed"/>
        <w:tblInd w:w="5560" w:type="dxa"/>
        <w:tblCellMar>
          <w:top w:w="0" w:type="dxa"/>
          <w:left w:w="0" w:type="dxa"/>
          <w:bottom w:w="0" w:type="dxa"/>
          <w:right w:w="0" w:type="dxa"/>
        </w:tblCellMar>
      </w:tblPr>
      <w:tr>
        <w:trPr>
          <w:trHeight w:val="195"/>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69,676</w:t>
            </w:r>
          </w:p>
        </w:tc>
      </w:tr>
      <w:tr>
        <w:trPr>
          <w:trHeight w:val="189"/>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64,852</w:t>
            </w:r>
          </w:p>
        </w:tc>
      </w:tr>
      <w:tr>
        <w:trPr>
          <w:trHeight w:val="18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63,960</w:t>
            </w:r>
          </w:p>
        </w:tc>
      </w:tr>
      <w:tr>
        <w:trPr>
          <w:trHeight w:val="189"/>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Receivables from/Payables to Broker-Dealers and Clearing Organizations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receivables from and payables to brokers-dealers and clearing organizations at December 31, 2020 and December 31, 2019:</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from prime brokers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697,293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418,059</w:t>
            </w: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216,962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231,977</w:t>
            </w: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248,943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267,748</w:t>
            </w: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118,777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214,618</w:t>
            </w: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372,965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178,324</w:t>
            </w: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7,858</w:t>
            </w:r>
          </w:p>
        </w:tc>
      </w:tr>
      <w:tr>
        <w:trPr>
          <w:trHeight w:val="183"/>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1,684,006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1,318,584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6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prime brokers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410,772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511,524</w:t>
            </w: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50,950</w:t>
            </w: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228,070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118,286</w:t>
            </w:r>
          </w:p>
        </w:tc>
      </w:tr>
      <w:tr>
        <w:trPr>
          <w:trHeight w:val="189"/>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180" w:type="dxa"/>
            <w:vAlign w:val="bottom"/>
          </w:tcPr>
          <w:p>
            <w:pPr>
              <w:spacing w:after="0"/>
              <w:rPr>
                <w:sz w:val="16"/>
                <w:szCs w:val="16"/>
                <w:color w:val="auto"/>
              </w:rPr>
            </w:pP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144,494</w:t>
            </w:r>
          </w:p>
        </w:tc>
      </w:tr>
      <w:tr>
        <w:trPr>
          <w:trHeight w:val="18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Commissions and fees</w:t>
            </w: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183"/>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876,446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826,750</w:t>
            </w: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Included as a deduction from “Due from prime brokers” and “Net equity with futures commission merchants” is the outstanding principal balance on all of the Company’s prime brokerage credit facilities (described in Note 11 "Borrowings") of approximately $134.7 million and $134.3 million as of December 31, 2020 and December 31, 2019,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Collateralized Transactions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2020 and December 31, 2019, substantially all of the securities received as collateral have been repledged.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collateralized transactions at December 31, 2020 and December 31, 2019 are summarized as follows: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7"/>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r>
      <w:tr>
        <w:trPr>
          <w:trHeight w:val="189"/>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1,374,266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1,881,005</w:t>
            </w:r>
          </w:p>
        </w:tc>
      </w:tr>
      <w:tr>
        <w:trPr>
          <w:trHeight w:val="189"/>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142,922</w:t>
            </w:r>
          </w:p>
        </w:tc>
      </w:tr>
      <w:tr>
        <w:trPr>
          <w:trHeight w:val="18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1,397,132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2,023,927</w:t>
            </w:r>
          </w:p>
        </w:tc>
      </w:tr>
      <w:tr>
        <w:trPr>
          <w:trHeight w:val="21"/>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pledges qualified securities with clearing organizations to satisfy daily margin and clearing fund requirements.</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pledged, where the counterparty has the right to repledge, at December 31, 2020 and December 31, 2019 consisted of the following:</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Equities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734,024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654,366</w:t>
            </w:r>
          </w:p>
        </w:tc>
      </w:tr>
      <w:tr>
        <w:trPr>
          <w:trHeight w:val="18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Exchange traded notes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42,590</w:t>
            </w:r>
          </w:p>
        </w:tc>
      </w:tr>
      <w:tr>
        <w:trPr>
          <w:trHeight w:val="208"/>
        </w:trPr>
        <w:tc>
          <w:tcPr>
            <w:tcW w:w="7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746,539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696,956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 net</w:t>
      </w:r>
    </w:p>
    <w:p>
      <w:pPr>
        <w:spacing w:after="0" w:line="256"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8"/>
          <w:szCs w:val="18"/>
          <w:color w:val="auto"/>
        </w:rPr>
        <w:t>The following summarizes the Company's short-term borrowing balances outstanding, net of related debt issuance costs, with each described in further detail below.</w:t>
      </w:r>
    </w:p>
    <w:tbl>
      <w:tblPr>
        <w:tblLayout w:type="fixed"/>
        <w:tblInd w:w="88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170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Deferred Debt Issuance</w:t>
            </w:r>
          </w:p>
        </w:tc>
        <w:tc>
          <w:tcPr>
            <w:tcW w:w="16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Short-term Borrowings,</w:t>
            </w:r>
          </w:p>
        </w:tc>
        <w:tc>
          <w:tcPr>
            <w:tcW w:w="0" w:type="dxa"/>
            <w:vAlign w:val="bottom"/>
          </w:tcPr>
          <w:p>
            <w:pPr>
              <w:spacing w:after="0"/>
              <w:rPr>
                <w:sz w:val="1"/>
                <w:szCs w:val="1"/>
                <w:color w:val="auto"/>
              </w:rPr>
            </w:pPr>
          </w:p>
        </w:tc>
      </w:tr>
      <w:tr>
        <w:trPr>
          <w:trHeight w:val="189"/>
        </w:trPr>
        <w:tc>
          <w:tcPr>
            <w:tcW w:w="4480" w:type="dxa"/>
            <w:vAlign w:val="bottom"/>
            <w:gridSpan w:val="2"/>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Pr>
          <w:p>
            <w:pPr>
              <w:spacing w:after="0"/>
              <w:rPr>
                <w:sz w:val="16"/>
                <w:szCs w:val="16"/>
                <w:color w:val="auto"/>
              </w:rPr>
            </w:pPr>
          </w:p>
        </w:tc>
        <w:tc>
          <w:tcPr>
            <w:tcW w:w="12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3"/>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36,013</w:t>
            </w:r>
          </w:p>
        </w:tc>
        <w:tc>
          <w:tcPr>
            <w:tcW w:w="0" w:type="dxa"/>
            <w:vAlign w:val="bottom"/>
          </w:tcPr>
          <w:p>
            <w:pPr>
              <w:spacing w:after="0"/>
              <w:rPr>
                <w:sz w:val="1"/>
                <w:szCs w:val="1"/>
                <w:color w:val="auto"/>
              </w:rPr>
            </w:pPr>
          </w:p>
        </w:tc>
      </w:tr>
      <w:tr>
        <w:trPr>
          <w:trHeight w:val="189"/>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bank loans</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28,673</w:t>
            </w:r>
          </w:p>
        </w:tc>
        <w:tc>
          <w:tcPr>
            <w:tcW w:w="0" w:type="dxa"/>
            <w:vAlign w:val="bottom"/>
          </w:tcPr>
          <w:p>
            <w:pPr>
              <w:spacing w:after="0"/>
              <w:rPr>
                <w:sz w:val="1"/>
                <w:szCs w:val="1"/>
                <w:color w:val="auto"/>
              </w:rPr>
            </w:pPr>
          </w:p>
        </w:tc>
      </w:tr>
      <w:tr>
        <w:trPr>
          <w:trHeight w:val="208"/>
        </w:trPr>
        <w:tc>
          <w:tcPr>
            <w:tcW w:w="4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170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Deferred Debt Issuance</w:t>
            </w:r>
          </w:p>
        </w:tc>
        <w:tc>
          <w:tcPr>
            <w:tcW w:w="16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Short-term Borrowings,</w:t>
            </w:r>
          </w:p>
        </w:tc>
        <w:tc>
          <w:tcPr>
            <w:tcW w:w="0" w:type="dxa"/>
            <w:vAlign w:val="bottom"/>
          </w:tcPr>
          <w:p>
            <w:pPr>
              <w:spacing w:after="0"/>
              <w:rPr>
                <w:sz w:val="1"/>
                <w:szCs w:val="1"/>
                <w:color w:val="auto"/>
              </w:rPr>
            </w:pPr>
          </w:p>
        </w:tc>
      </w:tr>
      <w:tr>
        <w:trPr>
          <w:trHeight w:val="189"/>
        </w:trPr>
        <w:tc>
          <w:tcPr>
            <w:tcW w:w="4480" w:type="dxa"/>
            <w:vAlign w:val="bottom"/>
            <w:gridSpan w:val="2"/>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Pr>
          <w:p>
            <w:pPr>
              <w:spacing w:after="0"/>
              <w:rPr>
                <w:sz w:val="16"/>
                <w:szCs w:val="16"/>
                <w:color w:val="auto"/>
              </w:rPr>
            </w:pPr>
          </w:p>
        </w:tc>
        <w:tc>
          <w:tcPr>
            <w:tcW w:w="12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3"/>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0" w:type="dxa"/>
            <w:vAlign w:val="bottom"/>
          </w:tcPr>
          <w:p>
            <w:pPr>
              <w:spacing w:after="0"/>
              <w:rPr>
                <w:sz w:val="1"/>
                <w:szCs w:val="1"/>
                <w:color w:val="auto"/>
              </w:rPr>
            </w:pPr>
          </w:p>
        </w:tc>
      </w:tr>
      <w:tr>
        <w:trPr>
          <w:trHeight w:val="189"/>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bank loans</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45,586</w:t>
            </w:r>
          </w:p>
        </w:tc>
        <w:tc>
          <w:tcPr>
            <w:tcW w:w="0" w:type="dxa"/>
            <w:vAlign w:val="bottom"/>
          </w:tcPr>
          <w:p>
            <w:pPr>
              <w:spacing w:after="0"/>
              <w:rPr>
                <w:sz w:val="1"/>
                <w:szCs w:val="1"/>
                <w:color w:val="auto"/>
              </w:rPr>
            </w:pPr>
          </w:p>
        </w:tc>
      </w:tr>
      <w:tr>
        <w:trPr>
          <w:trHeight w:val="208"/>
        </w:trPr>
        <w:tc>
          <w:tcPr>
            <w:tcW w:w="4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Broker-Dealer Credit Facilities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$300 million, which was subsequently increased to $400 million in April 2020, and is collateralized by VAL's trading and deposit account maintained at the financial institution. The second credit facility (the “Committed Facility”) with the same financial institution was amended and restated on March 1, 2019 to increase the borrowing limit to $600 million and subsequently amended to adjust sublimits and certain other terms, including most recently on July 29, 2020.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bears interest at the adjusted LIBOR or base rate plus 1.25% per annum. Following the July 29, 2020 amendment,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221"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On March 10, 2020, VAL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Terms of the warrant are set forth in further detail in Note 19 "Capital Structure".</w:t>
      </w:r>
    </w:p>
    <w:p>
      <w:pPr>
        <w:spacing w:after="0" w:line="21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the Company’s broker-dealer credit facilities' carrying values, net of unamortized debt issuance costs, where applicable. These balances are included within Short-term borrowings on the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 December 31,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1"/>
                <w:szCs w:val="11"/>
                <w:color w:val="auto"/>
              </w:rPr>
            </w:pPr>
          </w:p>
        </w:tc>
        <w:tc>
          <w:tcPr>
            <w:tcW w:w="136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1"/>
                <w:szCs w:val="11"/>
                <w:color w:val="auto"/>
              </w:rPr>
            </w:pPr>
          </w:p>
        </w:tc>
        <w:tc>
          <w:tcPr>
            <w:tcW w:w="1260" w:type="dxa"/>
            <w:vAlign w:val="bottom"/>
          </w:tcPr>
          <w:p>
            <w:pPr>
              <w:jc w:val="right"/>
              <w:ind w:right="248"/>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8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36,013</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36,013</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 December 31, 2019</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1"/>
                <w:szCs w:val="11"/>
                <w:color w:val="auto"/>
              </w:rPr>
            </w:pPr>
          </w:p>
        </w:tc>
        <w:tc>
          <w:tcPr>
            <w:tcW w:w="136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1"/>
                <w:szCs w:val="11"/>
                <w:color w:val="auto"/>
              </w:rPr>
            </w:pPr>
          </w:p>
        </w:tc>
        <w:tc>
          <w:tcPr>
            <w:tcW w:w="1260" w:type="dxa"/>
            <w:vAlign w:val="bottom"/>
          </w:tcPr>
          <w:p>
            <w:pPr>
              <w:jc w:val="right"/>
              <w:ind w:right="248"/>
              <w:spacing w:after="0" w:line="13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8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0" w:type="dxa"/>
            <w:vAlign w:val="bottom"/>
          </w:tcPr>
          <w:p>
            <w:pPr>
              <w:spacing w:after="0"/>
              <w:rPr>
                <w:sz w:val="1"/>
                <w:szCs w:val="1"/>
                <w:color w:val="auto"/>
              </w:rPr>
            </w:pPr>
          </w:p>
        </w:tc>
      </w:tr>
      <w:tr>
        <w:trPr>
          <w:trHeight w:val="18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interest expense for the broker-dealer facilities. Interest expense is included within Interest and dividends expense in the accompanying Consolidated Statements of Comprehensive Income.</w:t>
      </w:r>
    </w:p>
    <w:p>
      <w:pPr>
        <w:spacing w:after="0" w:line="223" w:lineRule="exact"/>
        <w:rPr>
          <w:sz w:val="20"/>
          <w:szCs w:val="20"/>
          <w:color w:val="auto"/>
        </w:rPr>
      </w:pPr>
    </w:p>
    <w:tbl>
      <w:tblPr>
        <w:tblLayout w:type="fixed"/>
        <w:tblInd w:w="80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r>
      <w:tr>
        <w:trPr>
          <w:trHeight w:val="189"/>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Demand Loan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Bank Loans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international securities clearance and settlement activities are funded with operating cash or with short-term bank loans in the form of overdraft facilities. At December 31, 2020, there was $28.7 million associated with international settlement activities outstanding under these facilities at a weighted average interest rate of approximately 2.4%. At December 31, 2019, there was $45.6 million associated with international settlement activities outstanding under these facilities at a weighted average interest rate of approximately 4.5%. These short-term bank loan balances are included within Short-term borrowings on the Consolidated Statements of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Brokerage Credit Facilities</w:t>
      </w:r>
    </w:p>
    <w:p>
      <w:pPr>
        <w:spacing w:after="0" w:line="31"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 December 31, 2020</w:t>
            </w: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1"/>
                <w:szCs w:val="11"/>
                <w:color w:val="auto"/>
              </w:rPr>
            </w:pPr>
          </w:p>
        </w:tc>
        <w:tc>
          <w:tcPr>
            <w:tcW w:w="208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00" w:type="dxa"/>
            <w:vAlign w:val="bottom"/>
          </w:tcPr>
          <w:p>
            <w:pPr>
              <w:spacing w:after="0"/>
              <w:rPr>
                <w:sz w:val="11"/>
                <w:szCs w:val="11"/>
                <w:color w:val="auto"/>
              </w:rPr>
            </w:pPr>
          </w:p>
        </w:tc>
        <w:tc>
          <w:tcPr>
            <w:tcW w:w="1840" w:type="dxa"/>
            <w:vAlign w:val="bottom"/>
          </w:tcPr>
          <w:p>
            <w:pPr>
              <w:jc w:val="right"/>
              <w:ind w:right="728"/>
              <w:spacing w:after="0" w:line="13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89"/>
        </w:trPr>
        <w:tc>
          <w:tcPr>
            <w:tcW w:w="4200" w:type="dxa"/>
            <w:vAlign w:val="bottom"/>
            <w:gridSpan w:val="2"/>
            <w:vMerge w:val="continue"/>
          </w:tcPr>
          <w:p>
            <w:pPr>
              <w:spacing w:after="0"/>
              <w:rPr>
                <w:sz w:val="16"/>
                <w:szCs w:val="16"/>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6"/>
                <w:szCs w:val="16"/>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00" w:type="dxa"/>
            <w:vAlign w:val="bottom"/>
          </w:tcPr>
          <w:p>
            <w:pPr>
              <w:spacing w:after="0"/>
              <w:rPr>
                <w:sz w:val="16"/>
                <w:szCs w:val="16"/>
                <w:color w:val="auto"/>
              </w:rPr>
            </w:pPr>
          </w:p>
        </w:tc>
        <w:tc>
          <w:tcPr>
            <w:tcW w:w="18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134,664</w:t>
            </w:r>
          </w:p>
        </w:tc>
        <w:tc>
          <w:tcPr>
            <w:tcW w:w="0" w:type="dxa"/>
            <w:vAlign w:val="bottom"/>
          </w:tcPr>
          <w:p>
            <w:pPr>
              <w:spacing w:after="0"/>
              <w:rPr>
                <w:sz w:val="1"/>
                <w:szCs w:val="1"/>
                <w:color w:val="auto"/>
              </w:rPr>
            </w:pPr>
          </w:p>
        </w:tc>
      </w:tr>
      <w:tr>
        <w:trPr>
          <w:trHeight w:val="208"/>
        </w:trPr>
        <w:tc>
          <w:tcPr>
            <w:tcW w:w="4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134,664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 December 31, 2019</w:t>
            </w: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3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1"/>
                <w:szCs w:val="11"/>
                <w:color w:val="auto"/>
              </w:rPr>
            </w:pPr>
          </w:p>
        </w:tc>
        <w:tc>
          <w:tcPr>
            <w:tcW w:w="208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00" w:type="dxa"/>
            <w:vAlign w:val="bottom"/>
          </w:tcPr>
          <w:p>
            <w:pPr>
              <w:spacing w:after="0"/>
              <w:rPr>
                <w:sz w:val="11"/>
                <w:szCs w:val="11"/>
                <w:color w:val="auto"/>
              </w:rPr>
            </w:pPr>
          </w:p>
        </w:tc>
        <w:tc>
          <w:tcPr>
            <w:tcW w:w="1840" w:type="dxa"/>
            <w:vAlign w:val="bottom"/>
          </w:tcPr>
          <w:p>
            <w:pPr>
              <w:jc w:val="right"/>
              <w:ind w:right="728"/>
              <w:spacing w:after="0" w:line="13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89"/>
        </w:trPr>
        <w:tc>
          <w:tcPr>
            <w:tcW w:w="4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37"/>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586,000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134,331</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134,331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 Payables to broker-dealers and clearing organizations within the Consolidated Statements of Financial Condition.</w:t>
      </w:r>
    </w:p>
    <w:p>
      <w:pPr>
        <w:spacing w:after="0" w:line="2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 relation to the facilities was approximately $4.8 million, $6.6 million and $7.1 million for the years ended December 31, 2020, 2019 and 2018,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unamortized discount and debt issuance costs, where applicable:</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48"/>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9"/>
        </w:trPr>
        <w:tc>
          <w:tcPr>
            <w:tcW w:w="382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8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1,636,512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1,605,422</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33,858</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1,670,410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1,639,280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2019</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48"/>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3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1,885,692</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32,174</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1,957,225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1,917,866</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20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of which amount approximately $404.5 million was borrowed by VFH to repay all amounts outstanding under the Previous Term Loan Facility (as defined below)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October 9, 2019 (the “Amendment No. 1 Closing Date”), VFH entered into an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paid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21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March 2, 2020 (the “Amendment No. 2 Closing Date”), VFH entered into a second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 VFH’s material non-regulated domestic restricted subsidiaries and secured by substantially all of the assets of VFH and the guarantors, in each case, subject to certain exceptions.</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Under the Amended Credit Agreement, the term loans will mature on March 1, 2026. The term loans amortize in annual installments equal to 1.0% of the original aggregate principal amount of the term loans. As of December 31, 2020, $1,637 million was outstanding under the First Lien Term Loan Facility. During the years ended December 31, 2020 and 2019, repayments of $288.5 million and $100 million, respectively, were made under this facility. The revolving commitments will terminate on March 1, 2022. There were no outstanding borrowings under the First Lien Revolving Facility as of December 31, 2020 or December 31, 2019. Interest expense in relation to this facility was $0.5 million for the year ended December 31, 2020.</w:t>
      </w:r>
    </w:p>
    <w:p>
      <w:pPr>
        <w:spacing w:after="0" w:line="2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 five-year $525 million floating-to-fixed interest rate swap agreement. The Company also entered into a five-year $1,000 million floating-to-fixed interest rate swap agreement in January 2020. As these two interest rate swaps meet the criteria to be considered qualifying cash flow hedges under ASC 815 in 2020,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21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which, upon the closing of the Acquisition of KCG, provided for an aggregate $1,150.00 million of first lien secured term loans (the “Previous Term Loan Facility”). The Previous Term Loan Facility was fully terminated following its repayment in full with the proceeds of the First Lien Term Loan Facility described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Second Lien Notes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203"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the Credit Agreement was amended on October 9, 2019, on which date VFH borrowed an additional $525.0 million of incremental first lien term loans, the proceeds of which were used together with cash on hand to redeem the Notes in full. The Indenture was fully terminated following such redemption.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 Bonds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JNX (as described in Note 12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2019, the maturity date of the SBI Bonds was extended to January 2023. The principal balance was ¥3.5 billion ($33.9 million) as of December 31, 2020 and ¥3.5 billion ($32.2 million) as of December 31, 2019. The Company recorded losses of $1.7 million, $0.3 million, and $0.8 million during the years ended December 31, 2020, 2019 and 2018, respectively, due to changes in foreign currency rates.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aggregate future required minimum principal payments based on the terms of the long-term borrowings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68" w:lineRule="exact"/>
        <w:rPr>
          <w:sz w:val="20"/>
          <w:szCs w:val="20"/>
          <w:color w:val="auto"/>
        </w:rPr>
      </w:pPr>
    </w:p>
    <w:tbl>
      <w:tblPr>
        <w:tblLayout w:type="fixed"/>
        <w:tblInd w:w="1560" w:type="dxa"/>
        <w:tblCellMar>
          <w:top w:w="0" w:type="dxa"/>
          <w:left w:w="0" w:type="dxa"/>
          <w:bottom w:w="0" w:type="dxa"/>
          <w:right w:w="0" w:type="dxa"/>
        </w:tblCellMar>
      </w:tblPr>
      <w:tr>
        <w:trPr>
          <w:trHeight w:val="195"/>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7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88"/>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33,898</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1,636,512</w:t>
            </w:r>
          </w:p>
        </w:tc>
      </w:tr>
      <w:tr>
        <w:trPr>
          <w:trHeight w:val="189"/>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Assets and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25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December 31, 2020:</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2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1,194,105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1,955,589</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199,782</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135,518</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49,396</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2,369,192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496,943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237,081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734,024</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12,515</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496,945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249,594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746,539</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Exchange stock</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1,137,968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2,445,050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358,734</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(292,870)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1,399,496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(292,870)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2,923,708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swap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December 31, 2019:</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2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1,080,518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1,680,777</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127,537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171,591</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(211,398)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1,564,402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(211,398)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2,068,734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291,927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654,366</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42,590</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696,956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Exchange stock</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1,022,814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1,163,888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2,186,702</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41,804</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244,700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21,646</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(196,535)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0" w:type="dxa"/>
            <w:vAlign w:val="bottom"/>
          </w:tcPr>
          <w:p>
            <w:pPr>
              <w:spacing w:after="0"/>
              <w:rPr>
                <w:sz w:val="1"/>
                <w:szCs w:val="1"/>
                <w:color w:val="auto"/>
              </w:rPr>
            </w:pPr>
          </w:p>
        </w:tc>
      </w:tr>
      <w:tr>
        <w:trPr>
          <w:trHeight w:val="208"/>
        </w:trPr>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1,065,007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1,629,486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(196,535)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2,497,958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JNX Investment</w:t>
      </w:r>
    </w:p>
    <w:p>
      <w:pPr>
        <w:spacing w:after="0" w:line="25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11 "Borrowings") and used the proceeds to partially finance the transaction. The JNX Investment is included within Level 3 of the fair value hierarchy. As of December 31, 2019 and 2020, the fair value of the JNX Investment was determined using a weighted average of valuations using 1) the discounted cash flow method, an income approach; 2) a market approach based on average enterprise value/EBITDA ratios of comparable companies; and to a lesser extent</w:t>
      </w:r>
    </w:p>
    <w:p>
      <w:pPr>
        <w:spacing w:after="0" w:line="3" w:lineRule="exact"/>
        <w:rPr>
          <w:sz w:val="20"/>
          <w:szCs w:val="20"/>
          <w:color w:val="auto"/>
        </w:rPr>
      </w:pPr>
    </w:p>
    <w:p>
      <w:pPr>
        <w:ind w:right="140" w:firstLine="8"/>
        <w:spacing w:after="0" w:line="255" w:lineRule="auto"/>
        <w:tabs>
          <w:tab w:leader="none" w:pos="1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information on the valuation techniques, significant unobservable inputs and their ranges for the JNX Investment:</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4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66,030</w:t>
            </w:r>
          </w:p>
        </w:tc>
        <w:tc>
          <w:tcPr>
            <w:tcW w:w="1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(9.0)% - 39.0%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12.2x</w:t>
            </w: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- 21.9x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13.8x</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EBIDTA ratio</w:t>
            </w:r>
          </w:p>
        </w:tc>
        <w:tc>
          <w:tcPr>
            <w:tcW w:w="6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46,245</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 - 33.0%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5.4x - 24.6x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14.1x</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fair value of the JNX Investment are included within Other, net in the Consolidated Statements of Comprehensive Income.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changes in the Company's Level 3 financial instruments measured at fair value on a recurring basis: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28"/>
              <w:spacing w:after="0" w:line="13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35"/>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3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held at December</w:t>
            </w:r>
          </w:p>
        </w:tc>
        <w:tc>
          <w:tcPr>
            <w:tcW w:w="0" w:type="dxa"/>
            <w:vAlign w:val="bottom"/>
          </w:tcPr>
          <w:p>
            <w:pPr>
              <w:spacing w:after="0"/>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0" w:type="dxa"/>
            <w:vAlign w:val="bottom"/>
          </w:tcPr>
          <w:p>
            <w:pPr>
              <w:spacing w:after="0"/>
              <w:rPr>
                <w:sz w:val="1"/>
                <w:szCs w:val="1"/>
                <w:color w:val="auto"/>
              </w:rPr>
            </w:pPr>
          </w:p>
        </w:tc>
      </w:tr>
      <w:tr>
        <w:trPr>
          <w:trHeight w:val="183"/>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19,785</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19,785</w:t>
            </w:r>
          </w:p>
        </w:tc>
        <w:tc>
          <w:tcPr>
            <w:tcW w:w="0" w:type="dxa"/>
            <w:vAlign w:val="bottom"/>
          </w:tcPr>
          <w:p>
            <w:pPr>
              <w:spacing w:after="0"/>
              <w:rPr>
                <w:sz w:val="1"/>
                <w:szCs w:val="1"/>
                <w:color w:val="auto"/>
              </w:rPr>
            </w:pPr>
          </w:p>
        </w:tc>
      </w:tr>
      <w:tr>
        <w:trPr>
          <w:trHeight w:val="190"/>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19,785</w:t>
            </w:r>
          </w:p>
        </w:tc>
        <w:tc>
          <w:tcPr>
            <w:tcW w:w="0" w:type="dxa"/>
            <w:vAlign w:val="bottom"/>
          </w:tcPr>
          <w:p>
            <w:pPr>
              <w:spacing w:after="0"/>
              <w:rPr>
                <w:sz w:val="1"/>
                <w:szCs w:val="1"/>
                <w:color w:val="auto"/>
              </w:rPr>
            </w:pPr>
          </w:p>
        </w:tc>
      </w:tr>
    </w:tbl>
    <w:p>
      <w:pPr>
        <w:ind w:left="20" w:right="220" w:firstLine="6"/>
        <w:spacing w:after="0" w:line="234" w:lineRule="auto"/>
        <w:tabs>
          <w:tab w:leader="none" w:pos="22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realized and unrealized gains/(losses) includes gains and losses realized on the SBI Bonds (see Note 11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-189865</wp:posOffset>
            </wp:positionV>
            <wp:extent cx="56749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28"/>
              <w:spacing w:after="0" w:line="13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35"/>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3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held at December</w:t>
            </w:r>
          </w:p>
        </w:tc>
        <w:tc>
          <w:tcPr>
            <w:tcW w:w="0" w:type="dxa"/>
            <w:vAlign w:val="bottom"/>
          </w:tcPr>
          <w:p>
            <w:pPr>
              <w:spacing w:after="0"/>
              <w:rPr>
                <w:sz w:val="1"/>
                <w:szCs w:val="1"/>
                <w:color w:val="auto"/>
              </w:rPr>
            </w:pPr>
          </w:p>
        </w:tc>
      </w:tr>
      <w:tr>
        <w:trPr>
          <w:trHeight w:val="189"/>
        </w:trPr>
        <w:tc>
          <w:tcPr>
            <w:tcW w:w="2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183"/>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8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46,245</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220" w:firstLine="6"/>
        <w:spacing w:after="0" w:line="241" w:lineRule="auto"/>
        <w:tabs>
          <w:tab w:leader="none" w:pos="2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realized and unrealized gains/(losses) includes gains and losses realized on the SBI Bonds (see Note 11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-190500</wp:posOffset>
            </wp:positionV>
            <wp:extent cx="56749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5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table below presents the carrying value, fair value and fair value hierarchy category of certain financial instruments that are not measured at fair value on the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December 31, 2020:</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24"/>
                <w:szCs w:val="24"/>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889,559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889,559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889,559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117,446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1,425,016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1,425,016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1,425,016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1,684,006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1,684,006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1,510,428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214,478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214,478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4,375,106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4,375,106</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1,180,583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3,194,523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65,073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1,639,280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1,672,456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1,672,456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461,235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 (2)</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876,446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872,929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118,826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118,826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liabilities (3)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4,117,937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4,151,500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4,147,983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00" w:hanging="213"/>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8" w:lineRule="exact"/>
        <w:rPr>
          <w:rFonts w:ascii="Times New Roman" w:cs="Times New Roman" w:eastAsia="Times New Roman" w:hAnsi="Times New Roman"/>
          <w:sz w:val="14"/>
          <w:szCs w:val="14"/>
          <w:color w:val="auto"/>
        </w:rPr>
      </w:pPr>
    </w:p>
    <w:p>
      <w:pPr>
        <w:ind w:left="300" w:hanging="213"/>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Payables to broker-dealers and clearing organizations include interest rate swaps carried at fair value.</w:t>
      </w:r>
    </w:p>
    <w:p>
      <w:pPr>
        <w:spacing w:after="0" w:line="28" w:lineRule="exact"/>
        <w:rPr>
          <w:rFonts w:ascii="Times New Roman" w:cs="Times New Roman" w:eastAsia="Times New Roman" w:hAnsi="Times New Roman"/>
          <w:sz w:val="14"/>
          <w:szCs w:val="14"/>
          <w:color w:val="auto"/>
        </w:rPr>
      </w:pPr>
    </w:p>
    <w:p>
      <w:pPr>
        <w:ind w:left="300" w:hanging="213"/>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-95885</wp:posOffset>
            </wp:positionV>
            <wp:extent cx="705485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54850" cy="1200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-335915</wp:posOffset>
            </wp:positionV>
            <wp:extent cx="705485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5485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December 31, 2019:</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24"/>
                <w:szCs w:val="24"/>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732,164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732,164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732,164</w:t>
            </w:r>
          </w:p>
        </w:tc>
        <w:tc>
          <w:tcPr>
            <w:tcW w:w="10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1,928,763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1,928,763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 (1)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1,318,584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1,318,584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1,277,742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4,163,659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4,163,659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814,122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3,349,537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1,917,866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1,966,850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1,966,850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1,600,099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 dealer and clearing organizations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826,750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777,236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4,758,943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4,810,027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4,760,513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Receivables from broker-dealers and clearing organizations include interest rate swap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-92710</wp:posOffset>
            </wp:positionV>
            <wp:extent cx="41490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4909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Financial Assets and Liabilities</w:t>
      </w:r>
    </w:p>
    <w:p>
      <w:pPr>
        <w:spacing w:after="0" w:line="25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gross and net presentation of certain financial assets and financial liabilities as of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38"/>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00" w:type="dxa"/>
            <w:vAlign w:val="bottom"/>
          </w:tcPr>
          <w:p>
            <w:pPr>
              <w:spacing w:after="0"/>
              <w:rPr>
                <w:sz w:val="24"/>
                <w:szCs w:val="24"/>
                <w:color w:val="auto"/>
              </w:rPr>
            </w:pPr>
          </w:p>
        </w:tc>
        <w:tc>
          <w:tcPr>
            <w:tcW w:w="26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Amounts Not Offset in the Consolidated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 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80" w:type="dxa"/>
            <w:vAlign w:val="bottom"/>
          </w:tcPr>
          <w:p>
            <w:pPr>
              <w:spacing w:after="0"/>
              <w:rPr>
                <w:sz w:val="4"/>
                <w:szCs w:val="4"/>
                <w:color w:val="auto"/>
              </w:rPr>
            </w:pPr>
          </w:p>
        </w:tc>
        <w:tc>
          <w:tcPr>
            <w:tcW w:w="142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Netting/ Cash</w:t>
            </w:r>
          </w:p>
        </w:tc>
        <w:tc>
          <w:tcPr>
            <w:tcW w:w="12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1,425,016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(1,374,266)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41,064</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resell</w:t>
            </w: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49,396</w:t>
            </w:r>
          </w:p>
        </w:tc>
        <w:tc>
          <w:tcPr>
            <w:tcW w:w="0" w:type="dxa"/>
            <w:vAlign w:val="bottom"/>
          </w:tcPr>
          <w:p>
            <w:pPr>
              <w:spacing w:after="0"/>
              <w:rPr>
                <w:sz w:val="1"/>
                <w:szCs w:val="1"/>
                <w:color w:val="auto"/>
              </w:rPr>
            </w:pPr>
          </w:p>
        </w:tc>
      </w:tr>
      <w:tr>
        <w:trPr>
          <w:trHeight w:val="189"/>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1,798,322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90,460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00" w:type="dxa"/>
            <w:vAlign w:val="bottom"/>
          </w:tcPr>
          <w:p>
            <w:pPr>
              <w:spacing w:after="0"/>
              <w:rPr>
                <w:sz w:val="13"/>
                <w:szCs w:val="13"/>
                <w:color w:val="auto"/>
              </w:rPr>
            </w:pPr>
          </w:p>
        </w:tc>
        <w:tc>
          <w:tcPr>
            <w:tcW w:w="26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Amounts Not Offset in the Consolidated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 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60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6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Netting/ Cash</w:t>
            </w:r>
          </w:p>
        </w:tc>
        <w:tc>
          <w:tcPr>
            <w:tcW w:w="120" w:type="dxa"/>
            <w:vAlign w:val="bottom"/>
          </w:tcPr>
          <w:p>
            <w:pPr>
              <w:spacing w:after="0"/>
              <w:rPr>
                <w:sz w:val="11"/>
                <w:szCs w:val="11"/>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(921,593)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w:t>
            </w: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rPr>
              <w:t>Payable to broker-dealers and clearing</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organizations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(292,870)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89"/>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1,775,210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(292,870)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00" w:type="dxa"/>
            <w:vAlign w:val="bottom"/>
          </w:tcPr>
          <w:p>
            <w:pPr>
              <w:spacing w:after="0"/>
              <w:rPr>
                <w:sz w:val="24"/>
                <w:szCs w:val="24"/>
                <w:color w:val="auto"/>
              </w:rPr>
            </w:pPr>
          </w:p>
        </w:tc>
        <w:tc>
          <w:tcPr>
            <w:tcW w:w="26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Amounts Not Offset in the Consolidated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 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Netting/ Cash</w:t>
            </w:r>
          </w:p>
        </w:tc>
        <w:tc>
          <w:tcPr>
            <w:tcW w:w="12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1,928,763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(1,881,005)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32,478</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(142,922)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resell</w:t>
            </w: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(211,398)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0" w:type="dxa"/>
            <w:vAlign w:val="bottom"/>
          </w:tcPr>
          <w:p>
            <w:pPr>
              <w:spacing w:after="0"/>
              <w:rPr>
                <w:sz w:val="1"/>
                <w:szCs w:val="1"/>
                <w:color w:val="auto"/>
              </w:rPr>
            </w:pPr>
          </w:p>
        </w:tc>
      </w:tr>
      <w:tr>
        <w:trPr>
          <w:trHeight w:val="189"/>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2,322,885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(211,398)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(2,032,464)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00" w:type="dxa"/>
            <w:vAlign w:val="bottom"/>
          </w:tcPr>
          <w:p>
            <w:pPr>
              <w:spacing w:after="0"/>
              <w:rPr>
                <w:sz w:val="13"/>
                <w:szCs w:val="13"/>
                <w:color w:val="auto"/>
              </w:rPr>
            </w:pPr>
          </w:p>
        </w:tc>
        <w:tc>
          <w:tcPr>
            <w:tcW w:w="26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Amounts Not Offset in the Consolidated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 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80" w:type="dxa"/>
            <w:vAlign w:val="bottom"/>
          </w:tcPr>
          <w:p>
            <w:pPr>
              <w:spacing w:after="0"/>
              <w:rPr>
                <w:sz w:val="4"/>
                <w:szCs w:val="4"/>
                <w:color w:val="auto"/>
              </w:rPr>
            </w:pPr>
          </w:p>
        </w:tc>
        <w:tc>
          <w:tcPr>
            <w:tcW w:w="142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40" w:type="dxa"/>
            <w:vAlign w:val="bottom"/>
          </w:tcPr>
          <w:p>
            <w:pPr>
              <w:spacing w:after="0"/>
              <w:rPr>
                <w:sz w:val="4"/>
                <w:szCs w:val="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Netting/ Cash</w:t>
            </w:r>
          </w:p>
        </w:tc>
        <w:tc>
          <w:tcPr>
            <w:tcW w:w="12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(1,552,146)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0" w:type="dxa"/>
            <w:vAlign w:val="bottom"/>
          </w:tcPr>
          <w:p>
            <w:pPr>
              <w:spacing w:after="0"/>
              <w:rPr>
                <w:sz w:val="1"/>
                <w:szCs w:val="1"/>
                <w:color w:val="auto"/>
              </w:rPr>
            </w:pPr>
          </w:p>
        </w:tc>
      </w:tr>
      <w:tr>
        <w:trPr>
          <w:trHeight w:val="135"/>
        </w:trPr>
        <w:tc>
          <w:tcPr>
            <w:tcW w:w="270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(340,718)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w:t>
            </w: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2,140,482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1,943,947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(1,895,951)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30-60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61-90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6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86,235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86,235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00" w:type="dxa"/>
            <w:vAlign w:val="bottom"/>
          </w:tcPr>
          <w:p>
            <w:pPr>
              <w:spacing w:after="0"/>
              <w:rPr>
                <w:sz w:val="11"/>
                <w:szCs w:val="11"/>
                <w:color w:val="auto"/>
              </w:rPr>
            </w:pPr>
          </w:p>
        </w:tc>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30-60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288"/>
              <w:spacing w:after="0" w:line="129" w:lineRule="exact"/>
              <w:rPr>
                <w:sz w:val="20"/>
                <w:szCs w:val="20"/>
                <w:color w:val="auto"/>
              </w:rPr>
            </w:pPr>
            <w:r>
              <w:rPr>
                <w:rFonts w:ascii="Times New Roman" w:cs="Times New Roman" w:eastAsia="Times New Roman" w:hAnsi="Times New Roman"/>
                <w:sz w:val="14"/>
                <w:szCs w:val="14"/>
                <w:b w:val="1"/>
                <w:bCs w:val="1"/>
                <w:color w:val="auto"/>
              </w:rPr>
              <w:t>61-90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6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340,742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1,600,099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1,600,099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1,600,099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December 31, 2020 and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234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7"/>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9"/>
        </w:trPr>
        <w:tc>
          <w:tcPr>
            <w:tcW w:w="28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2,208,899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4,502,017</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6,237,389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40,656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7,758,974</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2,823,277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1,116,246</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102,476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155,697</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442,808</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30,596,681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24,369,818</w:t>
            </w:r>
          </w:p>
        </w:tc>
        <w:tc>
          <w:tcPr>
            <w:tcW w:w="0" w:type="dxa"/>
            <w:vAlign w:val="bottom"/>
          </w:tcPr>
          <w:p>
            <w:pPr>
              <w:spacing w:after="0"/>
              <w:rPr>
                <w:sz w:val="1"/>
                <w:szCs w:val="1"/>
                <w:color w:val="auto"/>
              </w:rPr>
            </w:pPr>
          </w:p>
        </w:tc>
      </w:tr>
      <w:tr>
        <w:trPr>
          <w:trHeight w:val="18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525,000</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9"/>
        </w:trPr>
        <w:tc>
          <w:tcPr>
            <w:tcW w:w="28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1"/>
                <w:szCs w:val="11"/>
                <w:color w:val="auto"/>
              </w:rPr>
            </w:pPr>
          </w:p>
        </w:tc>
        <w:tc>
          <w:tcPr>
            <w:tcW w:w="3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960" w:type="dxa"/>
            <w:vAlign w:val="bottom"/>
            <w:vMerge w:val="restart"/>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90,219</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751</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83,803</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9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futures</w:t>
            </w:r>
          </w:p>
        </w:tc>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1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(5,397)</w:t>
            </w:r>
          </w:p>
        </w:tc>
        <w:tc>
          <w:tcPr>
            <w:tcW w:w="13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27,287</w:t>
            </w: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(45,175)</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3,604,979</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organizations</w:t>
            </w:r>
          </w:p>
        </w:tc>
        <w:tc>
          <w:tcPr>
            <w:tcW w:w="14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 futures</w:t>
            </w:r>
          </w:p>
        </w:tc>
        <w:tc>
          <w:tcPr>
            <w:tcW w:w="35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3,598</w:t>
            </w:r>
          </w:p>
        </w:tc>
        <w:tc>
          <w:tcPr>
            <w:tcW w:w="1380" w:type="dxa"/>
            <w:vAlign w:val="bottom"/>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2,269,898</w:t>
            </w:r>
          </w:p>
        </w:tc>
        <w:tc>
          <w:tcPr>
            <w:tcW w:w="12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(23,223)</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6,594,991</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16"/>
                <w:szCs w:val="16"/>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organizations</w:t>
            </w:r>
          </w:p>
        </w:tc>
        <w:tc>
          <w:tcPr>
            <w:tcW w:w="1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52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4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color w:val="auto"/>
              </w:rPr>
              <w:t>1,566</w:t>
            </w:r>
          </w:p>
        </w:tc>
        <w:tc>
          <w:tcPr>
            <w:tcW w:w="12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94</w:t>
            </w: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190,938</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organizations</w:t>
            </w:r>
          </w:p>
        </w:tc>
        <w:tc>
          <w:tcPr>
            <w:tcW w:w="14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4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9,241</w:t>
            </w:r>
          </w:p>
        </w:tc>
        <w:tc>
          <w:tcPr>
            <w:tcW w:w="13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736,997</w:t>
            </w:r>
          </w:p>
        </w:tc>
        <w:tc>
          <w:tcPr>
            <w:tcW w:w="12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3,087</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436,422</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4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292,965</w:t>
            </w:r>
          </w:p>
        </w:tc>
        <w:tc>
          <w:tcPr>
            <w:tcW w:w="13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30,572,490</w:t>
            </w:r>
          </w:p>
        </w:tc>
        <w:tc>
          <w:tcPr>
            <w:tcW w:w="12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196,554</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24,346,818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Derivative instruments designated as</w:t>
            </w:r>
          </w:p>
        </w:tc>
        <w:tc>
          <w:tcPr>
            <w:tcW w:w="35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rate swaps</w:t>
            </w:r>
          </w:p>
        </w:tc>
        <w:tc>
          <w:tcPr>
            <w:tcW w:w="35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40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63,513</w:t>
            </w:r>
          </w:p>
        </w:tc>
        <w:tc>
          <w:tcPr>
            <w:tcW w:w="1380" w:type="dxa"/>
            <w:vAlign w:val="bottom"/>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1,525,000</w:t>
            </w:r>
          </w:p>
        </w:tc>
        <w:tc>
          <w:tcPr>
            <w:tcW w:w="12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16"/>
                <w:szCs w:val="16"/>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organizations</w:t>
            </w:r>
          </w:p>
        </w:tc>
        <w:tc>
          <w:tcPr>
            <w:tcW w:w="140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Consolidated Statements of Comprehensive Income for the years ended December 31, 2020, 2019 and 2018.</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8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8"/>
        </w:trPr>
        <w:tc>
          <w:tcPr>
            <w:tcW w:w="28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1"/>
                <w:szCs w:val="11"/>
                <w:color w:val="auto"/>
              </w:rPr>
            </w:pPr>
          </w:p>
        </w:tc>
        <w:tc>
          <w:tcPr>
            <w:tcW w:w="3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89"/>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Futures</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247,619</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(309,598)</w:t>
            </w:r>
          </w:p>
        </w:tc>
      </w:tr>
      <w:tr>
        <w:trPr>
          <w:trHeight w:val="189"/>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forwards</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174,310</w:t>
            </w: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84,695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(6,161)</w:t>
            </w:r>
          </w:p>
        </w:tc>
      </w:tr>
      <w:tr>
        <w:trPr>
          <w:trHeight w:val="189"/>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on term loan</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8,976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326,444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231,994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(141,449)</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35"/>
        </w:trPr>
        <w:tc>
          <w:tcPr>
            <w:tcW w:w="29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 (1)</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 forward contract</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8"/>
        </w:trPr>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firstLine="8"/>
        <w:spacing w:after="0" w:line="261" w:lineRule="auto"/>
        <w:tabs>
          <w:tab w:leader="none" w:pos="20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2020, and as such, the mark-to-market gains (losses) on the instruments were recorded within Other comprehensive income on the Consolidated Statements of Comprehensive Income for the year ended December 31, 2020.</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Revenues from Contracts with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of January 1, 2018 in the consolidated financial statements by applying the modified retrospective method.</w:t>
      </w:r>
    </w:p>
    <w:p>
      <w:pPr>
        <w:spacing w:after="0" w:line="18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Commissions, net</w:t>
      </w:r>
      <w:r>
        <w:rPr>
          <w:rFonts w:ascii="Times New Roman" w:cs="Times New Roman" w:eastAsia="Times New Roman" w:hAnsi="Times New Roman"/>
          <w:sz w:val="18"/>
          <w:szCs w:val="18"/>
          <w:color w:val="auto"/>
        </w:rPr>
        <w:t>. The Company earns commission revenue by acting as an agent on behalf of customers. The Company’s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consist of trade execution and clearing services and are satisfied on the trade date; accordingly, commission revenues are recorded on the trade date. Commission revenues are received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209"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Workflow technology. </w:t>
      </w:r>
      <w:r>
        <w:rPr>
          <w:rFonts w:ascii="Times New Roman" w:cs="Times New Roman" w:eastAsia="Times New Roman" w:hAnsi="Times New Roman"/>
          <w:sz w:val="18"/>
          <w:szCs w:val="18"/>
          <w:color w:val="auto"/>
        </w:rPr>
        <w:t>Through its front-end workflow solutions and network capabilities, the Company provides order and trade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order routing services.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5"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The Company provides customers with analytics products and services, including trading and portfolio analytics tools.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11"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6" w:lineRule="exact"/>
        <w:rPr>
          <w:sz w:val="20"/>
          <w:szCs w:val="20"/>
          <w:color w:val="auto"/>
        </w:rPr>
      </w:pPr>
    </w:p>
    <w:p>
      <w:pPr>
        <w:ind w:left="1300" w:right="140" w:hanging="644"/>
        <w:spacing w:after="0" w:line="261" w:lineRule="auto"/>
        <w:tabs>
          <w:tab w:leader="none" w:pos="12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220" w:hanging="644"/>
        <w:spacing w:after="0" w:line="260" w:lineRule="auto"/>
        <w:tabs>
          <w:tab w:leader="none" w:pos="12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2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from contracts with customers disaggregated by the services described above, by timing of revenue recognition, reconciled to the Company’s segments,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68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8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405,698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458,151</w:t>
            </w:r>
          </w:p>
        </w:tc>
      </w:tr>
      <w:tr>
        <w:trPr>
          <w:trHeight w:val="18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r>
      <w:tr>
        <w:trPr>
          <w:trHeight w:val="18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41,148</w:t>
            </w:r>
          </w:p>
        </w:tc>
      </w:tr>
      <w:tr>
        <w:trPr>
          <w:trHeight w:val="183"/>
        </w:trPr>
        <w:tc>
          <w:tcPr>
            <w:tcW w:w="41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52,453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548,057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600,510</w:t>
            </w:r>
          </w:p>
        </w:tc>
      </w:tr>
      <w:tr>
        <w:trPr>
          <w:trHeight w:val="270"/>
        </w:trPr>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2,540,889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2,638,821</w:t>
            </w:r>
          </w:p>
        </w:tc>
      </w:tr>
      <w:tr>
        <w:trPr>
          <w:trHeight w:val="270"/>
        </w:trPr>
        <w:tc>
          <w:tcPr>
            <w:tcW w:w="4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0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3,239,331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575,846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3,165,034</w:t>
            </w:r>
          </w:p>
        </w:tc>
      </w:tr>
      <w:tr>
        <w:trPr>
          <w:trHeight w:val="189"/>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74,297</w:t>
            </w:r>
          </w:p>
        </w:tc>
      </w:tr>
      <w:tr>
        <w:trPr>
          <w:trHeight w:val="18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2,593,342</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3,239,331</w:t>
            </w:r>
          </w:p>
        </w:tc>
      </w:tr>
      <w:tr>
        <w:trPr>
          <w:trHeight w:val="21"/>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68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23,526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380,927</w:t>
            </w:r>
          </w:p>
        </w:tc>
      </w:tr>
      <w:tr>
        <w:trPr>
          <w:trHeight w:val="189"/>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82,610</w:t>
            </w: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35,007</w:t>
            </w:r>
          </w:p>
        </w:tc>
      </w:tr>
      <w:tr>
        <w:trPr>
          <w:trHeight w:val="183"/>
        </w:trPr>
        <w:tc>
          <w:tcPr>
            <w:tcW w:w="41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23,526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475,018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498,544</w:t>
            </w:r>
          </w:p>
        </w:tc>
      </w:tr>
      <w:tr>
        <w:trPr>
          <w:trHeight w:val="270"/>
        </w:trPr>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9"/>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1,004,568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1,018,948</w:t>
            </w:r>
          </w:p>
        </w:tc>
      </w:tr>
      <w:tr>
        <w:trPr>
          <w:trHeight w:val="270"/>
        </w:trPr>
        <w:tc>
          <w:tcPr>
            <w:tcW w:w="4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08"/>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1,028,094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1,517,492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1,028,094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425,549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1,451,305</w:t>
            </w:r>
          </w:p>
        </w:tc>
      </w:tr>
      <w:tr>
        <w:trPr>
          <w:trHeight w:val="189"/>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66,187</w:t>
            </w:r>
          </w:p>
        </w:tc>
      </w:tr>
      <w:tr>
        <w:trPr>
          <w:trHeight w:val="18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1,028,094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491,736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1,517,492</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2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150,206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179,019</w:t>
            </w:r>
          </w:p>
        </w:tc>
      </w:tr>
      <w:tr>
        <w:trPr>
          <w:trHeight w:val="189"/>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services</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r>
      <w:tr>
        <w:trPr>
          <w:trHeight w:val="18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28,813</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155,526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184,339</w:t>
            </w:r>
          </w:p>
        </w:tc>
      </w:tr>
      <w:tr>
        <w:trPr>
          <w:trHeight w:val="216"/>
        </w:trPr>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9"/>
        </w:trPr>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1,355,662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1,694,379</w:t>
            </w:r>
          </w:p>
        </w:tc>
      </w:tr>
      <w:tr>
        <w:trPr>
          <w:trHeight w:val="216"/>
        </w:trPr>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183"/>
        </w:trPr>
        <w:tc>
          <w:tcPr>
            <w:tcW w:w="4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1,384,475</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496,333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1,878,718</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1,873,398</w:t>
            </w:r>
          </w:p>
        </w:tc>
      </w:tr>
      <w:tr>
        <w:trPr>
          <w:trHeight w:val="189"/>
        </w:trPr>
        <w:tc>
          <w:tcPr>
            <w:tcW w:w="4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5,320</w:t>
            </w:r>
          </w:p>
        </w:tc>
      </w:tr>
      <w:tr>
        <w:trPr>
          <w:trHeight w:val="208"/>
        </w:trPr>
        <w:tc>
          <w:tcPr>
            <w:tcW w:w="4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1,878,718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 and Revenue Recognized from Past Performance Obligations</w:t>
      </w:r>
    </w:p>
    <w:p>
      <w:pPr>
        <w:spacing w:after="0" w:line="2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aggregate amount of the transaction price allocated to the performance obligations relating to workflow technology and analytics revenues that are unsatisfied (or partially unsatisfied) was not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5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20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Receivables related to revenues from contracts with customers amounted to $57.3 million and $53.6 million as of December 31, 2020 and December 31, 2019, respectively. The Company did not identify any contract assets. There were no impairment losses on receivables as of December 31, 2020.</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Deferred revenue primarily relates to deferred commissions allocated to analytics products and subscription fees billed in advance of satisfying the performance obligations. Deferred revenue related to contracts with customers was $9.3 million and $8.6 million as of December 31, 2020 and December 31, 2019, respectively. The Company recognized revenue of $33.1 million and $32.6 million during the years ended December 31, 2020 and 2019, respectively that had been initially recorded as deferred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identified any costs to obtain or fulfill its contracts under ASC 606.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and noncontrolling interest is as follows for the years ended December 31, 2020, 2019 and 2018:</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8"/>
        </w:trPr>
        <w:tc>
          <w:tcPr>
            <w:tcW w:w="4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1,214,282</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659,937</w:t>
            </w:r>
          </w:p>
        </w:tc>
      </w:tr>
      <w:tr>
        <w:trPr>
          <w:trHeight w:val="18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Non-U.S. operations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36,426</w:t>
            </w:r>
          </w:p>
        </w:tc>
      </w:tr>
      <w:tr>
        <w:trPr>
          <w:trHeight w:val="182"/>
        </w:trPr>
        <w:tc>
          <w:tcPr>
            <w:tcW w:w="44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1,382,837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(115,982)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696,363</w:t>
            </w:r>
          </w:p>
        </w:tc>
      </w:tr>
      <w:tr>
        <w:trPr>
          <w:trHeight w:val="21"/>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 2020, 2019 and 2018:</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tbl>
      <w:tblPr>
        <w:tblLayout w:type="fixed"/>
        <w:tblInd w:w="106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 (benefit)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9"/>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148,034</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49,047</w:t>
            </w:r>
          </w:p>
        </w:tc>
      </w:tr>
      <w:tr>
        <w:trPr>
          <w:trHeight w:val="18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and Local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18,697</w:t>
            </w:r>
          </w:p>
        </w:tc>
      </w:tr>
      <w:tr>
        <w:trPr>
          <w:trHeight w:val="189"/>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r>
      <w:tr>
        <w:trPr>
          <w:trHeight w:val="18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provision (benefit)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4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w:t>
            </w:r>
          </w:p>
        </w:tc>
      </w:tr>
      <w:tr>
        <w:trPr>
          <w:trHeight w:val="18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and Local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r>
      <w:tr>
        <w:trPr>
          <w:trHeight w:val="189"/>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0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520" w:firstLine="648"/>
        <w:spacing w:after="0" w:line="270" w:lineRule="auto"/>
        <w:rPr>
          <w:sz w:val="20"/>
          <w:szCs w:val="20"/>
          <w:color w:val="auto"/>
        </w:rPr>
      </w:pPr>
      <w:r>
        <w:rPr>
          <w:rFonts w:ascii="Times New Roman" w:cs="Times New Roman" w:eastAsia="Times New Roman" w:hAnsi="Times New Roman"/>
          <w:sz w:val="18"/>
          <w:szCs w:val="18"/>
          <w:color w:val="auto"/>
        </w:rPr>
        <w:t>The reconciliation of the tax provision at the U.S. federal statutory rate to the provision for income taxes for the years ended December 31, 2020, 2019 and 2018 is as follows:</w:t>
      </w:r>
    </w:p>
    <w:p>
      <w:pPr>
        <w:ind w:left="6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9" w:lineRule="exact"/>
        <w:rPr>
          <w:sz w:val="20"/>
          <w:szCs w:val="20"/>
          <w:color w:val="auto"/>
        </w:rPr>
      </w:pPr>
    </w:p>
    <w:tbl>
      <w:tblPr>
        <w:tblLayout w:type="fixed"/>
        <w:tblInd w:w="1060" w:type="dxa"/>
        <w:tblCellMar>
          <w:top w:w="0" w:type="dxa"/>
          <w:left w:w="0" w:type="dxa"/>
          <w:bottom w:w="0" w:type="dxa"/>
          <w:right w:w="0" w:type="dxa"/>
        </w:tblCellMar>
      </w:tblPr>
      <w:tr>
        <w:trPr>
          <w:trHeight w:val="193"/>
        </w:trPr>
        <w:tc>
          <w:tcPr>
            <w:tcW w:w="4340" w:type="dxa"/>
            <w:vAlign w:val="bottom"/>
          </w:tcPr>
          <w:p>
            <w:pPr>
              <w:spacing w:after="0"/>
              <w:rPr>
                <w:sz w:val="16"/>
                <w:szCs w:val="16"/>
                <w:color w:val="auto"/>
              </w:rPr>
            </w:pP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8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provision at the U.S. federal statutory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rate attributable to noncontrolling interest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and local taxes, net of federal benefit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expenses,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18.9 %</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as of December 31, 2020, and 2019 are as follows:</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194"/>
        </w:trPr>
        <w:tc>
          <w:tcPr>
            <w:tcW w:w="6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8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6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assets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Receivable Agreement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199,107</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197,598</w:t>
            </w: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assets and other</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44,908</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 and net operating loss carryforwards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86,420</w:t>
            </w: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 on net operating loss carryforwards and tax credits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(60,594)</w:t>
            </w:r>
          </w:p>
        </w:tc>
      </w:tr>
      <w:tr>
        <w:trPr>
          <w:trHeight w:val="183"/>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256,122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286,371</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income tax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71,700</w:t>
            </w:r>
          </w:p>
        </w:tc>
      </w:tr>
      <w:tr>
        <w:trPr>
          <w:trHeight w:val="183"/>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63,052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71,700</w:t>
            </w: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years ended December 31, 2020, 2019 and 2018,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spacing w:after="0" w:line="214"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Included in Other assets on the Consolidated Statements of Financial Condition at December 31, 2020 and December 31, 2019 are current income tax receivables of $83.1 million and $39.3 million, respectively. These balances primarily comprise income tax benefits due to the Company from federal, state and local, and foreign tax jurisdictions based on income before taxes. Included in Accounts payable, accrued expenses and other liabilities on the Consolidated Statements of Financial Condition at December 31, 2020 and December 31, 2019 are current tax liabilities of $37.9 million and $11.5 million, respectively. These balances primarily comprise income taxes owed to federal, state and local, and foreign tax jurisdictions based on income before taxes.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121" w:name="page122"/>
    <w:bookmarkEnd w:id="121"/>
    <w:p>
      <w:pPr>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arise primarily due to the amortization of the deferred tax assets recognized in connection with the IPO (see Note 7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December 31, 2020, the Company did not have any U.S. federal net operating loss carryforwards and therefore the Company did not record a deferred tax asset related to any federal net operating loss carryforwards. At December 31, 2020,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ITG Acquisition, the Company has non-U.S. net operating losses at December 31, 2020 and December 31, 2019 of $75.1 million and $86.3 million, respectively, and has recorded a related deferred tax asset of $15.2 million and $17.9 million, respectively. A valuation allowance of $15.1 million and $15.6 million was recorded against this deferred tax asset at December 31, 2020 and December 31, 2019, respectively, as it is more likely than not that a portion of this deferred tax asset will not be realized. As a result of the Acquisition of KCG, the Company has non-U.S. net operating losses at December 31, 2020 and December 31, 2019 of $239.0 million and $239.0 million, respectively, and has recorded a related deferred tax asset of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$44.9 million and $44.9 million, respectively. A full valuation allowance was also recorded against this deferred tax asset at December 31, 2020 and December 31, 2019 as it is more likely than not that this deferred tax asset will not be realized. No valuation allowance against the remaining deferred taxes was recorded as of December 31, 2020 and December 31, 2019 because it is more likely than not that these deferred tax assets will be fully realized.</w:t>
      </w:r>
    </w:p>
    <w:p>
      <w:pPr>
        <w:spacing w:after="0" w:line="21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U.S. federal, state, local and foreign jurisdictions. As a result of the ITG Acquisition and the Acquisition of KCG, the Company has assumed any ITG and KCG tax exposures. As of December 31, 2020, the Company’s tax years for 2015 through 2019 and 2017 through 2019 are subject to examination by U.S. and non-U.S. tax authorities, respectively. In addition, the Company is subject to state and local income tax examinations in various jurisdictions for the tax years 2013 through 2019. The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21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Statements of Comprehensive Income.</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$8.6 million of unrecognized tax benefits as of December 31, 2020, all of which would affect the Company’s effective tax rate if recognized. The Company has determined that there are no uncertain tax positions that would have a material impact on the Company’s financial position as of December 31, 2020.</w:t>
      </w:r>
    </w:p>
    <w:p>
      <w:pPr>
        <w:spacing w:after="0" w:line="20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changes in the liability for unrecognized tax benefits. This liability is included in Accounts payable and accrued expenses and other liabilities on the Consolidated Statements of Financial Condition.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2" w:name="page123"/>
    <w:bookmarkEnd w:id="122"/>
    <w:tbl>
      <w:tblPr>
        <w:tblLayout w:type="fixed"/>
        <w:tblInd w:w="1880" w:type="dxa"/>
        <w:tblCellMar>
          <w:top w:w="0" w:type="dxa"/>
          <w:left w:w="0" w:type="dxa"/>
          <w:bottom w:w="0" w:type="dxa"/>
          <w:right w:w="0" w:type="dxa"/>
        </w:tblCellMar>
      </w:tblPr>
      <w:tr>
        <w:trPr>
          <w:trHeight w:val="195"/>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7,300</w:t>
            </w:r>
          </w:p>
        </w:tc>
      </w:tr>
      <w:tr>
        <w:trPr>
          <w:trHeight w:val="189"/>
        </w:trPr>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8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868</w:t>
            </w:r>
          </w:p>
        </w:tc>
      </w:tr>
      <w:tr>
        <w:trPr>
          <w:trHeight w:val="18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84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7,328</w:t>
            </w:r>
          </w:p>
        </w:tc>
      </w:tr>
      <w:tr>
        <w:trPr>
          <w:trHeight w:val="18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from ITG Acquisition</w:t>
            </w: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2,713</w:t>
            </w:r>
          </w:p>
        </w:tc>
      </w:tr>
      <w:tr>
        <w:trPr>
          <w:trHeight w:val="189"/>
        </w:trPr>
        <w:tc>
          <w:tcPr>
            <w:tcW w:w="5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18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84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8,778</w:t>
            </w:r>
          </w:p>
        </w:tc>
      </w:tr>
      <w:tr>
        <w:trPr>
          <w:trHeight w:val="18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w:t>
            </w:r>
          </w:p>
        </w:tc>
        <w:tc>
          <w:tcPr>
            <w:tcW w:w="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9"/>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Increase based on tax positions related to current period</w:t>
            </w: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8,577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Contingencies and Guarantees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January 29, 2019, the Company was named as a defendant in </w:t>
      </w:r>
      <w:r>
        <w:rPr>
          <w:rFonts w:ascii="Times New Roman" w:cs="Times New Roman" w:eastAsia="Times New Roman" w:hAnsi="Times New Roman"/>
          <w:sz w:val="18"/>
          <w:szCs w:val="18"/>
          <w:i w:val="1"/>
          <w:iCs w:val="1"/>
          <w:color w:val="auto"/>
        </w:rPr>
        <w:t>Ford v. ProShares Trust II, et al.</w:t>
      </w:r>
      <w:r>
        <w:rPr>
          <w:rFonts w:ascii="Times New Roman" w:cs="Times New Roman" w:eastAsia="Times New Roman" w:hAnsi="Times New Roman"/>
          <w:sz w:val="18"/>
          <w:szCs w:val="18"/>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a ProShares inverse-volatility ETF. Additionally, on February 27, 2019, and March 1, 2019, the Company was named as a defendant in </w:t>
      </w:r>
      <w:r>
        <w:rPr>
          <w:rFonts w:ascii="Times New Roman" w:cs="Times New Roman" w:eastAsia="Times New Roman" w:hAnsi="Times New Roman"/>
          <w:sz w:val="18"/>
          <w:szCs w:val="18"/>
          <w:i w:val="1"/>
          <w:iCs w:val="1"/>
          <w:color w:val="auto"/>
        </w:rPr>
        <w:t>Bittner v. ProShares Trust II, et al.</w:t>
      </w:r>
      <w:r>
        <w:rPr>
          <w:rFonts w:ascii="Times New Roman" w:cs="Times New Roman" w:eastAsia="Times New Roman" w:hAnsi="Times New Roman"/>
          <w:sz w:val="18"/>
          <w:szCs w:val="18"/>
          <w:color w:val="auto"/>
        </w:rPr>
        <w:t xml:space="preserve">, No. 19-cv-1840, and </w:t>
      </w:r>
      <w:r>
        <w:rPr>
          <w:rFonts w:ascii="Times New Roman" w:cs="Times New Roman" w:eastAsia="Times New Roman" w:hAnsi="Times New Roman"/>
          <w:sz w:val="18"/>
          <w:szCs w:val="18"/>
          <w:i w:val="1"/>
          <w:iCs w:val="1"/>
          <w:color w:val="auto"/>
        </w:rPr>
        <w:t>Mareno v. ProShares Trust II, et al</w:t>
      </w:r>
      <w:r>
        <w:rPr>
          <w:rFonts w:ascii="Times New Roman" w:cs="Times New Roman" w:eastAsia="Times New Roman" w:hAnsi="Times New Roman"/>
          <w:sz w:val="18"/>
          <w:szCs w:val="18"/>
          <w:color w:val="auto"/>
        </w:rPr>
        <w:t xml:space="preserve">., No. 19-cv-1955, respectively. The complaints were filed in federal district court in New York on behalf of putative classes, and asserted substantially similar claims against the Company and other financial institutions. On April 29, 2019, these three actions were consolidated in federal district court in New York as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ProShares Trust II Securities Litigation</w:t>
      </w:r>
      <w:r>
        <w:rPr>
          <w:rFonts w:ascii="Times New Roman" w:cs="Times New Roman" w:eastAsia="Times New Roman" w:hAnsi="Times New Roman"/>
          <w:sz w:val="18"/>
          <w:szCs w:val="18"/>
          <w:color w:val="auto"/>
        </w:rPr>
        <w:t>, No. 19-cv-886-DLC. A consolidated amended complaint, which did not specify the amount of alleged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filed in the consolidated action on June 21, 2019. Defendants moved to dismiss the consolidated amended complaint on August 2, 2019. In response, plaintiffs filed a consolidated second amended complaint on September 6, 2019, which also did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and an opening brief on May 14, 2020. The defendants' response brief was filed August 13, 2020 and the plaintiffs' reply was filed September 17, 2020. The Company believes that the claims are without merit and is defending itself vigorously.</w:t>
      </w:r>
    </w:p>
    <w:p>
      <w:pPr>
        <w:spacing w:after="0" w:line="21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November 30, 2020, the Company was named as a defendant in </w:t>
      </w:r>
      <w:r>
        <w:rPr>
          <w:rFonts w:ascii="Times New Roman" w:cs="Times New Roman" w:eastAsia="Times New Roman" w:hAnsi="Times New Roman"/>
          <w:sz w:val="18"/>
          <w:szCs w:val="18"/>
          <w:i w:val="1"/>
          <w:iCs w:val="1"/>
          <w:color w:val="auto"/>
        </w:rPr>
        <w:t>In re United States Oil Fund, LP Securities Litigation</w:t>
      </w:r>
      <w:r>
        <w:rPr>
          <w:rFonts w:ascii="Times New Roman" w:cs="Times New Roman" w:eastAsia="Times New Roman" w:hAnsi="Times New Roman"/>
          <w:sz w:val="18"/>
          <w:szCs w:val="18"/>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5"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and Regulatory Matters</w:t>
      </w:r>
    </w:p>
    <w:p>
      <w:pPr>
        <w:spacing w:after="0" w:line="25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the retail trading environment in the U.S. and relationships between retail broker-dealers and market making firms, high frequency trading, best execution, internalization, alternative trading system (“ATS”) manner of operations, market fragmentation and complexity, colocation, cybersecurity, access to market data feeds and remuneration arrangements, such as payment for order flow and other payment and rebate structures and arrangements. From time to time, the Company is the subject of requests for information and documents from the SEC, the Financial Industry Regulatory Authority, states attorney generals, and other regulators and governmental authorities. It is the Company's practice to cooperate and comply with the requests for information and documents.</w:t>
      </w:r>
    </w:p>
    <w:p>
      <w:pPr>
        <w:spacing w:after="0" w:line="22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is currently the subject of various regulatory reviews and investigations by state,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further reduced to €3.0 million (approximately $3.4 million). The Company has fully reserved for the monetary penalty as of December 31,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Indemnification Arrangements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2016-02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Consolidated Statements of Financial Condition and for which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Topic 842 primarily affected the accounting treatment for operating lease agreements in which the Company is the lessee. These leases are primarily for corporate office space, datacenters, and technology equipment. The leases have remaining terms of 1 year to 15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subleases certain office space and facilities to third parties. The subleases have remaining terms of 1 to 11 years. The Company recognizes amounts received from subleases on a straight-line basis over the term of the sublease within Operations and administrative expense on the Consolidated Statements of Comprehensive Income.</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the implied discount rate for most of the Company's leases is not readily determinable, the Company uses its incremental borrowing rate on its secured borrowings in determining the present value of lease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assets and liabilities are summarized as follows:</w:t>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0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6"/>
                <w:szCs w:val="16"/>
                <w:color w:val="auto"/>
              </w:rPr>
            </w:pPr>
          </w:p>
        </w:tc>
        <w:tc>
          <w:tcPr>
            <w:tcW w:w="16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7"/>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189"/>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268,864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314,526</w:t>
            </w:r>
          </w:p>
        </w:tc>
      </w:tr>
      <w:tr>
        <w:trPr>
          <w:trHeight w:val="189"/>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365,364</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8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4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37,589</w:t>
            </w:r>
          </w:p>
        </w:tc>
      </w:tr>
      <w:tr>
        <w:trPr>
          <w:trHeight w:val="189"/>
        </w:trPr>
        <w:tc>
          <w:tcPr>
            <w:tcW w:w="2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depreciation</w:t>
            </w: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(24,579)</w:t>
            </w:r>
          </w:p>
        </w:tc>
      </w:tr>
      <w:tr>
        <w:trPr>
          <w:trHeight w:val="188"/>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13,371</w:t>
            </w: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are as follows:</w:t>
      </w:r>
    </w:p>
    <w:p>
      <w:pPr>
        <w:spacing w:after="0" w:line="286"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1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7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r>
      <w:tr>
        <w:trPr>
          <w:trHeight w:val="189"/>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years</w:t>
            </w:r>
          </w:p>
        </w:tc>
      </w:tr>
      <w:tr>
        <w:trPr>
          <w:trHeight w:val="18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years</w:t>
            </w: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5.70 %</w:t>
            </w:r>
          </w:p>
        </w:tc>
      </w:tr>
      <w:tr>
        <w:trPr>
          <w:trHeight w:val="188"/>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86" w:lineRule="exact"/>
        <w:rPr>
          <w:sz w:val="20"/>
          <w:szCs w:val="20"/>
          <w:color w:val="auto"/>
        </w:rPr>
      </w:pPr>
    </w:p>
    <w:tbl>
      <w:tblPr>
        <w:tblLayout w:type="fixed"/>
        <w:tblInd w:w="190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8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3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73,624</w:t>
            </w:r>
          </w:p>
        </w:tc>
        <w:tc>
          <w:tcPr>
            <w:tcW w:w="12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72,714</w:t>
            </w:r>
          </w:p>
        </w:tc>
      </w:tr>
      <w:tr>
        <w:trPr>
          <w:trHeight w:val="18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8,333</w:t>
            </w:r>
          </w:p>
        </w:tc>
      </w:tr>
      <w:tr>
        <w:trPr>
          <w:trHeight w:val="189"/>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ROU Asset</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27,104</w:t>
            </w:r>
          </w:p>
        </w:tc>
      </w:tr>
      <w:tr>
        <w:trPr>
          <w:trHeight w:val="183"/>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108,151</w:t>
            </w:r>
          </w:p>
        </w:tc>
      </w:tr>
      <w:tr>
        <w:trPr>
          <w:trHeight w:val="270"/>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w:t>
            </w:r>
          </w:p>
        </w:tc>
      </w:t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12,565</w:t>
            </w:r>
          </w:p>
        </w:tc>
      </w:tr>
      <w:tr>
        <w:trPr>
          <w:trHeight w:val="18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r>
      <w:tr>
        <w:trPr>
          <w:trHeight w:val="182"/>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13,226</w:t>
            </w:r>
          </w:p>
        </w:tc>
      </w:tr>
    </w:tbl>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recognized $9.6 million and $66.5 million during the years ended December 31, 2020 and 2019, respectively, in Termination of office leases on the Consolidated Statements of Comprehensive Income related to the abandonment and termination of certain lease premises as part of its ongoing effort to consolidate office space. Termination of office leases consisted of $6.0 million of impairments of ROU assets and lease terminations, $3.0 million of write-offs of leasehold improvements and fixed assets and $0.6 million of dilapidation charges for the year ended December 31, 2020 and $27.1 million of impairments of ROU assets, $37.9 million of write-offs of leasehold improvements and fixed assets, and $1.4 million of dilapidation charges for the year ended December 31, 2019.</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operating and finance leases with non-cancelable lease terms, as of December 31, 2020, are as follows:</w:t>
      </w:r>
    </w:p>
    <w:p>
      <w:pPr>
        <w:spacing w:after="0" w:line="286" w:lineRule="exact"/>
        <w:rPr>
          <w:sz w:val="20"/>
          <w:szCs w:val="20"/>
          <w:color w:val="auto"/>
        </w:rPr>
      </w:pPr>
    </w:p>
    <w:tbl>
      <w:tblPr>
        <w:tblLayout w:type="fixed"/>
        <w:tblInd w:w="2580" w:type="dxa"/>
        <w:tblCellMar>
          <w:top w:w="0" w:type="dxa"/>
          <w:left w:w="0" w:type="dxa"/>
          <w:bottom w:w="0" w:type="dxa"/>
          <w:right w:w="0" w:type="dxa"/>
        </w:tblCellMar>
      </w:tblP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87"/>
        </w:trPr>
        <w:tc>
          <w:tcPr>
            <w:tcW w:w="2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74,590</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6,774</w:t>
            </w: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r>
      <w:tr>
        <w:trPr>
          <w:trHeight w:val="18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and thereafter</w:t>
            </w:r>
          </w:p>
        </w:tc>
        <w:tc>
          <w:tcPr>
            <w:tcW w:w="2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114,873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384,951</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12,247</w:t>
            </w:r>
          </w:p>
        </w:tc>
      </w:tr>
      <w:tr>
        <w:trPr>
          <w:trHeight w:val="189"/>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315,340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11,687</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or segregated cash</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as reported within the Consolidated Statements of Financial Condition to the sum of the same such amounts shown in the Consolidated Statements of Cash Flows.</w:t>
      </w:r>
    </w:p>
    <w:p>
      <w:pPr>
        <w:spacing w:after="0" w:line="242"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889,559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732,164</w:t>
            </w:r>
          </w:p>
        </w:tc>
      </w:tr>
      <w:tr>
        <w:trPr>
          <w:trHeight w:val="189"/>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117,446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41,116</w:t>
            </w:r>
          </w:p>
        </w:tc>
      </w:tr>
      <w:tr>
        <w:trPr>
          <w:trHeight w:val="20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1,007,005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81.9% of the combined voting power of our common stock as a result of its ownership of our Class C and Class D Common Stock</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December 31, 2020 and December 31, 2019, there were 5,259,713 and 7,919,952 Virtu Financial Units outstanding held by Employee Holdco (as defined below), respectively, and 2,660,239, 840,803 and 3,540,312 of such Virtu Financial Units and corresponding Class C Common Stock were exchanged into Class A Common Stock, forfeited or repurchased during the years ended December 31, 2020, 2019 and 2018,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21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stockholders on June 5, 2020.</w:t>
      </w:r>
    </w:p>
    <w:p>
      <w:pPr>
        <w:spacing w:after="0" w:line="21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amendment was authorized and approved by the Compensation Committee of the Company's Board of Directors. As a result of the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5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2018, the Company's Board of Directors authorized a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The share repurchase program entitled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legal requirements and other factors. The program expired on September 30, 2019. From the inception of the program in February 2018, the Company repurchased approximately 2.6 million shares of Class A Common Stock and Virtu Financial Units for approximately $65.9 million.</w:t>
      </w: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6, 2020, the Company's Board of Directors authorized a new share repurchase program of up to $100.0 million in Class A common stock and Virtu Financial Units by December 31, 2021. From the inception of the program through December 31, 2020, the Company repurchased approximately 1.4 million shares of Class A Common Stock and Virtu Financial Units for approximately $33.9 million. As of December 31, 2020, the Company has approximately of $66.1 million remaining capacity for future purchases of shares of Class A Common Stock and Virtu Financial Units under the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2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Exchanges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2019 and 2018, pursuant to the exchange agreement by and among the Company, Virtu Financial and holders of Virtu Financial Units, certain current and former employees elected to exchange 2,660,239, 840,839 and 3,919,462 units, respectively in Virtu Financial held directly or on their behalf by Virtu Employee Holdco LLC (“Employee Holdco”) on a one-for-one basis for shares of Class A Common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holds approximately a 64.1% interest in Virtu Financial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20, 2020, in connection with and in consideration of the Founder Member’s commitments under the Founder Member Loan Facility (as described in Note 11 "Borrowings"), the Company delivered to the Founder Member a warrant (the “Warrant”) to purchase shares of the Company’s Class A Common Stock. Pursuant to the Warrant, the Founder Member may purchase up to 3,000,000 shares of Class A Common Stock. If at any time during the term of the Founder Member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11 "Borrowings"), and as a result no such increase in the number of shares which may be purchased has occurred or will occur pursuant to the terms of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to purchase up to 3,000,000 shares of the Company's Class A Common Stock on any date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Warrant was determined using a Black-Scholes-Merton model, and was recorded as a debt issuance cost within Other Assets on the Consolidated Statements of Financial Condition and as an increase to Additional paid-in capital on the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Consolidated Statements of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changes in Other Comprehensive Income (Loss) for the years ended December 31, 2020, 2019 and 2018:</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AOCI Beginning</w:t>
            </w:r>
          </w:p>
        </w:tc>
        <w:tc>
          <w:tcPr>
            <w:tcW w:w="100" w:type="dxa"/>
            <w:vAlign w:val="bottom"/>
          </w:tcPr>
          <w:p>
            <w:pPr>
              <w:spacing w:after="0"/>
              <w:rPr>
                <w:sz w:val="11"/>
                <w:szCs w:val="11"/>
                <w:color w:val="auto"/>
              </w:rPr>
            </w:pPr>
          </w:p>
        </w:tc>
        <w:tc>
          <w:tcPr>
            <w:tcW w:w="14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80" w:type="dxa"/>
            <w:vAlign w:val="bottom"/>
          </w:tcPr>
          <w:p>
            <w:pPr>
              <w:spacing w:after="0"/>
              <w:rPr>
                <w:sz w:val="11"/>
                <w:szCs w:val="11"/>
                <w:color w:val="auto"/>
              </w:rPr>
            </w:pPr>
          </w:p>
        </w:tc>
        <w:tc>
          <w:tcPr>
            <w:tcW w:w="14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89"/>
        </w:trPr>
        <w:tc>
          <w:tcPr>
            <w:tcW w:w="3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0" w:type="dxa"/>
            <w:vAlign w:val="bottom"/>
          </w:tcPr>
          <w:p>
            <w:pPr>
              <w:spacing w:after="0"/>
              <w:rPr>
                <w:sz w:val="1"/>
                <w:szCs w:val="1"/>
                <w:color w:val="auto"/>
              </w:rPr>
            </w:pPr>
          </w:p>
        </w:tc>
      </w:tr>
      <w:tr>
        <w:trPr>
          <w:trHeight w:val="18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7,957</w:t>
            </w:r>
          </w:p>
        </w:tc>
        <w:tc>
          <w:tcPr>
            <w:tcW w:w="0" w:type="dxa"/>
            <w:vAlign w:val="bottom"/>
          </w:tcPr>
          <w:p>
            <w:pPr>
              <w:spacing w:after="0"/>
              <w:rPr>
                <w:sz w:val="1"/>
                <w:szCs w:val="1"/>
                <w:color w:val="auto"/>
              </w:rPr>
            </w:pPr>
          </w:p>
        </w:tc>
      </w:tr>
      <w:tr>
        <w:trPr>
          <w:trHeight w:val="190"/>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0" w:type="dxa"/>
            <w:vAlign w:val="bottom"/>
          </w:tcPr>
          <w:p>
            <w:pPr>
              <w:spacing w:after="0"/>
              <w:rPr>
                <w:sz w:val="1"/>
                <w:szCs w:val="1"/>
                <w:color w:val="auto"/>
              </w:rPr>
            </w:pPr>
          </w:p>
        </w:tc>
      </w:tr>
    </w:tbl>
    <w:p>
      <w:pPr>
        <w:ind w:left="740" w:right="940" w:hanging="5"/>
        <w:spacing w:after="0" w:line="215" w:lineRule="auto"/>
        <w:tabs>
          <w:tab w:leader="none" w:pos="91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reclassified from AOCI to income are included within Financing interest expense on long-term borrowings on the Consolidated Statements of Comprehensive Income. As of December 31, 2020, the Company expects approximately $13.4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-245745</wp:posOffset>
            </wp:positionV>
            <wp:extent cx="38830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94"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AOCI Beginning</w:t>
            </w:r>
          </w:p>
        </w:tc>
        <w:tc>
          <w:tcPr>
            <w:tcW w:w="100" w:type="dxa"/>
            <w:vAlign w:val="bottom"/>
          </w:tcPr>
          <w:p>
            <w:pPr>
              <w:spacing w:after="0"/>
              <w:rPr>
                <w:sz w:val="11"/>
                <w:szCs w:val="11"/>
                <w:color w:val="auto"/>
              </w:rPr>
            </w:pPr>
          </w:p>
        </w:tc>
        <w:tc>
          <w:tcPr>
            <w:tcW w:w="14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80" w:type="dxa"/>
            <w:vAlign w:val="bottom"/>
          </w:tcPr>
          <w:p>
            <w:pPr>
              <w:spacing w:after="0"/>
              <w:rPr>
                <w:sz w:val="11"/>
                <w:szCs w:val="11"/>
                <w:color w:val="auto"/>
              </w:rPr>
            </w:pPr>
          </w:p>
        </w:tc>
        <w:tc>
          <w:tcPr>
            <w:tcW w:w="148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from AOCI to income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1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AOCI Beginning</w:t>
            </w:r>
          </w:p>
        </w:tc>
        <w:tc>
          <w:tcPr>
            <w:tcW w:w="100" w:type="dxa"/>
            <w:vAlign w:val="bottom"/>
          </w:tcPr>
          <w:p>
            <w:pPr>
              <w:spacing w:after="0"/>
              <w:rPr>
                <w:sz w:val="11"/>
                <w:szCs w:val="11"/>
                <w:color w:val="auto"/>
              </w:rPr>
            </w:pPr>
          </w:p>
        </w:tc>
        <w:tc>
          <w:tcPr>
            <w:tcW w:w="14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80" w:type="dxa"/>
            <w:vAlign w:val="bottom"/>
          </w:tcPr>
          <w:p>
            <w:pPr>
              <w:spacing w:after="0"/>
              <w:rPr>
                <w:sz w:val="11"/>
                <w:szCs w:val="11"/>
                <w:color w:val="auto"/>
              </w:rPr>
            </w:pPr>
          </w:p>
        </w:tc>
        <w:tc>
          <w:tcPr>
            <w:tcW w:w="148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from AOCI to income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Share-based Compensation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19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stock options for the years ended December 31, 2020, 2019 and 2018:</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1380" w:type="dxa"/>
            <w:vAlign w:val="bottom"/>
          </w:tcPr>
          <w:p>
            <w:pPr>
              <w:jc w:val="center"/>
              <w:ind w:right="68"/>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7,738,000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3,869,000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(4,168,100)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3,486,150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6"/>
                <w:szCs w:val="16"/>
                <w:color w:val="auto"/>
              </w:rPr>
            </w:pPr>
          </w:p>
        </w:tc>
        <w:tc>
          <w:tcPr>
            <w:tcW w:w="152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89"/>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88"/>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$1.4 million and $5.8 million for the years ended December 31, 2019 and 2018, respectively, of compensation expense in relation to the stock options issued and outstanding. The stock options to purchase shares of Class A Common Stock were fully vested in 2019, and as such there was no compensation expense recognized in relation to stock options for the year ended December 31,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Restricted Stock Units and Restricted Stock Awards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19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years ended December 31, 2020, 2019 and 2018, respectively, there were 967,526, 441,920 and 594,536 shares of immediately vested Class A Common Stock granted as part of year-end compensation. In addition, the Company accrued compensation expense of $25.2 million, of which $2.1 million was related to accelerated vesting of awards for retirement eligible employees, $12.6 million and $11.2 million for the years ended December 31, 2020, 2019 and 2018,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the RSUs (including the Assumed Awards) and RSAs: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RSAs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2017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89"/>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1,265,899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(612,531)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2018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1,378,922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89"/>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4,063,541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(643,709)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(1,805,265)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2019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189"/>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89"/>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3,393,084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auto"/>
        </w:rPr>
        <w:t>(1) Excluded in the number of RSUs and RSAs are 400,000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-85725</wp:posOffset>
            </wp:positionV>
            <wp:extent cx="8743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3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$37.4 million, of which $3.7 million was related to accelerated vesting of awards for retirement eligible employees, $66.1 million and $17.9 million for the years ended December 31, 2020, 2019 and 2018, respectively, of compensation expense in relation to the RSUs. As of December 31, 2020 and December 31, 2019, total unrecognized share-based compensation expense related to unvested RSUs was $37.1 million and $43.4 million, respectively, and this amount is to be recognized over a weighted average period of 1.03 and 2.0 years, respectively. Awards in which the specific performance conditions have not been met are not included in unrecognized share-based compensation expense.</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November 13, 2020, the Company adopted the Virtu Financial, Inc. Deferred Compensation Plan (the "DCP"). The DCP permits eligible executive officers and other employees to defer cash or equity based compensation beginning in the calendar year ending December 31, 2021, subject to certain limitations and restrictions. Deferrals may also be directed to notional investments in certain of the employee investment opportunities. No amounts have been recognized as compensation cost under the DCP as of December 31,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Property, Equipment and Capitalized Software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capitalized software consisted of the following at December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tbl>
      <w:tblPr>
        <w:tblLayout w:type="fixed"/>
        <w:tblInd w:w="116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9"/>
        </w:trPr>
        <w:tc>
          <w:tcPr>
            <w:tcW w:w="6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143,748</w:t>
            </w:r>
          </w:p>
        </w:tc>
        <w:tc>
          <w:tcPr>
            <w:tcW w:w="0" w:type="dxa"/>
            <w:vAlign w:val="bottom"/>
          </w:tcPr>
          <w:p>
            <w:pPr>
              <w:spacing w:after="0"/>
              <w:rPr>
                <w:sz w:val="1"/>
                <w:szCs w:val="1"/>
                <w:color w:val="auto"/>
              </w:rPr>
            </w:pPr>
          </w:p>
        </w:tc>
      </w:tr>
      <w:tr>
        <w:trPr>
          <w:trHeight w:val="21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71,981</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357,589</w:t>
            </w:r>
          </w:p>
        </w:tc>
        <w:tc>
          <w:tcPr>
            <w:tcW w:w="0" w:type="dxa"/>
            <w:vAlign w:val="bottom"/>
          </w:tcPr>
          <w:p>
            <w:pPr>
              <w:spacing w:after="0"/>
              <w:rPr>
                <w:sz w:val="1"/>
                <w:szCs w:val="1"/>
                <w:color w:val="auto"/>
              </w:rPr>
            </w:pPr>
          </w:p>
        </w:tc>
      </w:tr>
      <w:tr>
        <w:trPr>
          <w:trHeight w:val="209"/>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573,318</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(457,229)</w:t>
            </w:r>
          </w:p>
        </w:tc>
        <w:tc>
          <w:tcPr>
            <w:tcW w:w="0" w:type="dxa"/>
            <w:vAlign w:val="bottom"/>
          </w:tcPr>
          <w:p>
            <w:pPr>
              <w:spacing w:after="0"/>
              <w:rPr>
                <w:sz w:val="1"/>
                <w:szCs w:val="1"/>
                <w:color w:val="auto"/>
              </w:rPr>
            </w:pPr>
          </w:p>
        </w:tc>
      </w:tr>
      <w:tr>
        <w:trPr>
          <w:trHeight w:val="212"/>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property, equipment and capitalized software,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113,590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116,089</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for property and equipment for the years ended December 31, 2020, 2019, and 2018 was approximately $37.4 million, $44.7 million, and $48.4 million, respectively, and is included within depreciation and amortization expense in the Consolidated Statements of Comprehensive Income.</w:t>
      </w:r>
    </w:p>
    <w:p>
      <w:pPr>
        <w:spacing w:after="0" w:line="2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capitalized software development costs were approximately $37.0 million, $32.5 million, and $24.4 million for the years ended December 31, 2020, 2019, and 2018, respectively. The related amortization expense was approximately $29.3 million, $21.0 million, and $20.4 million for the years ended December 31, 2020, 2019, and 2018, respectively, and is included within Depreciation and amortization in the Consolidated Statements of Comprehensive Income.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Regulatory Requirement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Subsidiaries</w:t>
      </w:r>
    </w:p>
    <w:p>
      <w:pPr>
        <w:spacing w:after="0" w:line="254"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U.S. broker-dealer subsidiary, VAL, is subject to the SEC Uniform Net Capital Rule 15c3-1, which requires the maintenance of minimum net capital as detailed in the table below. Pursuant to NYSE rules, VAL was also required to maintain $1.0 million of capital in connection with the operation of its designated market maker (“DMM”) business as of December 31, 2020. The required amount is determined under the exchange rules as the greater of (i) $1 million or (ii) $75,000 for every 0.1% of NYSE transaction dollar volume in each of the securities for which the Company is registered as the DMM.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VAL's regulatory capital and regulatory capital requirements as of December 31, 2020 was as follows:</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89"/>
        </w:trPr>
        <w:tc>
          <w:tcPr>
            <w:tcW w:w="5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Virtu Americas LLC</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621,253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2,917</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618,336</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VAL had $96.2 million of cash in special reserve bank accounts for the benefit of customers pursuant to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15c3-3, </w:t>
      </w:r>
      <w:r>
        <w:rPr>
          <w:rFonts w:ascii="Times New Roman" w:cs="Times New Roman" w:eastAsia="Times New Roman" w:hAnsi="Times New Roman"/>
          <w:sz w:val="18"/>
          <w:szCs w:val="18"/>
          <w:i w:val="1"/>
          <w:iCs w:val="1"/>
          <w:color w:val="auto"/>
        </w:rPr>
        <w:t>Computation for Determination of Reserve Requirements,</w:t>
      </w:r>
      <w:r>
        <w:rPr>
          <w:rFonts w:ascii="Times New Roman" w:cs="Times New Roman" w:eastAsia="Times New Roman" w:hAnsi="Times New Roman"/>
          <w:sz w:val="18"/>
          <w:szCs w:val="18"/>
          <w:color w:val="auto"/>
        </w:rPr>
        <w:t xml:space="preserve"> and $20.4 million of cash in reserve bank accounts for the benefit of proprietary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of brokers. Balances in special reserve bank accounts previously maintained by VITG were transferred to VAL upon consolidation of the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The balances are included within Cash restricted or segregated under regulations and other on the Consolidated Statements of Financial Condition.</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regulatory capital and regulatory capital requirements of the U.S. broker-dealer subsidiaries as of December 31, 2019 were as follows:</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89"/>
        </w:trPr>
        <w:tc>
          <w:tcPr>
            <w:tcW w:w="5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Virtu Americas LLC</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2,571</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254,881</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Virtu Financial BD LLC</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29,317</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Virtu Financial Capital Markets LLC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Virtu ITG LLC</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65,069</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Virtu Alternet Securities LLC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VAL and VITG had $22.3 million and $7.4 million, respectively, of cash in special reserve bank accounts for the benefit of customers pursuant to SEC Rule 15c3-3, </w:t>
      </w:r>
      <w:r>
        <w:rPr>
          <w:rFonts w:ascii="Times New Roman" w:cs="Times New Roman" w:eastAsia="Times New Roman" w:hAnsi="Times New Roman"/>
          <w:sz w:val="18"/>
          <w:szCs w:val="18"/>
          <w:i w:val="1"/>
          <w:iCs w:val="1"/>
          <w:color w:val="auto"/>
        </w:rPr>
        <w:t>Computation for Determination of Reserve Requirements,</w:t>
      </w:r>
      <w:r>
        <w:rPr>
          <w:rFonts w:ascii="Times New Roman" w:cs="Times New Roman" w:eastAsia="Times New Roman" w:hAnsi="Times New Roman"/>
          <w:sz w:val="18"/>
          <w:szCs w:val="18"/>
          <w:color w:val="auto"/>
        </w:rPr>
        <w:t xml:space="preserve"> and $4.5 million and $5.0 million, respectively, of cash in reserve bank accounts for the benefit of proprietary accounts of brokers.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0"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Subsidiaries</w:t>
      </w:r>
    </w:p>
    <w:p>
      <w:pPr>
        <w:spacing w:after="0" w:line="2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w:t>
      </w:r>
    </w:p>
    <w:p>
      <w:pPr>
        <w:spacing w:after="0" w:line="207"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The regulatory net capital balances and regulatory capital requirements applicable to the Company's foreign subsidiaries as of December 31, 2020 were as follows:</w:t>
      </w:r>
    </w:p>
    <w:tbl>
      <w:tblPr>
        <w:tblLayout w:type="fixed"/>
        <w:tblInd w:w="200" w:type="dxa"/>
        <w:tblCellMar>
          <w:top w:w="0" w:type="dxa"/>
          <w:left w:w="0" w:type="dxa"/>
          <w:bottom w:w="0" w:type="dxa"/>
          <w:right w:w="0" w:type="dxa"/>
        </w:tblCellMar>
      </w:tblPr>
      <w:tr>
        <w:trPr>
          <w:trHeight w:val="147"/>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89"/>
        </w:trPr>
        <w:tc>
          <w:tcPr>
            <w:tcW w:w="5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12,748</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32,106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25,353</w:t>
            </w: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41,038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53,490</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12,729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17,877</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0" w:type="dxa"/>
            <w:vAlign w:val="bottom"/>
          </w:tcPr>
          <w:p>
            <w:pPr>
              <w:spacing w:after="0"/>
              <w:rPr>
                <w:sz w:val="1"/>
                <w:szCs w:val="1"/>
                <w:color w:val="auto"/>
              </w:rPr>
            </w:pPr>
          </w:p>
        </w:tc>
      </w:tr>
      <w:tr>
        <w:trPr>
          <w:trHeight w:val="188"/>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Virtu ITG Europe Limited and Virtu ITG Canada Corp had $0.2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203"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The regulatory net capital balances and regulatory capital requirements applicable to the Company's foreign subsidiaries as of December 31, 2019 were as follows:</w:t>
      </w:r>
    </w:p>
    <w:tbl>
      <w:tblPr>
        <w:tblLayout w:type="fixed"/>
        <w:tblInd w:w="200" w:type="dxa"/>
        <w:tblCellMar>
          <w:top w:w="0" w:type="dxa"/>
          <w:left w:w="0" w:type="dxa"/>
          <w:bottom w:w="0" w:type="dxa"/>
          <w:right w:w="0" w:type="dxa"/>
        </w:tblCellMar>
      </w:tblPr>
      <w:tr>
        <w:trPr>
          <w:trHeight w:val="147"/>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2"/>
                <w:szCs w:val="12"/>
                <w:color w:val="auto"/>
              </w:rPr>
            </w:pPr>
          </w:p>
        </w:tc>
        <w:tc>
          <w:tcPr>
            <w:tcW w:w="16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89"/>
        </w:trPr>
        <w:tc>
          <w:tcPr>
            <w:tcW w:w="5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TriAct Canada Marketplace LP</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32,484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21,645</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43,233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35,152</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8,451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16,123</w:t>
            </w:r>
          </w:p>
        </w:tc>
        <w:tc>
          <w:tcPr>
            <w:tcW w:w="0" w:type="dxa"/>
            <w:vAlign w:val="bottom"/>
          </w:tcPr>
          <w:p>
            <w:pPr>
              <w:spacing w:after="0"/>
              <w:rPr>
                <w:sz w:val="1"/>
                <w:szCs w:val="1"/>
                <w:color w:val="auto"/>
              </w:rPr>
            </w:pPr>
          </w:p>
        </w:tc>
      </w:tr>
      <w:tr>
        <w:trPr>
          <w:trHeight w:val="189"/>
        </w:trPr>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0" w:type="dxa"/>
            <w:vAlign w:val="bottom"/>
          </w:tcPr>
          <w:p>
            <w:pPr>
              <w:spacing w:after="0"/>
              <w:rPr>
                <w:sz w:val="1"/>
                <w:szCs w:val="1"/>
                <w:color w:val="auto"/>
              </w:rPr>
            </w:pPr>
          </w:p>
        </w:tc>
      </w:tr>
      <w:tr>
        <w:trPr>
          <w:trHeight w:val="189"/>
        </w:trPr>
        <w:tc>
          <w:tcPr>
            <w:tcW w:w="5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2019, Virtu ITG Europe Limited and Virtu ITG Canada Corp had $1.2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Geographic Information and Business Segments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2020, 2019 and 2018</w:t>
      </w:r>
      <w:r>
        <w:rPr>
          <w:rFonts w:ascii="Times New Roman" w:cs="Times New Roman" w:eastAsia="Times New Roman" w:hAnsi="Times New Roman"/>
          <w:sz w:val="16"/>
          <w:szCs w:val="16"/>
          <w:color w:val="auto"/>
        </w:rPr>
        <w:t>:</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2,569,147</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1,133,514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1,644,641</w:t>
            </w:r>
          </w:p>
        </w:tc>
      </w:tr>
      <w:tr>
        <w:trPr>
          <w:trHeight w:val="18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81,531</w:t>
            </w: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136,161</w:t>
            </w:r>
          </w:p>
        </w:tc>
      </w:tr>
      <w:tr>
        <w:trPr>
          <w:trHeight w:val="18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15,681</w:t>
            </w:r>
          </w:p>
        </w:tc>
      </w:tr>
      <w:tr>
        <w:trPr>
          <w:trHeight w:val="189"/>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r>
      <w:tr>
        <w:trPr>
          <w:trHeight w:val="20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3,239,331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1,878,718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w:t>
      </w:r>
    </w:p>
    <w:p>
      <w:pPr>
        <w:spacing w:after="0" w:line="2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2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9" w:lineRule="exact"/>
        <w:rPr>
          <w:sz w:val="20"/>
          <w:szCs w:val="20"/>
          <w:color w:val="auto"/>
        </w:rPr>
      </w:pPr>
    </w:p>
    <w:p>
      <w:pPr>
        <w:jc w:val="both"/>
        <w:ind w:right="420" w:firstLine="648"/>
        <w:spacing w:after="0" w:line="289"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years ended December 31, 2020, 2019 and 2018 and are summarized in the following table: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188"/>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18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2,593,342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650,143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3,239,331</w:t>
            </w:r>
          </w:p>
        </w:tc>
      </w:tr>
      <w:tr>
        <w:trPr>
          <w:trHeight w:val="189"/>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174,617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1,382,837</w:t>
            </w:r>
          </w:p>
        </w:tc>
      </w:tr>
      <w:tr>
        <w:trPr>
          <w:trHeight w:val="216"/>
        </w:trPr>
        <w:tc>
          <w:tcPr>
            <w:tcW w:w="4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491,736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1,517,492</w:t>
            </w:r>
          </w:p>
        </w:tc>
      </w:tr>
      <w:tr>
        <w:trPr>
          <w:trHeight w:val="189"/>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(126,931)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(115,982)</w:t>
            </w:r>
          </w:p>
        </w:tc>
      </w:tr>
      <w:tr>
        <w:trPr>
          <w:trHeight w:val="216"/>
        </w:trPr>
        <w:tc>
          <w:tcPr>
            <w:tcW w:w="4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496,333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1,878,718</w:t>
            </w:r>
          </w:p>
        </w:tc>
      </w:tr>
      <w:tr>
        <w:trPr>
          <w:trHeight w:val="188"/>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325,043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696,363</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Transactions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incurs expenses and maintains balances with its affiliates in the ordinary course of business. As of December 31, 2020,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2019, the Company had a net receivable from its affiliates of $2.3 million and a net receivable from its affiliates of $1.3 million, respectively.</w:t>
      </w:r>
    </w:p>
    <w:p>
      <w:pPr>
        <w:spacing w:after="0" w:line="24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held a minority interest in JNX since 2016 (see Note 12 "Financial Assets and Liabilities"). The Company pays exchange fees to JNX for the trading activities conducted on its proprietary trading system. The Company paid $16.7 million, $12.9 million and $9.5 million for the years ended December 31, 2020, 2019 and 2018, respectively, to JNX for these trading activities.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$18.7 million, $19.9 million and $20.0 million to the JVs for the years ended December 31, 2020, 2019 and 2018, respectively. Additionally, in 2018, the Company sold certain assets to one of its joint ventures, including the intangible assets associated with leases with a net carrying value of $1.1 million at the time of sale, for $0.6 million.</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purchases network connections services from affiliates of Level 3 Communications (“Level 3”). Temasek and its affiliates have a significant ownership interest in Level 3. The Company paid $1.5 million, $1.5 million and $1.5 million for the years ended December 31, 2020, 2019 and 2018, respectively, to Level 3 for these services.</w:t>
      </w:r>
    </w:p>
    <w:p>
      <w:pPr>
        <w:spacing w:after="0" w:line="20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ITG Acquisition, the Company makes commission-sharing arrangement payments to affiliates of DBS Group Holdings (“DBS”). Temasek and its affiliates have a significant ownership interest in DBS. The Company paid $0.2 million and $0.1 million to DBS for the years ended December 31, 2020 and 2019, respectively. The Company did not make payments to DBS for the year ended December 31, 2018.</w:t>
      </w:r>
    </w:p>
    <w:p>
      <w:pPr>
        <w:spacing w:after="0" w:line="20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the Company’s founding equity holder, pursuant to that certain Member Purchase Agreement, entered into on May 14, 2019 by and between the Company and TJMT Holdings LLC.</w:t>
      </w:r>
    </w:p>
    <w:p>
      <w:pPr>
        <w:spacing w:after="0" w:line="207"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11 "Borrowings" and Note 19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 The Founder Member Loan Term expired as of September 20,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Parent Company</w:t>
      </w:r>
    </w:p>
    <w:p>
      <w:pPr>
        <w:spacing w:after="0" w:line="256" w:lineRule="exact"/>
        <w:rPr>
          <w:sz w:val="20"/>
          <w:szCs w:val="20"/>
          <w:color w:val="auto"/>
        </w:rPr>
      </w:pPr>
    </w:p>
    <w:p>
      <w:pPr>
        <w:ind w:right="320" w:firstLine="501"/>
        <w:spacing w:after="0" w:line="266" w:lineRule="auto"/>
        <w:rPr>
          <w:sz w:val="20"/>
          <w:szCs w:val="20"/>
          <w:color w:val="auto"/>
        </w:rPr>
      </w:pPr>
      <w:r>
        <w:rPr>
          <w:rFonts w:ascii="Times New Roman" w:cs="Times New Roman" w:eastAsia="Times New Roman" w:hAnsi="Times New Roman"/>
          <w:sz w:val="18"/>
          <w:szCs w:val="18"/>
          <w:color w:val="auto"/>
        </w:rPr>
        <w:t>VFI is the sole managing member of Virtu Financial, which guarantees the indebtedness of its direct subsidiary under the First Lien Term Loan Facility (see Note 11 "Borrowings"). VFI is limited to its ability to receive distributions (including for purposes of paying corporate and other overhead expenses and dividends) from Virtu Financial under the Credit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Agreement. The following financial statements (the “Parent Company Only Financial Statements”) should be read in conjunction with the consolidated financial statements of the Company and the foregoing.</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interest data)</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4"/>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71,481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89"/>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183,549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197,792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 in subsidiary</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3,126,502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2,689,026</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82,917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33,653</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3,464,449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2,925,121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membership interest and equity</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 to affiliate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1,724,046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1,724,465</w:t>
            </w:r>
          </w:p>
        </w:tc>
        <w:tc>
          <w:tcPr>
            <w:tcW w:w="0" w:type="dxa"/>
            <w:vAlign w:val="bottom"/>
          </w:tcPr>
          <w:p>
            <w:pPr>
              <w:spacing w:after="0"/>
              <w:rPr>
                <w:sz w:val="1"/>
                <w:szCs w:val="1"/>
                <w:color w:val="auto"/>
              </w:rPr>
            </w:pPr>
          </w:p>
        </w:tc>
      </w:tr>
      <w:tr>
        <w:trPr>
          <w:trHeight w:val="189"/>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 and other liabilities</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271,165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269,282</w:t>
            </w:r>
          </w:p>
        </w:tc>
        <w:tc>
          <w:tcPr>
            <w:tcW w:w="0" w:type="dxa"/>
            <w:vAlign w:val="bottom"/>
          </w:tcPr>
          <w:p>
            <w:pPr>
              <w:spacing w:after="0"/>
              <w:rPr>
                <w:sz w:val="1"/>
                <w:szCs w:val="1"/>
                <w:color w:val="auto"/>
              </w:rPr>
            </w:pPr>
          </w:p>
        </w:tc>
      </w:tr>
      <w:tr>
        <w:trPr>
          <w:trHeight w:val="182"/>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1,995,909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1,993,747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Virtu Financial Inc. Stockholders' equity</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$0.00001), Authorized — 1,000,000,000 and 1,000,000,000 shares, Issued — 125,627,277</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and 120,435,912 shares, Outstanding — 122,012,180 and 118,257,141 shares at December 31, 2020 and December 31, 2019,</w:t>
            </w:r>
          </w:p>
        </w:tc>
        <w:tc>
          <w:tcPr>
            <w:tcW w:w="3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B common stock (par value $0.00001), Authorized — 175,000,000 and 175,000,000 shares, Issued and Outstanding — 0</w:t>
            </w:r>
          </w:p>
        </w:tc>
        <w:tc>
          <w:tcPr>
            <w:tcW w:w="32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0 shares at December 31, 2020 and December 31, 2019, respectively</w:t>
            </w:r>
          </w:p>
        </w:tc>
        <w:tc>
          <w:tcPr>
            <w:tcW w:w="3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C common stock (par value $0.00001), Authorized — 90,000,000 and 90,000,000 shares, Issued and Outstanding —</w:t>
            </w:r>
          </w:p>
        </w:tc>
        <w:tc>
          <w:tcPr>
            <w:tcW w:w="3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10,226,939 and 12,887,178 shares at December 31, 2020 and December 31, 2019, respectively</w:t>
            </w:r>
          </w:p>
        </w:tc>
        <w:tc>
          <w:tcPr>
            <w:tcW w:w="3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0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Class D common stock (par value $0.00001), Authorized — 175,000,000 and 175,000,000 shares, Issued and Outstanding —</w:t>
            </w:r>
          </w:p>
        </w:tc>
        <w:tc>
          <w:tcPr>
            <w:tcW w:w="32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60,091,740 and 60,091,740 shares at December 31, 2020 and December 31, 2019, respectively</w:t>
            </w: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3,615,097 and 2,178,771 shares at December 31, 2020 and December 31, 2019, respectively</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(55,005)</w:t>
            </w:r>
          </w:p>
        </w:tc>
        <w:tc>
          <w:tcPr>
            <w:tcW w:w="0" w:type="dxa"/>
            <w:vAlign w:val="bottom"/>
          </w:tcPr>
          <w:p>
            <w:pPr>
              <w:spacing w:after="0"/>
              <w:rPr>
                <w:sz w:val="1"/>
                <w:szCs w:val="1"/>
                <w:color w:val="auto"/>
              </w:rPr>
            </w:pPr>
          </w:p>
        </w:tc>
      </w:tr>
      <w:tr>
        <w:trPr>
          <w:trHeight w:val="189"/>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1,160,567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1,075,779</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422,381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(88,755)</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Virtu Financial Inc. stockholders' equity</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1,468,540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931,374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3,464,449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2,925,121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891" w:right="67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6"/>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equity in income of subsidiary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income (loss) of subsidiary, net of tax</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1,121,084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620,193</w:t>
            </w:r>
          </w:p>
        </w:tc>
      </w:tr>
      <w:tr>
        <w:trPr>
          <w:trHeight w:val="20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620,192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620,192</w:t>
            </w: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 net of taxes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unrealized cash flow hedges gains (losses), net of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1,096,073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617,119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887" w:right="39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620,192</w:t>
            </w:r>
          </w:p>
        </w:tc>
      </w:tr>
      <w:tr>
        <w:trPr>
          <w:trHeight w:val="216"/>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income of subsidiary, net of tax</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(305,936)</w:t>
            </w:r>
          </w:p>
        </w:tc>
      </w:tr>
      <w:tr>
        <w:trPr>
          <w:trHeight w:val="18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receivable agreement obligation reduction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79,722</w:t>
            </w:r>
          </w:p>
        </w:tc>
      </w:tr>
      <w:tr>
        <w:trPr>
          <w:trHeight w:val="189"/>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(64,996)</w:t>
            </w:r>
          </w:p>
        </w:tc>
      </w:tr>
      <w:tr>
        <w:trPr>
          <w:trHeight w:val="18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(25,268)</w:t>
            </w:r>
          </w:p>
        </w:tc>
      </w:tr>
      <w:tr>
        <w:trPr>
          <w:trHeight w:val="182"/>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557,767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303,714</w:t>
            </w:r>
          </w:p>
        </w:tc>
      </w:tr>
      <w:tr>
        <w:trPr>
          <w:trHeight w:val="216"/>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subsidiaries, equity basis</w:t>
            </w: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34,909</w:t>
            </w:r>
          </w:p>
        </w:tc>
      </w:tr>
      <w:tr>
        <w:trPr>
          <w:trHeight w:val="182"/>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34,909</w:t>
            </w:r>
          </w:p>
        </w:tc>
      </w:tr>
      <w:tr>
        <w:trPr>
          <w:trHeight w:val="216"/>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from Virtu Financial to non-controlling interest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(206,903)</w:t>
            </w: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(100,329)</w:t>
            </w: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(66,218)</w:t>
            </w: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(12,359)</w:t>
            </w: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 with secondary offering, net of offering costs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83"/>
        </w:trPr>
        <w:tc>
          <w:tcPr>
            <w:tcW w:w="7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(547,565)</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(226,465)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(394,975)</w:t>
            </w:r>
          </w:p>
        </w:tc>
      </w:tr>
      <w:tr>
        <w:trPr>
          <w:trHeight w:val="216"/>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(56,352)</w:t>
            </w:r>
          </w:p>
        </w:tc>
      </w:tr>
      <w:tr>
        <w:trPr>
          <w:trHeight w:val="18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beginning of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60,193</w:t>
            </w:r>
          </w:p>
        </w:tc>
      </w:tr>
      <w:tr>
        <w:trPr>
          <w:trHeight w:val="20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paid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203,031</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73,991</w:t>
            </w:r>
          </w:p>
        </w:tc>
      </w:tr>
      <w:tr>
        <w:trPr>
          <w:trHeight w:val="216"/>
        </w:trPr>
        <w:tc>
          <w:tcPr>
            <w:tcW w:w="7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described in Note 7</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203"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On February 11, 2021, the Company’s Board of Directors declared a dividend of $0.24 per share of Class A Common Stock and Class B Common Stock and per participating Restricted Stock Unit and Restricted Stock Award that will be paid on March 15, 2021 to holders of record as of March 1, 2021.</w:t>
      </w:r>
    </w:p>
    <w:p>
      <w:pPr>
        <w:spacing w:after="0" w:line="1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11, 2021, the Company's Board of Directors authorized the expansion of the Company's current share repurchase program, increasing the total authorized amount by $70.0 million to $170.0 million. Since inception of the program through February 11, 2021, the Company repurchased approximately 2.1 million shares of Class A Common Stock and Virtu Financial Units for approximately $49.9 million. As of February 11, 2021, the Company has approximately $120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2020. Based upon that evaluation, our Chief Executive Officer and Chief Financial Officer concluded that, as of December 31, 2020,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0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252"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2020.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this assessment, management determined that as of December 31, 2020, internal control over financial reporting is effective.</w:t>
      </w:r>
    </w:p>
    <w:p>
      <w:pPr>
        <w:spacing w:after="0" w:line="252" w:lineRule="exact"/>
        <w:rPr>
          <w:sz w:val="20"/>
          <w:szCs w:val="20"/>
          <w:color w:val="auto"/>
        </w:rPr>
      </w:pPr>
    </w:p>
    <w:p>
      <w:pPr>
        <w:ind w:right="580" w:firstLine="180"/>
        <w:spacing w:after="0" w:line="282" w:lineRule="auto"/>
        <w:rPr>
          <w:sz w:val="20"/>
          <w:szCs w:val="20"/>
          <w:color w:val="auto"/>
        </w:rPr>
      </w:pPr>
      <w:r>
        <w:rPr>
          <w:rFonts w:ascii="Times New Roman" w:cs="Times New Roman" w:eastAsia="Times New Roman" w:hAnsi="Times New Roman"/>
          <w:sz w:val="18"/>
          <w:szCs w:val="18"/>
          <w:color w:val="auto"/>
        </w:rPr>
        <w:t>PricewaterhouseCoopers LLP has audited our internal control over financial reporting as of December 31, 2020; their report is included in Item 8 “Financial Statements and Supplementary Data”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 13a-15(f) under the Exchange Act) occurred during the three months ended December 31, 2020 that has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ectPr>
          <w:pgSz w:w="11900" w:h="16838" w:orient="portrait"/>
          <w:cols w:equalWidth="0" w:num="1">
            <w:col w:w="9019"/>
          </w:cols>
          <w:pgMar w:left="1440" w:top="11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our 2021 Proxy Statement, which will be filed with the Securities and Exchange Commission no later than 120 days after December 31, 2020. For the limited purpose of providing the information necessary to comply with this Item 10, the 2021 Proxy Statement is incorporated herein by this reference. All references to the 2021 Proxy Statement in this Part III are exclusive of the information set forth under the caption “Audit Committee Report.”</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03"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our 2021 Proxy Statement, which will be filed with the Securities and Exchange Commission no later than 120 days after December 31, 2020. For the limited purpose of providing the information necessary to comply with this Item 11, the 2021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sectPr>
      </w:pPr>
    </w:p>
    <w:bookmarkStart w:id="144" w:name="page145"/>
    <w:bookmarkEnd w:id="144"/>
    <w:p>
      <w:pPr>
        <w:ind w:left="660" w:right="4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our 2021 Proxy Statement, which will be filed with the Securities and Exchange Commission no later than 120 days after December 31, 2020. For the limited purpose of providing the information necessary to comply with this Item 12, the 2021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our 2021 Proxy Statement, which will be filed with the Securities and Exchange Commission no later than 120 days after December 31, 2020. For the limited purpose of providing the information necessary to comply with this Item 13, the 2021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will be set forth in our 2021 Proxy Statement, which will be filed with the Securities and Exchange Commission no later than 120 days after December 31, 2020. For the limited purpose of providing the information necessary to comply with this Item 14, the 2021 Proxy Statement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gridSpan w:val="31"/>
          </w:tcPr>
          <w:p>
            <w:pPr>
              <w:jc w:val="center"/>
              <w:ind w:right="48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0" w:type="dxa"/>
            <w:vAlign w:val="bottom"/>
          </w:tcPr>
          <w:p>
            <w:pPr>
              <w:spacing w:after="0"/>
              <w:rPr>
                <w:sz w:val="1"/>
                <w:szCs w:val="1"/>
                <w:color w:val="auto"/>
              </w:rPr>
            </w:pPr>
          </w:p>
        </w:tc>
      </w:tr>
      <w:tr>
        <w:trPr>
          <w:trHeight w:val="567"/>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 EXHIBITS</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29"/>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4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6"/>
                <w:szCs w:val="16"/>
                <w:color w:val="auto"/>
              </w:rPr>
            </w:pPr>
          </w:p>
        </w:tc>
        <w:tc>
          <w:tcPr>
            <w:tcW w:w="9060" w:type="dxa"/>
            <w:vAlign w:val="bottom"/>
            <w:tcBorders>
              <w:top w:val="single" w:sz="8" w:color="auto"/>
              <w:bottom w:val="single" w:sz="8" w:color="0000FF"/>
            </w:tcBorders>
            <w:gridSpan w:val="24"/>
          </w:tcPr>
          <w:p>
            <w:pPr>
              <w:spacing w:after="0" w:line="188"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Reorganization Agreement, dated April 15, 2015, by and among Virtu Financial, Inc., Virtu Financial Merger Sub LLC, Virtu</w:t>
              </w:r>
            </w:hyperlink>
          </w:p>
        </w:tc>
        <w:tc>
          <w:tcPr>
            <w:tcW w:w="260" w:type="dxa"/>
            <w:vAlign w:val="bottom"/>
            <w:tcBorders>
              <w:top w:val="single" w:sz="8" w:color="auto"/>
            </w:tcBorders>
            <w:gridSpan w:val="1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40" w:type="dxa"/>
            <w:vAlign w:val="bottom"/>
            <w:gridSpan w:val="37"/>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Financial Intermediate Holdings LLC, Virtu Financial Merger Sub II LLC, Virtu Financial Intermediate Holdings II LLC, Virtu</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Financial LLC, VFH Parent LLC, SLP Virtu Investors, LLC, SLP III EW Feeder I, L.P., SLP III EW Feeder II, L.P., Silver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Lake Technology Associates III, L.P., SLP III EW Feeder LLC, Havelock Fund Investments Pte Ltd., Wilbur Investments</w:t>
              </w:r>
            </w:hyperlink>
          </w:p>
        </w:tc>
        <w:tc>
          <w:tcPr>
            <w:tcW w:w="500" w:type="dxa"/>
            <w:vAlign w:val="bottom"/>
            <w:gridSpan w:val="21"/>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LLC,</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VV Investment LLC, Virtu East MIP LLC, Virtu Employee Holdco LLC, TJMT Holdings LLC (f/k/a Virtu Holdings LLC),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340" w:type="dxa"/>
            <w:vAlign w:val="bottom"/>
            <w:gridSpan w:val="37"/>
          </w:tcPr>
          <w:p>
            <w:pPr>
              <w:spacing w:after="0" w:line="142" w:lineRule="exact"/>
              <w:rPr>
                <w:rFonts w:ascii="Times New Roman" w:cs="Times New Roman" w:eastAsia="Times New Roman" w:hAnsi="Times New Roman"/>
                <w:sz w:val="16"/>
                <w:szCs w:val="16"/>
                <w:u w:val="single" w:color="auto"/>
                <w:color w:val="0000FF"/>
              </w:rPr>
            </w:pPr>
            <w:hyperlink r:id="rId178">
              <w:r>
                <w:rPr>
                  <w:rFonts w:ascii="Times New Roman" w:cs="Times New Roman" w:eastAsia="Times New Roman" w:hAnsi="Times New Roman"/>
                  <w:sz w:val="16"/>
                  <w:szCs w:val="16"/>
                  <w:u w:val="single" w:color="auto"/>
                  <w:color w:val="0000FF"/>
                </w:rPr>
                <w:t>Virtu Financial Holdings LLC and the Other Class A Members named therein (incorporated herein by reference to Exhibit 2.1</w:t>
              </w:r>
            </w:hyperlink>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340" w:type="dxa"/>
            <w:vAlign w:val="bottom"/>
            <w:gridSpan w:val="37"/>
          </w:tcPr>
          <w:p>
            <w:pPr>
              <w:spacing w:after="0"/>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to the Company’s Quarterly Report on Form 10-Q, as amended (File No. 001-37352), filed on May 29, 2015).</w:t>
              </w:r>
            </w:hyperlink>
          </w:p>
        </w:tc>
        <w:tc>
          <w:tcPr>
            <w:tcW w:w="0" w:type="dxa"/>
            <w:vAlign w:val="bottom"/>
          </w:tcPr>
          <w:p>
            <w:pPr>
              <w:spacing w:after="0"/>
              <w:rPr>
                <w:sz w:val="1"/>
                <w:szCs w:val="1"/>
                <w:color w:val="auto"/>
              </w:rPr>
            </w:pPr>
          </w:p>
        </w:tc>
      </w:tr>
      <w:tr>
        <w:trPr>
          <w:trHeight w:val="194"/>
        </w:trPr>
        <w:tc>
          <w:tcPr>
            <w:tcW w:w="1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16"/>
                <w:szCs w:val="16"/>
                <w:color w:val="auto"/>
              </w:rPr>
            </w:pPr>
          </w:p>
        </w:tc>
        <w:tc>
          <w:tcPr>
            <w:tcW w:w="9340" w:type="dxa"/>
            <w:vAlign w:val="bottom"/>
            <w:gridSpan w:val="37"/>
          </w:tcPr>
          <w:p>
            <w:pPr>
              <w:spacing w:after="0" w:line="19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Merger Agreement, dated April 15, 2015, by and among Virtu Financial, Inc., Virtu Financial Merger Sub LLC, Virtu Financial</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Intermediate Holdings LLC, SLP III EW Feeder Corp., SLP III EW Feeder I, L.P. and Havelock Fund Investments Pte Ltd</w:t>
              </w:r>
            </w:hyperlink>
          </w:p>
        </w:tc>
        <w:tc>
          <w:tcPr>
            <w:tcW w:w="4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40" w:type="dxa"/>
            <w:vAlign w:val="bottom"/>
            <w:gridSpan w:val="37"/>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(incorporated herein by reference to Exhibit 2.2 to the Company’s quarterly report on Form 10-Q, as amended (File No. 001-</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37352)</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on May 29, 2015).</w:t>
              </w:r>
            </w:hyperlink>
          </w:p>
        </w:tc>
        <w:tc>
          <w:tcPr>
            <w:tcW w:w="66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18"/>
                <w:szCs w:val="18"/>
                <w:color w:val="auto"/>
              </w:rPr>
            </w:pPr>
          </w:p>
        </w:tc>
        <w:tc>
          <w:tcPr>
            <w:tcW w:w="8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Merger Agreement, dated April 15, 2015, by and among Virtu Financial, Inc., Virtu Financial Merger Sub II LLC, Virtu</w:t>
              </w:r>
            </w:hyperlink>
          </w:p>
        </w:tc>
        <w:tc>
          <w:tcPr>
            <w:tcW w:w="70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40" w:type="dxa"/>
            <w:vAlign w:val="bottom"/>
            <w:gridSpan w:val="3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Financial Intermediate Holdings II LLC and Wilbur Investments LLC (incorporated herein by reference to Exhibit 2.3 to the</w:t>
              </w:r>
            </w:hyperlink>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980" w:type="dxa"/>
            <w:vAlign w:val="bottom"/>
            <w:tcBorders>
              <w:top w:val="single" w:sz="8" w:color="0000FF"/>
            </w:tcBorders>
            <w:gridSpan w:val="20"/>
          </w:tcPr>
          <w:p>
            <w:pPr>
              <w:spacing w:after="0" w:line="191" w:lineRule="exact"/>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Company’s Quarterly Report on Form 10-Q, as amended (File No. 001-37352), filed on May 29, 2015).</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6"/>
                <w:szCs w:val="16"/>
                <w:color w:val="auto"/>
              </w:rPr>
            </w:pPr>
          </w:p>
        </w:tc>
        <w:tc>
          <w:tcPr>
            <w:tcW w:w="9340" w:type="dxa"/>
            <w:vAlign w:val="bottom"/>
            <w:gridSpan w:val="37"/>
          </w:tcPr>
          <w:p>
            <w:pPr>
              <w:spacing w:after="0" w:line="194"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Agreement and Plan of Merger, dated April 20, 2017, by and among Virtu Financial, Inc., Orchestra Merger Sub, Inc. and KCG</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Holdings, Inc. (incorporated herein by reference to Exhibit 2.1 to the Company’s Current Report on Form 8-K (File No. 001-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37352) filed on April 21, 2017).</w:t>
              </w:r>
            </w:hyperlink>
          </w:p>
        </w:tc>
        <w:tc>
          <w:tcPr>
            <w:tcW w:w="67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18"/>
                <w:szCs w:val="18"/>
                <w:color w:val="auto"/>
              </w:rPr>
            </w:pPr>
          </w:p>
        </w:tc>
        <w:tc>
          <w:tcPr>
            <w:tcW w:w="9340" w:type="dxa"/>
            <w:vAlign w:val="bottom"/>
            <w:gridSpan w:val="37"/>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Temasek Investment Agreement, dated April 20, 2017, by and between Virtu Financial, Inc. and Aranda Investments Pte. Ltd.</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(incorporated herein by reference to Exhibit 2.2 to the Company’s Quarterly Report on Form 10-Q (File No. 001-37352)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on May 10, 2017).</w:t>
              </w:r>
            </w:hyperlink>
          </w:p>
        </w:tc>
        <w:tc>
          <w:tcPr>
            <w:tcW w:w="77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8"/>
                <w:szCs w:val="18"/>
                <w:color w:val="auto"/>
              </w:rPr>
            </w:pPr>
          </w:p>
        </w:tc>
        <w:tc>
          <w:tcPr>
            <w:tcW w:w="89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Agreement and Plan of Merger, dated November 6, 2018, by and among Virtu Financial, Inc., Impala Merger Sub, Inc. and</w:t>
              </w:r>
            </w:hyperlink>
          </w:p>
        </w:tc>
        <w:tc>
          <w:tcPr>
            <w:tcW w:w="4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340" w:type="dxa"/>
            <w:vAlign w:val="bottom"/>
            <w:gridSpan w:val="3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Investment Technology Group, Inc. (incorporated herein by reference to Exhibit 2.1 to the Company's Current Report on Form</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8-K (File No. 001-37352) filed on November 8, 2018).</w:t>
              </w:r>
            </w:hyperlink>
          </w:p>
        </w:tc>
        <w:tc>
          <w:tcPr>
            <w:tcW w:w="52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8"/>
                <w:szCs w:val="18"/>
                <w:color w:val="auto"/>
              </w:rPr>
            </w:pPr>
          </w:p>
        </w:tc>
        <w:tc>
          <w:tcPr>
            <w:tcW w:w="9340" w:type="dxa"/>
            <w:vAlign w:val="bottom"/>
            <w:gridSpan w:val="3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Certificate of Incorporation of the Registrant (incorporated herein by reference to Exhibit 3.1 to the</w:t>
              </w:r>
            </w:hyperlink>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920" w:type="dxa"/>
            <w:vAlign w:val="bottom"/>
            <w:tcBorders>
              <w:top w:val="single" w:sz="8" w:color="0000FF"/>
            </w:tcBorders>
            <w:gridSpan w:val="17"/>
          </w:tcPr>
          <w:p>
            <w:pPr>
              <w:spacing w:after="0" w:line="191" w:lineRule="exact"/>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Company’s Quarterly Report on Form 10-Q, as amended (File No. 001-37352), filed on May 29, 2015).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16"/>
                <w:szCs w:val="16"/>
                <w:color w:val="auto"/>
              </w:rPr>
            </w:pPr>
          </w:p>
        </w:tc>
        <w:tc>
          <w:tcPr>
            <w:tcW w:w="9340" w:type="dxa"/>
            <w:vAlign w:val="bottom"/>
            <w:gridSpan w:val="37"/>
          </w:tcPr>
          <w:p>
            <w:pPr>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By-laws of the Registrant (incorporated herein by reference to Exhibit 3.2 to the Company’s Quarterly</w:t>
              </w:r>
            </w:hyperlink>
          </w:p>
        </w:tc>
        <w:tc>
          <w:tcPr>
            <w:tcW w:w="0" w:type="dxa"/>
            <w:vAlign w:val="bottom"/>
          </w:tcPr>
          <w:p>
            <w:pPr>
              <w:spacing w:after="0"/>
              <w:rPr>
                <w:sz w:val="1"/>
                <w:szCs w:val="1"/>
                <w:color w:val="auto"/>
              </w:rPr>
            </w:pPr>
          </w:p>
        </w:tc>
      </w:tr>
      <w:tr>
        <w:trPr>
          <w:trHeight w:val="156"/>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13"/>
                <w:szCs w:val="13"/>
                <w:color w:val="auto"/>
              </w:rPr>
            </w:pPr>
          </w:p>
        </w:tc>
        <w:tc>
          <w:tcPr>
            <w:tcW w:w="9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Report on Form 10-Q, as amended (File No. 001-37352), filed on May 29,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vMerge w:val="continue"/>
          </w:tcPr>
          <w:p>
            <w:pPr>
              <w:spacing w:after="0"/>
              <w:rPr>
                <w:sz w:val="16"/>
                <w:szCs w:val="16"/>
                <w:color w:val="auto"/>
              </w:rPr>
            </w:pPr>
          </w:p>
        </w:tc>
        <w:tc>
          <w:tcPr>
            <w:tcW w:w="540" w:type="dxa"/>
            <w:vAlign w:val="bottom"/>
            <w:tcBorders>
              <w:right w:val="single" w:sz="8" w:color="FEFEFE"/>
            </w:tcBorders>
            <w:shd w:val="clear" w:color="auto" w:fill="FEFEFE"/>
          </w:tcPr>
          <w:p>
            <w:pPr>
              <w:spacing w:after="0"/>
              <w:rPr>
                <w:sz w:val="16"/>
                <w:szCs w:val="16"/>
                <w:color w:val="auto"/>
              </w:rPr>
            </w:pPr>
          </w:p>
        </w:tc>
        <w:tc>
          <w:tcPr>
            <w:tcW w:w="9320" w:type="dxa"/>
            <w:vAlign w:val="bottom"/>
            <w:tcBorders>
              <w:right w:val="single" w:sz="8" w:color="FEFEFE"/>
            </w:tcBorders>
            <w:gridSpan w:val="36"/>
            <w:shd w:val="clear" w:color="auto" w:fill="FEFEFE"/>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Description of the Capital Stock (incorporated herein by reference to Exhibit 4.1 to the Company's Annual Report on Form 10-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9200" w:type="dxa"/>
            <w:vAlign w:val="bottom"/>
            <w:tcBorders>
              <w:top w:val="single" w:sz="8" w:color="0000FF"/>
            </w:tcBorders>
            <w:gridSpan w:val="31"/>
            <w:shd w:val="clear" w:color="auto" w:fill="FEFEFE"/>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K (File No. 001-37352) filed on February 28, 2020.</w:t>
              </w:r>
            </w:hyperlink>
          </w:p>
        </w:tc>
        <w:tc>
          <w:tcPr>
            <w:tcW w:w="20" w:type="dxa"/>
            <w:vAlign w:val="bottom"/>
            <w:tcBorders>
              <w:top w:val="single" w:sz="8" w:color="FEFEFE"/>
            </w:tcBorders>
            <w:shd w:val="clear" w:color="auto" w:fill="FEFEFE"/>
          </w:tcPr>
          <w:p>
            <w:pPr>
              <w:spacing w:after="0"/>
              <w:rPr>
                <w:sz w:val="13"/>
                <w:szCs w:val="13"/>
                <w:color w:val="auto"/>
              </w:rPr>
            </w:pPr>
          </w:p>
        </w:tc>
        <w:tc>
          <w:tcPr>
            <w:tcW w:w="100" w:type="dxa"/>
            <w:vAlign w:val="bottom"/>
            <w:tcBorders>
              <w:top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FEFEFE"/>
          </w:tcPr>
          <w:p>
            <w:pPr>
              <w:spacing w:after="0" w:line="20" w:lineRule="exact"/>
              <w:rPr>
                <w:sz w:val="1"/>
                <w:szCs w:val="1"/>
                <w:color w:val="auto"/>
              </w:rPr>
            </w:pPr>
          </w:p>
        </w:tc>
        <w:tc>
          <w:tcPr>
            <w:tcW w:w="1920" w:type="dxa"/>
            <w:vAlign w:val="bottom"/>
            <w:shd w:val="clear" w:color="auto" w:fill="FEFEFE"/>
          </w:tcPr>
          <w:p>
            <w:pPr>
              <w:spacing w:after="0" w:line="20" w:lineRule="exact"/>
              <w:rPr>
                <w:sz w:val="1"/>
                <w:szCs w:val="1"/>
                <w:color w:val="auto"/>
              </w:rPr>
            </w:pPr>
          </w:p>
        </w:tc>
        <w:tc>
          <w:tcPr>
            <w:tcW w:w="240" w:type="dxa"/>
            <w:vAlign w:val="bottom"/>
            <w:shd w:val="clear" w:color="auto" w:fill="FEFEFE"/>
          </w:tcPr>
          <w:p>
            <w:pPr>
              <w:spacing w:after="0" w:line="20" w:lineRule="exact"/>
              <w:rPr>
                <w:sz w:val="1"/>
                <w:szCs w:val="1"/>
                <w:color w:val="auto"/>
              </w:rPr>
            </w:pPr>
          </w:p>
        </w:tc>
        <w:tc>
          <w:tcPr>
            <w:tcW w:w="760" w:type="dxa"/>
            <w:vAlign w:val="bottom"/>
            <w:shd w:val="clear" w:color="auto" w:fill="FEFEFE"/>
          </w:tcPr>
          <w:p>
            <w:pPr>
              <w:spacing w:after="0" w:line="20" w:lineRule="exact"/>
              <w:rPr>
                <w:sz w:val="1"/>
                <w:szCs w:val="1"/>
                <w:color w:val="auto"/>
              </w:rPr>
            </w:pPr>
          </w:p>
        </w:tc>
        <w:tc>
          <w:tcPr>
            <w:tcW w:w="460" w:type="dxa"/>
            <w:vAlign w:val="bottom"/>
            <w:shd w:val="clear" w:color="auto" w:fill="FEFEFE"/>
          </w:tcPr>
          <w:p>
            <w:pPr>
              <w:spacing w:after="0" w:line="20" w:lineRule="exact"/>
              <w:rPr>
                <w:sz w:val="1"/>
                <w:szCs w:val="1"/>
                <w:color w:val="auto"/>
              </w:rPr>
            </w:pPr>
          </w:p>
        </w:tc>
        <w:tc>
          <w:tcPr>
            <w:tcW w:w="118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8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Virtu Financial, Inc. Amended and Restated 2015 Management Incentive Plan (incorporated herein by reference to Exhibit 4.3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7340" w:type="dxa"/>
            <w:vAlign w:val="bottom"/>
            <w:tcBorders>
              <w:top w:val="single" w:sz="8" w:color="0000FF"/>
              <w:bottom w:val="single" w:sz="8" w:color="0000FF"/>
            </w:tcBorders>
            <w:gridSpan w:val="12"/>
            <w:shd w:val="clear" w:color="auto" w:fill="FEFEFE"/>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to the Company’s Registration Statement on Form S-8 (File No. 333-219110) filed on June 30, 2017).</w:t>
              </w:r>
            </w:hyperlink>
          </w:p>
        </w:tc>
        <w:tc>
          <w:tcPr>
            <w:tcW w:w="1800" w:type="dxa"/>
            <w:vAlign w:val="bottom"/>
            <w:tcBorders>
              <w:top w:val="single" w:sz="8" w:color="0000FF"/>
              <w:bottom w:val="single" w:sz="8" w:color="FEFEFE"/>
            </w:tcBorders>
            <w:gridSpan w:val="16"/>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100" w:type="dxa"/>
            <w:vAlign w:val="bottom"/>
            <w:tcBorders>
              <w:top w:val="single" w:sz="8" w:color="FEFEFE"/>
              <w:bottom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Restricted Stock Unit and Common Stock Award Agreement (incorporated herein by reference to Exhibit 4.4 to the</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960" w:type="dxa"/>
            <w:vAlign w:val="bottom"/>
            <w:tcBorders>
              <w:top w:val="single" w:sz="8" w:color="0000FF"/>
            </w:tcBorders>
            <w:gridSpan w:val="19"/>
            <w:shd w:val="clear" w:color="auto" w:fill="FEFEFE"/>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Company’s Registration Statement on Form S-8 (File No. 333-219110) filed on June 30, 2017).</w:t>
              </w:r>
            </w:hyperlink>
          </w:p>
        </w:tc>
        <w:tc>
          <w:tcPr>
            <w:tcW w:w="80" w:type="dxa"/>
            <w:vAlign w:val="bottom"/>
            <w:tcBorders>
              <w:top w:val="single" w:sz="8" w:color="FEFEFE"/>
            </w:tcBorders>
            <w:gridSpan w:val="4"/>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80" w:type="dxa"/>
            <w:vAlign w:val="bottom"/>
            <w:tcBorders>
              <w:top w:val="single" w:sz="8" w:color="FEFEFE"/>
            </w:tcBorders>
            <w:gridSpan w:val="4"/>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100" w:type="dxa"/>
            <w:vAlign w:val="bottom"/>
            <w:tcBorders>
              <w:top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5"/>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80" w:type="dxa"/>
            <w:vAlign w:val="bottom"/>
            <w:gridSpan w:val="4"/>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00" w:type="dxa"/>
            <w:vAlign w:val="bottom"/>
            <w:tcBorders>
              <w:right w:val="single" w:sz="8" w:color="FEFEFE"/>
            </w:tcBorders>
            <w:gridSpan w:val="4"/>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Indemnification Agreement (incorporated herein by reference to Exhibit 10.2 to the Company’s Amendment No. 2 to</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9080" w:type="dxa"/>
            <w:vAlign w:val="bottom"/>
            <w:tcBorders>
              <w:top w:val="single" w:sz="8" w:color="0000FF"/>
            </w:tcBorders>
            <w:gridSpan w:val="25"/>
            <w:shd w:val="clear" w:color="auto" w:fill="FEFEFE"/>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S-1 Registration Statement (File No. 333-194473) filed on February 20, 2015).</w:t>
              </w:r>
            </w:hyperlink>
          </w:p>
        </w:tc>
        <w:tc>
          <w:tcPr>
            <w:tcW w:w="80" w:type="dxa"/>
            <w:vAlign w:val="bottom"/>
            <w:tcBorders>
              <w:top w:val="single" w:sz="8" w:color="FEFEFE"/>
            </w:tcBorders>
            <w:gridSpan w:val="4"/>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100" w:type="dxa"/>
            <w:vAlign w:val="bottom"/>
            <w:tcBorders>
              <w:top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400" w:type="dxa"/>
            <w:vAlign w:val="bottom"/>
            <w:gridSpan w:val="3"/>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200" w:type="dxa"/>
            <w:vAlign w:val="bottom"/>
            <w:gridSpan w:val="3"/>
            <w:shd w:val="clear" w:color="auto" w:fill="FEFEFE"/>
          </w:tcPr>
          <w:p>
            <w:pPr>
              <w:spacing w:after="0" w:line="20" w:lineRule="exact"/>
              <w:rPr>
                <w:sz w:val="1"/>
                <w:szCs w:val="1"/>
                <w:color w:val="auto"/>
              </w:rPr>
            </w:pPr>
          </w:p>
        </w:tc>
        <w:tc>
          <w:tcPr>
            <w:tcW w:w="100" w:type="dxa"/>
            <w:vAlign w:val="bottom"/>
            <w:gridSpan w:val="5"/>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00" w:type="dxa"/>
            <w:vAlign w:val="bottom"/>
            <w:tcBorders>
              <w:right w:val="single" w:sz="8" w:color="FEFEFE"/>
            </w:tcBorders>
            <w:gridSpan w:val="4"/>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w:anchor="page154">
              <w:r>
                <w:rPr>
                  <w:rFonts w:ascii="Times New Roman" w:cs="Times New Roman" w:eastAsia="Times New Roman" w:hAnsi="Times New Roman"/>
                  <w:sz w:val="18"/>
                  <w:szCs w:val="18"/>
                  <w:color w:val="0000FF"/>
                </w:rPr>
                <w:t>Virtu Financial, Inc. Amended and Restated 2015 Management Incentive Plan Form Employee Restricted Stock Unit and</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2540" w:type="dxa"/>
            <w:vAlign w:val="bottom"/>
            <w:tcBorders>
              <w:top w:val="single" w:sz="8" w:color="0000FF"/>
              <w:bottom w:val="single" w:sz="8" w:color="0000FF"/>
            </w:tcBorders>
            <w:gridSpan w:val="5"/>
            <w:shd w:val="clear" w:color="auto" w:fill="FEFEFE"/>
          </w:tcPr>
          <w:p>
            <w:pPr>
              <w:spacing w:after="0" w:line="156" w:lineRule="exact"/>
              <w:rPr>
                <w:rFonts w:ascii="Times New Roman" w:cs="Times New Roman" w:eastAsia="Times New Roman" w:hAnsi="Times New Roman"/>
                <w:sz w:val="18"/>
                <w:szCs w:val="18"/>
                <w:color w:val="0000FF"/>
                <w:w w:val="98"/>
              </w:rPr>
            </w:pPr>
            <w:hyperlink w:anchor="page154">
              <w:r>
                <w:rPr>
                  <w:rFonts w:ascii="Times New Roman" w:cs="Times New Roman" w:eastAsia="Times New Roman" w:hAnsi="Times New Roman"/>
                  <w:sz w:val="18"/>
                  <w:szCs w:val="18"/>
                  <w:color w:val="0000FF"/>
                  <w:w w:val="98"/>
                </w:rPr>
                <w:t>Common Stock Award Agreement.</w:t>
              </w:r>
            </w:hyperlink>
          </w:p>
        </w:tc>
        <w:tc>
          <w:tcPr>
            <w:tcW w:w="6200" w:type="dxa"/>
            <w:vAlign w:val="bottom"/>
            <w:tcBorders>
              <w:top w:val="single" w:sz="8" w:color="0000FF"/>
              <w:bottom w:val="single" w:sz="8" w:color="FEFEFE"/>
            </w:tcBorders>
            <w:gridSpan w:val="10"/>
            <w:shd w:val="clear" w:color="auto" w:fill="FEFEFE"/>
          </w:tcPr>
          <w:p>
            <w:pPr>
              <w:spacing w:after="0"/>
              <w:rPr>
                <w:sz w:val="13"/>
                <w:szCs w:val="13"/>
                <w:color w:val="auto"/>
              </w:rPr>
            </w:pPr>
          </w:p>
        </w:tc>
        <w:tc>
          <w:tcPr>
            <w:tcW w:w="20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100" w:type="dxa"/>
            <w:vAlign w:val="bottom"/>
            <w:tcBorders>
              <w:top w:val="single" w:sz="8" w:color="FEFEFE"/>
              <w:bottom w:val="single" w:sz="8" w:color="FEFEFE"/>
            </w:tcBorders>
            <w:gridSpan w:val="5"/>
            <w:shd w:val="clear" w:color="auto" w:fill="FEFEFE"/>
          </w:tcPr>
          <w:p>
            <w:pPr>
              <w:spacing w:after="0"/>
              <w:rPr>
                <w:sz w:val="13"/>
                <w:szCs w:val="13"/>
                <w:color w:val="auto"/>
              </w:rPr>
            </w:pPr>
          </w:p>
        </w:tc>
        <w:tc>
          <w:tcPr>
            <w:tcW w:w="120" w:type="dxa"/>
            <w:vAlign w:val="bottom"/>
            <w:tcBorders>
              <w:top w:val="single" w:sz="8" w:color="FEFEFE"/>
              <w:bottom w:val="single" w:sz="8" w:color="FEFEFE"/>
            </w:tcBorders>
            <w:gridSpan w:val="6"/>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4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100" w:type="dxa"/>
            <w:vAlign w:val="bottom"/>
            <w:tcBorders>
              <w:top w:val="single" w:sz="8" w:color="FEFEFE"/>
              <w:bottom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Employment Agreement, dated as of November 15, 2017, by and between Virtu Financial, Inc. and Mr.</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9220" w:type="dxa"/>
            <w:vAlign w:val="bottom"/>
            <w:tcBorders>
              <w:top w:val="single" w:sz="8" w:color="0000FF"/>
            </w:tcBorders>
            <w:gridSpan w:val="32"/>
            <w:shd w:val="clear" w:color="auto" w:fill="FEFEFE"/>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Douglas A. Cifu (incorporated herein by reference to Exhibit 10.4 to the Company's Annual Report on Form 10-K (File No.</w:t>
              </w:r>
            </w:hyperlink>
          </w:p>
        </w:tc>
        <w:tc>
          <w:tcPr>
            <w:tcW w:w="100" w:type="dxa"/>
            <w:vAlign w:val="bottom"/>
            <w:tcBorders>
              <w:top w:val="single" w:sz="8" w:color="FEFEFE"/>
              <w:right w:val="single" w:sz="8" w:color="FEFEFE"/>
            </w:tcBorders>
            <w:gridSpan w:val="4"/>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2740" w:type="dxa"/>
            <w:vAlign w:val="bottom"/>
            <w:tcBorders>
              <w:top w:val="single" w:sz="8" w:color="0000FF"/>
              <w:bottom w:val="single" w:sz="8" w:color="0000FF"/>
            </w:tcBorders>
            <w:gridSpan w:val="6"/>
            <w:shd w:val="clear" w:color="auto" w:fill="FEFEFE"/>
          </w:tcPr>
          <w:p>
            <w:pPr>
              <w:spacing w:after="0" w:line="15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001-37352) filed on March 13, 2018).</w:t>
              </w:r>
            </w:hyperlink>
          </w:p>
        </w:tc>
        <w:tc>
          <w:tcPr>
            <w:tcW w:w="6200" w:type="dxa"/>
            <w:vAlign w:val="bottom"/>
            <w:tcBorders>
              <w:top w:val="single" w:sz="8" w:color="0000FF"/>
              <w:bottom w:val="single" w:sz="8" w:color="FEFEFE"/>
            </w:tcBorders>
            <w:gridSpan w:val="12"/>
            <w:shd w:val="clear" w:color="auto" w:fill="FEFEFE"/>
          </w:tcPr>
          <w:p>
            <w:pPr>
              <w:spacing w:after="0"/>
              <w:rPr>
                <w:sz w:val="13"/>
                <w:szCs w:val="13"/>
                <w:color w:val="auto"/>
              </w:rPr>
            </w:pPr>
          </w:p>
        </w:tc>
        <w:tc>
          <w:tcPr>
            <w:tcW w:w="100" w:type="dxa"/>
            <w:vAlign w:val="bottom"/>
            <w:tcBorders>
              <w:top w:val="single" w:sz="8" w:color="FEFEFE"/>
              <w:bottom w:val="single" w:sz="8" w:color="FEFEFE"/>
            </w:tcBorders>
            <w:gridSpan w:val="5"/>
            <w:shd w:val="clear" w:color="auto" w:fill="FEFEFE"/>
          </w:tcPr>
          <w:p>
            <w:pPr>
              <w:spacing w:after="0"/>
              <w:rPr>
                <w:sz w:val="13"/>
                <w:szCs w:val="13"/>
                <w:color w:val="auto"/>
              </w:rPr>
            </w:pPr>
          </w:p>
        </w:tc>
        <w:tc>
          <w:tcPr>
            <w:tcW w:w="120" w:type="dxa"/>
            <w:vAlign w:val="bottom"/>
            <w:tcBorders>
              <w:top w:val="single" w:sz="8" w:color="FEFEFE"/>
              <w:bottom w:val="single" w:sz="8" w:color="FEFEFE"/>
            </w:tcBorders>
            <w:gridSpan w:val="6"/>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right w:val="single" w:sz="8" w:color="FEFEFE"/>
            </w:tcBorders>
            <w:gridSpan w:val="6"/>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dated as of August 7, 2020, by and between Virtu Financial Operating LLC and Sean Galvin</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900" w:type="dxa"/>
            <w:vAlign w:val="bottom"/>
            <w:gridSpan w:val="10"/>
            <w:shd w:val="clear" w:color="auto" w:fill="0000FF"/>
          </w:tcPr>
          <w:p>
            <w:pPr>
              <w:spacing w:after="0" w:line="20" w:lineRule="exact"/>
              <w:rPr>
                <w:sz w:val="1"/>
                <w:szCs w:val="1"/>
                <w:color w:val="auto"/>
              </w:rPr>
            </w:pPr>
          </w:p>
        </w:tc>
        <w:tc>
          <w:tcPr>
            <w:tcW w:w="520" w:type="dxa"/>
            <w:vAlign w:val="bottom"/>
            <w:gridSpan w:val="10"/>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40" w:type="dxa"/>
            <w:vAlign w:val="bottom"/>
            <w:tcBorders>
              <w:right w:val="single" w:sz="8" w:color="FEFEFE"/>
            </w:tcBorders>
            <w:gridSpan w:val="6"/>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right w:val="single" w:sz="8" w:color="FEFEFE"/>
            </w:tcBorders>
            <w:shd w:val="clear" w:color="auto" w:fill="FEFEFE"/>
          </w:tcPr>
          <w:p>
            <w:pPr>
              <w:spacing w:after="0"/>
              <w:rPr>
                <w:sz w:val="13"/>
                <w:szCs w:val="13"/>
                <w:color w:val="auto"/>
              </w:rPr>
            </w:pPr>
          </w:p>
        </w:tc>
        <w:tc>
          <w:tcPr>
            <w:tcW w:w="9320" w:type="dxa"/>
            <w:vAlign w:val="bottom"/>
            <w:tcBorders>
              <w:right w:val="single" w:sz="8" w:color="FEFEFE"/>
            </w:tcBorders>
            <w:gridSpan w:val="36"/>
            <w:shd w:val="clear" w:color="auto" w:fill="FEFEFE"/>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(incorporated herein by reference to Exhibit 10.1 to the Company's Quarterly Report on Form 10-Q (File No. 001-37352)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620" w:type="dxa"/>
            <w:vAlign w:val="bottom"/>
            <w:tcBorders>
              <w:top w:val="single" w:sz="8" w:color="0000FF"/>
              <w:bottom w:val="single" w:sz="8" w:color="0000FF"/>
            </w:tcBorders>
            <w:gridSpan w:val="3"/>
            <w:shd w:val="clear" w:color="auto" w:fill="FEFEFE"/>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on November 6, 2020.</w:t>
              </w:r>
            </w:hyperlink>
          </w:p>
        </w:tc>
        <w:tc>
          <w:tcPr>
            <w:tcW w:w="7540" w:type="dxa"/>
            <w:vAlign w:val="bottom"/>
            <w:tcBorders>
              <w:top w:val="single" w:sz="8" w:color="0000FF"/>
              <w:bottom w:val="single" w:sz="8" w:color="FEFEFE"/>
            </w:tcBorders>
            <w:gridSpan w:val="26"/>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140" w:type="dxa"/>
            <w:vAlign w:val="bottom"/>
            <w:tcBorders>
              <w:top w:val="single" w:sz="8" w:color="FEFEFE"/>
              <w:bottom w:val="single" w:sz="8" w:color="FEFEFE"/>
              <w:right w:val="single" w:sz="8" w:color="FEFEFE"/>
            </w:tcBorders>
            <w:gridSpan w:val="6"/>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Borders>
              <w:right w:val="single" w:sz="8" w:color="FEFEFE"/>
            </w:tcBorders>
            <w:shd w:val="clear" w:color="auto" w:fill="FEFEFE"/>
          </w:tcPr>
          <w:p>
            <w:pPr>
              <w:spacing w:after="0"/>
              <w:rPr>
                <w:sz w:val="18"/>
                <w:szCs w:val="18"/>
                <w:color w:val="auto"/>
              </w:rPr>
            </w:pPr>
          </w:p>
        </w:tc>
        <w:tc>
          <w:tcPr>
            <w:tcW w:w="9320" w:type="dxa"/>
            <w:vAlign w:val="bottom"/>
            <w:tcBorders>
              <w:right w:val="single" w:sz="8" w:color="FEFEFE"/>
            </w:tcBorders>
            <w:gridSpan w:val="36"/>
            <w:shd w:val="clear" w:color="auto" w:fill="FEFEFE"/>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Virtu Financial, Inc. Amended and Restated 2015 Management Incentive Plan Employee Restricted Stock Unit and Common</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540" w:type="dxa"/>
            <w:vAlign w:val="bottom"/>
            <w:tcBorders>
              <w:top w:val="single" w:sz="8" w:color="FEFEFE"/>
              <w:right w:val="single" w:sz="8" w:color="FEFEFE"/>
            </w:tcBorders>
            <w:shd w:val="clear" w:color="auto" w:fill="FEFEFE"/>
          </w:tcPr>
          <w:p>
            <w:pPr>
              <w:spacing w:after="0"/>
              <w:rPr>
                <w:sz w:val="12"/>
                <w:szCs w:val="12"/>
                <w:color w:val="auto"/>
              </w:rPr>
            </w:pPr>
          </w:p>
        </w:tc>
        <w:tc>
          <w:tcPr>
            <w:tcW w:w="9040" w:type="dxa"/>
            <w:vAlign w:val="bottom"/>
            <w:tcBorders>
              <w:top w:val="single" w:sz="8" w:color="0000FF"/>
            </w:tcBorders>
            <w:gridSpan w:val="23"/>
            <w:shd w:val="clear" w:color="auto" w:fill="FEFEFE"/>
          </w:tcPr>
          <w:p>
            <w:pPr>
              <w:spacing w:after="0" w:line="142" w:lineRule="exact"/>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u w:val="single" w:color="auto"/>
                  <w:color w:val="0000FF"/>
                </w:rPr>
                <w:t>Stock Award Agreement, dated as of August 12, 2020, by and between Virtu Financial, Inc. and Sean Galvin (incorporated</w:t>
              </w:r>
            </w:hyperlink>
          </w:p>
        </w:tc>
        <w:tc>
          <w:tcPr>
            <w:tcW w:w="140" w:type="dxa"/>
            <w:vAlign w:val="bottom"/>
            <w:tcBorders>
              <w:top w:val="single" w:sz="8" w:color="FEFEFE"/>
            </w:tcBorders>
            <w:gridSpan w:val="7"/>
            <w:shd w:val="clear" w:color="auto" w:fill="FEFEFE"/>
          </w:tcPr>
          <w:p>
            <w:pPr>
              <w:spacing w:after="0"/>
              <w:rPr>
                <w:sz w:val="12"/>
                <w:szCs w:val="12"/>
                <w:color w:val="auto"/>
              </w:rPr>
            </w:pPr>
          </w:p>
        </w:tc>
        <w:tc>
          <w:tcPr>
            <w:tcW w:w="140" w:type="dxa"/>
            <w:vAlign w:val="bottom"/>
            <w:tcBorders>
              <w:top w:val="single" w:sz="8" w:color="FEFEFE"/>
              <w:right w:val="single" w:sz="8" w:color="FEFEFE"/>
            </w:tcBorders>
            <w:gridSpan w:val="6"/>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540" w:type="dxa"/>
            <w:vAlign w:val="bottom"/>
            <w:tcBorders>
              <w:right w:val="single" w:sz="8" w:color="FEFEFE"/>
            </w:tcBorders>
            <w:shd w:val="clear" w:color="auto" w:fill="FEFEFE"/>
          </w:tcPr>
          <w:p>
            <w:pPr>
              <w:spacing w:after="0"/>
              <w:rPr>
                <w:sz w:val="16"/>
                <w:szCs w:val="16"/>
                <w:color w:val="auto"/>
              </w:rPr>
            </w:pPr>
          </w:p>
        </w:tc>
        <w:tc>
          <w:tcPr>
            <w:tcW w:w="9320" w:type="dxa"/>
            <w:vAlign w:val="bottom"/>
            <w:tcBorders>
              <w:right w:val="single" w:sz="8" w:color="FEFEFE"/>
            </w:tcBorders>
            <w:gridSpan w:val="36"/>
            <w:shd w:val="clear" w:color="auto" w:fill="FEFEFE"/>
          </w:tcPr>
          <w:p>
            <w:pPr>
              <w:spacing w:after="0" w:line="18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herein by reference to Exhibit 10.2 to the Company's Quarterly Report on Form 10-Q (File No. 001-37352) filed on November</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540" w:type="dxa"/>
            <w:vAlign w:val="bottom"/>
            <w:tcBorders>
              <w:top w:val="single" w:sz="8" w:color="FEFEFE"/>
              <w:right w:val="single" w:sz="8" w:color="FEFEFE"/>
            </w:tcBorders>
            <w:shd w:val="clear" w:color="auto" w:fill="FEFEFE"/>
          </w:tcPr>
          <w:p>
            <w:pPr>
              <w:spacing w:after="0"/>
              <w:rPr>
                <w:sz w:val="15"/>
                <w:szCs w:val="15"/>
                <w:color w:val="auto"/>
              </w:rPr>
            </w:pPr>
          </w:p>
        </w:tc>
        <w:tc>
          <w:tcPr>
            <w:tcW w:w="1340" w:type="dxa"/>
            <w:vAlign w:val="bottom"/>
            <w:tcBorders>
              <w:top w:val="single" w:sz="8" w:color="0000FF"/>
            </w:tcBorders>
            <w:gridSpan w:val="2"/>
            <w:shd w:val="clear" w:color="auto" w:fill="FEFEFE"/>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6, 2020.</w:t>
              </w:r>
            </w:hyperlink>
          </w:p>
        </w:tc>
        <w:tc>
          <w:tcPr>
            <w:tcW w:w="280" w:type="dxa"/>
            <w:vAlign w:val="bottom"/>
            <w:tcBorders>
              <w:top w:val="single" w:sz="8" w:color="0000FF"/>
            </w:tcBorders>
            <w:shd w:val="clear" w:color="auto" w:fill="FEFEFE"/>
          </w:tcPr>
          <w:p>
            <w:pPr>
              <w:spacing w:after="0"/>
              <w:rPr>
                <w:sz w:val="15"/>
                <w:szCs w:val="15"/>
                <w:color w:val="auto"/>
              </w:rPr>
            </w:pPr>
          </w:p>
        </w:tc>
        <w:tc>
          <w:tcPr>
            <w:tcW w:w="700" w:type="dxa"/>
            <w:vAlign w:val="bottom"/>
            <w:tcBorders>
              <w:top w:val="single" w:sz="8" w:color="0000FF"/>
            </w:tcBorders>
            <w:shd w:val="clear" w:color="auto" w:fill="FEFEFE"/>
          </w:tcPr>
          <w:p>
            <w:pPr>
              <w:spacing w:after="0"/>
              <w:rPr>
                <w:sz w:val="15"/>
                <w:szCs w:val="15"/>
                <w:color w:val="auto"/>
              </w:rPr>
            </w:pPr>
          </w:p>
        </w:tc>
        <w:tc>
          <w:tcPr>
            <w:tcW w:w="220" w:type="dxa"/>
            <w:vAlign w:val="bottom"/>
            <w:tcBorders>
              <w:top w:val="single" w:sz="8" w:color="0000FF"/>
            </w:tcBorders>
            <w:shd w:val="clear" w:color="auto" w:fill="FEFEFE"/>
          </w:tcPr>
          <w:p>
            <w:pPr>
              <w:spacing w:after="0"/>
              <w:rPr>
                <w:sz w:val="15"/>
                <w:szCs w:val="15"/>
                <w:color w:val="auto"/>
              </w:rPr>
            </w:pPr>
          </w:p>
        </w:tc>
        <w:tc>
          <w:tcPr>
            <w:tcW w:w="200" w:type="dxa"/>
            <w:vAlign w:val="bottom"/>
            <w:tcBorders>
              <w:top w:val="single" w:sz="8" w:color="0000FF"/>
            </w:tcBorders>
            <w:shd w:val="clear" w:color="auto" w:fill="FEFEFE"/>
          </w:tcPr>
          <w:p>
            <w:pPr>
              <w:spacing w:after="0"/>
              <w:rPr>
                <w:sz w:val="15"/>
                <w:szCs w:val="15"/>
                <w:color w:val="auto"/>
              </w:rPr>
            </w:pPr>
          </w:p>
        </w:tc>
        <w:tc>
          <w:tcPr>
            <w:tcW w:w="980" w:type="dxa"/>
            <w:vAlign w:val="bottom"/>
            <w:tcBorders>
              <w:top w:val="single" w:sz="8" w:color="0000FF"/>
            </w:tcBorders>
            <w:shd w:val="clear" w:color="auto" w:fill="FEFEFE"/>
          </w:tcPr>
          <w:p>
            <w:pPr>
              <w:spacing w:after="0"/>
              <w:rPr>
                <w:sz w:val="15"/>
                <w:szCs w:val="15"/>
                <w:color w:val="auto"/>
              </w:rPr>
            </w:pPr>
          </w:p>
        </w:tc>
        <w:tc>
          <w:tcPr>
            <w:tcW w:w="240" w:type="dxa"/>
            <w:vAlign w:val="bottom"/>
            <w:tcBorders>
              <w:top w:val="single" w:sz="8" w:color="0000FF"/>
            </w:tcBorders>
            <w:shd w:val="clear" w:color="auto" w:fill="FEFEFE"/>
          </w:tcPr>
          <w:p>
            <w:pPr>
              <w:spacing w:after="0"/>
              <w:rPr>
                <w:sz w:val="15"/>
                <w:szCs w:val="15"/>
                <w:color w:val="auto"/>
              </w:rPr>
            </w:pPr>
          </w:p>
        </w:tc>
        <w:tc>
          <w:tcPr>
            <w:tcW w:w="1920" w:type="dxa"/>
            <w:vAlign w:val="bottom"/>
            <w:tcBorders>
              <w:top w:val="single" w:sz="8" w:color="0000FF"/>
            </w:tcBorders>
            <w:shd w:val="clear" w:color="auto" w:fill="FEFEFE"/>
          </w:tcPr>
          <w:p>
            <w:pPr>
              <w:spacing w:after="0"/>
              <w:rPr>
                <w:sz w:val="15"/>
                <w:szCs w:val="15"/>
                <w:color w:val="auto"/>
              </w:rPr>
            </w:pPr>
          </w:p>
        </w:tc>
        <w:tc>
          <w:tcPr>
            <w:tcW w:w="240" w:type="dxa"/>
            <w:vAlign w:val="bottom"/>
            <w:tcBorders>
              <w:top w:val="single" w:sz="8" w:color="0000FF"/>
            </w:tcBorders>
            <w:shd w:val="clear" w:color="auto" w:fill="FEFEFE"/>
          </w:tcPr>
          <w:p>
            <w:pPr>
              <w:spacing w:after="0"/>
              <w:rPr>
                <w:sz w:val="15"/>
                <w:szCs w:val="15"/>
                <w:color w:val="auto"/>
              </w:rPr>
            </w:pPr>
          </w:p>
        </w:tc>
        <w:tc>
          <w:tcPr>
            <w:tcW w:w="760" w:type="dxa"/>
            <w:vAlign w:val="bottom"/>
            <w:tcBorders>
              <w:top w:val="single" w:sz="8" w:color="0000FF"/>
            </w:tcBorders>
            <w:shd w:val="clear" w:color="auto" w:fill="FEFEFE"/>
          </w:tcPr>
          <w:p>
            <w:pPr>
              <w:spacing w:after="0"/>
              <w:rPr>
                <w:sz w:val="15"/>
                <w:szCs w:val="15"/>
                <w:color w:val="auto"/>
              </w:rPr>
            </w:pPr>
          </w:p>
        </w:tc>
        <w:tc>
          <w:tcPr>
            <w:tcW w:w="460" w:type="dxa"/>
            <w:vAlign w:val="bottom"/>
            <w:tcBorders>
              <w:top w:val="single" w:sz="8" w:color="0000FF"/>
            </w:tcBorders>
            <w:shd w:val="clear" w:color="auto" w:fill="FEFEFE"/>
          </w:tcPr>
          <w:p>
            <w:pPr>
              <w:spacing w:after="0"/>
              <w:rPr>
                <w:sz w:val="15"/>
                <w:szCs w:val="15"/>
                <w:color w:val="auto"/>
              </w:rPr>
            </w:pPr>
          </w:p>
        </w:tc>
        <w:tc>
          <w:tcPr>
            <w:tcW w:w="1180" w:type="dxa"/>
            <w:vAlign w:val="bottom"/>
            <w:tcBorders>
              <w:top w:val="single" w:sz="8" w:color="0000FF"/>
            </w:tcBorders>
            <w:shd w:val="clear" w:color="auto" w:fill="FEFEFE"/>
          </w:tcPr>
          <w:p>
            <w:pPr>
              <w:spacing w:after="0"/>
              <w:rPr>
                <w:sz w:val="15"/>
                <w:szCs w:val="15"/>
                <w:color w:val="auto"/>
              </w:rPr>
            </w:pPr>
          </w:p>
        </w:tc>
        <w:tc>
          <w:tcPr>
            <w:tcW w:w="120" w:type="dxa"/>
            <w:vAlign w:val="bottom"/>
            <w:tcBorders>
              <w:top w:val="single" w:sz="8" w:color="0000FF"/>
            </w:tcBorders>
            <w:shd w:val="clear" w:color="auto" w:fill="FEFEFE"/>
          </w:tcPr>
          <w:p>
            <w:pPr>
              <w:spacing w:after="0"/>
              <w:rPr>
                <w:sz w:val="15"/>
                <w:szCs w:val="15"/>
                <w:color w:val="auto"/>
              </w:rPr>
            </w:pPr>
          </w:p>
        </w:tc>
        <w:tc>
          <w:tcPr>
            <w:tcW w:w="100" w:type="dxa"/>
            <w:vAlign w:val="bottom"/>
            <w:tcBorders>
              <w:top w:val="single" w:sz="8" w:color="0000FF"/>
            </w:tcBorders>
            <w:shd w:val="clear" w:color="auto" w:fill="FEFEFE"/>
          </w:tcPr>
          <w:p>
            <w:pPr>
              <w:spacing w:after="0"/>
              <w:rPr>
                <w:sz w:val="15"/>
                <w:szCs w:val="15"/>
                <w:color w:val="auto"/>
              </w:rPr>
            </w:pPr>
          </w:p>
        </w:tc>
        <w:tc>
          <w:tcPr>
            <w:tcW w:w="100" w:type="dxa"/>
            <w:vAlign w:val="bottom"/>
            <w:tcBorders>
              <w:top w:val="single" w:sz="8" w:color="0000FF"/>
            </w:tcBorders>
            <w:shd w:val="clear" w:color="auto" w:fill="FEFEFE"/>
          </w:tcPr>
          <w:p>
            <w:pPr>
              <w:spacing w:after="0"/>
              <w:rPr>
                <w:sz w:val="15"/>
                <w:szCs w:val="15"/>
                <w:color w:val="auto"/>
              </w:rPr>
            </w:pPr>
          </w:p>
        </w:tc>
        <w:tc>
          <w:tcPr>
            <w:tcW w:w="80" w:type="dxa"/>
            <w:vAlign w:val="bottom"/>
            <w:tcBorders>
              <w:top w:val="single" w:sz="8" w:color="0000FF"/>
              <w:right w:val="single" w:sz="8" w:color="FEFEFE"/>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0000FF"/>
            </w:tcBorders>
            <w:shd w:val="clear" w:color="auto" w:fill="FEFEFE"/>
          </w:tcPr>
          <w:p>
            <w:pPr>
              <w:spacing w:after="0"/>
              <w:rPr>
                <w:sz w:val="15"/>
                <w:szCs w:val="15"/>
                <w:color w:val="auto"/>
              </w:rPr>
            </w:pPr>
          </w:p>
        </w:tc>
        <w:tc>
          <w:tcPr>
            <w:tcW w:w="20" w:type="dxa"/>
            <w:vAlign w:val="bottom"/>
            <w:tcBorders>
              <w:top w:val="single" w:sz="8" w:color="FEFEFE"/>
            </w:tcBorders>
            <w:shd w:val="clear" w:color="auto" w:fill="FEFEFE"/>
          </w:tcPr>
          <w:p>
            <w:pPr>
              <w:spacing w:after="0"/>
              <w:rPr>
                <w:sz w:val="15"/>
                <w:szCs w:val="15"/>
                <w:color w:val="auto"/>
              </w:rPr>
            </w:pPr>
          </w:p>
        </w:tc>
        <w:tc>
          <w:tcPr>
            <w:tcW w:w="20" w:type="dxa"/>
            <w:vAlign w:val="bottom"/>
            <w:tcBorders>
              <w:top w:val="single" w:sz="8" w:color="FEFEFE"/>
            </w:tcBorders>
            <w:shd w:val="clear" w:color="auto" w:fill="FEFEFE"/>
          </w:tcPr>
          <w:p>
            <w:pPr>
              <w:spacing w:after="0"/>
              <w:rPr>
                <w:sz w:val="15"/>
                <w:szCs w:val="15"/>
                <w:color w:val="auto"/>
              </w:rPr>
            </w:pPr>
          </w:p>
        </w:tc>
        <w:tc>
          <w:tcPr>
            <w:tcW w:w="20" w:type="dxa"/>
            <w:vAlign w:val="bottom"/>
            <w:tcBorders>
              <w:top w:val="single" w:sz="8" w:color="FEFEFE"/>
            </w:tcBorders>
            <w:shd w:val="clear" w:color="auto" w:fill="FEFEFE"/>
          </w:tcPr>
          <w:p>
            <w:pPr>
              <w:spacing w:after="0"/>
              <w:rPr>
                <w:sz w:val="15"/>
                <w:szCs w:val="15"/>
                <w:color w:val="auto"/>
              </w:rPr>
            </w:pPr>
          </w:p>
        </w:tc>
        <w:tc>
          <w:tcPr>
            <w:tcW w:w="20" w:type="dxa"/>
            <w:vAlign w:val="bottom"/>
            <w:tcBorders>
              <w:top w:val="single" w:sz="8" w:color="FEFEFE"/>
            </w:tcBorders>
            <w:shd w:val="clear" w:color="auto" w:fill="FEFEFE"/>
          </w:tcPr>
          <w:p>
            <w:pPr>
              <w:spacing w:after="0"/>
              <w:rPr>
                <w:sz w:val="15"/>
                <w:szCs w:val="15"/>
                <w:color w:val="auto"/>
              </w:rPr>
            </w:pPr>
          </w:p>
        </w:tc>
        <w:tc>
          <w:tcPr>
            <w:tcW w:w="40" w:type="dxa"/>
            <w:vAlign w:val="bottom"/>
            <w:tcBorders>
              <w:top w:val="single" w:sz="8" w:color="FEFEFE"/>
              <w:right w:val="single" w:sz="8" w:color="FEFEFE"/>
            </w:tcBorders>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7"/>
        </w:trPr>
        <w:tc>
          <w:tcPr>
            <w:tcW w:w="1440" w:type="dxa"/>
            <w:vAlign w:val="bottom"/>
          </w:tcPr>
          <w:p>
            <w:pPr>
              <w:spacing w:after="0"/>
              <w:rPr>
                <w:sz w:val="24"/>
                <w:szCs w:val="24"/>
                <w:color w:val="auto"/>
              </w:rPr>
            </w:pPr>
          </w:p>
        </w:tc>
        <w:tc>
          <w:tcPr>
            <w:tcW w:w="540" w:type="dxa"/>
            <w:vAlign w:val="bottom"/>
            <w:tcBorders>
              <w:top w:val="single" w:sz="8" w:color="FEFEFE"/>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420" w:type="dxa"/>
            <w:vAlign w:val="bottom"/>
            <w:tcBorders>
              <w:top w:val="single" w:sz="8" w:color="FEFEFE"/>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920" w:type="dxa"/>
            <w:vAlign w:val="bottom"/>
            <w:tcBorders>
              <w:top w:val="single" w:sz="8" w:color="FEFEFE"/>
            </w:tcBorders>
          </w:tcPr>
          <w:p>
            <w:pPr>
              <w:spacing w:after="0"/>
              <w:rPr>
                <w:sz w:val="24"/>
                <w:szCs w:val="24"/>
                <w:color w:val="auto"/>
              </w:rPr>
            </w:pPr>
          </w:p>
        </w:tc>
        <w:tc>
          <w:tcPr>
            <w:tcW w:w="240" w:type="dxa"/>
            <w:vAlign w:val="bottom"/>
            <w:tcBorders>
              <w:top w:val="single" w:sz="8" w:color="FEFEFE"/>
            </w:tcBorders>
          </w:tcPr>
          <w:p>
            <w:pPr>
              <w:spacing w:after="0"/>
              <w:rPr>
                <w:sz w:val="24"/>
                <w:szCs w:val="24"/>
                <w:color w:val="auto"/>
              </w:rPr>
            </w:pPr>
          </w:p>
        </w:tc>
        <w:tc>
          <w:tcPr>
            <w:tcW w:w="760" w:type="dxa"/>
            <w:vAlign w:val="bottom"/>
            <w:tcBorders>
              <w:top w:val="single" w:sz="8" w:color="FEFEFE"/>
            </w:tcBorders>
          </w:tcPr>
          <w:p>
            <w:pPr>
              <w:spacing w:after="0"/>
              <w:rPr>
                <w:sz w:val="24"/>
                <w:szCs w:val="24"/>
                <w:color w:val="auto"/>
              </w:rPr>
            </w:pPr>
          </w:p>
        </w:tc>
        <w:tc>
          <w:tcPr>
            <w:tcW w:w="460" w:type="dxa"/>
            <w:vAlign w:val="bottom"/>
            <w:tcBorders>
              <w:top w:val="single" w:sz="8" w:color="FEFEFE"/>
            </w:tcBorders>
          </w:tcPr>
          <w:p>
            <w:pPr>
              <w:spacing w:after="0"/>
              <w:rPr>
                <w:sz w:val="24"/>
                <w:szCs w:val="24"/>
                <w:color w:val="auto"/>
              </w:rPr>
            </w:pPr>
          </w:p>
        </w:tc>
        <w:tc>
          <w:tcPr>
            <w:tcW w:w="1180" w:type="dxa"/>
            <w:vAlign w:val="bottom"/>
            <w:tcBorders>
              <w:top w:val="single" w:sz="8" w:color="FEFEFE"/>
            </w:tcBorders>
          </w:tcPr>
          <w:p>
            <w:pPr>
              <w:spacing w:after="0"/>
              <w:rPr>
                <w:sz w:val="24"/>
                <w:szCs w:val="24"/>
                <w:color w:val="auto"/>
              </w:rPr>
            </w:pPr>
          </w:p>
        </w:tc>
        <w:tc>
          <w:tcPr>
            <w:tcW w:w="120" w:type="dxa"/>
            <w:vAlign w:val="bottom"/>
            <w:tcBorders>
              <w:top w:val="single" w:sz="8" w:color="FEFEFE"/>
            </w:tcBorders>
          </w:tcPr>
          <w:p>
            <w:pPr>
              <w:spacing w:after="0"/>
              <w:rPr>
                <w:sz w:val="24"/>
                <w:szCs w:val="24"/>
                <w:color w:val="auto"/>
              </w:rPr>
            </w:pPr>
          </w:p>
        </w:tc>
        <w:tc>
          <w:tcPr>
            <w:tcW w:w="100" w:type="dxa"/>
            <w:vAlign w:val="bottom"/>
            <w:tcBorders>
              <w:top w:val="single" w:sz="8" w:color="FEFEFE"/>
            </w:tcBorders>
          </w:tcPr>
          <w:p>
            <w:pPr>
              <w:spacing w:after="0"/>
              <w:rPr>
                <w:sz w:val="24"/>
                <w:szCs w:val="24"/>
                <w:color w:val="auto"/>
              </w:rPr>
            </w:pPr>
          </w:p>
        </w:tc>
        <w:tc>
          <w:tcPr>
            <w:tcW w:w="100" w:type="dxa"/>
            <w:vAlign w:val="bottom"/>
            <w:tcBorders>
              <w:top w:val="single" w:sz="8" w:color="FEFEFE"/>
            </w:tcBorders>
          </w:tcPr>
          <w:p>
            <w:pPr>
              <w:spacing w:after="0"/>
              <w:rPr>
                <w:sz w:val="24"/>
                <w:szCs w:val="24"/>
                <w:color w:val="auto"/>
              </w:rPr>
            </w:pPr>
          </w:p>
        </w:tc>
        <w:tc>
          <w:tcPr>
            <w:tcW w:w="8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vMerge w:val="restart"/>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20" w:type="dxa"/>
            <w:vAlign w:val="bottom"/>
            <w:shd w:val="clear" w:color="auto" w:fill="FEFEFE"/>
          </w:tcPr>
          <w:p>
            <w:pPr>
              <w:spacing w:after="0"/>
              <w:rPr>
                <w:sz w:val="15"/>
                <w:szCs w:val="15"/>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76" w:lineRule="exact"/>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Employment Agreement, dated as of April 30, 2020, by and between Virtu Financial Operating LLC and Joseph Molluso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8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(incorporated herein by reference to Exhibit 10.4 to the Company's Quarterly Report on Form 10-Q (File No. 001-37352) filed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160" w:type="dxa"/>
            <w:vAlign w:val="bottom"/>
            <w:tcBorders>
              <w:top w:val="single" w:sz="8" w:color="0000FF"/>
              <w:left w:val="single" w:sz="8" w:color="FEFEFE"/>
            </w:tcBorders>
            <w:gridSpan w:val="29"/>
            <w:shd w:val="clear" w:color="auto" w:fill="FEFEFE"/>
          </w:tcPr>
          <w:p>
            <w:pPr>
              <w:ind w:left="20"/>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on May 11, 2020.</w:t>
              </w:r>
            </w:hyperlink>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760" w:type="dxa"/>
            <w:vAlign w:val="bottom"/>
            <w:tcBorders>
              <w:left w:val="single" w:sz="8" w:color="FEFEFE"/>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1840" w:type="dxa"/>
            <w:vAlign w:val="bottom"/>
            <w:shd w:val="clear" w:color="auto" w:fill="FEFEFE"/>
          </w:tcPr>
          <w:p>
            <w:pPr>
              <w:spacing w:after="0" w:line="20" w:lineRule="exact"/>
              <w:rPr>
                <w:sz w:val="1"/>
                <w:szCs w:val="1"/>
                <w:color w:val="auto"/>
              </w:rPr>
            </w:pPr>
          </w:p>
        </w:tc>
        <w:tc>
          <w:tcPr>
            <w:tcW w:w="216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No. 2 dated March 2, 2020 to Credit Agreement, dated March 1, 2019, among Virtu Financial LLC, as Holdings,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100" w:type="dxa"/>
            <w:vAlign w:val="bottom"/>
            <w:tcBorders>
              <w:top w:val="single" w:sz="8" w:color="0000FF"/>
              <w:left w:val="single" w:sz="8" w:color="FEFEFE"/>
            </w:tcBorders>
            <w:gridSpan w:val="26"/>
            <w:shd w:val="clear" w:color="auto" w:fill="FEFEFE"/>
          </w:tcPr>
          <w:p>
            <w:pPr>
              <w:ind w:left="20"/>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Impala Borrower LLC, as Acquisition Borrower, VFH Parent LLC, as Refinancing Borrower, the Lenders, Issuing Banks and</w:t>
              </w:r>
            </w:hyperlink>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080" w:type="dxa"/>
            <w:vAlign w:val="bottom"/>
            <w:tcBorders>
              <w:top w:val="single" w:sz="8" w:color="0000FF"/>
              <w:left w:val="single" w:sz="8" w:color="FEFEFE"/>
            </w:tcBorders>
            <w:gridSpan w:val="25"/>
            <w:shd w:val="clear" w:color="auto" w:fill="FEFEFE"/>
          </w:tcPr>
          <w:p>
            <w:pPr>
              <w:ind w:left="20"/>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Swingline Lender Party Hereto, and Jefferies Finance LLC, as Administrative Agent, and Jefferies Finance LLC and RBC</w:t>
              </w:r>
            </w:hyperlink>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FEFEFE"/>
            </w:tcBorders>
            <w:shd w:val="clear" w:color="auto" w:fill="FEFEFE"/>
          </w:tcPr>
          <w:p>
            <w:pPr>
              <w:spacing w:after="0"/>
              <w:rPr>
                <w:sz w:val="12"/>
                <w:szCs w:val="12"/>
                <w:color w:val="auto"/>
              </w:rPr>
            </w:pPr>
          </w:p>
        </w:tc>
        <w:tc>
          <w:tcPr>
            <w:tcW w:w="8860" w:type="dxa"/>
            <w:vAlign w:val="bottom"/>
            <w:tcBorders>
              <w:top w:val="single" w:sz="8" w:color="0000FF"/>
              <w:left w:val="single" w:sz="8" w:color="FEFEFE"/>
            </w:tcBorders>
            <w:gridSpan w:val="18"/>
            <w:shd w:val="clear" w:color="auto" w:fill="FEFEFE"/>
          </w:tcPr>
          <w:p>
            <w:pPr>
              <w:ind w:left="20"/>
              <w:spacing w:after="0" w:line="142" w:lineRule="exact"/>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u w:val="single" w:color="auto"/>
                  <w:color w:val="0000FF"/>
                </w:rPr>
                <w:t>Capital Markets, as Joint Lead Arrangers and Joint Bookrunners (incorporated herein by reference to Exhibit 10.1 to the</w:t>
              </w:r>
            </w:hyperlink>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tcBorders>
            <w:shd w:val="clear" w:color="auto" w:fill="FEFEFE"/>
          </w:tcPr>
          <w:p>
            <w:pPr>
              <w:spacing w:after="0"/>
              <w:rPr>
                <w:sz w:val="12"/>
                <w:szCs w:val="12"/>
                <w:color w:val="auto"/>
              </w:rPr>
            </w:pPr>
          </w:p>
        </w:tc>
        <w:tc>
          <w:tcPr>
            <w:tcW w:w="6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60" w:type="dxa"/>
            <w:vAlign w:val="bottom"/>
            <w:tcBorders>
              <w:top w:val="single" w:sz="8" w:color="FEFEFE"/>
            </w:tcBorders>
            <w:gridSpan w:val="3"/>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tcBorders>
            <w:gridSpan w:val="2"/>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20" w:type="dxa"/>
            <w:vAlign w:val="bottom"/>
            <w:tcBorders>
              <w:top w:val="single" w:sz="8" w:color="FEFEFE"/>
            </w:tcBorders>
            <w:shd w:val="clear" w:color="auto" w:fill="FEFEFE"/>
          </w:tcPr>
          <w:p>
            <w:pPr>
              <w:spacing w:after="0"/>
              <w:rPr>
                <w:sz w:val="12"/>
                <w:szCs w:val="12"/>
                <w:color w:val="auto"/>
              </w:rPr>
            </w:pPr>
          </w:p>
        </w:tc>
        <w:tc>
          <w:tcPr>
            <w:tcW w:w="40" w:type="dxa"/>
            <w:vAlign w:val="bottom"/>
            <w:tcBorders>
              <w:top w:val="single" w:sz="8" w:color="FEFEFE"/>
              <w:right w:val="single" w:sz="8" w:color="FEFEFE"/>
            </w:tcBorders>
            <w:shd w:val="clear" w:color="auto" w:fill="FEFEF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8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Company's Quarterly Report on Form 10-Q (File No. 001-37352) filed on May 11, 2020.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760" w:type="dxa"/>
            <w:vAlign w:val="bottom"/>
            <w:tcBorders>
              <w:left w:val="single" w:sz="8" w:color="FEFEFE"/>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16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Loan Agreement Dated as of March 20, 2020 among Virtu Americas LLC, the Lenders from time to time party hereto and</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820" w:type="dxa"/>
            <w:vAlign w:val="bottom"/>
            <w:tcBorders>
              <w:top w:val="single" w:sz="8" w:color="0000FF"/>
              <w:left w:val="single" w:sz="8" w:color="FEFEFE"/>
            </w:tcBorders>
            <w:gridSpan w:val="16"/>
            <w:shd w:val="clear" w:color="auto" w:fill="FEFEFE"/>
          </w:tcPr>
          <w:p>
            <w:pPr>
              <w:ind w:left="20"/>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TJMT Holdings LLC, as Administrative Agent (incorporated herein by reference to Exhibit 99.19 to the Form 13D/A (File</w:t>
              </w:r>
            </w:hyperlink>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40" w:type="dxa"/>
            <w:vAlign w:val="bottom"/>
            <w:tcBorders>
              <w:top w:val="single" w:sz="8" w:color="FEFEFE"/>
              <w:right w:val="single" w:sz="8" w:color="FEFEFE"/>
            </w:tcBorders>
            <w:gridSpan w:val="17"/>
            <w:shd w:val="clear" w:color="auto" w:fill="FEFEFE"/>
          </w:tcPr>
          <w:p>
            <w:pPr>
              <w:jc w:val="right"/>
              <w:ind w:right="160"/>
              <w:spacing w:after="0" w:line="156" w:lineRule="exact"/>
              <w:rPr>
                <w:rFonts w:ascii="Times New Roman" w:cs="Times New Roman" w:eastAsia="Times New Roman" w:hAnsi="Times New Roman"/>
                <w:sz w:val="18"/>
                <w:szCs w:val="18"/>
                <w:color w:val="0000FF"/>
                <w:w w:val="97"/>
              </w:rPr>
            </w:pPr>
            <w:hyperlink r:id="rId197">
              <w:r>
                <w:rPr>
                  <w:rFonts w:ascii="Times New Roman" w:cs="Times New Roman" w:eastAsia="Times New Roman" w:hAnsi="Times New Roman"/>
                  <w:sz w:val="18"/>
                  <w:szCs w:val="18"/>
                  <w:color w:val="0000FF"/>
                  <w:w w:val="97"/>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260" w:type="dxa"/>
            <w:vAlign w:val="bottom"/>
            <w:tcBorders>
              <w:top w:val="single" w:sz="8" w:color="0000FF"/>
              <w:left w:val="single" w:sz="8" w:color="FEFEFE"/>
            </w:tcBorders>
            <w:gridSpan w:val="34"/>
            <w:shd w:val="clear" w:color="auto" w:fill="FEFEFE"/>
          </w:tcPr>
          <w:p>
            <w:pPr>
              <w:ind w:left="20"/>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005-89306) filed by TJMT Holdings LLC on March 23, 2020).</w:t>
              </w:r>
            </w:hyperlink>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760" w:type="dxa"/>
            <w:vAlign w:val="bottom"/>
            <w:tcBorders>
              <w:left w:val="single" w:sz="8" w:color="FEFEFE"/>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0" w:type="dxa"/>
            <w:vAlign w:val="bottom"/>
            <w:gridSpan w:val="2"/>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8"/>
                <w:szCs w:val="18"/>
                <w:color w:val="auto"/>
              </w:rPr>
            </w:pPr>
          </w:p>
        </w:tc>
        <w:tc>
          <w:tcPr>
            <w:tcW w:w="520" w:type="dxa"/>
            <w:vAlign w:val="bottom"/>
            <w:tcBorders>
              <w:bottom w:val="single" w:sz="8" w:color="FEFEFE"/>
            </w:tcBorders>
            <w:shd w:val="clear" w:color="auto" w:fill="FEFEFE"/>
          </w:tcPr>
          <w:p>
            <w:pPr>
              <w:spacing w:after="0"/>
              <w:rPr>
                <w:sz w:val="18"/>
                <w:szCs w:val="18"/>
                <w:color w:val="auto"/>
              </w:rPr>
            </w:pPr>
          </w:p>
        </w:tc>
        <w:tc>
          <w:tcPr>
            <w:tcW w:w="8640" w:type="dxa"/>
            <w:vAlign w:val="bottom"/>
            <w:tcBorders>
              <w:left w:val="single" w:sz="8" w:color="FEFEFE"/>
              <w:bottom w:val="single" w:sz="8" w:color="0000FF"/>
            </w:tcBorders>
            <w:gridSpan w:val="12"/>
            <w:shd w:val="clear" w:color="auto" w:fill="FEFEFE"/>
          </w:tcPr>
          <w:p>
            <w:pPr>
              <w:ind w:left="20"/>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Class A Common Stock Purchase Warrant Dated as of March 20, 2020 issued by Virtu Financial, Inc. in favor of TJMT</w:t>
              </w:r>
            </w:hyperlink>
          </w:p>
        </w:tc>
        <w:tc>
          <w:tcPr>
            <w:tcW w:w="700" w:type="dxa"/>
            <w:vAlign w:val="bottom"/>
            <w:tcBorders>
              <w:bottom w:val="single" w:sz="8" w:color="FEFEFE"/>
              <w:right w:val="single" w:sz="8" w:color="FEFEFE"/>
            </w:tcBorders>
            <w:gridSpan w:val="25"/>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Holdings LLC (incorporated herein by reference to Exhibit 99.20 to the Form 13D/A (File No. 005-89306) filed by TJMT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840" w:type="dxa"/>
            <w:vAlign w:val="bottom"/>
            <w:tcBorders>
              <w:top w:val="single" w:sz="8" w:color="0000FF"/>
              <w:left w:val="single" w:sz="8" w:color="FEFEFE"/>
            </w:tcBorders>
            <w:gridSpan w:val="17"/>
            <w:shd w:val="clear" w:color="auto" w:fill="FEFEFE"/>
          </w:tcPr>
          <w:p>
            <w:pPr>
              <w:ind w:left="20"/>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Holdings LLC on March 23, 2020).</w:t>
              </w:r>
            </w:hyperlink>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gridSpan w:val="3"/>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760" w:type="dxa"/>
            <w:vAlign w:val="bottom"/>
            <w:tcBorders>
              <w:left w:val="single" w:sz="8" w:color="FEFEFE"/>
            </w:tcBorders>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400" w:type="dxa"/>
            <w:vAlign w:val="bottom"/>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4560" w:type="dxa"/>
            <w:vAlign w:val="bottom"/>
            <w:gridSpan w:val="3"/>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00" w:type="dxa"/>
            <w:vAlign w:val="bottom"/>
            <w:gridSpan w:val="4"/>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18"/>
                <w:szCs w:val="18"/>
                <w:color w:val="auto"/>
              </w:rPr>
            </w:pPr>
          </w:p>
        </w:tc>
        <w:tc>
          <w:tcPr>
            <w:tcW w:w="520" w:type="dxa"/>
            <w:vAlign w:val="bottom"/>
            <w:tcBorders>
              <w:bottom w:val="single" w:sz="8" w:color="FEFEFE"/>
            </w:tcBorders>
            <w:shd w:val="clear" w:color="auto" w:fill="FEFEFE"/>
          </w:tcPr>
          <w:p>
            <w:pPr>
              <w:spacing w:after="0"/>
              <w:rPr>
                <w:sz w:val="18"/>
                <w:szCs w:val="18"/>
                <w:color w:val="auto"/>
              </w:rPr>
            </w:pPr>
          </w:p>
        </w:tc>
        <w:tc>
          <w:tcPr>
            <w:tcW w:w="8980" w:type="dxa"/>
            <w:vAlign w:val="bottom"/>
            <w:tcBorders>
              <w:left w:val="single" w:sz="8" w:color="FEFEFE"/>
              <w:bottom w:val="single" w:sz="8" w:color="0000FF"/>
            </w:tcBorders>
            <w:gridSpan w:val="22"/>
            <w:shd w:val="clear" w:color="auto" w:fill="FEFEFE"/>
          </w:tcPr>
          <w:p>
            <w:pPr>
              <w:ind w:left="20"/>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Stockholders Agreement, dated as of April 15, 2015, by and among Virtu Financial, Inc. and the stockholders named therein</w:t>
              </w:r>
            </w:hyperlink>
          </w:p>
        </w:tc>
        <w:tc>
          <w:tcPr>
            <w:tcW w:w="360" w:type="dxa"/>
            <w:vAlign w:val="bottom"/>
            <w:tcBorders>
              <w:bottom w:val="single" w:sz="8" w:color="FEFEFE"/>
              <w:right w:val="single" w:sz="8" w:color="FEFEFE"/>
            </w:tcBorders>
            <w:gridSpan w:val="15"/>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herein by reference to Exhibit 10.2 to the Company’s Quarterly Report on Form 10-Q, as amended (File No.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340" w:type="dxa"/>
            <w:vAlign w:val="bottom"/>
            <w:tcBorders>
              <w:top w:val="single" w:sz="8" w:color="0000FF"/>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37352) filed on May 29,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FEFEFE"/>
            </w:tcBorders>
            <w:shd w:val="clear" w:color="auto" w:fill="FEFEFE"/>
          </w:tcPr>
          <w:p>
            <w:pPr>
              <w:spacing w:after="0" w:line="20" w:lineRule="exact"/>
              <w:rPr>
                <w:sz w:val="1"/>
                <w:szCs w:val="1"/>
                <w:color w:val="auto"/>
              </w:rPr>
            </w:pPr>
          </w:p>
        </w:tc>
        <w:tc>
          <w:tcPr>
            <w:tcW w:w="760" w:type="dxa"/>
            <w:vAlign w:val="bottom"/>
            <w:tcBorders>
              <w:top w:val="single" w:sz="8" w:color="0000FF"/>
              <w:left w:val="single" w:sz="8" w:color="FEFEFE"/>
            </w:tcBorders>
            <w:shd w:val="clear" w:color="auto" w:fill="FEFEFE"/>
          </w:tcPr>
          <w:p>
            <w:pPr>
              <w:spacing w:after="0" w:line="20" w:lineRule="exact"/>
              <w:rPr>
                <w:sz w:val="1"/>
                <w:szCs w:val="1"/>
                <w:color w:val="auto"/>
              </w:rPr>
            </w:pPr>
          </w:p>
        </w:tc>
        <w:tc>
          <w:tcPr>
            <w:tcW w:w="480" w:type="dxa"/>
            <w:vAlign w:val="bottom"/>
            <w:tcBorders>
              <w:top w:val="single" w:sz="8" w:color="0000FF"/>
            </w:tcBorders>
            <w:shd w:val="clear" w:color="auto" w:fill="FEFEFE"/>
          </w:tcPr>
          <w:p>
            <w:pPr>
              <w:spacing w:after="0" w:line="20" w:lineRule="exact"/>
              <w:rPr>
                <w:sz w:val="1"/>
                <w:szCs w:val="1"/>
                <w:color w:val="auto"/>
              </w:rPr>
            </w:pPr>
          </w:p>
        </w:tc>
        <w:tc>
          <w:tcPr>
            <w:tcW w:w="1040" w:type="dxa"/>
            <w:vAlign w:val="bottom"/>
            <w:tcBorders>
              <w:top w:val="single" w:sz="8" w:color="0000FF"/>
            </w:tcBorders>
            <w:shd w:val="clear" w:color="auto" w:fill="FEFEFE"/>
          </w:tcPr>
          <w:p>
            <w:pPr>
              <w:spacing w:after="0" w:line="20" w:lineRule="exact"/>
              <w:rPr>
                <w:sz w:val="1"/>
                <w:szCs w:val="1"/>
                <w:color w:val="auto"/>
              </w:rPr>
            </w:pPr>
          </w:p>
        </w:tc>
        <w:tc>
          <w:tcPr>
            <w:tcW w:w="300" w:type="dxa"/>
            <w:vAlign w:val="bottom"/>
            <w:tcBorders>
              <w:top w:val="single" w:sz="8" w:color="FEFEFE"/>
            </w:tcBorders>
            <w:shd w:val="clear" w:color="auto" w:fill="FEFEFE"/>
          </w:tcPr>
          <w:p>
            <w:pPr>
              <w:spacing w:after="0" w:line="20" w:lineRule="exact"/>
              <w:rPr>
                <w:sz w:val="1"/>
                <w:szCs w:val="1"/>
                <w:color w:val="auto"/>
              </w:rPr>
            </w:pPr>
          </w:p>
        </w:tc>
        <w:tc>
          <w:tcPr>
            <w:tcW w:w="440" w:type="dxa"/>
            <w:vAlign w:val="bottom"/>
            <w:tcBorders>
              <w:top w:val="single" w:sz="8" w:color="FEFEFE"/>
            </w:tcBorders>
            <w:shd w:val="clear" w:color="auto" w:fill="FEFEFE"/>
          </w:tcPr>
          <w:p>
            <w:pPr>
              <w:spacing w:after="0" w:line="20" w:lineRule="exact"/>
              <w:rPr>
                <w:sz w:val="1"/>
                <w:szCs w:val="1"/>
                <w:color w:val="auto"/>
              </w:rPr>
            </w:pPr>
          </w:p>
        </w:tc>
        <w:tc>
          <w:tcPr>
            <w:tcW w:w="300" w:type="dxa"/>
            <w:vAlign w:val="bottom"/>
            <w:tcBorders>
              <w:top w:val="single" w:sz="8" w:color="FEFEFE"/>
            </w:tcBorders>
            <w:shd w:val="clear" w:color="auto" w:fill="FEFEFE"/>
          </w:tcPr>
          <w:p>
            <w:pPr>
              <w:spacing w:after="0" w:line="20" w:lineRule="exact"/>
              <w:rPr>
                <w:sz w:val="1"/>
                <w:szCs w:val="1"/>
                <w:color w:val="auto"/>
              </w:rPr>
            </w:pPr>
          </w:p>
        </w:tc>
        <w:tc>
          <w:tcPr>
            <w:tcW w:w="400" w:type="dxa"/>
            <w:vAlign w:val="bottom"/>
            <w:tcBorders>
              <w:top w:val="single" w:sz="8" w:color="FEFEFE"/>
            </w:tcBorders>
            <w:shd w:val="clear" w:color="auto" w:fill="FEFEFE"/>
          </w:tcPr>
          <w:p>
            <w:pPr>
              <w:spacing w:after="0" w:line="20" w:lineRule="exact"/>
              <w:rPr>
                <w:sz w:val="1"/>
                <w:szCs w:val="1"/>
                <w:color w:val="auto"/>
              </w:rPr>
            </w:pPr>
          </w:p>
        </w:tc>
        <w:tc>
          <w:tcPr>
            <w:tcW w:w="280" w:type="dxa"/>
            <w:vAlign w:val="bottom"/>
            <w:tcBorders>
              <w:top w:val="single" w:sz="8" w:color="FEFEFE"/>
            </w:tcBorders>
            <w:shd w:val="clear" w:color="auto" w:fill="FEFEFE"/>
          </w:tcPr>
          <w:p>
            <w:pPr>
              <w:spacing w:after="0" w:line="20" w:lineRule="exact"/>
              <w:rPr>
                <w:sz w:val="1"/>
                <w:szCs w:val="1"/>
                <w:color w:val="auto"/>
              </w:rPr>
            </w:pPr>
          </w:p>
        </w:tc>
        <w:tc>
          <w:tcPr>
            <w:tcW w:w="560" w:type="dxa"/>
            <w:vAlign w:val="bottom"/>
            <w:tcBorders>
              <w:top w:val="single" w:sz="8" w:color="FEFEFE"/>
            </w:tcBorders>
            <w:shd w:val="clear" w:color="auto" w:fill="FEFEFE"/>
          </w:tcPr>
          <w:p>
            <w:pPr>
              <w:spacing w:after="0" w:line="20" w:lineRule="exact"/>
              <w:rPr>
                <w:sz w:val="1"/>
                <w:szCs w:val="1"/>
                <w:color w:val="auto"/>
              </w:rPr>
            </w:pPr>
          </w:p>
        </w:tc>
        <w:tc>
          <w:tcPr>
            <w:tcW w:w="1840" w:type="dxa"/>
            <w:vAlign w:val="bottom"/>
            <w:tcBorders>
              <w:top w:val="single" w:sz="8" w:color="FEFEFE"/>
            </w:tcBorders>
            <w:shd w:val="clear" w:color="auto" w:fill="FEFEFE"/>
          </w:tcPr>
          <w:p>
            <w:pPr>
              <w:spacing w:after="0" w:line="20" w:lineRule="exact"/>
              <w:rPr>
                <w:sz w:val="1"/>
                <w:szCs w:val="1"/>
                <w:color w:val="auto"/>
              </w:rPr>
            </w:pPr>
          </w:p>
        </w:tc>
        <w:tc>
          <w:tcPr>
            <w:tcW w:w="2160" w:type="dxa"/>
            <w:vAlign w:val="bottom"/>
            <w:tcBorders>
              <w:top w:val="single" w:sz="8" w:color="FEFEFE"/>
            </w:tcBorders>
            <w:shd w:val="clear" w:color="auto" w:fill="FEFEFE"/>
          </w:tcPr>
          <w:p>
            <w:pPr>
              <w:spacing w:after="0" w:line="20" w:lineRule="exact"/>
              <w:rPr>
                <w:sz w:val="1"/>
                <w:szCs w:val="1"/>
                <w:color w:val="auto"/>
              </w:rPr>
            </w:pPr>
          </w:p>
        </w:tc>
        <w:tc>
          <w:tcPr>
            <w:tcW w:w="8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40" w:type="dxa"/>
            <w:vAlign w:val="bottom"/>
            <w:tcBorders>
              <w:top w:val="single" w:sz="8" w:color="FEFEFE"/>
              <w:right w:val="single" w:sz="8" w:color="FEFEFE"/>
            </w:tcBorders>
            <w:shd w:val="clear" w:color="auto" w:fill="FEFEF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bottom w:val="single" w:sz="8" w:color="FEFEFE"/>
            </w:tcBorders>
            <w:shd w:val="clear" w:color="auto" w:fill="FEFEFE"/>
          </w:tcPr>
          <w:p>
            <w:pPr>
              <w:spacing w:after="0"/>
              <w:rPr>
                <w:sz w:val="16"/>
                <w:szCs w:val="16"/>
                <w:color w:val="auto"/>
              </w:rPr>
            </w:pPr>
          </w:p>
        </w:tc>
        <w:tc>
          <w:tcPr>
            <w:tcW w:w="9060" w:type="dxa"/>
            <w:vAlign w:val="bottom"/>
            <w:tcBorders>
              <w:bottom w:val="single" w:sz="8" w:color="0000FF"/>
            </w:tcBorders>
            <w:gridSpan w:val="24"/>
          </w:tcPr>
          <w:p>
            <w:pPr>
              <w:ind w:left="20"/>
              <w:spacing w:after="0" w:line="189"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Exchange Agreement, dated as of April 15, 2015, by and among Virtu Financial LLC, Virtu Financial, Inc. and the holders of</w:t>
              </w:r>
            </w:hyperlink>
          </w:p>
        </w:tc>
        <w:tc>
          <w:tcPr>
            <w:tcW w:w="280" w:type="dxa"/>
            <w:vAlign w:val="bottom"/>
            <w:gridSpan w:val="13"/>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9360" w:type="dxa"/>
            <w:vAlign w:val="bottom"/>
            <w:gridSpan w:val="38"/>
          </w:tcPr>
          <w:p>
            <w:pPr>
              <w:ind w:left="20"/>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Common Units and shares of Class C Common Stock or Class D Common Stock (as each defined therein) (incorporated herein</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280" w:type="dxa"/>
            <w:vAlign w:val="bottom"/>
            <w:tcBorders>
              <w:top w:val="single" w:sz="8" w:color="0000FF"/>
            </w:tcBorders>
            <w:gridSpan w:val="35"/>
          </w:tcPr>
          <w:p>
            <w:pPr>
              <w:ind w:left="20"/>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by reference to Exhibit 10.3 to the Company’s Quarterly Report on Form 10-Q, as amended (File No. 001-37352) filed on May</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760" w:type="dxa"/>
            <w:vAlign w:val="bottom"/>
            <w:tcBorders>
              <w:top w:val="single" w:sz="8" w:color="0000FF"/>
              <w:bottom w:val="single" w:sz="8" w:color="0000FF"/>
            </w:tcBorders>
          </w:tcPr>
          <w:p>
            <w:pPr>
              <w:ind w:left="20"/>
              <w:spacing w:after="0" w:line="156" w:lineRule="exact"/>
              <w:rPr>
                <w:rFonts w:ascii="Times New Roman" w:cs="Times New Roman" w:eastAsia="Times New Roman" w:hAnsi="Times New Roman"/>
                <w:sz w:val="18"/>
                <w:szCs w:val="18"/>
                <w:color w:val="0000FF"/>
                <w:w w:val="97"/>
              </w:rPr>
            </w:pPr>
            <w:hyperlink r:id="rId200">
              <w:r>
                <w:rPr>
                  <w:rFonts w:ascii="Times New Roman" w:cs="Times New Roman" w:eastAsia="Times New Roman" w:hAnsi="Times New Roman"/>
                  <w:sz w:val="18"/>
                  <w:szCs w:val="18"/>
                  <w:color w:val="0000FF"/>
                  <w:w w:val="97"/>
                </w:rPr>
                <w:t>29, 2015).</w:t>
              </w:r>
            </w:hyperlink>
          </w:p>
        </w:tc>
        <w:tc>
          <w:tcPr>
            <w:tcW w:w="4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60" w:type="dxa"/>
            <w:vAlign w:val="bottom"/>
            <w:gridSpan w:val="38"/>
          </w:tcPr>
          <w:p>
            <w:pPr>
              <w:ind w:left="2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Tax Receivable Agreement, dated as of April 15, 2015, by and among Virtu Financial, Inc., TJMT Holdings LLC, Virtu</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640" w:type="dxa"/>
            <w:vAlign w:val="bottom"/>
            <w:tcBorders>
              <w:top w:val="single" w:sz="8" w:color="0000FF"/>
            </w:tcBorders>
            <w:gridSpan w:val="12"/>
          </w:tcPr>
          <w:p>
            <w:pPr>
              <w:ind w:left="20"/>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Employee Holdco, the Management Members and other pre-IPO investors (incorporated herein by reference to Exhibit</w:t>
              </w:r>
            </w:hyperlink>
          </w:p>
        </w:tc>
        <w:tc>
          <w:tcPr>
            <w:tcW w:w="720" w:type="dxa"/>
            <w:vAlign w:val="bottom"/>
            <w:gridSpan w:val="26"/>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10.5 to</w:t>
              </w:r>
            </w:hyperlink>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top w:val="single" w:sz="8" w:color="FEFEFE"/>
            </w:tcBorders>
            <w:shd w:val="clear" w:color="auto" w:fill="FEFEFE"/>
          </w:tcPr>
          <w:p>
            <w:pPr>
              <w:spacing w:after="0"/>
              <w:rPr>
                <w:sz w:val="16"/>
                <w:szCs w:val="16"/>
                <w:color w:val="auto"/>
              </w:rPr>
            </w:pPr>
          </w:p>
        </w:tc>
        <w:tc>
          <w:tcPr>
            <w:tcW w:w="9140" w:type="dxa"/>
            <w:vAlign w:val="bottom"/>
            <w:tcBorders>
              <w:top w:val="single" w:sz="8" w:color="0000FF"/>
            </w:tcBorders>
            <w:gridSpan w:val="28"/>
          </w:tcPr>
          <w:p>
            <w:pPr>
              <w:ind w:left="20"/>
              <w:spacing w:after="0" w:line="191" w:lineRule="exact"/>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the Company’s Quarterly Report on Form 10-Q, as amended (File No. 001-37352) filed on May 29, 2015).</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60" w:type="dxa"/>
            <w:vAlign w:val="bottom"/>
            <w:gridSpan w:val="38"/>
          </w:tcPr>
          <w:p>
            <w:pPr>
              <w:ind w:left="20"/>
              <w:spacing w:after="0" w:line="194"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Tax Receivable Agreement, dated as of April 15, 2015, by and between Virtu Financial, Inc. and the Investor Post-IPO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560" w:type="dxa"/>
            <w:vAlign w:val="bottom"/>
            <w:tcBorders>
              <w:top w:val="single" w:sz="8" w:color="0000FF"/>
            </w:tcBorders>
            <w:gridSpan w:val="11"/>
          </w:tcPr>
          <w:p>
            <w:pPr>
              <w:ind w:left="20"/>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Stockholders (incorporated herein by reference to Exhibit 10.6 to the Company’s Quarterly Report on Form 10-Q, as</w:t>
              </w:r>
            </w:hyperlink>
          </w:p>
        </w:tc>
        <w:tc>
          <w:tcPr>
            <w:tcW w:w="800" w:type="dxa"/>
            <w:vAlign w:val="bottom"/>
            <w:gridSpan w:val="27"/>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332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(File No. 001-37352) filed on May 29, 2015).</w:t>
              </w:r>
            </w:hyperlink>
          </w:p>
        </w:tc>
        <w:tc>
          <w:tcPr>
            <w:tcW w:w="58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60" w:type="dxa"/>
            <w:vAlign w:val="bottom"/>
            <w:gridSpan w:val="38"/>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Tax Receivable Agreement, dated as of April 15, 2015, by and among Virtu Financial, Inc. and the Silver Lake Post-IPO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8720" w:type="dxa"/>
            <w:vAlign w:val="bottom"/>
            <w:tcBorders>
              <w:top w:val="single" w:sz="8" w:color="0000FF"/>
              <w:bottom w:val="single" w:sz="8" w:color="0000FF"/>
            </w:tcBorders>
            <w:gridSpan w:val="14"/>
          </w:tcPr>
          <w:p>
            <w:pPr>
              <w:ind w:left="20"/>
              <w:spacing w:after="0" w:line="15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Members (incorporated herein by reference to Exhibit 10.7 to the Company’s Quarterly Report on Form 10-Q, as amended</w:t>
              </w:r>
            </w:hyperlink>
          </w:p>
        </w:tc>
        <w:tc>
          <w:tcPr>
            <w:tcW w:w="6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8880" w:type="dxa"/>
            <w:vAlign w:val="bottom"/>
            <w:gridSpan w:val="19"/>
          </w:tcPr>
          <w:p>
            <w:pPr>
              <w:ind w:left="20"/>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(File No. 001-37352) filed on May 29, 2015).</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FEFEFE"/>
            </w:tcBorders>
            <w:shd w:val="clear" w:color="auto" w:fill="FEFEFE"/>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8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Third Amended and Restated Limited Liability Company Agreement of Virtu Financial LLC, dated as of April 15,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3020" w:type="dxa"/>
            <w:vAlign w:val="bottom"/>
            <w:tcBorders>
              <w:left w:val="single" w:sz="8" w:color="FEFEFE"/>
            </w:tcBorders>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70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4"/>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herein by reference to Exhibit 10.8 to the Company’s Quarterly Report on Form 10-Q, as amended (File No.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340" w:type="dxa"/>
            <w:vAlign w:val="bottom"/>
            <w:tcBorders>
              <w:top w:val="single" w:sz="8" w:color="0000FF"/>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37352) filed on May 29,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280" w:type="dxa"/>
            <w:vAlign w:val="bottom"/>
            <w:tcBorders>
              <w:left w:val="single" w:sz="8" w:color="FEFEFE"/>
            </w:tcBorders>
            <w:gridSpan w:val="3"/>
            <w:shd w:val="clear" w:color="auto" w:fill="0000FF"/>
          </w:tcPr>
          <w:p>
            <w:pPr>
              <w:spacing w:after="0" w:line="20" w:lineRule="exact"/>
              <w:rPr>
                <w:sz w:val="1"/>
                <w:szCs w:val="1"/>
                <w:color w:val="auto"/>
              </w:rPr>
            </w:pPr>
          </w:p>
        </w:tc>
        <w:tc>
          <w:tcPr>
            <w:tcW w:w="740" w:type="dxa"/>
            <w:vAlign w:val="bottom"/>
            <w:gridSpan w:val="2"/>
            <w:shd w:val="clear" w:color="auto" w:fill="FEFEFE"/>
          </w:tcPr>
          <w:p>
            <w:pPr>
              <w:spacing w:after="0" w:line="20" w:lineRule="exact"/>
              <w:rPr>
                <w:sz w:val="1"/>
                <w:szCs w:val="1"/>
                <w:color w:val="auto"/>
              </w:rPr>
            </w:pPr>
          </w:p>
        </w:tc>
        <w:tc>
          <w:tcPr>
            <w:tcW w:w="700" w:type="dxa"/>
            <w:vAlign w:val="bottom"/>
            <w:gridSpan w:val="2"/>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4700" w:type="dxa"/>
            <w:vAlign w:val="bottom"/>
            <w:tcBorders>
              <w:right w:val="single" w:sz="8" w:color="FEFEFE"/>
            </w:tcBorders>
            <w:gridSpan w:val="5"/>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120" w:type="dxa"/>
            <w:vAlign w:val="bottom"/>
            <w:gridSpan w:val="5"/>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4"/>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Amended and Restated Limited Liability Company Agreement of Virtu Employee Holdco LLC, dated as of April 15, 2015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900" w:type="dxa"/>
            <w:vAlign w:val="bottom"/>
            <w:tcBorders>
              <w:top w:val="single" w:sz="8" w:color="0000FF"/>
              <w:left w:val="single" w:sz="8" w:color="FEFEFE"/>
            </w:tcBorders>
            <w:gridSpan w:val="20"/>
            <w:shd w:val="clear" w:color="auto" w:fill="FEFEFE"/>
          </w:tcPr>
          <w:p>
            <w:pPr>
              <w:ind w:left="20"/>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(incorporated herein by reference to Exhibit 10.9 to the Company’s Quarterly Report on Form 10-Q, as amended (File No.</w:t>
              </w:r>
            </w:hyperlink>
          </w:p>
        </w:tc>
        <w:tc>
          <w:tcPr>
            <w:tcW w:w="440" w:type="dxa"/>
            <w:vAlign w:val="bottom"/>
            <w:tcBorders>
              <w:top w:val="single" w:sz="8" w:color="FEFEFE"/>
              <w:right w:val="single" w:sz="8" w:color="FEFEFE"/>
            </w:tcBorders>
            <w:gridSpan w:val="17"/>
            <w:shd w:val="clear" w:color="auto" w:fill="FEFEFE"/>
          </w:tcPr>
          <w:p>
            <w:pPr>
              <w:jc w:val="right"/>
              <w:ind w:right="140"/>
              <w:spacing w:after="0" w:line="156" w:lineRule="exact"/>
              <w:rPr>
                <w:rFonts w:ascii="Times New Roman" w:cs="Times New Roman" w:eastAsia="Times New Roman" w:hAnsi="Times New Roman"/>
                <w:sz w:val="18"/>
                <w:szCs w:val="18"/>
                <w:color w:val="0000FF"/>
                <w:w w:val="84"/>
              </w:rPr>
            </w:pPr>
            <w:hyperlink r:id="rId205">
              <w:r>
                <w:rPr>
                  <w:rFonts w:ascii="Times New Roman" w:cs="Times New Roman" w:eastAsia="Times New Roman" w:hAnsi="Times New Roman"/>
                  <w:sz w:val="18"/>
                  <w:szCs w:val="18"/>
                  <w:color w:val="0000FF"/>
                  <w:w w:val="84"/>
                </w:rPr>
                <w:t>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340" w:type="dxa"/>
            <w:vAlign w:val="bottom"/>
            <w:tcBorders>
              <w:top w:val="single" w:sz="8" w:color="0000FF"/>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37352)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on May 29,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2280" w:type="dxa"/>
            <w:vAlign w:val="bottom"/>
            <w:tcBorders>
              <w:left w:val="single" w:sz="8" w:color="FEFEFE"/>
            </w:tcBorders>
            <w:gridSpan w:val="3"/>
            <w:shd w:val="clear" w:color="auto" w:fill="0000FF"/>
          </w:tcPr>
          <w:p>
            <w:pPr>
              <w:spacing w:after="0" w:line="20" w:lineRule="exact"/>
              <w:rPr>
                <w:sz w:val="1"/>
                <w:szCs w:val="1"/>
                <w:color w:val="auto"/>
              </w:rPr>
            </w:pPr>
          </w:p>
        </w:tc>
        <w:tc>
          <w:tcPr>
            <w:tcW w:w="740" w:type="dxa"/>
            <w:vAlign w:val="bottom"/>
            <w:gridSpan w:val="2"/>
            <w:shd w:val="clear" w:color="auto" w:fill="FEFEFE"/>
          </w:tcPr>
          <w:p>
            <w:pPr>
              <w:spacing w:after="0" w:line="20" w:lineRule="exact"/>
              <w:rPr>
                <w:sz w:val="1"/>
                <w:szCs w:val="1"/>
                <w:color w:val="auto"/>
              </w:rPr>
            </w:pPr>
          </w:p>
        </w:tc>
        <w:tc>
          <w:tcPr>
            <w:tcW w:w="700" w:type="dxa"/>
            <w:vAlign w:val="bottom"/>
            <w:gridSpan w:val="2"/>
            <w:shd w:val="clear" w:color="auto" w:fill="FEFEFE"/>
          </w:tcPr>
          <w:p>
            <w:pPr>
              <w:spacing w:after="0" w:line="20" w:lineRule="exact"/>
              <w:rPr>
                <w:sz w:val="1"/>
                <w:szCs w:val="1"/>
                <w:color w:val="auto"/>
              </w:rPr>
            </w:pPr>
          </w:p>
        </w:tc>
        <w:tc>
          <w:tcPr>
            <w:tcW w:w="280" w:type="dxa"/>
            <w:vAlign w:val="bottom"/>
            <w:shd w:val="clear" w:color="auto" w:fill="FEFEFE"/>
          </w:tcPr>
          <w:p>
            <w:pPr>
              <w:spacing w:after="0" w:line="20" w:lineRule="exact"/>
              <w:rPr>
                <w:sz w:val="1"/>
                <w:szCs w:val="1"/>
                <w:color w:val="auto"/>
              </w:rPr>
            </w:pPr>
          </w:p>
        </w:tc>
        <w:tc>
          <w:tcPr>
            <w:tcW w:w="4700" w:type="dxa"/>
            <w:vAlign w:val="bottom"/>
            <w:tcBorders>
              <w:right w:val="single" w:sz="8" w:color="FEFEFE"/>
            </w:tcBorders>
            <w:gridSpan w:val="5"/>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160" w:type="dxa"/>
            <w:vAlign w:val="bottom"/>
            <w:gridSpan w:val="6"/>
            <w:shd w:val="clear" w:color="auto" w:fill="FEFEFE"/>
          </w:tcPr>
          <w:p>
            <w:pPr>
              <w:spacing w:after="0" w:line="20" w:lineRule="exact"/>
              <w:rPr>
                <w:sz w:val="1"/>
                <w:szCs w:val="1"/>
                <w:color w:val="auto"/>
              </w:rPr>
            </w:pPr>
          </w:p>
        </w:tc>
        <w:tc>
          <w:tcPr>
            <w:tcW w:w="10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6"/>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4"/>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Class C Common Stock Subscription Agreement, dated as of April 15, 2015 (incorporated herein by reference to Exhibit 10.10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top w:val="single" w:sz="8" w:color="FEFEFE"/>
            </w:tcBorders>
            <w:shd w:val="clear" w:color="auto" w:fill="FEFEFE"/>
          </w:tcPr>
          <w:p>
            <w:pPr>
              <w:spacing w:after="0"/>
              <w:rPr>
                <w:sz w:val="16"/>
                <w:szCs w:val="16"/>
                <w:color w:val="auto"/>
              </w:rPr>
            </w:pPr>
          </w:p>
        </w:tc>
        <w:tc>
          <w:tcPr>
            <w:tcW w:w="9200" w:type="dxa"/>
            <w:vAlign w:val="bottom"/>
            <w:tcBorders>
              <w:top w:val="single" w:sz="8" w:color="0000FF"/>
              <w:left w:val="single" w:sz="8" w:color="FEFEFE"/>
            </w:tcBorders>
            <w:gridSpan w:val="31"/>
            <w:shd w:val="clear" w:color="auto" w:fill="FEFEFE"/>
          </w:tcPr>
          <w:p>
            <w:pPr>
              <w:ind w:left="20"/>
              <w:spacing w:after="0" w:line="191" w:lineRule="exact"/>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to the Company’s Quarterly Report on Form 10-Q, as amended (File No. 001-37352) filed on May 29, 2015).</w:t>
              </w:r>
            </w:hyperlink>
          </w:p>
        </w:tc>
        <w:tc>
          <w:tcPr>
            <w:tcW w:w="20" w:type="dxa"/>
            <w:vAlign w:val="bottom"/>
            <w:tcBorders>
              <w:top w:val="single" w:sz="8" w:color="FEFEFE"/>
            </w:tcBorders>
            <w:shd w:val="clear" w:color="auto" w:fill="FEFEFE"/>
          </w:tcPr>
          <w:p>
            <w:pPr>
              <w:spacing w:after="0"/>
              <w:rPr>
                <w:sz w:val="16"/>
                <w:szCs w:val="16"/>
                <w:color w:val="auto"/>
              </w:rPr>
            </w:pPr>
          </w:p>
        </w:tc>
        <w:tc>
          <w:tcPr>
            <w:tcW w:w="80" w:type="dxa"/>
            <w:vAlign w:val="bottom"/>
            <w:tcBorders>
              <w:top w:val="single" w:sz="8" w:color="FEFEFE"/>
            </w:tcBorders>
            <w:gridSpan w:val="4"/>
            <w:shd w:val="clear" w:color="auto" w:fill="FEFEFE"/>
          </w:tcPr>
          <w:p>
            <w:pPr>
              <w:spacing w:after="0"/>
              <w:rPr>
                <w:sz w:val="16"/>
                <w:szCs w:val="16"/>
                <w:color w:val="auto"/>
              </w:rPr>
            </w:pPr>
          </w:p>
        </w:tc>
        <w:tc>
          <w:tcPr>
            <w:tcW w:w="40" w:type="dxa"/>
            <w:vAlign w:val="bottom"/>
            <w:tcBorders>
              <w:top w:val="single" w:sz="8" w:color="FEFEFE"/>
              <w:right w:val="single" w:sz="8" w:color="FEFEFE"/>
            </w:tcBorders>
            <w:shd w:val="clear" w:color="auto" w:fill="FEFEF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94"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Class D Common Stock Subscription Agreement, dated as of April 15, 2015 (incorporated herein by reference to Exhibit 10.11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top w:val="single" w:sz="8" w:color="FEFEFE"/>
            </w:tcBorders>
            <w:shd w:val="clear" w:color="auto" w:fill="FEFEFE"/>
          </w:tcPr>
          <w:p>
            <w:pPr>
              <w:spacing w:after="0"/>
              <w:rPr>
                <w:sz w:val="16"/>
                <w:szCs w:val="16"/>
                <w:color w:val="auto"/>
              </w:rPr>
            </w:pPr>
          </w:p>
        </w:tc>
        <w:tc>
          <w:tcPr>
            <w:tcW w:w="9220" w:type="dxa"/>
            <w:vAlign w:val="bottom"/>
            <w:tcBorders>
              <w:top w:val="single" w:sz="8" w:color="0000FF"/>
              <w:left w:val="single" w:sz="8" w:color="FEFEFE"/>
            </w:tcBorders>
            <w:gridSpan w:val="32"/>
            <w:shd w:val="clear" w:color="auto" w:fill="FEFEFE"/>
          </w:tcPr>
          <w:p>
            <w:pPr>
              <w:ind w:left="20"/>
              <w:spacing w:after="0" w:line="191" w:lineRule="exact"/>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to the Company’s Quarterly Report on Form 10-Q, as amended (File No. 001-37352) filed on May 29, 2015).</w:t>
              </w:r>
            </w:hyperlink>
          </w:p>
        </w:tc>
        <w:tc>
          <w:tcPr>
            <w:tcW w:w="80" w:type="dxa"/>
            <w:vAlign w:val="bottom"/>
            <w:tcBorders>
              <w:top w:val="single" w:sz="8" w:color="FEFEFE"/>
            </w:tcBorders>
            <w:gridSpan w:val="4"/>
            <w:shd w:val="clear" w:color="auto" w:fill="FEFEFE"/>
          </w:tcPr>
          <w:p>
            <w:pPr>
              <w:spacing w:after="0"/>
              <w:rPr>
                <w:sz w:val="16"/>
                <w:szCs w:val="16"/>
                <w:color w:val="auto"/>
              </w:rPr>
            </w:pPr>
          </w:p>
        </w:tc>
        <w:tc>
          <w:tcPr>
            <w:tcW w:w="40" w:type="dxa"/>
            <w:vAlign w:val="bottom"/>
            <w:tcBorders>
              <w:top w:val="single" w:sz="8" w:color="FEFEFE"/>
              <w:right w:val="single" w:sz="8" w:color="FEFEFE"/>
            </w:tcBorders>
            <w:shd w:val="clear" w:color="auto" w:fill="FEFEF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94"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Stockholders Agreement, dated April 20, 2017, by and among Virtu Financial, Inc., TJMT Holdings LLC, Aranda Investments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180" w:type="dxa"/>
            <w:vAlign w:val="bottom"/>
            <w:tcBorders>
              <w:top w:val="single" w:sz="8" w:color="0000FF"/>
              <w:left w:val="single" w:sz="8" w:color="FEFEFE"/>
            </w:tcBorders>
            <w:gridSpan w:val="30"/>
            <w:shd w:val="clear" w:color="auto" w:fill="FEFEFE"/>
          </w:tcPr>
          <w:p>
            <w:pPr>
              <w:ind w:left="20"/>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Pte. Ltd., Havelock Fund Investments Pte Ltd. and North Island Holdings I, LP (incorporated herein by reference to Exhibit</w:t>
              </w:r>
            </w:hyperlink>
          </w:p>
        </w:tc>
        <w:tc>
          <w:tcPr>
            <w:tcW w:w="120" w:type="dxa"/>
            <w:vAlign w:val="bottom"/>
            <w:tcBorders>
              <w:top w:val="single" w:sz="8" w:color="FEFEFE"/>
            </w:tcBorders>
            <w:gridSpan w:val="6"/>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940" w:type="dxa"/>
            <w:vAlign w:val="bottom"/>
            <w:tcBorders>
              <w:top w:val="single" w:sz="8" w:color="0000FF"/>
              <w:left w:val="single" w:sz="8" w:color="FEFEFE"/>
            </w:tcBorders>
            <w:gridSpan w:val="21"/>
            <w:shd w:val="clear" w:color="auto" w:fill="FEFEFE"/>
          </w:tcPr>
          <w:p>
            <w:pPr>
              <w:ind w:left="20"/>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w:t>
              </w:r>
              <w:r>
                <w:rPr>
                  <w:rFonts w:ascii="Times New Roman" w:cs="Times New Roman" w:eastAsia="Times New Roman" w:hAnsi="Times New Roman"/>
                  <w:sz w:val="18"/>
                  <w:szCs w:val="18"/>
                  <w:u w:val="single" w:color="auto"/>
                  <w:color w:val="0000FF"/>
                </w:rPr>
                <w:t>(File No. 001-37352) filed on May 10, 2017).</w:t>
              </w:r>
            </w:hyperlink>
          </w:p>
        </w:tc>
        <w:tc>
          <w:tcPr>
            <w:tcW w:w="100" w:type="dxa"/>
            <w:vAlign w:val="bottom"/>
            <w:tcBorders>
              <w:top w:val="single" w:sz="8" w:color="FEFEFE"/>
            </w:tcBorders>
            <w:gridSpan w:val="2"/>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40" w:type="dxa"/>
            <w:vAlign w:val="bottom"/>
            <w:tcBorders>
              <w:top w:val="single" w:sz="8" w:color="FEFEFE"/>
            </w:tcBorders>
            <w:gridSpan w:val="12"/>
            <w:shd w:val="clear" w:color="auto" w:fill="FEFEFE"/>
          </w:tcPr>
          <w:p>
            <w:pPr>
              <w:spacing w:after="0"/>
              <w:rPr>
                <w:sz w:val="13"/>
                <w:szCs w:val="13"/>
                <w:color w:val="auto"/>
              </w:rPr>
            </w:pPr>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3020" w:type="dxa"/>
            <w:vAlign w:val="bottom"/>
            <w:tcBorders>
              <w:left w:val="single" w:sz="8" w:color="FEFEFE"/>
            </w:tcBorders>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700" w:type="dxa"/>
            <w:vAlign w:val="bottom"/>
            <w:tcBorders>
              <w:right w:val="single" w:sz="8" w:color="FEFEFE"/>
            </w:tcBorders>
            <w:gridSpan w:val="5"/>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26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40" w:type="dxa"/>
            <w:vAlign w:val="bottom"/>
            <w:gridSpan w:val="12"/>
            <w:shd w:val="clear" w:color="auto" w:fill="FEFEFE"/>
          </w:tcPr>
          <w:p>
            <w:pPr>
              <w:spacing w:after="0" w:line="20" w:lineRule="exact"/>
              <w:rPr>
                <w:sz w:val="1"/>
                <w:szCs w:val="1"/>
                <w:color w:val="auto"/>
              </w:rPr>
            </w:pPr>
          </w:p>
        </w:tc>
        <w:tc>
          <w:tcPr>
            <w:tcW w:w="4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Registration Rights Agreement, dated April 20, 2017, by and among Virtu Financial, Inc., TJMT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8700" w:type="dxa"/>
            <w:vAlign w:val="bottom"/>
            <w:tcBorders>
              <w:top w:val="single" w:sz="8" w:color="0000FF"/>
              <w:left w:val="single" w:sz="8" w:color="FEFEFE"/>
              <w:bottom w:val="single" w:sz="8" w:color="0000FF"/>
              <w:right w:val="single" w:sz="8" w:color="FEFEFE"/>
            </w:tcBorders>
            <w:gridSpan w:val="13"/>
            <w:shd w:val="clear" w:color="auto" w:fill="FEFEFE"/>
          </w:tcPr>
          <w:p>
            <w:pPr>
              <w:ind w:left="20"/>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Holdings LLC, Aranda Investments Pte. Ltd., Havelock Fund Investments Pte Ltd., North Island Holdings I, LP and the</w:t>
              </w:r>
            </w:hyperlink>
          </w:p>
        </w:tc>
        <w:tc>
          <w:tcPr>
            <w:tcW w:w="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260" w:type="dxa"/>
            <w:vAlign w:val="bottom"/>
            <w:tcBorders>
              <w:top w:val="single" w:sz="8" w:color="FEFEFE"/>
              <w:bottom w:val="single" w:sz="8" w:color="FEFEFE"/>
            </w:tcBorders>
            <w:gridSpan w:val="8"/>
            <w:shd w:val="clear" w:color="auto" w:fill="FEFEFE"/>
          </w:tcPr>
          <w:p>
            <w:pPr>
              <w:spacing w:after="0"/>
              <w:rPr>
                <w:sz w:val="13"/>
                <w:szCs w:val="13"/>
                <w:color w:val="auto"/>
              </w:rPr>
            </w:pPr>
          </w:p>
        </w:tc>
        <w:tc>
          <w:tcPr>
            <w:tcW w:w="20" w:type="dxa"/>
            <w:vAlign w:val="bottom"/>
            <w:tcBorders>
              <w:top w:val="single" w:sz="8" w:color="FEFEFE"/>
              <w:bottom w:val="single" w:sz="8" w:color="FEFEFE"/>
            </w:tcBorders>
            <w:shd w:val="clear" w:color="auto" w:fill="FEFEFE"/>
          </w:tcPr>
          <w:p>
            <w:pPr>
              <w:spacing w:after="0"/>
              <w:rPr>
                <w:sz w:val="13"/>
                <w:szCs w:val="13"/>
                <w:color w:val="auto"/>
              </w:rPr>
            </w:pPr>
          </w:p>
        </w:tc>
        <w:tc>
          <w:tcPr>
            <w:tcW w:w="240" w:type="dxa"/>
            <w:vAlign w:val="bottom"/>
            <w:tcBorders>
              <w:top w:val="single" w:sz="8" w:color="FEFEFE"/>
              <w:bottom w:val="single" w:sz="8" w:color="FEFEFE"/>
            </w:tcBorders>
            <w:gridSpan w:val="12"/>
            <w:shd w:val="clear" w:color="auto" w:fill="FEFEFE"/>
          </w:tcPr>
          <w:p>
            <w:pPr>
              <w:spacing w:after="0"/>
              <w:rPr>
                <w:sz w:val="13"/>
                <w:szCs w:val="13"/>
                <w:color w:val="auto"/>
              </w:rPr>
            </w:pPr>
          </w:p>
        </w:tc>
        <w:tc>
          <w:tcPr>
            <w:tcW w:w="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shd w:val="clear" w:color="auto" w:fill="FEFEFE"/>
          </w:tcPr>
          <w:p>
            <w:pPr>
              <w:spacing w:after="0"/>
              <w:rPr>
                <w:sz w:val="13"/>
                <w:szCs w:val="13"/>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additional holders named therein (incorporated herein by reference to Exhibit 10.3 to the Company’s Quarterly Report on Form</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300" w:type="dxa"/>
            <w:vAlign w:val="bottom"/>
            <w:tcBorders>
              <w:top w:val="single" w:sz="8" w:color="0000FF"/>
              <w:left w:val="single" w:sz="8" w:color="FEFEFE"/>
            </w:tcBorders>
            <w:gridSpan w:val="36"/>
            <w:shd w:val="clear" w:color="auto" w:fill="FEFEFE"/>
          </w:tcPr>
          <w:p>
            <w:pPr>
              <w:ind w:left="20"/>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10-Q (File No. 001-37352) filed on May 10, 2017).</w:t>
              </w:r>
            </w:hyperlink>
          </w:p>
        </w:tc>
        <w:tc>
          <w:tcPr>
            <w:tcW w:w="40" w:type="dxa"/>
            <w:vAlign w:val="bottom"/>
            <w:tcBorders>
              <w:top w:val="single" w:sz="8" w:color="FEFEFE"/>
              <w:right w:val="single" w:sz="8" w:color="FEFEFE"/>
            </w:tcBorders>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3020" w:type="dxa"/>
            <w:vAlign w:val="bottom"/>
            <w:tcBorders>
              <w:left w:val="single" w:sz="8" w:color="FEFEFE"/>
            </w:tcBorders>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60" w:type="dxa"/>
            <w:vAlign w:val="bottom"/>
            <w:gridSpan w:val="8"/>
            <w:shd w:val="clear" w:color="auto" w:fill="FEFEFE"/>
          </w:tcPr>
          <w:p>
            <w:pPr>
              <w:spacing w:after="0" w:line="20" w:lineRule="exact"/>
              <w:rPr>
                <w:sz w:val="1"/>
                <w:szCs w:val="1"/>
                <w:color w:val="auto"/>
              </w:rPr>
            </w:pPr>
          </w:p>
        </w:tc>
        <w:tc>
          <w:tcPr>
            <w:tcW w:w="26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80" w:type="dxa"/>
            <w:vAlign w:val="bottom"/>
            <w:tcBorders>
              <w:right w:val="single" w:sz="8" w:color="FEFEFE"/>
            </w:tcBorders>
            <w:gridSpan w:val="13"/>
            <w:shd w:val="clear" w:color="auto" w:fill="FEFEF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520" w:type="dxa"/>
            <w:vAlign w:val="bottom"/>
            <w:shd w:val="clear" w:color="auto" w:fill="FEFEFE"/>
          </w:tcPr>
          <w:p>
            <w:pPr>
              <w:spacing w:after="0"/>
              <w:rPr>
                <w:sz w:val="18"/>
                <w:szCs w:val="18"/>
                <w:color w:val="auto"/>
              </w:rPr>
            </w:pPr>
          </w:p>
        </w:tc>
        <w:tc>
          <w:tcPr>
            <w:tcW w:w="9340" w:type="dxa"/>
            <w:vAlign w:val="bottom"/>
            <w:tcBorders>
              <w:left w:val="single" w:sz="8" w:color="FEFEFE"/>
              <w:right w:val="single" w:sz="8" w:color="FEFEFE"/>
            </w:tcBorders>
            <w:gridSpan w:val="37"/>
            <w:shd w:val="clear" w:color="auto" w:fill="FEFEFE"/>
          </w:tcPr>
          <w:p>
            <w:pPr>
              <w:ind w:left="20"/>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Second Amendment, dated as of June 2, 2017, to the Third Amended and Restated Limited Liability Company Agreement of</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9040" w:type="dxa"/>
            <w:vAlign w:val="bottom"/>
            <w:tcBorders>
              <w:top w:val="single" w:sz="8" w:color="0000FF"/>
              <w:left w:val="single" w:sz="8" w:color="FEFEFE"/>
              <w:bottom w:val="single" w:sz="8" w:color="0000FF"/>
            </w:tcBorders>
            <w:gridSpan w:val="23"/>
            <w:shd w:val="clear" w:color="auto" w:fill="FEFEFE"/>
          </w:tcPr>
          <w:p>
            <w:pPr>
              <w:ind w:left="20"/>
              <w:spacing w:after="0" w:line="15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Virtu Financial LLC, by and among Virtu Financial LLC, Virtu Financial, Inc. and TJMT Holdings LLC (incorporated herein</w:t>
              </w:r>
            </w:hyperlink>
          </w:p>
        </w:tc>
        <w:tc>
          <w:tcPr>
            <w:tcW w:w="20" w:type="dxa"/>
            <w:vAlign w:val="bottom"/>
            <w:tcBorders>
              <w:top w:val="single" w:sz="8" w:color="FEFEFE"/>
              <w:bottom w:val="single" w:sz="8" w:color="0000FF"/>
            </w:tcBorders>
            <w:shd w:val="clear" w:color="auto" w:fill="FEFEFE"/>
          </w:tcPr>
          <w:p>
            <w:pPr>
              <w:spacing w:after="0"/>
              <w:rPr>
                <w:sz w:val="13"/>
                <w:szCs w:val="13"/>
                <w:color w:val="auto"/>
              </w:rPr>
            </w:pPr>
          </w:p>
        </w:tc>
        <w:tc>
          <w:tcPr>
            <w:tcW w:w="280" w:type="dxa"/>
            <w:vAlign w:val="bottom"/>
            <w:tcBorders>
              <w:top w:val="single" w:sz="8" w:color="FEFEFE"/>
              <w:bottom w:val="single" w:sz="8" w:color="FEFEFE"/>
              <w:right w:val="single" w:sz="8" w:color="FEFEFE"/>
            </w:tcBorders>
            <w:gridSpan w:val="13"/>
            <w:shd w:val="clear" w:color="auto" w:fill="FEFEF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060" w:type="dxa"/>
            <w:vAlign w:val="bottom"/>
            <w:tcBorders>
              <w:left w:val="single" w:sz="8" w:color="FEFEFE"/>
            </w:tcBorders>
            <w:gridSpan w:val="24"/>
            <w:shd w:val="clear" w:color="auto" w:fill="FEFEFE"/>
          </w:tcPr>
          <w:p>
            <w:pPr>
              <w:ind w:left="20"/>
              <w:spacing w:after="0" w:line="191" w:lineRule="exact"/>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by reference to Exhibit 10.1 to the Company’s Current Report on Form 8-K (File No. 001-37352) filed on June 2, 2017).</w:t>
              </w:r>
            </w:hyperlink>
          </w:p>
        </w:tc>
        <w:tc>
          <w:tcPr>
            <w:tcW w:w="280" w:type="dxa"/>
            <w:vAlign w:val="bottom"/>
            <w:tcBorders>
              <w:right w:val="single" w:sz="8" w:color="FEFEFE"/>
            </w:tcBorders>
            <w:gridSpan w:val="13"/>
            <w:shd w:val="clear" w:color="auto" w:fill="FEFEF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6"/>
                <w:szCs w:val="16"/>
                <w:color w:val="auto"/>
              </w:rPr>
            </w:pPr>
          </w:p>
        </w:tc>
        <w:tc>
          <w:tcPr>
            <w:tcW w:w="520" w:type="dxa"/>
            <w:vAlign w:val="bottom"/>
            <w:shd w:val="clear" w:color="auto" w:fill="FEFEFE"/>
          </w:tcPr>
          <w:p>
            <w:pPr>
              <w:spacing w:after="0"/>
              <w:rPr>
                <w:sz w:val="16"/>
                <w:szCs w:val="16"/>
                <w:color w:val="auto"/>
              </w:rPr>
            </w:pPr>
          </w:p>
        </w:tc>
        <w:tc>
          <w:tcPr>
            <w:tcW w:w="9340" w:type="dxa"/>
            <w:vAlign w:val="bottom"/>
            <w:tcBorders>
              <w:left w:val="single" w:sz="8" w:color="FEFEFE"/>
              <w:right w:val="single" w:sz="8" w:color="FEFEFE"/>
            </w:tcBorders>
            <w:gridSpan w:val="37"/>
            <w:shd w:val="clear" w:color="auto" w:fill="FEFEFE"/>
          </w:tcPr>
          <w:p>
            <w:pPr>
              <w:ind w:left="20"/>
              <w:spacing w:after="0" w:line="194"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Investment Agreement, dated as of June 23, 2017, by and between Virtu Financial, Inc. and North</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780" w:type="dxa"/>
            <w:vAlign w:val="bottom"/>
            <w:tcBorders>
              <w:top w:val="single" w:sz="8" w:color="0000FF"/>
              <w:left w:val="single" w:sz="8" w:color="FEFEFE"/>
            </w:tcBorders>
            <w:gridSpan w:val="15"/>
            <w:shd w:val="clear" w:color="auto" w:fill="FEFEFE"/>
          </w:tcPr>
          <w:p>
            <w:pPr>
              <w:ind w:left="20"/>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Island Holdings I, LP (incorporated herein by reference to Exhibit 10.8 to the Company’s Quarterly Report on Form 10-Q</w:t>
              </w:r>
            </w:hyperlink>
          </w:p>
        </w:tc>
        <w:tc>
          <w:tcPr>
            <w:tcW w:w="560" w:type="dxa"/>
            <w:vAlign w:val="bottom"/>
            <w:tcBorders>
              <w:top w:val="single" w:sz="8" w:color="FEFEFE"/>
              <w:right w:val="single" w:sz="8" w:color="FEFEFE"/>
            </w:tcBorders>
            <w:gridSpan w:val="22"/>
            <w:shd w:val="clear" w:color="auto" w:fill="FEFEFE"/>
          </w:tcPr>
          <w:p>
            <w:pPr>
              <w:jc w:val="right"/>
              <w:ind w:right="160"/>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(File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top w:val="single" w:sz="8" w:color="FEFEFE"/>
            </w:tcBorders>
            <w:shd w:val="clear" w:color="auto" w:fill="FEFEFE"/>
          </w:tcPr>
          <w:p>
            <w:pPr>
              <w:spacing w:after="0"/>
              <w:rPr>
                <w:sz w:val="15"/>
                <w:szCs w:val="15"/>
                <w:color w:val="auto"/>
              </w:rPr>
            </w:pPr>
          </w:p>
        </w:tc>
        <w:tc>
          <w:tcPr>
            <w:tcW w:w="9240" w:type="dxa"/>
            <w:vAlign w:val="bottom"/>
            <w:tcBorders>
              <w:top w:val="single" w:sz="8" w:color="0000FF"/>
              <w:left w:val="single" w:sz="8" w:color="FEFEFE"/>
            </w:tcBorders>
            <w:gridSpan w:val="33"/>
            <w:shd w:val="clear" w:color="auto" w:fill="FEFEFE"/>
          </w:tcPr>
          <w:p>
            <w:pPr>
              <w:ind w:left="20"/>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No. 001-37352) filed on August 9, 2017).</w:t>
              </w:r>
            </w:hyperlink>
          </w:p>
        </w:tc>
        <w:tc>
          <w:tcPr>
            <w:tcW w:w="100" w:type="dxa"/>
            <w:vAlign w:val="bottom"/>
            <w:tcBorders>
              <w:top w:val="single" w:sz="8" w:color="FEFEFE"/>
              <w:right w:val="single" w:sz="8" w:color="FEFEFE"/>
            </w:tcBorders>
            <w:gridSpan w:val="4"/>
            <w:shd w:val="clear" w:color="auto" w:fill="FEFEF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8"/>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FEFEFE"/>
            </w:tcBorders>
          </w:tcPr>
          <w:p>
            <w:pPr>
              <w:spacing w:after="0"/>
              <w:rPr>
                <w:sz w:val="24"/>
                <w:szCs w:val="24"/>
                <w:color w:val="auto"/>
              </w:rPr>
            </w:pPr>
          </w:p>
        </w:tc>
        <w:tc>
          <w:tcPr>
            <w:tcW w:w="3020" w:type="dxa"/>
            <w:vAlign w:val="bottom"/>
            <w:tcBorders>
              <w:top w:val="single" w:sz="8" w:color="0000FF"/>
            </w:tcBorders>
            <w:gridSpan w:val="5"/>
          </w:tcPr>
          <w:p>
            <w:pPr>
              <w:spacing w:after="0"/>
              <w:rPr>
                <w:sz w:val="24"/>
                <w:szCs w:val="24"/>
                <w:color w:val="auto"/>
              </w:rPr>
            </w:pPr>
          </w:p>
        </w:tc>
        <w:tc>
          <w:tcPr>
            <w:tcW w:w="980" w:type="dxa"/>
            <w:vAlign w:val="bottom"/>
            <w:tcBorders>
              <w:top w:val="single" w:sz="8" w:color="FEFEFE"/>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Borders>
              <w:top w:val="single" w:sz="8" w:color="FEFEFE"/>
            </w:tcBorders>
          </w:tcPr>
          <w:p>
            <w:pPr>
              <w:spacing w:after="0"/>
              <w:rPr>
                <w:sz w:val="24"/>
                <w:szCs w:val="24"/>
                <w:color w:val="auto"/>
              </w:rPr>
            </w:pPr>
          </w:p>
        </w:tc>
        <w:tc>
          <w:tcPr>
            <w:tcW w:w="1840" w:type="dxa"/>
            <w:vAlign w:val="bottom"/>
            <w:tcBorders>
              <w:top w:val="single" w:sz="8" w:color="FEFEFE"/>
            </w:tcBorders>
          </w:tcPr>
          <w:p>
            <w:pPr>
              <w:spacing w:after="0"/>
              <w:rPr>
                <w:sz w:val="24"/>
                <w:szCs w:val="24"/>
                <w:color w:val="auto"/>
              </w:rPr>
            </w:pPr>
          </w:p>
        </w:tc>
        <w:tc>
          <w:tcPr>
            <w:tcW w:w="2160" w:type="dxa"/>
            <w:vAlign w:val="bottom"/>
            <w:tcBorders>
              <w:top w:val="single" w:sz="8" w:color="FEFEFE"/>
            </w:tcBorders>
          </w:tcPr>
          <w:p>
            <w:pPr>
              <w:spacing w:after="0"/>
              <w:rPr>
                <w:sz w:val="24"/>
                <w:szCs w:val="24"/>
                <w:color w:val="auto"/>
              </w:rPr>
            </w:pPr>
          </w:p>
        </w:tc>
        <w:tc>
          <w:tcPr>
            <w:tcW w:w="8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6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20" w:type="dxa"/>
            <w:vAlign w:val="bottom"/>
            <w:tcBorders>
              <w:top w:val="single" w:sz="8" w:color="FEFEFE"/>
            </w:tcBorders>
          </w:tcPr>
          <w:p>
            <w:pPr>
              <w:spacing w:after="0"/>
              <w:rPr>
                <w:sz w:val="24"/>
                <w:szCs w:val="24"/>
                <w:color w:val="auto"/>
              </w:rPr>
            </w:pPr>
          </w:p>
        </w:tc>
        <w:tc>
          <w:tcPr>
            <w:tcW w:w="40" w:type="dxa"/>
            <w:vAlign w:val="bottom"/>
            <w:tcBorders>
              <w:top w:val="single" w:sz="8" w:color="FEFEF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shd w:val="clear" w:color="auto" w:fill="FEFEFE"/>
          </w:tcPr>
          <w:p>
            <w:pPr>
              <w:spacing w:after="0"/>
              <w:rPr>
                <w:sz w:val="16"/>
                <w:szCs w:val="16"/>
                <w:color w:val="auto"/>
              </w:rPr>
            </w:pPr>
          </w:p>
        </w:tc>
        <w:tc>
          <w:tcPr>
            <w:tcW w:w="9240" w:type="dxa"/>
            <w:vAlign w:val="bottom"/>
            <w:gridSpan w:val="15"/>
            <w:shd w:val="clear" w:color="auto" w:fill="FEFEFE"/>
          </w:tcPr>
          <w:p>
            <w:pPr>
              <w:spacing w:after="0" w:line="18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Third Amendment, dated as of January 5, 2018, to the Third Amended and Restated Limited Liability Company Agreement of</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9120" w:type="dxa"/>
            <w:vAlign w:val="bottom"/>
            <w:tcBorders>
              <w:top w:val="single" w:sz="8" w:color="0000FF"/>
            </w:tcBorders>
            <w:gridSpan w:val="13"/>
            <w:shd w:val="clear" w:color="auto" w:fill="FEFEFE"/>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Virtu Financial LLC, dated as of April 15, 2015 (incorporated herein by reference to Exhibit 10.30 to the Company's Annual</w:t>
              </w:r>
            </w:hyperlink>
          </w:p>
        </w:tc>
        <w:tc>
          <w:tcPr>
            <w:tcW w:w="6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3"/>
                <w:szCs w:val="13"/>
                <w:color w:val="auto"/>
              </w:rPr>
            </w:pPr>
          </w:p>
        </w:tc>
        <w:tc>
          <w:tcPr>
            <w:tcW w:w="540" w:type="dxa"/>
            <w:vAlign w:val="bottom"/>
            <w:tcBorders>
              <w:top w:val="single" w:sz="8" w:color="FEFEFE"/>
            </w:tcBorders>
            <w:shd w:val="clear" w:color="auto" w:fill="FEFEFE"/>
          </w:tcPr>
          <w:p>
            <w:pPr>
              <w:spacing w:after="0"/>
              <w:rPr>
                <w:sz w:val="13"/>
                <w:szCs w:val="13"/>
                <w:color w:val="auto"/>
              </w:rPr>
            </w:pPr>
          </w:p>
        </w:tc>
        <w:tc>
          <w:tcPr>
            <w:tcW w:w="8980" w:type="dxa"/>
            <w:vAlign w:val="bottom"/>
            <w:tcBorders>
              <w:top w:val="single" w:sz="8" w:color="0000FF"/>
            </w:tcBorders>
            <w:gridSpan w:val="8"/>
            <w:shd w:val="clear" w:color="auto" w:fill="FEFEFE"/>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Report on Form 10-K (File No. 001-37352), filed on March 13, 2018).</w:t>
              </w:r>
            </w:hyperlink>
          </w:p>
        </w:tc>
        <w:tc>
          <w:tcPr>
            <w:tcW w:w="6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20" w:type="dxa"/>
            <w:vAlign w:val="bottom"/>
            <w:tcBorders>
              <w:top w:val="single" w:sz="8" w:color="FEFEFE"/>
            </w:tcBorders>
            <w:shd w:val="clear" w:color="auto" w:fill="FEFEFE"/>
          </w:tcPr>
          <w:p>
            <w:pPr>
              <w:spacing w:after="0"/>
              <w:rPr>
                <w:sz w:val="13"/>
                <w:szCs w:val="13"/>
                <w:color w:val="auto"/>
              </w:rPr>
            </w:pPr>
          </w:p>
        </w:tc>
        <w:tc>
          <w:tcPr>
            <w:tcW w:w="8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FEFEFE"/>
            </w:tcBorders>
            <w:shd w:val="clear" w:color="auto" w:fill="FEFEFE"/>
          </w:tcPr>
          <w:p>
            <w:pPr>
              <w:spacing w:after="0" w:line="20" w:lineRule="exact"/>
              <w:rPr>
                <w:sz w:val="1"/>
                <w:szCs w:val="1"/>
                <w:color w:val="auto"/>
              </w:rPr>
            </w:pPr>
          </w:p>
        </w:tc>
        <w:tc>
          <w:tcPr>
            <w:tcW w:w="2640" w:type="dxa"/>
            <w:vAlign w:val="bottom"/>
            <w:tcBorders>
              <w:top w:val="single" w:sz="8" w:color="0000FF"/>
            </w:tcBorders>
            <w:shd w:val="clear" w:color="auto" w:fill="FEFEFE"/>
          </w:tcPr>
          <w:p>
            <w:pPr>
              <w:spacing w:after="0" w:line="20" w:lineRule="exact"/>
              <w:rPr>
                <w:sz w:val="1"/>
                <w:szCs w:val="1"/>
                <w:color w:val="auto"/>
              </w:rPr>
            </w:pPr>
          </w:p>
        </w:tc>
        <w:tc>
          <w:tcPr>
            <w:tcW w:w="280" w:type="dxa"/>
            <w:vAlign w:val="bottom"/>
            <w:tcBorders>
              <w:top w:val="single" w:sz="8" w:color="0000FF"/>
            </w:tcBorders>
            <w:shd w:val="clear" w:color="auto" w:fill="FEFEFE"/>
          </w:tcPr>
          <w:p>
            <w:pPr>
              <w:spacing w:after="0" w:line="20" w:lineRule="exact"/>
              <w:rPr>
                <w:sz w:val="1"/>
                <w:szCs w:val="1"/>
                <w:color w:val="auto"/>
              </w:rPr>
            </w:pPr>
          </w:p>
        </w:tc>
        <w:tc>
          <w:tcPr>
            <w:tcW w:w="20" w:type="dxa"/>
            <w:vAlign w:val="bottom"/>
            <w:tcBorders>
              <w:top w:val="single" w:sz="8" w:color="0000FF"/>
            </w:tcBorders>
            <w:shd w:val="clear" w:color="auto" w:fill="FEFEFE"/>
          </w:tcPr>
          <w:p>
            <w:pPr>
              <w:spacing w:after="0" w:line="20" w:lineRule="exact"/>
              <w:rPr>
                <w:sz w:val="1"/>
                <w:szCs w:val="1"/>
                <w:color w:val="auto"/>
              </w:rPr>
            </w:pPr>
          </w:p>
        </w:tc>
        <w:tc>
          <w:tcPr>
            <w:tcW w:w="2140" w:type="dxa"/>
            <w:vAlign w:val="bottom"/>
            <w:tcBorders>
              <w:top w:val="single" w:sz="8" w:color="0000FF"/>
            </w:tcBorders>
            <w:shd w:val="clear" w:color="auto" w:fill="FEFEFE"/>
          </w:tcPr>
          <w:p>
            <w:pPr>
              <w:spacing w:after="0" w:line="20" w:lineRule="exact"/>
              <w:rPr>
                <w:sz w:val="1"/>
                <w:szCs w:val="1"/>
                <w:color w:val="auto"/>
              </w:rPr>
            </w:pPr>
          </w:p>
        </w:tc>
        <w:tc>
          <w:tcPr>
            <w:tcW w:w="3220" w:type="dxa"/>
            <w:vAlign w:val="bottom"/>
            <w:tcBorders>
              <w:top w:val="single" w:sz="8" w:color="FEFEFE"/>
            </w:tcBorders>
            <w:shd w:val="clear" w:color="auto" w:fill="FEFEFE"/>
          </w:tcPr>
          <w:p>
            <w:pPr>
              <w:spacing w:after="0" w:line="20" w:lineRule="exact"/>
              <w:rPr>
                <w:sz w:val="1"/>
                <w:szCs w:val="1"/>
                <w:color w:val="auto"/>
              </w:rPr>
            </w:pPr>
          </w:p>
        </w:tc>
        <w:tc>
          <w:tcPr>
            <w:tcW w:w="540" w:type="dxa"/>
            <w:vAlign w:val="bottom"/>
            <w:tcBorders>
              <w:top w:val="single" w:sz="8" w:color="FEFEFE"/>
            </w:tcBorders>
            <w:shd w:val="clear" w:color="auto" w:fill="FEFEFE"/>
          </w:tcPr>
          <w:p>
            <w:pPr>
              <w:spacing w:after="0" w:line="20" w:lineRule="exact"/>
              <w:rPr>
                <w:sz w:val="1"/>
                <w:szCs w:val="1"/>
                <w:color w:val="auto"/>
              </w:rPr>
            </w:pPr>
          </w:p>
        </w:tc>
        <w:tc>
          <w:tcPr>
            <w:tcW w:w="1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2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60" w:type="dxa"/>
            <w:vAlign w:val="bottom"/>
            <w:tcBorders>
              <w:top w:val="single" w:sz="8" w:color="FEFEFE"/>
            </w:tcBorders>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40" w:type="dxa"/>
            <w:vAlign w:val="bottom"/>
            <w:gridSpan w:val="15"/>
          </w:tcPr>
          <w:p>
            <w:pPr>
              <w:spacing w:after="0" w:line="18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1 to the Amended and Restated Registration Rights Agreement, dated May 10, 2018, by and among Virtu</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Financial, Inc., TJMT Holdings LLC, North Island Holdings I, LP, Havelock Fund Investments Pte Ltd and Aranda</w:t>
              </w:r>
            </w:hyperlink>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40" w:type="dxa"/>
            <w:vAlign w:val="bottom"/>
            <w:gridSpan w:val="15"/>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Investments Pte. Ltd (incorporated herein by reference to Exhibit 10.1 to the Company’s Current Report on Form 8-K (File No.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001-37352), filed on May 15, 2018).</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540" w:type="dxa"/>
            <w:vAlign w:val="bottom"/>
          </w:tcPr>
          <w:p>
            <w:pPr>
              <w:spacing w:after="0"/>
              <w:rPr>
                <w:sz w:val="18"/>
                <w:szCs w:val="18"/>
                <w:color w:val="auto"/>
              </w:rPr>
            </w:pPr>
          </w:p>
        </w:tc>
        <w:tc>
          <w:tcPr>
            <w:tcW w:w="9240" w:type="dxa"/>
            <w:vAlign w:val="bottom"/>
            <w:gridSpan w:val="1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Amended and Restated Employment Agreement, dated as of February 26, 2020, by and between Virtu Financial, Inc. and Mr.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Brett Fairclough (incorporated herein by reference to Exhibit 10.39 to the Company’s Annual Report on Form 10-K (File No.</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001-37352) filed on February 28, 2020).</w:t>
              </w:r>
            </w:hyperlink>
          </w:p>
        </w:tc>
        <w:tc>
          <w:tcPr>
            <w:tcW w:w="6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540" w:type="dxa"/>
            <w:vAlign w:val="bottom"/>
          </w:tcPr>
          <w:p>
            <w:pPr>
              <w:spacing w:after="0"/>
              <w:rPr>
                <w:sz w:val="18"/>
                <w:szCs w:val="18"/>
                <w:color w:val="auto"/>
              </w:rPr>
            </w:pPr>
          </w:p>
        </w:tc>
        <w:tc>
          <w:tcPr>
            <w:tcW w:w="9240" w:type="dxa"/>
            <w:vAlign w:val="bottom"/>
            <w:gridSpan w:val="15"/>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Employment Agreement, dated as of February 26, 2020, by and between Virtu Financial, Inc. and Mr.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Stephen Cavoli (incorporated herein by reference to Exhibit 10.40 to the Company’s Annual Report on Form 10-K (File No.</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001-37352) filed on February 28, 2020).</w:t>
              </w:r>
            </w:hyperlink>
          </w:p>
        </w:tc>
        <w:tc>
          <w:tcPr>
            <w:tcW w:w="604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540" w:type="dxa"/>
            <w:vAlign w:val="bottom"/>
          </w:tcPr>
          <w:p>
            <w:pPr>
              <w:spacing w:after="0"/>
              <w:rPr>
                <w:sz w:val="18"/>
                <w:szCs w:val="18"/>
                <w:color w:val="auto"/>
              </w:rPr>
            </w:pPr>
          </w:p>
        </w:tc>
        <w:tc>
          <w:tcPr>
            <w:tcW w:w="9240" w:type="dxa"/>
            <w:vAlign w:val="bottom"/>
            <w:gridSpan w:val="15"/>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Virtu Financial, Inc. 2015 Amended and Restated Management Incentive Plan Employee Restricted Stock Award Agreement,</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dated as of February 27, 2020, by and between Virtu Financial, Inc. and Douglas A. Cifu (incorporated herein by reference to</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40" w:type="dxa"/>
            <w:vAlign w:val="bottom"/>
            <w:tcBorders>
              <w:top w:val="single" w:sz="8" w:color="0000FF"/>
            </w:tcBorders>
            <w:gridSpan w:val="9"/>
          </w:tcPr>
          <w:p>
            <w:pPr>
              <w:spacing w:after="0" w:line="191" w:lineRule="exact"/>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Exhibit 10.41 to the Company’s Annual Report on Form 10-K (File No. 001-37352) filed on February 28, 2020).</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10.30†</w:t>
            </w:r>
          </w:p>
        </w:tc>
        <w:tc>
          <w:tcPr>
            <w:tcW w:w="540" w:type="dxa"/>
            <w:vAlign w:val="bottom"/>
          </w:tcPr>
          <w:p>
            <w:pPr>
              <w:spacing w:after="0"/>
              <w:rPr>
                <w:sz w:val="16"/>
                <w:szCs w:val="16"/>
                <w:color w:val="auto"/>
              </w:rPr>
            </w:pPr>
          </w:p>
        </w:tc>
        <w:tc>
          <w:tcPr>
            <w:tcW w:w="9240" w:type="dxa"/>
            <w:vAlign w:val="bottom"/>
            <w:gridSpan w:val="15"/>
          </w:tcPr>
          <w:p>
            <w:pPr>
              <w:spacing w:after="0" w:line="194"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Virtu Financial, Inc. 2015 Amended and Restated Management Incentive Plan Employee Restricted Stock Award Agreement,</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dated as of February 27, 2020, by and between Virtu Financial, Inc. and Brett Fairclough (incorporated herein by reference to</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40" w:type="dxa"/>
            <w:vAlign w:val="bottom"/>
            <w:tcBorders>
              <w:top w:val="single" w:sz="8" w:color="0000FF"/>
            </w:tcBorders>
            <w:gridSpan w:val="9"/>
          </w:tcPr>
          <w:p>
            <w:pPr>
              <w:spacing w:after="0"/>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Exhibit 10.42 to the Company’s Annual Report on Form 10-K (File No. 001-37352) filed on February 28, 2020).</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-2332355</wp:posOffset>
            </wp:positionV>
            <wp:extent cx="7115175" cy="6197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15175" cy="61976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0" w:lineRule="exact"/>
        <w:rPr>
          <w:sz w:val="20"/>
          <w:szCs w:val="20"/>
          <w:color w:val="auto"/>
        </w:rPr>
      </w:pPr>
      <w:r>
        <w:rPr>
          <w:sz w:val="20"/>
          <w:szCs w:val="20"/>
          <w:color w:val="auto"/>
        </w:rPr>
        <w:br w:type="column"/>
      </w:r>
    </w:p>
    <w:p>
      <w:pPr>
        <w:ind w:right="220"/>
        <w:spacing w:after="0" w:line="231" w:lineRule="auto"/>
        <w:rPr>
          <w:rFonts w:ascii="Times New Roman" w:cs="Times New Roman" w:eastAsia="Times New Roman" w:hAnsi="Times New Roman"/>
          <w:sz w:val="17"/>
          <w:szCs w:val="17"/>
          <w:u w:val="single" w:color="auto"/>
          <w:color w:val="0000FF"/>
        </w:rPr>
      </w:pPr>
      <w:hyperlink r:id="rId221">
        <w:r>
          <w:rPr>
            <w:rFonts w:ascii="Times New Roman" w:cs="Times New Roman" w:eastAsia="Times New Roman" w:hAnsi="Times New Roman"/>
            <w:sz w:val="17"/>
            <w:szCs w:val="17"/>
            <w:u w:val="single" w:color="auto"/>
            <w:color w:val="0000FF"/>
          </w:rPr>
          <w:t>Virtu Financial, Inc. 2015 Amended and Restated Management Incentive Plan Employee Restricted Stock Award Agreement,</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dated as of February 27, 2020, by and between Virtu Financial, Inc. and Stephen Cavoli (incorporated herein by reference to</w:t>
        </w:r>
      </w:hyperlink>
      <w:r>
        <w:rPr>
          <w:rFonts w:ascii="Times New Roman" w:cs="Times New Roman" w:eastAsia="Times New Roman" w:hAnsi="Times New Roman"/>
          <w:sz w:val="17"/>
          <w:szCs w:val="17"/>
          <w:u w:val="single" w:color="auto"/>
          <w:color w:val="0000FF"/>
        </w:rPr>
        <w:t xml:space="preserve"> </w:t>
      </w:r>
      <w:hyperlink r:id="rId221">
        <w:r>
          <w:rPr>
            <w:rFonts w:ascii="Times New Roman" w:cs="Times New Roman" w:eastAsia="Times New Roman" w:hAnsi="Times New Roman"/>
            <w:sz w:val="17"/>
            <w:szCs w:val="17"/>
            <w:u w:val="single" w:color="auto"/>
            <w:color w:val="0000FF"/>
          </w:rPr>
          <w:t>Exhibit 10.43 to the Company’s Annual Report on Form 10-K (File No. 001-37352) filed on February 28, 2020).</w:t>
        </w:r>
      </w:hyperlink>
    </w:p>
    <w:p>
      <w:pPr>
        <w:spacing w:after="0" w:line="91" w:lineRule="exact"/>
        <w:rPr>
          <w:rFonts w:ascii="Times New Roman" w:cs="Times New Roman" w:eastAsia="Times New Roman" w:hAnsi="Times New Roman"/>
          <w:sz w:val="17"/>
          <w:szCs w:val="17"/>
          <w:u w:val="single" w:color="auto"/>
          <w:color w:val="0000FF"/>
        </w:rPr>
      </w:pPr>
    </w:p>
    <w:p>
      <w:pPr>
        <w:jc w:val="both"/>
        <w:ind w:right="20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Investment Technology Group, Inc. 2007 Omnibus Equity Compensation Plan, Amended and Restated Effective June 8, 2017</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herein by reference to Exhibit 4.3 to the Company’s Registration Statement on Form S-8 (File No. 333-230012)</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filed on March 1, 2019).</w:t>
        </w:r>
      </w:hyperlink>
    </w:p>
    <w:p>
      <w:pPr>
        <w:spacing w:after="0" w:line="64"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60" w:space="720"/>
            <w:col w:w="92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166">
              <w:r>
                <w:rPr>
                  <w:rFonts w:ascii="Times New Roman" w:cs="Times New Roman" w:eastAsia="Times New Roman" w:hAnsi="Times New Roman"/>
                  <w:sz w:val="18"/>
                  <w:szCs w:val="18"/>
                  <w:color w:val="0000FF"/>
                </w:rPr>
                <w:t>Virtu Financial, Inc. 2015 Amended and Restated Management Incentive Plan Common Stock Award Agreement, dated as of</w:t>
              </w:r>
            </w:hyperlink>
          </w:p>
        </w:tc>
      </w:tr>
      <w:tr>
        <w:trPr>
          <w:trHeight w:val="156"/>
        </w:trPr>
        <w:tc>
          <w:tcPr>
            <w:tcW w:w="1980" w:type="dxa"/>
            <w:vAlign w:val="bottom"/>
          </w:tcPr>
          <w:p>
            <w:pPr>
              <w:spacing w:after="0"/>
              <w:rPr>
                <w:sz w:val="13"/>
                <w:szCs w:val="13"/>
                <w:color w:val="auto"/>
              </w:rPr>
            </w:pPr>
          </w:p>
        </w:tc>
        <w:tc>
          <w:tcPr>
            <w:tcW w:w="9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166">
              <w:r>
                <w:rPr>
                  <w:rFonts w:ascii="Times New Roman" w:cs="Times New Roman" w:eastAsia="Times New Roman" w:hAnsi="Times New Roman"/>
                  <w:sz w:val="18"/>
                  <w:szCs w:val="18"/>
                  <w:color w:val="0000FF"/>
                </w:rPr>
                <w:t>February 1, 2021, by and between Virtu Financial, Inc. and Douglas A. Cifu.</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172">
              <w:r>
                <w:rPr>
                  <w:rFonts w:ascii="Times New Roman" w:cs="Times New Roman" w:eastAsia="Times New Roman" w:hAnsi="Times New Roman"/>
                  <w:sz w:val="18"/>
                  <w:szCs w:val="18"/>
                  <w:color w:val="0000FF"/>
                </w:rPr>
                <w:t>Virtu Financial, Inc. 2015 Amended and Restated Management Incentive Plan Restricted Stock Unit and Common Stock</w:t>
              </w:r>
            </w:hyperlink>
          </w:p>
        </w:tc>
      </w:tr>
      <w:tr>
        <w:trPr>
          <w:trHeight w:val="191"/>
        </w:trPr>
        <w:tc>
          <w:tcPr>
            <w:tcW w:w="1980" w:type="dxa"/>
            <w:vAlign w:val="bottom"/>
          </w:tcPr>
          <w:p>
            <w:pPr>
              <w:spacing w:after="0"/>
              <w:rPr>
                <w:sz w:val="16"/>
                <w:szCs w:val="16"/>
                <w:color w:val="auto"/>
              </w:rPr>
            </w:pPr>
          </w:p>
        </w:tc>
        <w:tc>
          <w:tcPr>
            <w:tcW w:w="8700" w:type="dxa"/>
            <w:vAlign w:val="bottom"/>
            <w:tcBorders>
              <w:top w:val="single" w:sz="8" w:color="0000FF"/>
            </w:tcBorders>
            <w:gridSpan w:val="7"/>
          </w:tcPr>
          <w:p>
            <w:pPr>
              <w:spacing w:after="0" w:line="191" w:lineRule="exact"/>
              <w:rPr>
                <w:rFonts w:ascii="Times New Roman" w:cs="Times New Roman" w:eastAsia="Times New Roman" w:hAnsi="Times New Roman"/>
                <w:sz w:val="18"/>
                <w:szCs w:val="18"/>
                <w:u w:val="single" w:color="auto"/>
                <w:color w:val="0000FF"/>
              </w:rPr>
            </w:pPr>
            <w:hyperlink w:anchor="page172">
              <w:r>
                <w:rPr>
                  <w:rFonts w:ascii="Times New Roman" w:cs="Times New Roman" w:eastAsia="Times New Roman" w:hAnsi="Times New Roman"/>
                  <w:sz w:val="18"/>
                  <w:szCs w:val="18"/>
                  <w:u w:val="single" w:color="auto"/>
                  <w:color w:val="0000FF"/>
                </w:rPr>
                <w:t>Award Agreement, dated as of February 1, 2021, by and between Virtu Financial, Inc. and Douglas A. Cifu.</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r>
      <w:tr>
        <w:trPr>
          <w:trHeight w:val="194"/>
        </w:trPr>
        <w:tc>
          <w:tcPr>
            <w:tcW w:w="19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10.35*†</w:t>
            </w:r>
          </w:p>
        </w:tc>
        <w:tc>
          <w:tcPr>
            <w:tcW w:w="9260" w:type="dxa"/>
            <w:vAlign w:val="bottom"/>
            <w:gridSpan w:val="13"/>
          </w:tcPr>
          <w:p>
            <w:pPr>
              <w:spacing w:after="0" w:line="194" w:lineRule="exact"/>
              <w:rPr>
                <w:rFonts w:ascii="Times New Roman" w:cs="Times New Roman" w:eastAsia="Times New Roman" w:hAnsi="Times New Roman"/>
                <w:sz w:val="18"/>
                <w:szCs w:val="18"/>
                <w:color w:val="0000FF"/>
              </w:rPr>
            </w:pPr>
            <w:hyperlink w:anchor="page179">
              <w:r>
                <w:rPr>
                  <w:rFonts w:ascii="Times New Roman" w:cs="Times New Roman" w:eastAsia="Times New Roman" w:hAnsi="Times New Roman"/>
                  <w:sz w:val="18"/>
                  <w:szCs w:val="18"/>
                  <w:color w:val="0000FF"/>
                </w:rPr>
                <w:t>Virtu Financial, Inc. 2015 Amended and Restated Management Incentive Plan Restricted Stock Unit Award Agreement, dated</w:t>
              </w:r>
            </w:hyperlink>
          </w:p>
        </w:tc>
      </w:tr>
      <w:tr>
        <w:trPr>
          <w:trHeight w:val="155"/>
        </w:trPr>
        <w:tc>
          <w:tcPr>
            <w:tcW w:w="198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179">
              <w:r>
                <w:rPr>
                  <w:rFonts w:ascii="Times New Roman" w:cs="Times New Roman" w:eastAsia="Times New Roman" w:hAnsi="Times New Roman"/>
                  <w:sz w:val="18"/>
                  <w:szCs w:val="18"/>
                  <w:color w:val="0000FF"/>
                  <w:w w:val="99"/>
                </w:rPr>
                <w:t>as of June 22, 2020, by and between Virtu Financial, Inc. and Joseph Molluso.</w:t>
              </w:r>
            </w:hyperlink>
          </w:p>
        </w:tc>
        <w:tc>
          <w:tcPr>
            <w:tcW w:w="3420" w:type="dxa"/>
            <w:vAlign w:val="bottom"/>
            <w:tcBorders>
              <w:top w:val="single" w:sz="8" w:color="0000FF"/>
            </w:tcBorders>
            <w:gridSpan w:val="9"/>
          </w:tcPr>
          <w:p>
            <w:pPr>
              <w:spacing w:after="0"/>
              <w:rPr>
                <w:sz w:val="13"/>
                <w:szCs w:val="13"/>
                <w:color w:val="auto"/>
              </w:rPr>
            </w:pPr>
          </w:p>
        </w:tc>
        <w:tc>
          <w:tcPr>
            <w:tcW w:w="200" w:type="dxa"/>
            <w:vAlign w:val="bottom"/>
          </w:tcPr>
          <w:p>
            <w:pPr>
              <w:spacing w:after="0"/>
              <w:rPr>
                <w:sz w:val="13"/>
                <w:szCs w:val="13"/>
                <w:color w:val="auto"/>
              </w:rPr>
            </w:pPr>
          </w:p>
        </w:tc>
      </w:tr>
      <w:tr>
        <w:trPr>
          <w:trHeight w:val="21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186">
              <w:r>
                <w:rPr>
                  <w:rFonts w:ascii="Times New Roman" w:cs="Times New Roman" w:eastAsia="Times New Roman" w:hAnsi="Times New Roman"/>
                  <w:sz w:val="18"/>
                  <w:szCs w:val="18"/>
                  <w:color w:val="0000FF"/>
                </w:rPr>
                <w:t>Virtu Financial, Inc. 2015 Amended and Restated Management Incentive Plan Restricted Stock Award Award Agreement,</w:t>
              </w:r>
            </w:hyperlink>
          </w:p>
        </w:tc>
      </w:tr>
      <w:tr>
        <w:trPr>
          <w:trHeight w:val="155"/>
        </w:trPr>
        <w:tc>
          <w:tcPr>
            <w:tcW w:w="198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186">
              <w:r>
                <w:rPr>
                  <w:rFonts w:ascii="Times New Roman" w:cs="Times New Roman" w:eastAsia="Times New Roman" w:hAnsi="Times New Roman"/>
                  <w:sz w:val="18"/>
                  <w:szCs w:val="18"/>
                  <w:color w:val="0000FF"/>
                  <w:w w:val="99"/>
                </w:rPr>
                <w:t>dated as of June 22, 2020, by and between Virtu Financial, Inc. and Joseph Molluso.</w:t>
              </w:r>
            </w:hyperlink>
          </w:p>
        </w:tc>
        <w:tc>
          <w:tcPr>
            <w:tcW w:w="270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r>
      <w:tr>
        <w:trPr>
          <w:trHeight w:val="21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194">
              <w:r>
                <w:rPr>
                  <w:rFonts w:ascii="Times New Roman" w:cs="Times New Roman" w:eastAsia="Times New Roman" w:hAnsi="Times New Roman"/>
                  <w:sz w:val="18"/>
                  <w:szCs w:val="18"/>
                  <w:color w:val="0000FF"/>
                </w:rPr>
                <w:t>Virtu Financial, Inc. 2015 Amended and Restated Management Incentive Plan Restricted Stock Unit and Common Stock</w:t>
              </w:r>
            </w:hyperlink>
          </w:p>
        </w:tc>
      </w:tr>
      <w:tr>
        <w:trPr>
          <w:trHeight w:val="191"/>
        </w:trPr>
        <w:tc>
          <w:tcPr>
            <w:tcW w:w="1980" w:type="dxa"/>
            <w:vAlign w:val="bottom"/>
          </w:tcPr>
          <w:p>
            <w:pPr>
              <w:spacing w:after="0"/>
              <w:rPr>
                <w:sz w:val="16"/>
                <w:szCs w:val="16"/>
                <w:color w:val="auto"/>
              </w:rPr>
            </w:pPr>
          </w:p>
        </w:tc>
        <w:tc>
          <w:tcPr>
            <w:tcW w:w="8700" w:type="dxa"/>
            <w:vAlign w:val="bottom"/>
            <w:tcBorders>
              <w:top w:val="single" w:sz="8" w:color="0000FF"/>
            </w:tcBorders>
            <w:gridSpan w:val="7"/>
          </w:tcPr>
          <w:p>
            <w:pPr>
              <w:spacing w:after="0" w:line="191" w:lineRule="exact"/>
              <w:rPr>
                <w:rFonts w:ascii="Times New Roman" w:cs="Times New Roman" w:eastAsia="Times New Roman" w:hAnsi="Times New Roman"/>
                <w:sz w:val="18"/>
                <w:szCs w:val="18"/>
                <w:u w:val="single" w:color="auto"/>
                <w:color w:val="0000FF"/>
              </w:rPr>
            </w:pPr>
            <w:hyperlink w:anchor="page194">
              <w:r>
                <w:rPr>
                  <w:rFonts w:ascii="Times New Roman" w:cs="Times New Roman" w:eastAsia="Times New Roman" w:hAnsi="Times New Roman"/>
                  <w:sz w:val="18"/>
                  <w:szCs w:val="18"/>
                  <w:u w:val="single" w:color="auto"/>
                  <w:color w:val="0000FF"/>
                </w:rPr>
                <w:t>Award Agreement, dated as of February 1, 2021, by and between Virtu Financial, Inc. and Joseph Molluso.</w:t>
              </w:r>
            </w:hyperlink>
          </w:p>
        </w:tc>
        <w:tc>
          <w:tcPr>
            <w:tcW w:w="2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spacing w:after="0"/>
              <w:rPr>
                <w:sz w:val="16"/>
                <w:szCs w:val="16"/>
                <w:color w:val="auto"/>
              </w:rPr>
            </w:pPr>
          </w:p>
        </w:tc>
      </w:tr>
      <w:tr>
        <w:trPr>
          <w:trHeight w:val="194"/>
        </w:trPr>
        <w:tc>
          <w:tcPr>
            <w:tcW w:w="19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10.38*†</w:t>
            </w:r>
          </w:p>
        </w:tc>
        <w:tc>
          <w:tcPr>
            <w:tcW w:w="9260" w:type="dxa"/>
            <w:vAlign w:val="bottom"/>
            <w:gridSpan w:val="13"/>
          </w:tcPr>
          <w:p>
            <w:pPr>
              <w:spacing w:after="0" w:line="194" w:lineRule="exact"/>
              <w:rPr>
                <w:rFonts w:ascii="Times New Roman" w:cs="Times New Roman" w:eastAsia="Times New Roman" w:hAnsi="Times New Roman"/>
                <w:sz w:val="18"/>
                <w:szCs w:val="18"/>
                <w:color w:val="0000FF"/>
              </w:rPr>
            </w:pPr>
            <w:hyperlink w:anchor="page203">
              <w:r>
                <w:rPr>
                  <w:rFonts w:ascii="Times New Roman" w:cs="Times New Roman" w:eastAsia="Times New Roman" w:hAnsi="Times New Roman"/>
                  <w:sz w:val="18"/>
                  <w:szCs w:val="18"/>
                  <w:color w:val="0000FF"/>
                </w:rPr>
                <w:t>Virtu Financial, Inc. 2015 Amended and Restated Management Incentive Plan Restricted Stock Unit and Common Stock</w:t>
              </w:r>
            </w:hyperlink>
          </w:p>
        </w:tc>
      </w:tr>
      <w:tr>
        <w:trPr>
          <w:trHeight w:val="191"/>
        </w:trPr>
        <w:tc>
          <w:tcPr>
            <w:tcW w:w="1980" w:type="dxa"/>
            <w:vAlign w:val="bottom"/>
          </w:tcPr>
          <w:p>
            <w:pPr>
              <w:spacing w:after="0"/>
              <w:rPr>
                <w:sz w:val="16"/>
                <w:szCs w:val="16"/>
                <w:color w:val="auto"/>
              </w:rPr>
            </w:pPr>
          </w:p>
        </w:tc>
        <w:tc>
          <w:tcPr>
            <w:tcW w:w="8700" w:type="dxa"/>
            <w:vAlign w:val="bottom"/>
            <w:tcBorders>
              <w:top w:val="single" w:sz="8" w:color="0000FF"/>
            </w:tcBorders>
            <w:gridSpan w:val="7"/>
          </w:tcPr>
          <w:p>
            <w:pPr>
              <w:spacing w:after="0" w:line="191" w:lineRule="exact"/>
              <w:rPr>
                <w:rFonts w:ascii="Times New Roman" w:cs="Times New Roman" w:eastAsia="Times New Roman" w:hAnsi="Times New Roman"/>
                <w:sz w:val="18"/>
                <w:szCs w:val="18"/>
                <w:u w:val="single" w:color="auto"/>
                <w:color w:val="0000FF"/>
              </w:rPr>
            </w:pPr>
            <w:hyperlink w:anchor="page203">
              <w:r>
                <w:rPr>
                  <w:rFonts w:ascii="Times New Roman" w:cs="Times New Roman" w:eastAsia="Times New Roman" w:hAnsi="Times New Roman"/>
                  <w:sz w:val="18"/>
                  <w:szCs w:val="18"/>
                  <w:u w:val="single" w:color="auto"/>
                  <w:color w:val="0000FF"/>
                </w:rPr>
                <w:t>Award Agreement, dated as of February 1, 2021, by and between Virtu Financial, Inc. and Brett Fairclough.</w:t>
              </w:r>
            </w:hyperlink>
          </w:p>
        </w:tc>
        <w:tc>
          <w:tcPr>
            <w:tcW w:w="2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spacing w:after="0"/>
              <w:rPr>
                <w:sz w:val="16"/>
                <w:szCs w:val="16"/>
                <w:color w:val="auto"/>
              </w:rPr>
            </w:pPr>
          </w:p>
        </w:tc>
      </w:tr>
      <w:tr>
        <w:trPr>
          <w:trHeight w:val="194"/>
        </w:trPr>
        <w:tc>
          <w:tcPr>
            <w:tcW w:w="19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10.39*†</w:t>
            </w:r>
          </w:p>
        </w:tc>
        <w:tc>
          <w:tcPr>
            <w:tcW w:w="9260" w:type="dxa"/>
            <w:vAlign w:val="bottom"/>
            <w:gridSpan w:val="13"/>
          </w:tcPr>
          <w:p>
            <w:pPr>
              <w:spacing w:after="0" w:line="194" w:lineRule="exact"/>
              <w:rPr>
                <w:rFonts w:ascii="Times New Roman" w:cs="Times New Roman" w:eastAsia="Times New Roman" w:hAnsi="Times New Roman"/>
                <w:sz w:val="18"/>
                <w:szCs w:val="18"/>
                <w:color w:val="0000FF"/>
              </w:rPr>
            </w:pPr>
            <w:hyperlink w:anchor="page212">
              <w:r>
                <w:rPr>
                  <w:rFonts w:ascii="Times New Roman" w:cs="Times New Roman" w:eastAsia="Times New Roman" w:hAnsi="Times New Roman"/>
                  <w:sz w:val="18"/>
                  <w:szCs w:val="18"/>
                  <w:color w:val="0000FF"/>
                </w:rPr>
                <w:t>Virtu Financial, Inc. 2015 Amended and Restated Management Incentive Plan Restricted Stock Unit and Common Stock</w:t>
              </w:r>
            </w:hyperlink>
          </w:p>
        </w:tc>
      </w:tr>
      <w:tr>
        <w:trPr>
          <w:trHeight w:val="191"/>
        </w:trPr>
        <w:tc>
          <w:tcPr>
            <w:tcW w:w="1980" w:type="dxa"/>
            <w:vAlign w:val="bottom"/>
          </w:tcPr>
          <w:p>
            <w:pPr>
              <w:spacing w:after="0"/>
              <w:rPr>
                <w:sz w:val="16"/>
                <w:szCs w:val="16"/>
                <w:color w:val="auto"/>
              </w:rPr>
            </w:pPr>
          </w:p>
        </w:tc>
        <w:tc>
          <w:tcPr>
            <w:tcW w:w="8700" w:type="dxa"/>
            <w:vAlign w:val="bottom"/>
            <w:tcBorders>
              <w:top w:val="single" w:sz="8" w:color="0000FF"/>
            </w:tcBorders>
            <w:gridSpan w:val="7"/>
          </w:tcPr>
          <w:p>
            <w:pPr>
              <w:spacing w:after="0" w:line="191" w:lineRule="exact"/>
              <w:rPr>
                <w:rFonts w:ascii="Times New Roman" w:cs="Times New Roman" w:eastAsia="Times New Roman" w:hAnsi="Times New Roman"/>
                <w:sz w:val="18"/>
                <w:szCs w:val="18"/>
                <w:u w:val="single" w:color="auto"/>
                <w:color w:val="0000FF"/>
              </w:rPr>
            </w:pPr>
            <w:hyperlink w:anchor="page212">
              <w:r>
                <w:rPr>
                  <w:rFonts w:ascii="Times New Roman" w:cs="Times New Roman" w:eastAsia="Times New Roman" w:hAnsi="Times New Roman"/>
                  <w:sz w:val="18"/>
                  <w:szCs w:val="18"/>
                  <w:u w:val="single" w:color="auto"/>
                  <w:color w:val="0000FF"/>
                </w:rPr>
                <w:t>Award Agreement, dated as of February 1, 2021, by and between Virtu Financial, Inc. and Stephen Cavoli.</w:t>
              </w:r>
            </w:hyperlink>
          </w:p>
        </w:tc>
        <w:tc>
          <w:tcPr>
            <w:tcW w:w="2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spacing w:after="0"/>
              <w:rPr>
                <w:sz w:val="16"/>
                <w:szCs w:val="16"/>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9260" w:type="dxa"/>
            <w:vAlign w:val="bottom"/>
            <w:gridSpan w:val="13"/>
          </w:tcPr>
          <w:p>
            <w:pPr>
              <w:spacing w:after="0"/>
              <w:rPr>
                <w:rFonts w:ascii="Times New Roman" w:cs="Times New Roman" w:eastAsia="Times New Roman" w:hAnsi="Times New Roman"/>
                <w:sz w:val="18"/>
                <w:szCs w:val="18"/>
                <w:u w:val="single" w:color="auto"/>
                <w:color w:val="0000FF"/>
              </w:rPr>
            </w:pPr>
            <w:hyperlink w:anchor="page221">
              <w:r>
                <w:rPr>
                  <w:rFonts w:ascii="Times New Roman" w:cs="Times New Roman" w:eastAsia="Times New Roman" w:hAnsi="Times New Roman"/>
                  <w:sz w:val="18"/>
                  <w:szCs w:val="18"/>
                  <w:u w:val="single" w:color="auto"/>
                  <w:color w:val="0000FF"/>
                </w:rPr>
                <w:t>Virtu Financial, Inc. Deferred Compensation Plan</w:t>
              </w:r>
            </w:hyperlink>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260" w:type="dxa"/>
            <w:vAlign w:val="bottom"/>
            <w:gridSpan w:val="13"/>
          </w:tcPr>
          <w:p>
            <w:pPr>
              <w:spacing w:after="0"/>
              <w:rPr>
                <w:rFonts w:ascii="Times New Roman" w:cs="Times New Roman" w:eastAsia="Times New Roman" w:hAnsi="Times New Roman"/>
                <w:sz w:val="18"/>
                <w:szCs w:val="18"/>
                <w:u w:val="single" w:color="auto"/>
                <w:color w:val="0000FF"/>
              </w:rPr>
            </w:pPr>
            <w:hyperlink w:anchor="page240">
              <w:r>
                <w:rPr>
                  <w:rFonts w:ascii="Times New Roman" w:cs="Times New Roman" w:eastAsia="Times New Roman" w:hAnsi="Times New Roman"/>
                  <w:sz w:val="18"/>
                  <w:szCs w:val="18"/>
                  <w:u w:val="single" w:color="auto"/>
                  <w:color w:val="0000FF"/>
                </w:rPr>
                <w:t>Subsidiaries of Virtu Financial, Inc.</w:t>
              </w:r>
            </w:hyperlink>
          </w:p>
        </w:tc>
      </w:tr>
      <w:tr>
        <w:trPr>
          <w:trHeight w:val="243"/>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9260" w:type="dxa"/>
            <w:vAlign w:val="bottom"/>
            <w:gridSpan w:val="13"/>
          </w:tcPr>
          <w:p>
            <w:pPr>
              <w:spacing w:after="0"/>
              <w:rPr>
                <w:rFonts w:ascii="Times New Roman" w:cs="Times New Roman" w:eastAsia="Times New Roman" w:hAnsi="Times New Roman"/>
                <w:sz w:val="18"/>
                <w:szCs w:val="18"/>
                <w:u w:val="single" w:color="auto"/>
                <w:color w:val="0000FF"/>
              </w:rPr>
            </w:pPr>
            <w:hyperlink w:anchor="page241">
              <w:r>
                <w:rPr>
                  <w:rFonts w:ascii="Times New Roman" w:cs="Times New Roman" w:eastAsia="Times New Roman" w:hAnsi="Times New Roman"/>
                  <w:sz w:val="18"/>
                  <w:szCs w:val="18"/>
                  <w:u w:val="single" w:color="auto"/>
                  <w:color w:val="0000FF"/>
                </w:rPr>
                <w:t>Consent of PricewaterhouseCoopers LLP.</w:t>
              </w:r>
            </w:hyperlink>
          </w:p>
        </w:tc>
      </w:tr>
      <w:tr>
        <w:trPr>
          <w:trHeight w:val="202"/>
        </w:trPr>
        <w:tc>
          <w:tcPr>
            <w:tcW w:w="1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260" w:type="dxa"/>
            <w:vAlign w:val="bottom"/>
            <w:gridSpan w:val="13"/>
          </w:tcPr>
          <w:p>
            <w:pPr>
              <w:spacing w:after="0" w:line="202" w:lineRule="exact"/>
              <w:rPr>
                <w:rFonts w:ascii="Times New Roman" w:cs="Times New Roman" w:eastAsia="Times New Roman" w:hAnsi="Times New Roman"/>
                <w:sz w:val="18"/>
                <w:szCs w:val="18"/>
                <w:color w:val="0000FF"/>
              </w:rPr>
            </w:pPr>
            <w:hyperlink w:anchor="page242">
              <w:r>
                <w:rPr>
                  <w:rFonts w:ascii="Times New Roman" w:cs="Times New Roman" w:eastAsia="Times New Roman" w:hAnsi="Times New Roman"/>
                  <w:sz w:val="18"/>
                  <w:szCs w:val="18"/>
                  <w:color w:val="0000FF"/>
                </w:rPr>
                <w:t>Certification of Chief Executive Officer required by Rule 13a-14(a)/15d-14(a) under the Securities Exchange Act of 1934, as</w:t>
              </w:r>
            </w:hyperlink>
          </w:p>
        </w:tc>
      </w:tr>
      <w:tr>
        <w:trPr>
          <w:trHeight w:val="156"/>
        </w:trPr>
        <w:tc>
          <w:tcPr>
            <w:tcW w:w="19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w:anchor="page242">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140" w:type="dxa"/>
            <w:vAlign w:val="bottom"/>
            <w:tcBorders>
              <w:top w:val="single" w:sz="8" w:color="0000FF"/>
            </w:tcBorders>
            <w:gridSpan w:val="6"/>
          </w:tcPr>
          <w:p>
            <w:pPr>
              <w:spacing w:after="0"/>
              <w:rPr>
                <w:sz w:val="13"/>
                <w:szCs w:val="13"/>
                <w:color w:val="auto"/>
              </w:rPr>
            </w:pPr>
          </w:p>
        </w:tc>
        <w:tc>
          <w:tcPr>
            <w:tcW w:w="260" w:type="dxa"/>
            <w:vAlign w:val="bottom"/>
            <w:gridSpan w:val="3"/>
          </w:tcPr>
          <w:p>
            <w:pPr>
              <w:spacing w:after="0"/>
              <w:rPr>
                <w:sz w:val="13"/>
                <w:szCs w:val="13"/>
                <w:color w:val="auto"/>
              </w:rPr>
            </w:pPr>
          </w:p>
        </w:tc>
      </w:tr>
      <w:tr>
        <w:trPr>
          <w:trHeight w:val="20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243">
              <w:r>
                <w:rPr>
                  <w:rFonts w:ascii="Times New Roman" w:cs="Times New Roman" w:eastAsia="Times New Roman" w:hAnsi="Times New Roman"/>
                  <w:sz w:val="18"/>
                  <w:szCs w:val="18"/>
                  <w:color w:val="0000FF"/>
                </w:rPr>
                <w:t>Certification of Chief Financial Officer required by Rule 13a-14(a)/15d-14(a) under the Securities Exchange Act of 1934, as</w:t>
              </w:r>
            </w:hyperlink>
          </w:p>
        </w:tc>
      </w:tr>
      <w:tr>
        <w:trPr>
          <w:trHeight w:val="156"/>
        </w:trPr>
        <w:tc>
          <w:tcPr>
            <w:tcW w:w="198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w:anchor="page243">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100" w:type="dxa"/>
            <w:vAlign w:val="bottom"/>
            <w:tcBorders>
              <w:top w:val="single" w:sz="8" w:color="0000FF"/>
            </w:tcBorders>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0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gridSpan w:val="13"/>
          </w:tcPr>
          <w:p>
            <w:pPr>
              <w:spacing w:after="0"/>
              <w:rPr>
                <w:rFonts w:ascii="Times New Roman" w:cs="Times New Roman" w:eastAsia="Times New Roman" w:hAnsi="Times New Roman"/>
                <w:sz w:val="18"/>
                <w:szCs w:val="18"/>
                <w:color w:val="0000FF"/>
              </w:rPr>
            </w:pPr>
            <w:hyperlink w:anchor="page244">
              <w:r>
                <w:rPr>
                  <w:rFonts w:ascii="Times New Roman" w:cs="Times New Roman" w:eastAsia="Times New Roman" w:hAnsi="Times New Roman"/>
                  <w:sz w:val="18"/>
                  <w:szCs w:val="18"/>
                  <w:color w:val="0000FF"/>
                </w:rPr>
                <w:t>Certification of Chief Executive Officer pursuant to 18 U.S.C. Section 1350, as adopted pursuant to Section 906 of the</w:t>
              </w:r>
            </w:hyperlink>
          </w:p>
        </w:tc>
      </w:tr>
      <w:tr>
        <w:trPr>
          <w:trHeight w:val="155"/>
        </w:trPr>
        <w:tc>
          <w:tcPr>
            <w:tcW w:w="1980" w:type="dxa"/>
            <w:vAlign w:val="bottom"/>
          </w:tcPr>
          <w:p>
            <w:pPr>
              <w:spacing w:after="0"/>
              <w:rPr>
                <w:sz w:val="13"/>
                <w:szCs w:val="13"/>
                <w:color w:val="auto"/>
              </w:rPr>
            </w:pPr>
          </w:p>
        </w:tc>
        <w:tc>
          <w:tcPr>
            <w:tcW w:w="85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244">
              <w:r>
                <w:rPr>
                  <w:rFonts w:ascii="Times New Roman" w:cs="Times New Roman" w:eastAsia="Times New Roman" w:hAnsi="Times New Roman"/>
                  <w:sz w:val="18"/>
                  <w:szCs w:val="18"/>
                  <w:color w:val="0000FF"/>
                </w:rPr>
                <w:t>Sarbanes-Oxley Act of 2002.</w:t>
              </w:r>
            </w:hyperlink>
          </w:p>
        </w:tc>
        <w:tc>
          <w:tcPr>
            <w:tcW w:w="720" w:type="dxa"/>
            <w:vAlign w:val="bottom"/>
            <w:gridSpan w:val="7"/>
          </w:tcPr>
          <w:p>
            <w:pPr>
              <w:spacing w:after="0"/>
              <w:rPr>
                <w:sz w:val="13"/>
                <w:szCs w:val="13"/>
                <w:color w:val="auto"/>
              </w:rPr>
            </w:pPr>
          </w:p>
        </w:tc>
      </w:tr>
      <w:tr>
        <w:trPr>
          <w:trHeight w:val="898"/>
        </w:trPr>
        <w:tc>
          <w:tcPr>
            <w:tcW w:w="198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342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240" w:type="dxa"/>
            <w:vAlign w:val="bottom"/>
            <w:gridSpan w:val="3"/>
            <w:shd w:val="clear" w:color="auto" w:fill="FEFEFE"/>
          </w:tcPr>
          <w:p>
            <w:pPr>
              <w:spacing w:after="0"/>
              <w:rPr>
                <w:rFonts w:ascii="Times New Roman" w:cs="Times New Roman" w:eastAsia="Times New Roman" w:hAnsi="Times New Roman"/>
                <w:sz w:val="18"/>
                <w:szCs w:val="18"/>
                <w:color w:val="0000FF"/>
              </w:rPr>
            </w:pPr>
            <w:hyperlink w:anchor="page245">
              <w:r>
                <w:rPr>
                  <w:rFonts w:ascii="Times New Roman" w:cs="Times New Roman" w:eastAsia="Times New Roman" w:hAnsi="Times New Roman"/>
                  <w:sz w:val="18"/>
                  <w:szCs w:val="18"/>
                  <w:color w:val="0000FF"/>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980" w:type="dxa"/>
            <w:vAlign w:val="bottom"/>
            <w:tcBorders>
              <w:top w:val="single" w:sz="8" w:color="FEFEFE"/>
            </w:tcBorders>
            <w:shd w:val="clear" w:color="auto" w:fill="FEFEFE"/>
          </w:tcPr>
          <w:p>
            <w:pPr>
              <w:spacing w:after="0"/>
              <w:rPr>
                <w:sz w:val="13"/>
                <w:szCs w:val="13"/>
                <w:color w:val="auto"/>
              </w:rPr>
            </w:pPr>
          </w:p>
        </w:tc>
        <w:tc>
          <w:tcPr>
            <w:tcW w:w="8480" w:type="dxa"/>
            <w:vAlign w:val="bottom"/>
            <w:tcBorders>
              <w:top w:val="single" w:sz="8" w:color="0000FF"/>
            </w:tcBorders>
            <w:gridSpan w:val="2"/>
            <w:shd w:val="clear" w:color="auto" w:fill="FEFEFE"/>
          </w:tcPr>
          <w:p>
            <w:pPr>
              <w:spacing w:after="0" w:line="156" w:lineRule="exact"/>
              <w:rPr>
                <w:rFonts w:ascii="Times New Roman" w:cs="Times New Roman" w:eastAsia="Times New Roman" w:hAnsi="Times New Roman"/>
                <w:sz w:val="18"/>
                <w:szCs w:val="18"/>
                <w:color w:val="0000FF"/>
              </w:rPr>
            </w:pPr>
            <w:hyperlink w:anchor="page245">
              <w:r>
                <w:rPr>
                  <w:rFonts w:ascii="Times New Roman" w:cs="Times New Roman" w:eastAsia="Times New Roman" w:hAnsi="Times New Roman"/>
                  <w:sz w:val="18"/>
                  <w:szCs w:val="18"/>
                  <w:color w:val="0000FF"/>
                </w:rPr>
                <w:t>Sarbanes-Oxley Act of 2002.</w:t>
              </w:r>
            </w:hyperlink>
          </w:p>
        </w:tc>
        <w:tc>
          <w:tcPr>
            <w:tcW w:w="76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100" w:type="dxa"/>
            <w:vAlign w:val="bottom"/>
            <w:tcBorders>
              <w:top w:val="single" w:sz="8" w:color="0000FF"/>
            </w:tcBorders>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140" w:type="dxa"/>
            <w:vAlign w:val="bottom"/>
            <w:tcBorders>
              <w:top w:val="single" w:sz="8" w:color="FEFEFE"/>
            </w:tcBorders>
            <w:gridSpan w:val="2"/>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2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2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2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2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240" w:type="dxa"/>
            <w:vAlign w:val="bottom"/>
            <w:gridSpan w:val="3"/>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43"/>
        </w:trPr>
        <w:tc>
          <w:tcPr>
            <w:tcW w:w="19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240" w:type="dxa"/>
            <w:vAlign w:val="bottom"/>
            <w:gridSpan w:val="3"/>
            <w:vMerge w:val="restart"/>
            <w:shd w:val="clear" w:color="auto" w:fill="FEFEFE"/>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4"/>
        </w:trPr>
        <w:tc>
          <w:tcPr>
            <w:tcW w:w="1980" w:type="dxa"/>
            <w:vAlign w:val="bottom"/>
            <w:shd w:val="clear" w:color="auto" w:fill="FEFEFE"/>
          </w:tcPr>
          <w:p>
            <w:pPr>
              <w:spacing w:after="0"/>
              <w:rPr>
                <w:sz w:val="8"/>
                <w:szCs w:val="8"/>
                <w:color w:val="auto"/>
              </w:rPr>
            </w:pPr>
          </w:p>
        </w:tc>
        <w:tc>
          <w:tcPr>
            <w:tcW w:w="9240" w:type="dxa"/>
            <w:vAlign w:val="bottom"/>
            <w:gridSpan w:val="3"/>
            <w:vMerge w:val="continue"/>
            <w:shd w:val="clear" w:color="auto" w:fill="FEFEF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80" w:type="dxa"/>
            <w:vAlign w:val="bottom"/>
            <w:shd w:val="clear" w:color="auto" w:fill="FEFEFE"/>
          </w:tcPr>
          <w:p>
            <w:pPr>
              <w:spacing w:after="0"/>
              <w:rPr>
                <w:sz w:val="7"/>
                <w:szCs w:val="7"/>
                <w:color w:val="auto"/>
              </w:rPr>
            </w:pPr>
          </w:p>
        </w:tc>
        <w:tc>
          <w:tcPr>
            <w:tcW w:w="2100" w:type="dxa"/>
            <w:vAlign w:val="bottom"/>
            <w:shd w:val="clear" w:color="auto" w:fill="FEFEFE"/>
          </w:tcPr>
          <w:p>
            <w:pPr>
              <w:spacing w:after="0"/>
              <w:rPr>
                <w:sz w:val="7"/>
                <w:szCs w:val="7"/>
                <w:color w:val="auto"/>
              </w:rPr>
            </w:pPr>
          </w:p>
        </w:tc>
        <w:tc>
          <w:tcPr>
            <w:tcW w:w="6380" w:type="dxa"/>
            <w:vAlign w:val="bottom"/>
            <w:shd w:val="clear" w:color="auto" w:fill="FEFEFE"/>
          </w:tcPr>
          <w:p>
            <w:pPr>
              <w:spacing w:after="0"/>
              <w:rPr>
                <w:sz w:val="7"/>
                <w:szCs w:val="7"/>
                <w:color w:val="auto"/>
              </w:rPr>
            </w:pPr>
          </w:p>
        </w:tc>
        <w:tc>
          <w:tcPr>
            <w:tcW w:w="760" w:type="dxa"/>
            <w:vAlign w:val="bottom"/>
            <w:shd w:val="clear" w:color="auto" w:fill="FEFEFE"/>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363"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February 25, 2021</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A. Cifu</w:t>
            </w:r>
          </w:p>
        </w:tc>
      </w:tr>
      <w:tr>
        <w:trPr>
          <w:trHeight w:val="218"/>
        </w:trPr>
        <w:tc>
          <w:tcPr>
            <w:tcW w:w="1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A. Cifu</w:t>
            </w:r>
          </w:p>
        </w:tc>
      </w:tr>
      <w:tr>
        <w:trPr>
          <w:trHeight w:val="234"/>
        </w:trPr>
        <w:tc>
          <w:tcPr>
            <w:tcW w:w="1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February 25, 2021</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P. Galvin</w:t>
            </w:r>
          </w:p>
        </w:tc>
      </w:tr>
      <w:tr>
        <w:trPr>
          <w:trHeight w:val="218"/>
        </w:trPr>
        <w:tc>
          <w:tcPr>
            <w:tcW w:w="1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P. Galvin</w:t>
            </w:r>
          </w:p>
        </w:tc>
      </w:tr>
      <w:tr>
        <w:trPr>
          <w:trHeight w:val="234"/>
        </w:trPr>
        <w:tc>
          <w:tcPr>
            <w:tcW w:w="1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Douglas A. Cifu and Sean P. Galvin,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2" w:name="page153"/>
    <w:bookmarkEnd w:id="152"/>
    <w:p>
      <w:pPr>
        <w:ind w:firstLine="648"/>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as amended, the report has been signed below by the following persons on behalf of the Registrant and in the capacities indicated on February 25, 2021.</w:t>
      </w:r>
    </w:p>
    <w:p>
      <w:pPr>
        <w:spacing w:after="0" w:line="1" w:lineRule="exact"/>
        <w:rPr>
          <w:sz w:val="20"/>
          <w:szCs w:val="20"/>
          <w:color w:val="auto"/>
        </w:rPr>
      </w:pPr>
    </w:p>
    <w:p>
      <w:pPr>
        <w:ind w:left="2620"/>
        <w:spacing w:after="0"/>
        <w:tabs>
          <w:tab w:leader="none" w:pos="8120" w:val="left"/>
        </w:tabs>
        <w:rPr>
          <w:sz w:val="20"/>
          <w:szCs w:val="20"/>
          <w:color w:val="auto"/>
        </w:rPr>
      </w:pPr>
      <w:r>
        <w:rPr>
          <w:rFonts w:ascii="Times New Roman" w:cs="Times New Roman" w:eastAsia="Times New Roman" w:hAnsi="Times New Roman"/>
          <w:sz w:val="18"/>
          <w:szCs w:val="18"/>
          <w:b w:val="1"/>
          <w:bCs w:val="1"/>
          <w:u w:val="single" w:color="auto"/>
          <w:color w:val="auto"/>
        </w:rPr>
        <w:t>Signature</w:t>
      </w:r>
      <w:r>
        <w:rPr>
          <w:sz w:val="20"/>
          <w:szCs w:val="20"/>
          <w:color w:val="auto"/>
        </w:rPr>
        <w:tab/>
      </w:r>
      <w:r>
        <w:rPr>
          <w:rFonts w:ascii="Times New Roman" w:cs="Times New Roman" w:eastAsia="Times New Roman" w:hAnsi="Times New Roman"/>
          <w:sz w:val="18"/>
          <w:szCs w:val="18"/>
          <w:b w:val="1"/>
          <w:bCs w:val="1"/>
          <w:u w:val="single" w:color="auto"/>
          <w:color w:val="auto"/>
        </w:rPr>
        <w:t>Title</w:t>
      </w:r>
    </w:p>
    <w:p>
      <w:pPr>
        <w:sectPr>
          <w:pgSz w:w="11900" w:h="16838" w:orient="portrait"/>
          <w:cols w:equalWidth="0" w:num="1">
            <w:col w:w="11120"/>
          </w:cols>
          <w:pgMar w:left="320" w:top="891" w:right="45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Douglas A. Cifu</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Sean P. Galvin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3420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Greifeld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Vincent Viola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24765</wp:posOffset>
            </wp:positionV>
            <wp:extent cx="34201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William F. Cruger, Jr.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Virginia Gambale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Virginia Gambale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34201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Joseph J. Grano, Jr.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Glenn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3420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Glenn Hutchins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3420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D. Nixon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Christopher Quick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John F. Sandner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201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F. Sandner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34201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David Urban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26035</wp:posOffset>
            </wp:positionV>
            <wp:extent cx="34201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Michael T. Viola</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Chief Executive Officer</w:t>
      </w:r>
    </w:p>
    <w:p>
      <w:pPr>
        <w:jc w:val="center"/>
        <w:ind w:right="1180"/>
        <w:spacing w:after="0"/>
        <w:rPr>
          <w:sz w:val="20"/>
          <w:szCs w:val="20"/>
          <w:color w:val="auto"/>
        </w:rPr>
      </w:pPr>
      <w:r>
        <w:rPr>
          <w:rFonts w:ascii="Times New Roman" w:cs="Times New Roman" w:eastAsia="Times New Roman" w:hAnsi="Times New Roman"/>
          <w:sz w:val="18"/>
          <w:szCs w:val="18"/>
          <w:color w:val="auto"/>
        </w:rPr>
        <w:t>(Principal Executive Officer) and Director</w:t>
      </w:r>
    </w:p>
    <w:p>
      <w:pPr>
        <w:spacing w:after="0" w:line="39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Chairman Emeritus and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w:t>
      </w:r>
    </w:p>
    <w:p>
      <w:pPr>
        <w:spacing w:after="0" w:line="335" w:lineRule="exact"/>
        <w:rPr>
          <w:sz w:val="20"/>
          <w:szCs w:val="20"/>
          <w:color w:val="auto"/>
        </w:rPr>
      </w:pPr>
    </w:p>
    <w:p>
      <w:pPr>
        <w:sectPr>
          <w:pgSz w:w="11900" w:h="16838" w:orient="portrait"/>
          <w:cols w:equalWidth="0" w:num="2">
            <w:col w:w="5980" w:space="720"/>
            <w:col w:w="4420"/>
          </w:cols>
          <w:pgMar w:left="320" w:top="89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891" w:right="459" w:bottom="1440" w:gutter="0" w:footer="0" w:header="0"/>
          <w:type w:val="continuous"/>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[________], 2020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auto"/>
          <w:highlight w:val="yellow"/>
        </w:rPr>
        <w:t>___________</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2019 through December 31, 2019, and RSUs provided for herein to the Participant subject to the terms set forth herein.</w:t>
      </w:r>
    </w:p>
    <w:p>
      <w:pPr>
        <w:spacing w:after="0" w:line="126"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19" w:lineRule="exact"/>
        <w:rPr>
          <w:rFonts w:ascii="Times New Roman" w:cs="Times New Roman" w:eastAsia="Times New Roman" w:hAnsi="Times New Roman"/>
          <w:sz w:val="20"/>
          <w:szCs w:val="20"/>
          <w:b w:val="1"/>
          <w:bCs w:val="1"/>
          <w:color w:val="auto"/>
        </w:rPr>
      </w:pPr>
    </w:p>
    <w:p>
      <w:pPr>
        <w:ind w:right="540" w:firstLine="656"/>
        <w:spacing w:after="0" w:line="264" w:lineRule="auto"/>
        <w:tabs>
          <w:tab w:leader="none" w:pos="1065"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The Company hereby grants to the Participant a total number of shares of Class A Common Stock equal to approximately $</w:t>
      </w:r>
      <w:r>
        <w:rPr>
          <w:rFonts w:ascii="Times New Roman" w:cs="Times New Roman" w:eastAsia="Times New Roman" w:hAnsi="Times New Roman"/>
          <w:sz w:val="19"/>
          <w:szCs w:val="19"/>
          <w:color w:val="auto"/>
          <w:highlight w:val="yellow"/>
        </w:rPr>
        <w:t>_________</w:t>
      </w:r>
      <w:r>
        <w:rPr>
          <w:rFonts w:ascii="Times New Roman" w:cs="Times New Roman" w:eastAsia="Times New Roman" w:hAnsi="Times New Roman"/>
          <w:sz w:val="19"/>
          <w:szCs w:val="19"/>
          <w:color w:val="auto"/>
        </w:rPr>
        <w:t xml:space="preserve"> divided by the Issue Price (the “</w:t>
      </w: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and a total number of RSUs equal to approximately $</w:t>
      </w:r>
      <w:r>
        <w:rPr>
          <w:rFonts w:ascii="Times New Roman" w:cs="Times New Roman" w:eastAsia="Times New Roman" w:hAnsi="Times New Roman"/>
          <w:sz w:val="19"/>
          <w:szCs w:val="19"/>
          <w:color w:val="auto"/>
          <w:highlight w:val="yellow"/>
        </w:rPr>
        <w:t>_________</w:t>
      </w:r>
    </w:p>
    <w:p>
      <w:pPr>
        <w:ind w:right="2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8" w:lineRule="exact"/>
        <w:rPr>
          <w:rFonts w:ascii="Times New Roman" w:cs="Times New Roman" w:eastAsia="Times New Roman" w:hAnsi="Times New Roman"/>
          <w:sz w:val="19"/>
          <w:szCs w:val="19"/>
          <w:color w:val="auto"/>
        </w:rPr>
      </w:pPr>
    </w:p>
    <w:p>
      <w:pPr>
        <w:ind w:firstLine="656"/>
        <w:spacing w:after="0" w:line="259" w:lineRule="auto"/>
        <w:tabs>
          <w:tab w:leader="none" w:pos="1076"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20" w:firstLine="656"/>
        <w:spacing w:after="0" w:line="269" w:lineRule="auto"/>
        <w:tabs>
          <w:tab w:leader="none" w:pos="107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w:t>
      </w:r>
    </w:p>
    <w:p>
      <w:pPr>
        <w:sectPr>
          <w:pgSz w:w="11900" w:h="16838" w:orient="portrait"/>
          <w:cols w:equalWidth="0" w:num="1">
            <w:col w:w="11220"/>
          </w:cols>
          <w:pgMar w:left="320" w:top="1409" w:right="359" w:bottom="1440" w:gutter="0" w:footer="0" w:header="0"/>
        </w:sectPr>
      </w:pPr>
    </w:p>
    <w:bookmarkStart w:id="154" w:name="page155"/>
    <w:bookmarkEnd w:id="154"/>
    <w:p>
      <w:pPr>
        <w:spacing w:after="0" w:line="249" w:lineRule="auto"/>
        <w:rPr>
          <w:sz w:val="20"/>
          <w:szCs w:val="20"/>
          <w:color w:val="auto"/>
        </w:rPr>
      </w:pPr>
      <w:r>
        <w:rPr>
          <w:rFonts w:ascii="Times New Roman" w:cs="Times New Roman" w:eastAsia="Times New Roman" w:hAnsi="Times New Roman"/>
          <w:sz w:val="20"/>
          <w:szCs w:val="20"/>
          <w:color w:val="auto"/>
        </w:rPr>
        <w:t>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sz w:val="20"/>
          <w:szCs w:val="20"/>
          <w:color w:val="auto"/>
        </w:rPr>
      </w:pPr>
    </w:p>
    <w:p>
      <w:pPr>
        <w:ind w:right="460" w:firstLine="656"/>
        <w:spacing w:after="0" w:line="269" w:lineRule="auto"/>
        <w:tabs>
          <w:tab w:leader="none" w:pos="106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40" w:firstLine="8"/>
        <w:spacing w:after="0" w:line="250" w:lineRule="auto"/>
        <w:tabs>
          <w:tab w:leader="none" w:pos="34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5" w:lineRule="exact"/>
        <w:rPr>
          <w:rFonts w:ascii="Times New Roman" w:cs="Times New Roman" w:eastAsia="Times New Roman" w:hAnsi="Times New Roman"/>
          <w:sz w:val="20"/>
          <w:szCs w:val="20"/>
          <w:b w:val="1"/>
          <w:bCs w:val="1"/>
          <w:color w:val="auto"/>
        </w:rPr>
      </w:pPr>
    </w:p>
    <w:p>
      <w:pPr>
        <w:ind w:firstLine="8"/>
        <w:spacing w:after="0" w:line="242" w:lineRule="auto"/>
        <w:tabs>
          <w:tab w:leader="none" w:pos="343"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reason, all unvested RSUs shall be cancelled immediately and the Participant shall not be entitled to receive any payments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xml:space="preserve">”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 (x) two years and (y) the remaining period up to and including the Vesting Date in the form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82" w:lineRule="exact"/>
        <w:rPr>
          <w:rFonts w:ascii="Times New Roman" w:cs="Times New Roman" w:eastAsia="Times New Roman" w:hAnsi="Times New Roman"/>
          <w:sz w:val="20"/>
          <w:szCs w:val="20"/>
          <w:b w:val="1"/>
          <w:bCs w:val="1"/>
          <w:color w:val="auto"/>
        </w:rPr>
      </w:pPr>
    </w:p>
    <w:p>
      <w:pPr>
        <w:ind w:right="120" w:firstLine="8"/>
        <w:spacing w:after="0" w:line="246" w:lineRule="auto"/>
        <w:tabs>
          <w:tab w:leader="none" w:pos="346"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8"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100" w:firstLine="656"/>
        <w:spacing w:after="0" w:line="274" w:lineRule="auto"/>
        <w:tabs>
          <w:tab w:leader="none" w:pos="1065"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13" w:right="359" w:bottom="1440" w:gutter="0" w:footer="0" w:header="0"/>
        </w:sectPr>
      </w:pPr>
    </w:p>
    <w:bookmarkStart w:id="155" w:name="page156"/>
    <w:bookmarkEnd w:id="155"/>
    <w:p>
      <w:pPr>
        <w:ind w:right="260"/>
        <w:spacing w:after="0" w:line="269" w:lineRule="auto"/>
        <w:rPr>
          <w:sz w:val="20"/>
          <w:szCs w:val="20"/>
          <w:color w:val="auto"/>
        </w:rPr>
      </w:pPr>
      <w:r>
        <w:rPr>
          <w:rFonts w:ascii="Times New Roman" w:cs="Times New Roman" w:eastAsia="Times New Roman" w:hAnsi="Times New Roman"/>
          <w:sz w:val="20"/>
          <w:szCs w:val="20"/>
          <w:color w:val="auto"/>
        </w:rPr>
        <w:t>take all steps the Committee or the Company determines are reasonably necessary to comply with all applicable provisions of U.S. federal and state securities law and non-U.S. securities law in exercising his rights under this Agreement.</w:t>
      </w:r>
    </w:p>
    <w:p>
      <w:pPr>
        <w:spacing w:after="0" w:line="159" w:lineRule="exact"/>
        <w:rPr>
          <w:sz w:val="20"/>
          <w:szCs w:val="20"/>
          <w:color w:val="auto"/>
        </w:rPr>
      </w:pPr>
    </w:p>
    <w:p>
      <w:pPr>
        <w:ind w:firstLine="656"/>
        <w:spacing w:after="0" w:line="242" w:lineRule="auto"/>
        <w:tabs>
          <w:tab w:leader="none" w:pos="107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9"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120" w:firstLine="656"/>
        <w:spacing w:after="0" w:line="254" w:lineRule="auto"/>
        <w:tabs>
          <w:tab w:leader="none" w:pos="106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or notice periods,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13" w:right="359" w:bottom="1440" w:gutter="0" w:footer="0" w:header="0"/>
        </w:sectPr>
      </w:pPr>
    </w:p>
    <w:bookmarkStart w:id="156" w:name="page157"/>
    <w:bookmarkEnd w:id="156"/>
    <w:p>
      <w:pPr>
        <w:ind w:right="200"/>
        <w:spacing w:after="0" w:line="254" w:lineRule="auto"/>
        <w:rPr>
          <w:sz w:val="20"/>
          <w:szCs w:val="20"/>
          <w:color w:val="auto"/>
        </w:rPr>
      </w:pPr>
      <w:r>
        <w:rPr>
          <w:rFonts w:ascii="Times New Roman" w:cs="Times New Roman" w:eastAsia="Times New Roman" w:hAnsi="Times New Roman"/>
          <w:sz w:val="20"/>
          <w:szCs w:val="20"/>
          <w:color w:val="auto"/>
        </w:rPr>
        <w:t>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2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otherwise permitted under Section 15(b) of the Plan. Any attempted Transfer of the RSUs contrary to the provisions hereof, and the levy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execution, attachment or similar process upon the RSUs, shall be null and void and without effect.</w:t>
      </w:r>
    </w:p>
    <w:p>
      <w:pPr>
        <w:spacing w:after="0" w:line="194" w:lineRule="exact"/>
        <w:rPr>
          <w:sz w:val="20"/>
          <w:szCs w:val="20"/>
          <w:color w:val="auto"/>
        </w:rPr>
      </w:pPr>
    </w:p>
    <w:p>
      <w:pPr>
        <w:ind w:right="100" w:firstLine="656"/>
        <w:spacing w:after="0" w:line="249" w:lineRule="auto"/>
        <w:tabs>
          <w:tab w:leader="none" w:pos="107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9" w:lineRule="exact"/>
        <w:rPr>
          <w:rFonts w:ascii="Times New Roman" w:cs="Times New Roman" w:eastAsia="Times New Roman" w:hAnsi="Times New Roman"/>
          <w:sz w:val="20"/>
          <w:szCs w:val="20"/>
          <w:color w:val="auto"/>
        </w:rPr>
      </w:pPr>
    </w:p>
    <w:p>
      <w:pPr>
        <w:ind w:right="200" w:firstLine="656"/>
        <w:spacing w:after="0" w:line="256" w:lineRule="auto"/>
        <w:tabs>
          <w:tab w:leader="none" w:pos="106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w:t>
      </w:r>
    </w:p>
    <w:p>
      <w:pPr>
        <w:spacing w:after="0" w:line="4"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to the maximum extent practicable, the original intent and economic benefit to the Participant of the applicable provision</w:t>
      </w:r>
    </w:p>
    <w:p>
      <w:pPr>
        <w:jc w:val="both"/>
        <w:ind w:right="2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right="100" w:firstLine="656"/>
        <w:spacing w:after="0" w:line="254" w:lineRule="auto"/>
        <w:tabs>
          <w:tab w:leader="none" w:pos="107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180" w:firstLine="656"/>
        <w:spacing w:after="0" w:line="246" w:lineRule="auto"/>
        <w:tabs>
          <w:tab w:leader="none" w:pos="1065"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4" w:lineRule="exact"/>
        <w:rPr>
          <w:rFonts w:ascii="Times New Roman" w:cs="Times New Roman" w:eastAsia="Times New Roman" w:hAnsi="Times New Roman"/>
          <w:sz w:val="20"/>
          <w:szCs w:val="20"/>
          <w:color w:val="auto"/>
        </w:rPr>
      </w:pPr>
    </w:p>
    <w:p>
      <w:pPr>
        <w:ind w:right="100" w:firstLine="656"/>
        <w:spacing w:after="0" w:line="254" w:lineRule="auto"/>
        <w:tabs>
          <w:tab w:leader="none" w:pos="10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57" w:name="page158"/>
    <w:bookmarkEnd w:id="157"/>
    <w:p>
      <w:pPr>
        <w:ind w:firstLine="656"/>
        <w:spacing w:after="0" w:line="249" w:lineRule="auto"/>
        <w:tabs>
          <w:tab w:leader="none" w:pos="107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0"/>
          <w:szCs w:val="20"/>
          <w:color w:val="auto"/>
        </w:rPr>
      </w:pPr>
    </w:p>
    <w:p>
      <w:pPr>
        <w:jc w:val="both"/>
        <w:ind w:right="140" w:firstLine="656"/>
        <w:spacing w:after="0" w:line="254" w:lineRule="auto"/>
        <w:tabs>
          <w:tab w:leader="none" w:pos="107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right="700" w:firstLine="656"/>
        <w:spacing w:after="0" w:line="269"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200" w:firstLine="656"/>
        <w:spacing w:after="0" w:line="269"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right="160" w:firstLine="656"/>
        <w:spacing w:after="0" w:line="249" w:lineRule="auto"/>
        <w:tabs>
          <w:tab w:leader="none" w:pos="107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79" w:lineRule="exact"/>
        <w:rPr>
          <w:rFonts w:ascii="Times New Roman" w:cs="Times New Roman" w:eastAsia="Times New Roman" w:hAnsi="Times New Roman"/>
          <w:sz w:val="20"/>
          <w:szCs w:val="20"/>
          <w:color w:val="auto"/>
        </w:rPr>
      </w:pPr>
    </w:p>
    <w:p>
      <w:pPr>
        <w:ind w:right="360" w:firstLine="656"/>
        <w:spacing w:after="0" w:line="254"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43" w:lineRule="auto"/>
        <w:tabs>
          <w:tab w:leader="none" w:pos="169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Times New Roman" w:cs="Times New Roman" w:eastAsia="Times New Roman" w:hAnsi="Times New Roman"/>
          <w:sz w:val="20"/>
          <w:szCs w:val="20"/>
          <w:color w:val="auto"/>
        </w:rPr>
      </w:pPr>
    </w:p>
    <w:p>
      <w:pPr>
        <w:ind w:left="660" w:firstLine="644"/>
        <w:spacing w:after="0" w:line="274" w:lineRule="auto"/>
        <w:tabs>
          <w:tab w:leader="none" w:pos="1747"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58" w:name="page159"/>
    <w:bookmarkEnd w:id="158"/>
    <w:p>
      <w:pPr>
        <w:ind w:left="640"/>
        <w:spacing w:after="0" w:line="254" w:lineRule="auto"/>
        <w:rPr>
          <w:sz w:val="20"/>
          <w:szCs w:val="20"/>
          <w:color w:val="auto"/>
        </w:rPr>
      </w:pPr>
      <w:r>
        <w:rPr>
          <w:rFonts w:ascii="Times New Roman" w:cs="Times New Roman" w:eastAsia="Times New Roman" w:hAnsi="Times New Roman"/>
          <w:sz w:val="20"/>
          <w:szCs w:val="20"/>
          <w:color w:val="auto"/>
        </w:rPr>
        <w:t>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4" w:lineRule="exact"/>
        <w:rPr>
          <w:sz w:val="20"/>
          <w:szCs w:val="20"/>
          <w:color w:val="auto"/>
        </w:rPr>
      </w:pPr>
    </w:p>
    <w:p>
      <w:pPr>
        <w:jc w:val="both"/>
        <w:ind w:left="-20" w:right="260" w:firstLine="656"/>
        <w:spacing w:after="0" w:line="254" w:lineRule="auto"/>
        <w:tabs>
          <w:tab w:leader="none" w:pos="111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left="-20" w:right="100" w:firstLine="656"/>
        <w:spacing w:after="0" w:line="254" w:lineRule="auto"/>
        <w:tabs>
          <w:tab w:leader="none" w:pos="105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left="-20" w:firstLine="656"/>
        <w:spacing w:after="0" w:line="246" w:lineRule="auto"/>
        <w:tabs>
          <w:tab w:leader="none" w:pos="105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4" w:lineRule="exact"/>
        <w:rPr>
          <w:rFonts w:ascii="Times New Roman" w:cs="Times New Roman" w:eastAsia="Times New Roman" w:hAnsi="Times New Roman"/>
          <w:sz w:val="20"/>
          <w:szCs w:val="20"/>
          <w:color w:val="auto"/>
        </w:rPr>
      </w:pPr>
    </w:p>
    <w:p>
      <w:pPr>
        <w:ind w:left="-20" w:right="100" w:firstLine="656"/>
        <w:spacing w:after="0" w:line="249" w:lineRule="auto"/>
        <w:tabs>
          <w:tab w:leader="none" w:pos="105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40" w:top="1413" w:right="359" w:bottom="1440" w:gutter="0" w:footer="0" w:header="0"/>
        </w:sectPr>
      </w:pPr>
    </w:p>
    <w:bookmarkStart w:id="159" w:name="page160"/>
    <w:bookmarkEnd w:id="159"/>
    <w:p>
      <w:pPr>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Times New Roman" w:cs="Times New Roman" w:eastAsia="Times New Roman" w:hAnsi="Times New Roman"/>
          <w:sz w:val="22"/>
          <w:szCs w:val="22"/>
          <w:b w:val="1"/>
          <w:bCs w:val="1"/>
          <w:u w:val="single" w:color="auto"/>
          <w:color w:val="0000FF"/>
        </w:rPr>
        <w:t>https://www.schwab.com/public/eac/home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-10795</wp:posOffset>
            </wp:positionV>
            <wp:extent cx="1257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Douglas A. Cifu</w:t>
      </w: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1020"/>
          </w:cols>
          <w:pgMar w:left="320" w:top="1418" w:right="55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344" w:lineRule="exact"/>
        <w:rPr>
          <w:sz w:val="20"/>
          <w:szCs w:val="20"/>
          <w:color w:val="auto"/>
        </w:rPr>
      </w:pPr>
    </w:p>
    <w:p>
      <w:pPr>
        <w:ind w:left="4480" w:hanging="652"/>
        <w:spacing w:after="0"/>
        <w:tabs>
          <w:tab w:leader="none" w:pos="4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AGREEMENT</w:t>
      </w:r>
    </w:p>
    <w:p>
      <w:pPr>
        <w:spacing w:after="0" w:line="200" w:lineRule="exact"/>
        <w:rPr>
          <w:sz w:val="20"/>
          <w:szCs w:val="20"/>
          <w:color w:val="auto"/>
        </w:rPr>
      </w:pPr>
    </w:p>
    <w:p>
      <w:pPr>
        <w:spacing w:after="0" w:line="272" w:lineRule="exact"/>
        <w:rPr>
          <w:sz w:val="20"/>
          <w:szCs w:val="20"/>
          <w:color w:val="auto"/>
        </w:rPr>
      </w:pPr>
    </w:p>
    <w:p>
      <w:pPr>
        <w:jc w:val="both"/>
        <w:ind w:right="660" w:firstLine="1296"/>
        <w:spacing w:after="0" w:line="261" w:lineRule="auto"/>
        <w:rPr>
          <w:sz w:val="20"/>
          <w:szCs w:val="20"/>
          <w:color w:val="auto"/>
        </w:rPr>
      </w:pPr>
      <w:r>
        <w:rPr>
          <w:rFonts w:ascii="Times New Roman" w:cs="Times New Roman" w:eastAsia="Times New Roman" w:hAnsi="Times New Roman"/>
          <w:sz w:val="18"/>
          <w:szCs w:val="18"/>
          <w:color w:val="auto"/>
        </w:rPr>
        <w:t>In consideration of the continued vesting of the Restricted Stock Units previously awarded to me (the “Consideration”) pursuant to one or more award agreements under the Virtu Financial, Inc. Amended and Restated 2015 Management Incentive Plan (the “Plan”) by Virtu Financial, Inc. (including any subsidiary, parent or affiliate thereof, the “Company”), I, the undersigned, hereby enter into this Agreement (the “Agreement”) as of the date set forth below my signature and hereby represent to and agree with the Company as follows:</w:t>
      </w:r>
    </w:p>
    <w:p>
      <w:pPr>
        <w:spacing w:after="0" w:line="180" w:lineRule="exact"/>
        <w:rPr>
          <w:sz w:val="20"/>
          <w:szCs w:val="20"/>
          <w:color w:val="auto"/>
        </w:rPr>
      </w:pPr>
    </w:p>
    <w:p>
      <w:pPr>
        <w:jc w:val="both"/>
        <w:ind w:firstLine="656"/>
        <w:spacing w:after="0" w:line="253" w:lineRule="auto"/>
        <w:tabs>
          <w:tab w:leader="none" w:pos="10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I acknowledge that: (a) during the course of my engagement by the Company, I have learned of or had access to Confidential Information (as defined below), including Confidential Information entrusted to the Company by other individuals or entities, as well as other protectable business interests; (b) my engagement by the Company has created a relationship of confidence between the Company and me; (c) the Company has devoted substantial resources to developing Confidential Information and such information is critical to the Company’s competitive advantage and business; (d) the Company takes significant steps to preserve and to protect its Confidential Information; (e) any unauthorized use or disclosure or other improper use by me of Confidential Information could have severe and irreparable repercussions on the Company and/or its clients or other persons or entities; (f) the Company’s protectable business interests are essential to its competitive advantage and will retain continuing vitality throughout and beyond my Engagement with the Company; (g) if I leave the Company and work for myself or with another person or entity in a manner that violates this Agreement, it would be highly likely, if not inevitable, that I would rely on the Company’s Confidential Information in the course of my work, either consciously or subconsciously; and (h) any diminution of the Company’s competitive advantage caused by my engaging in activities in violation of this Agreement could have severe and irreparable repercussions on the Company’s business. Accordingly, I agree that this Agreement is necessary to safeguard the Company’s protectable business interests.</w:t>
      </w:r>
    </w:p>
    <w:p>
      <w:pPr>
        <w:spacing w:after="0" w:line="2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p>
    <w:p>
      <w:pPr>
        <w:spacing w:after="0" w:line="250"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Confidential Information</w:t>
      </w:r>
      <w:r>
        <w:rPr>
          <w:rFonts w:ascii="Times New Roman" w:cs="Times New Roman" w:eastAsia="Times New Roman" w:hAnsi="Times New Roman"/>
          <w:sz w:val="18"/>
          <w:szCs w:val="18"/>
          <w:color w:val="auto"/>
        </w:rPr>
        <w:t>. For purposes of this Agreement, “Confidential Information” means trade secrets, know-how,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proprietary information or other information that (i) is not generally known to the public or in the industries in which the Company engages in its business activities, and (ii) relates to the activities, businesses, products or services, or proposed activities, businesses, products or services of the Company, or of any client of the Company. Examples of Confidential Information include, but are not limited to: (i) all ideas, inventions, know-how, technology, formulas, designs, software, programs, algorithms, trading strategies, trading models, products, systems, applications, processes, procedures, methods and improvements and enhancements, and all related documentation, whether or not patentable, copyrightable or entitled to other forms of protection, utilized by the Company or its affiliates or which are directly or indirectly, related to the business, products or services, or proposed business, products or services, of the Company or its affiliates; (ii) the name and/or address of any customer or vendor of the Company or its affiliates or any information concerning the transactions or relations of any customer or vendor of the Company or its affiliates with the Company or any of its stockholders, principals, directors, officers, employees or agents; (iii) any financial information relating to the Company and its business; (iv) any information which is generally regarded as confidential or proprietary in any line of business engaged in by the Company or its affiliates; (v) any business plans, budgets, advertising or marketing plans; (vi) any information contained in any of the written or oral policies and procedures or manuals of the Company or its affiliates; (vii) any information belonging to customers, vendors or affiliates of the Company or its affiliates or any other individual or entity which the Company or its affiliates has agreed to hold in confidence; and (viii) all written, graphic and other material (in any medium whether in writing, on magnetic tape or in electronic or other form) relating to any of the foregoing. I acknowledge and understand that information that is not novel or is not</w:t>
      </w:r>
    </w:p>
    <w:p>
      <w:pPr>
        <w:sectPr>
          <w:pgSz w:w="11900" w:h="16838" w:orient="portrait"/>
          <w:cols w:equalWidth="0" w:num="1">
            <w:col w:w="11240"/>
          </w:cols>
          <w:pgMar w:left="320" w:top="140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copyrighted, trademarked or patented, or eligible for such or any other protection, may nonetheless be Confidential Information</w:t>
      </w:r>
    </w:p>
    <w:p>
      <w:pPr>
        <w:spacing w:after="0" w:line="225" w:lineRule="exact"/>
        <w:rPr>
          <w:sz w:val="20"/>
          <w:szCs w:val="20"/>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twenty-four (24) months following my retirement from the Company (the “Restricted Period”), I will not be employed by, act on behalf of any other person or entity or group within an entity or its affiliate (either as an officer, director, consultant or in any other capacity) or own any interest in any person or entity or group within an entity or its affiliate that (i) is during the term of my Engagement, a past, current or prospective client of or investor in the Company, (ii) acts or attempts to act as a market maker or engages in proprietary trading of financial products or instruments, or buying, selling, trading or engaging in any other similar transactions to facilitate a customer or client order, (iii) is engaged in any business or activity that is similar to or directly competitive with that of the Company (including, without limitation, areas in which the Company is or has conducted business and areas in which it is contemplating doing business) unless such employment or other arrangement has been approved by the Company in advance in writing. During the Restricted Period, I will not solicit, attempt to solicit, participate in any solicitation, or otherwise advise, induce or encourage any current or prospective employee, consultant, independent contractor, agent, client or representative of, or any vendor or supplier to, the Company to terminate his, her or its relationship with the Company or to enter into a business or employment relationship of any kind with any other individual or entity. Additionally, during the Restricted Period, I will not solicit or accept funds from any actual or prospective client, shareholder or investor of the Company, nor will I encourage any such actual or prospective client, shareholder or investor to decline, terminate or reduce its current or prospective business relationship with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89"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and agree that the provisions of this Section 3 (the “Restrictive Covenants”) are reasonable and valid in geographical and temporal scope and in all other respects, and are necessary in order to secure for the Company the benefits for which it has contracted (specifically, the world-wide scope is necessary because trading markets operate without regard to geographic boundaries). In particular, I understand that the provisions of this Section 2 may limit my ability to earn a livelihood in a business similar to the business of the Company but nevertheless agree and hereby acknowledge that (i) such provisions do not impose a greater restraint than is necessary to protect the goodwill or other business interests of the Company,</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provisions contain reasonable limitations as to time and scope of activity to be restrained, (iii) such provisions are not harmful to the general public, (iv) such provisions are not unduly burdensome to me, and (v) the consideration provided hereunder is sufficient to compensate me for the restrictions contained in such provisions. In consideration thereof and in light of my education, skills and abilities, I agree that I will not assert in any forum that such provisions prevent me from earning a living or otherwise are void or unenforceable or should be held void or unenforceable; provided, however, that no provision of this Section 2 shall prohibit me from merely owning up to 1% of outstanding capital stock of any corporation that is actively traded in any national securities market. However, if any court or authority determines that any of the Restrictive Covenants, or any part thereof, is invalid or unenforceable, I agree that the remainder of the Restrictive Covenants shall not thereby be affected and shall be given full effect without regard to the invalid portions, and that if any court determines that any of the Restrictive Covenants, or any part thereof, is unenforceable because of the duration or geographical scope of such provision, such court shall have the power to reduce the duration or scope of such provision, and, in its reduced form, such provision shall then be enforceable against me. I also acknowledge that the Company would not have entered into an at will employment relationship with me unless I agree to such restrictions and limitations.</w:t>
      </w:r>
    </w:p>
    <w:p>
      <w:pPr>
        <w:spacing w:after="0" w:line="192" w:lineRule="exact"/>
        <w:rPr>
          <w:rFonts w:ascii="Times New Roman" w:cs="Times New Roman" w:eastAsia="Times New Roman" w:hAnsi="Times New Roman"/>
          <w:sz w:val="18"/>
          <w:szCs w:val="18"/>
          <w:color w:val="auto"/>
        </w:rPr>
      </w:pPr>
    </w:p>
    <w:p>
      <w:pPr>
        <w:jc w:val="both"/>
        <w:ind w:firstLine="656"/>
        <w:spacing w:after="0" w:line="261" w:lineRule="auto"/>
        <w:tabs>
          <w:tab w:leader="none" w:pos="97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Disparaging or Defamatory Statements</w:t>
      </w:r>
      <w:r>
        <w:rPr>
          <w:rFonts w:ascii="Times New Roman" w:cs="Times New Roman" w:eastAsia="Times New Roman" w:hAnsi="Times New Roman"/>
          <w:sz w:val="18"/>
          <w:szCs w:val="18"/>
          <w:color w:val="auto"/>
        </w:rPr>
        <w:t>. I shall not, during either the course of my Engagement by the Company or the Restricted Period, make, publish, or otherwise transmit any disparaging or defamatory statements, whether written or oral, or give interviews, provide comment, information or opinions, positive or negative, to any publicly available media resource or employee, contractor or representative, regardless of the format and intent of that media.</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ectPr>
          <w:pgSz w:w="11900" w:h="16838" w:orient="portrait"/>
          <w:cols w:equalWidth="0" w:num="1">
            <w:col w:w="11240"/>
          </w:cols>
          <w:pgMar w:left="320" w:top="1417" w:right="339" w:bottom="1440" w:gutter="0" w:footer="0" w:header="0"/>
        </w:sectPr>
      </w:pPr>
    </w:p>
    <w:bookmarkStart w:id="162" w:name="page163"/>
    <w:bookmarkEnd w:id="162"/>
    <w:p>
      <w:pPr>
        <w:jc w:val="both"/>
        <w:ind w:firstLine="1304"/>
        <w:spacing w:after="0" w:line="256" w:lineRule="auto"/>
        <w:tabs>
          <w:tab w:leader="none" w:pos="17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Binding Effect; Third Party Beneficiary</w:t>
      </w:r>
      <w:r>
        <w:rPr>
          <w:rFonts w:ascii="Times New Roman" w:cs="Times New Roman" w:eastAsia="Times New Roman" w:hAnsi="Times New Roman"/>
          <w:sz w:val="18"/>
          <w:szCs w:val="18"/>
          <w:color w:val="auto"/>
        </w:rPr>
        <w:t>. I understand and acknowledge that my obligations under this Agreement shall survive the termination of my Engagement regardless of the manner of such termination and shall be binding upon my heirs, executors, administrators, legal representatives, and assigns. I also understand and acknowledge that this Agreement shall be binding upon and shall inure to the benefit of the subsidiaries, affiliates, successors, and assigns of the Company, including any person(s) or entity(ies) Person that acquires all or substantially all of the assets of the Company, whether by merger, consolidation, or otherwise. This Agreement does not create, and shall not be interpreted or construed to create, any rights enforceable by any person not a party to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 acknowledge and agree that money damages for the breach or threatened breach of my obligations under this Agreement would be inadequate to properly compensate for losses resulting from my breach. Accordingly, I agree that in the event of a breach or threatened breach by me of any said undertakings, the Company will be entitled to temporary and permanent injunctive relief in any court of competent jurisdiction (without the need to post bond and without proving that damages would be inadequate). The rights and remedies provided for or in this Agreement are cumulative and shall be in addition to rights and remedies otherwise available to the parties hereunder or under any other agreement or applicable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and interpretation of this Agreement shall be governed by, and construed and enforced in accordance with, the laws of the State of New York applicable to agreements made and to be performed entirely within such state (excluding the conflicts of laws provisions thereof). Any claim or action relating to or arising out of this Agreement or the subject matter hereof shall be subject to the arbitration provisions set forth in the offer letter, or in the event that there are no such provisions or they are not enforceable, then I expressly consent that any action, suit, or proceeding relating to or arising out of this Agreement or the subject matter hereof may be brought exclusively in any federal or state court sitting in the State of New York. I hereby waive and agree not to assert in any such action, suit, or proceeding, in each case to the fullest extent permitted by applicable law, any claim that (i) I am not personally subject to the jurisdiction of any such court; (ii) any such action, suit, or proceeding is brought in an inconvenient forum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(iii) the venue of any such action, suit, or proceeding is improper. </w:t>
      </w:r>
      <w:r>
        <w:rPr>
          <w:rFonts w:ascii="Times New Roman" w:cs="Times New Roman" w:eastAsia="Times New Roman" w:hAnsi="Times New Roman"/>
          <w:sz w:val="18"/>
          <w:szCs w:val="18"/>
          <w:b w:val="1"/>
          <w:bCs w:val="1"/>
          <w:color w:val="auto"/>
        </w:rPr>
        <w:t>THE PARTIES EXPRESSLY AND</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KNOWINGLY WAIVE ANY RIGHT TO A JURY TRIAL IN THE EVENT ANY ACTION ARISING UNDER OR IN CONNECTION WITH THIS AGREEMENT IS LITIGATED OR HEARD IN ANY COURT.</w:t>
      </w:r>
    </w:p>
    <w:p>
      <w:pPr>
        <w:spacing w:after="0" w:line="18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portion of any provision, of this Agreement shall be held or deemed to be invalid, inoperative, or unenforceable for any reason, the remaining provisions of this Agreement and the remaining portion of any provision held invalid, inoperative, or unenforceable in part shall continue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Amendments</w:t>
      </w:r>
      <w:r>
        <w:rPr>
          <w:rFonts w:ascii="Times New Roman" w:cs="Times New Roman" w:eastAsia="Times New Roman" w:hAnsi="Times New Roman"/>
          <w:sz w:val="18"/>
          <w:szCs w:val="18"/>
          <w:color w:val="auto"/>
        </w:rPr>
        <w:t>. No delay or omission by either party in exercising any right under this Agreement shall operate as a waiver of that or any other right. This Agreement may not be altered, modified, or amended, in whole or in part, except by an agreement in writing signed by a duly authorized officer of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purposes of this Agreement, all notices and other communications required or permitted hereunder shall be in writing and shall be deemed to have been duly given: (i) when delivered personally; (ii) on the business day following the day such notice or other communication is sent by recognized overnight courier; (iii) when sent by facsimile transmission; or (iv) if sent by certified or registered mail, postage prepaid, on the date of actual receipt thereof. Such communications shall be addressed to the respective addresses set forth on the first page of the letter from the Company offering employment (with any such communication to the Company directed to the attention of the General Counsel), or to such other address as either party may have furnished to the other in writing in accordance herewith, except that notice of change of address shall be effective only on the date of actual receipt thereof.</w:t>
      </w:r>
    </w:p>
    <w:p>
      <w:pPr>
        <w:sectPr>
          <w:pgSz w:w="11900" w:h="16838" w:orient="portrait"/>
          <w:cols w:equalWidth="0" w:num="1">
            <w:col w:w="11240"/>
          </w:cols>
          <w:pgMar w:left="320" w:top="1417" w:right="339" w:bottom="1440" w:gutter="0" w:footer="0" w:header="0"/>
        </w:sectPr>
      </w:pPr>
    </w:p>
    <w:bookmarkStart w:id="163" w:name="page164"/>
    <w:bookmarkEnd w:id="163"/>
    <w:p>
      <w:pPr>
        <w:jc w:val="both"/>
        <w:ind w:firstLine="1304"/>
        <w:spacing w:after="0" w:line="266" w:lineRule="auto"/>
        <w:tabs>
          <w:tab w:leader="none" w:pos="17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Engagement</w:t>
      </w:r>
      <w:r>
        <w:rPr>
          <w:rFonts w:ascii="Times New Roman" w:cs="Times New Roman" w:eastAsia="Times New Roman" w:hAnsi="Times New Roman"/>
          <w:sz w:val="18"/>
          <w:szCs w:val="18"/>
          <w:color w:val="auto"/>
        </w:rPr>
        <w:t>. I understand and agree that this Agreement does not constitute a contract of employment, retention or engagement or obligate the Company to employ, retain or engage me for any specified period of time, nor shall this Agreement be interpreted in any way to interfere with any right the Company has, or any right I have, to terminate my Engagement at any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Headings</w:t>
      </w:r>
      <w:r>
        <w:rPr>
          <w:rFonts w:ascii="Times New Roman" w:cs="Times New Roman" w:eastAsia="Times New Roman" w:hAnsi="Times New Roman"/>
          <w:sz w:val="18"/>
          <w:szCs w:val="18"/>
          <w:color w:val="auto"/>
        </w:rPr>
        <w:t>. This Agreement may be executed in one or more counterparts, each of which when so executed shall be deemed an original and all of which, when taken together, shall constitute one and the same instrument. Headings and subheadings are for convenience only and shall in no way affect the interpretation of any provision of this Agreement or of the Agreement itself.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164" w:name="page165"/>
    <w:bookmarkEnd w:id="164"/>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each party has caused this Agreement to be executed on its behalf by an officer thereunto duly authorized, all as of the date set forth above.</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__________________________</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INSERT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_</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417" w:right="339" w:bottom="1440" w:gutter="0" w:footer="0" w:header="0"/>
        </w:sectPr>
      </w:pPr>
    </w:p>
    <w:bookmarkStart w:id="165" w:name="page166"/>
    <w:bookmarkEnd w:id="16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ind w:left="3780"/>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ind w:left="3720"/>
        <w:spacing w:after="0"/>
        <w:rPr>
          <w:sz w:val="20"/>
          <w:szCs w:val="20"/>
          <w:color w:val="auto"/>
        </w:rPr>
      </w:pPr>
      <w:r>
        <w:rPr>
          <w:rFonts w:ascii="Times New Roman" w:cs="Times New Roman" w:eastAsia="Times New Roman" w:hAnsi="Times New Roman"/>
          <w:sz w:val="20"/>
          <w:szCs w:val="20"/>
          <w:b w:val="1"/>
          <w:bCs w:val="1"/>
          <w:u w:val="single" w:color="auto"/>
          <w:color w:val="auto"/>
        </w:rPr>
        <w:t>COMMON STOCK AWARD AGREEMENT</w:t>
      </w:r>
    </w:p>
    <w:p>
      <w:pPr>
        <w:spacing w:after="0" w:line="140"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THIS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 2021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Douglas A. Cifu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may be granted; and</w:t>
      </w:r>
    </w:p>
    <w:p>
      <w:pPr>
        <w:spacing w:after="0" w:line="105"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9"/>
          <w:szCs w:val="19"/>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2020 through December 31, 2020 provided for herein to the Participant subject to the terms set forth herein.</w:t>
      </w:r>
    </w:p>
    <w:p>
      <w:pPr>
        <w:spacing w:after="0" w:line="102"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w:t>
      </w:r>
    </w:p>
    <w:p>
      <w:pPr>
        <w:spacing w:after="0" w:line="219" w:lineRule="exact"/>
        <w:rPr>
          <w:rFonts w:ascii="Times New Roman" w:cs="Times New Roman" w:eastAsia="Times New Roman" w:hAnsi="Times New Roman"/>
          <w:sz w:val="20"/>
          <w:szCs w:val="20"/>
          <w:b w:val="1"/>
          <w:bCs w:val="1"/>
          <w:color w:val="auto"/>
        </w:rPr>
      </w:pPr>
    </w:p>
    <w:p>
      <w:pPr>
        <w:ind w:right="420" w:firstLine="656"/>
        <w:spacing w:after="0" w:line="269" w:lineRule="auto"/>
        <w:tabs>
          <w:tab w:leader="none" w:pos="1065"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of 125,000 shares of Class A Common Stock on the terms and conditions set forth in this Agreement and as otherwise provided in the Plan.</w:t>
      </w:r>
    </w:p>
    <w:p>
      <w:pPr>
        <w:spacing w:after="0" w:line="159" w:lineRule="exact"/>
        <w:rPr>
          <w:rFonts w:ascii="Times New Roman" w:cs="Times New Roman" w:eastAsia="Times New Roman" w:hAnsi="Times New Roman"/>
          <w:sz w:val="20"/>
          <w:szCs w:val="20"/>
          <w:color w:val="auto"/>
        </w:rPr>
      </w:pPr>
    </w:p>
    <w:p>
      <w:pPr>
        <w:ind w:firstLine="656"/>
        <w:spacing w:after="0" w:line="259" w:lineRule="auto"/>
        <w:tabs>
          <w:tab w:leader="none" w:pos="1076"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and Settlement. </w:t>
      </w:r>
      <w:r>
        <w:rPr>
          <w:rFonts w:ascii="Times New Roman" w:cs="Times New Roman" w:eastAsia="Times New Roman" w:hAnsi="Times New Roman"/>
          <w:sz w:val="20"/>
          <w:szCs w:val="20"/>
          <w:color w:val="auto"/>
        </w:rPr>
        <w:t>The Shares shall be one hundred percent (100%) vested as of the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Grant.</w:t>
      </w:r>
    </w:p>
    <w:p>
      <w:pPr>
        <w:spacing w:after="0" w:line="22"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[Reserved]</w:t>
      </w:r>
    </w:p>
    <w:p>
      <w:pPr>
        <w:spacing w:after="0" w:line="189"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[Reserved]</w:t>
      </w:r>
    </w:p>
    <w:p>
      <w:pPr>
        <w:spacing w:after="0" w:line="215" w:lineRule="exact"/>
        <w:rPr>
          <w:rFonts w:ascii="Times New Roman" w:cs="Times New Roman" w:eastAsia="Times New Roman" w:hAnsi="Times New Roman"/>
          <w:sz w:val="20"/>
          <w:szCs w:val="20"/>
          <w:b w:val="1"/>
          <w:bCs w:val="1"/>
          <w:color w:val="auto"/>
        </w:rPr>
      </w:pPr>
    </w:p>
    <w:p>
      <w:pPr>
        <w:jc w:val="both"/>
        <w:ind w:right="120" w:firstLine="8"/>
        <w:spacing w:after="0" w:line="256" w:lineRule="auto"/>
        <w:tabs>
          <w:tab w:leader="none" w:pos="346"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unless, until and to the extent that the Company shall have issued and delivered to the Participant the shares of Class A Common Stock constituting the Shares and (ii) the Participant’s name shall have been entered as a stockholder of record</w:t>
      </w:r>
    </w:p>
    <w:p>
      <w:pPr>
        <w:sectPr>
          <w:pgSz w:w="11900" w:h="16838" w:orient="portrait"/>
          <w:cols w:equalWidth="0" w:num="1">
            <w:col w:w="11220"/>
          </w:cols>
          <w:pgMar w:left="320" w:top="1409" w:right="359" w:bottom="1440" w:gutter="0" w:footer="0" w:header="0"/>
        </w:sectPr>
      </w:pPr>
    </w:p>
    <w:bookmarkStart w:id="166" w:name="page167"/>
    <w:bookmarkEnd w:id="166"/>
    <w:p>
      <w:pPr>
        <w:ind w:right="520"/>
        <w:spacing w:after="0" w:line="254" w:lineRule="auto"/>
        <w:rPr>
          <w:sz w:val="20"/>
          <w:szCs w:val="20"/>
          <w:color w:val="auto"/>
        </w:rPr>
      </w:pPr>
      <w:r>
        <w:rPr>
          <w:rFonts w:ascii="Times New Roman" w:cs="Times New Roman" w:eastAsia="Times New Roman" w:hAnsi="Times New Roman"/>
          <w:sz w:val="20"/>
          <w:szCs w:val="20"/>
          <w:color w:val="auto"/>
        </w:rPr>
        <w:t>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0"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120" w:firstLine="656"/>
        <w:spacing w:after="0" w:line="246" w:lineRule="auto"/>
        <w:tabs>
          <w:tab w:leader="none" w:pos="106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of the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4" w:lineRule="exact"/>
        <w:rPr>
          <w:rFonts w:ascii="Times New Roman" w:cs="Times New Roman" w:eastAsia="Times New Roman" w:hAnsi="Times New Roman"/>
          <w:sz w:val="20"/>
          <w:szCs w:val="20"/>
          <w:color w:val="auto"/>
        </w:rPr>
      </w:pPr>
    </w:p>
    <w:p>
      <w:pPr>
        <w:ind w:right="20" w:firstLine="656"/>
        <w:spacing w:after="0" w:line="243" w:lineRule="auto"/>
        <w:tabs>
          <w:tab w:leader="none" w:pos="107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from the Shares having a Fair Market Value equal to such withholding liability.</w:t>
      </w:r>
    </w:p>
    <w:p>
      <w:pPr>
        <w:spacing w:after="0" w:line="185" w:lineRule="exact"/>
        <w:rPr>
          <w:rFonts w:ascii="Times New Roman" w:cs="Times New Roman" w:eastAsia="Times New Roman" w:hAnsi="Times New Roman"/>
          <w:sz w:val="20"/>
          <w:szCs w:val="20"/>
          <w:color w:val="auto"/>
        </w:rPr>
      </w:pPr>
    </w:p>
    <w:p>
      <w:pPr>
        <w:ind w:firstLine="8"/>
        <w:spacing w:after="0" w:line="242" w:lineRule="auto"/>
        <w:tabs>
          <w:tab w:leader="none" w:pos="346"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if the Participant,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sale or other transfer of the Shares and must promptly repay such amounts to the Company. If the Participant receives any amount in excess of what the Participant should have received with respect to the Shares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shall be subject (including on a retroactive basis) to clawback, forfeiture or similar requirements (and such requirements shall be deemed incorporated by reference into this Agreement).</w:t>
      </w:r>
    </w:p>
    <w:p>
      <w:pPr>
        <w:spacing w:after="0" w:line="184"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380" w:firstLine="656"/>
        <w:spacing w:after="0" w:line="254" w:lineRule="auto"/>
        <w:tabs>
          <w:tab w:leader="none" w:pos="106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67" w:name="page168"/>
    <w:bookmarkEnd w:id="167"/>
    <w:p>
      <w:pPr>
        <w:ind w:left="-8" w:right="260" w:firstLine="656"/>
        <w:spacing w:after="0" w:line="254" w:lineRule="auto"/>
        <w:tabs>
          <w:tab w:leader="none" w:pos="106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0" w:lineRule="exact"/>
        <w:rPr>
          <w:rFonts w:ascii="Times New Roman" w:cs="Times New Roman" w:eastAsia="Times New Roman" w:hAnsi="Times New Roman"/>
          <w:sz w:val="20"/>
          <w:szCs w:val="20"/>
          <w:color w:val="auto"/>
        </w:rPr>
      </w:pPr>
    </w:p>
    <w:p>
      <w:pPr>
        <w:ind w:left="352" w:hanging="352"/>
        <w:spacing w:after="0"/>
        <w:tabs>
          <w:tab w:leader="none" w:pos="352"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72" w:hanging="424"/>
        <w:spacing w:after="0"/>
        <w:tabs>
          <w:tab w:leader="none" w:pos="107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8" w:right="100" w:firstLine="656"/>
        <w:spacing w:after="0" w:line="249" w:lineRule="auto"/>
        <w:tabs>
          <w:tab w:leader="none" w:pos="106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9" w:lineRule="exact"/>
        <w:rPr>
          <w:rFonts w:ascii="Times New Roman" w:cs="Times New Roman" w:eastAsia="Times New Roman" w:hAnsi="Times New Roman"/>
          <w:sz w:val="20"/>
          <w:szCs w:val="20"/>
          <w:color w:val="auto"/>
        </w:rPr>
      </w:pPr>
    </w:p>
    <w:p>
      <w:pPr>
        <w:ind w:left="-8" w:right="220" w:firstLine="656"/>
        <w:spacing w:after="0" w:line="244" w:lineRule="auto"/>
        <w:tabs>
          <w:tab w:leader="none" w:pos="105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w:t>
      </w:r>
    </w:p>
    <w:p>
      <w:pPr>
        <w:spacing w:after="0" w:line="185" w:lineRule="exact"/>
        <w:rPr>
          <w:rFonts w:ascii="Times New Roman" w:cs="Times New Roman" w:eastAsia="Times New Roman" w:hAnsi="Times New Roman"/>
          <w:sz w:val="20"/>
          <w:szCs w:val="20"/>
          <w:color w:val="auto"/>
        </w:rPr>
      </w:pPr>
    </w:p>
    <w:p>
      <w:pPr>
        <w:ind w:left="1072" w:hanging="424"/>
        <w:spacing w:after="0"/>
        <w:tabs>
          <w:tab w:leader="none" w:pos="107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8" w:right="180" w:firstLine="656"/>
        <w:spacing w:after="0" w:line="246" w:lineRule="auto"/>
        <w:tabs>
          <w:tab w:leader="none" w:pos="105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4" w:lineRule="exact"/>
        <w:rPr>
          <w:rFonts w:ascii="Times New Roman" w:cs="Times New Roman" w:eastAsia="Times New Roman" w:hAnsi="Times New Roman"/>
          <w:sz w:val="20"/>
          <w:szCs w:val="20"/>
          <w:color w:val="auto"/>
        </w:rPr>
      </w:pPr>
    </w:p>
    <w:p>
      <w:pPr>
        <w:ind w:left="-8" w:right="100" w:firstLine="656"/>
        <w:spacing w:after="0" w:line="254" w:lineRule="auto"/>
        <w:tabs>
          <w:tab w:leader="none" w:pos="103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left="-8" w:firstLine="656"/>
        <w:spacing w:after="0" w:line="249" w:lineRule="auto"/>
        <w:tabs>
          <w:tab w:leader="none" w:pos="106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0"/>
          <w:szCs w:val="20"/>
          <w:color w:val="auto"/>
        </w:rPr>
      </w:pPr>
    </w:p>
    <w:p>
      <w:pPr>
        <w:ind w:left="-8" w:right="300" w:firstLine="656"/>
        <w:spacing w:after="0" w:line="254" w:lineRule="auto"/>
        <w:tabs>
          <w:tab w:leader="none" w:pos="106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pursuant to Section 12 of the Plan or otherwise, the Company shall be entitled to pay to the Participant an amount in cash equal to the Fair Market Value of such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32"/>
          </w:cols>
          <w:pgMar w:left="328" w:top="1413" w:right="339" w:bottom="1440" w:gutter="0" w:footer="0" w:header="0"/>
        </w:sectPr>
      </w:pPr>
    </w:p>
    <w:bookmarkStart w:id="168" w:name="page169"/>
    <w:bookmarkEnd w:id="168"/>
    <w:p>
      <w:pPr>
        <w:ind w:right="700" w:firstLine="656"/>
        <w:spacing w:after="0" w:line="269" w:lineRule="auto"/>
        <w:tabs>
          <w:tab w:leader="none" w:pos="103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200" w:firstLine="656"/>
        <w:spacing w:after="0" w:line="269" w:lineRule="auto"/>
        <w:tabs>
          <w:tab w:leader="none" w:pos="103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right="160" w:firstLine="656"/>
        <w:spacing w:after="0" w:line="249" w:lineRule="auto"/>
        <w:tabs>
          <w:tab w:leader="none" w:pos="107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79" w:lineRule="exact"/>
        <w:rPr>
          <w:rFonts w:ascii="Times New Roman" w:cs="Times New Roman" w:eastAsia="Times New Roman" w:hAnsi="Times New Roman"/>
          <w:sz w:val="20"/>
          <w:szCs w:val="20"/>
          <w:color w:val="auto"/>
        </w:rPr>
      </w:pPr>
    </w:p>
    <w:p>
      <w:pPr>
        <w:ind w:right="360" w:firstLine="656"/>
        <w:spacing w:after="0" w:line="254" w:lineRule="auto"/>
        <w:tabs>
          <w:tab w:leader="none" w:pos="103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43" w:lineRule="auto"/>
        <w:tabs>
          <w:tab w:leader="none" w:pos="1693"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Times New Roman" w:cs="Times New Roman" w:eastAsia="Times New Roman" w:hAnsi="Times New Roman"/>
          <w:sz w:val="20"/>
          <w:szCs w:val="20"/>
          <w:color w:val="auto"/>
        </w:rPr>
      </w:pPr>
    </w:p>
    <w:p>
      <w:pPr>
        <w:ind w:left="660" w:firstLine="644"/>
        <w:spacing w:after="0" w:line="245" w:lineRule="auto"/>
        <w:tabs>
          <w:tab w:leader="none" w:pos="174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20"/>
          <w:szCs w:val="20"/>
          <w:color w:val="auto"/>
        </w:rPr>
      </w:pPr>
    </w:p>
    <w:p>
      <w:pPr>
        <w:jc w:val="both"/>
        <w:ind w:right="280" w:firstLine="656"/>
        <w:spacing w:after="0" w:line="254" w:lineRule="auto"/>
        <w:tabs>
          <w:tab w:leader="none" w:pos="113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69" w:name="page170"/>
    <w:bookmarkEnd w:id="169"/>
    <w:p>
      <w:pPr>
        <w:ind w:left="-40" w:right="100" w:firstLine="656"/>
        <w:spacing w:after="0" w:line="254" w:lineRule="auto"/>
        <w:tabs>
          <w:tab w:leader="none" w:pos="1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left="-40" w:firstLine="656"/>
        <w:spacing w:after="0" w:line="246" w:lineRule="auto"/>
        <w:tabs>
          <w:tab w:leader="none" w:pos="1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4" w:lineRule="exact"/>
        <w:rPr>
          <w:rFonts w:ascii="Times New Roman" w:cs="Times New Roman" w:eastAsia="Times New Roman" w:hAnsi="Times New Roman"/>
          <w:sz w:val="20"/>
          <w:szCs w:val="20"/>
          <w:color w:val="auto"/>
        </w:rPr>
      </w:pPr>
    </w:p>
    <w:p>
      <w:pPr>
        <w:ind w:left="-40" w:right="100" w:firstLine="656"/>
        <w:spacing w:after="0" w:line="249" w:lineRule="auto"/>
        <w:tabs>
          <w:tab w:leader="none" w:pos="10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60" w:top="1413" w:right="359" w:bottom="1440" w:gutter="0" w:footer="0" w:header="0"/>
        </w:sectPr>
      </w:pPr>
    </w:p>
    <w:bookmarkStart w:id="170" w:name="page171"/>
    <w:bookmarkEnd w:id="170"/>
    <w:p>
      <w:pPr>
        <w:ind w:left="880"/>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-10795</wp:posOffset>
            </wp:positionV>
            <wp:extent cx="1257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Name: Robert Greifeld</w:t>
      </w:r>
    </w:p>
    <w:p>
      <w:pPr>
        <w:ind w:left="390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582930</wp:posOffset>
            </wp:positionV>
            <wp:extent cx="1257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Douglas A. Cifu</w:t>
      </w:r>
    </w:p>
    <w:p>
      <w:pPr>
        <w:sectPr>
          <w:pgSz w:w="11900" w:h="16838" w:orient="portrait"/>
          <w:cols w:equalWidth="0" w:num="1">
            <w:col w:w="10720"/>
          </w:cols>
          <w:pgMar w:left="320" w:top="1413" w:right="85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 2021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Douglas A. Cifu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ind w:right="5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2020 through December 31, 2020, and RSUs provided for herein to the Participant subject to the terms set forth herein.</w:t>
      </w:r>
    </w:p>
    <w:p>
      <w:pPr>
        <w:spacing w:after="0" w:line="126"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w:t>
      </w:r>
    </w:p>
    <w:p>
      <w:pPr>
        <w:spacing w:after="0" w:line="21" w:lineRule="exact"/>
        <w:rPr>
          <w:rFonts w:ascii="Times New Roman" w:cs="Times New Roman" w:eastAsia="Times New Roman" w:hAnsi="Times New Roman"/>
          <w:sz w:val="20"/>
          <w:szCs w:val="20"/>
          <w:color w:val="auto"/>
        </w:rPr>
      </w:pPr>
    </w:p>
    <w:p>
      <w:pPr>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$1,000,000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 $1,500,000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6" w:lineRule="exact"/>
        <w:rPr>
          <w:rFonts w:ascii="Times New Roman" w:cs="Times New Roman" w:eastAsia="Times New Roman" w:hAnsi="Times New Roman"/>
          <w:sz w:val="20"/>
          <w:szCs w:val="20"/>
          <w:color w:val="auto"/>
        </w:rPr>
      </w:pPr>
    </w:p>
    <w:p>
      <w:pPr>
        <w:ind w:firstLine="656"/>
        <w:spacing w:after="0" w:line="259" w:lineRule="auto"/>
        <w:tabs>
          <w:tab w:leader="none" w:pos="107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20" w:firstLine="656"/>
        <w:spacing w:after="0" w:line="269" w:lineRule="auto"/>
        <w:tabs>
          <w:tab w:leader="none" w:pos="107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w:t>
      </w:r>
    </w:p>
    <w:p>
      <w:pPr>
        <w:sectPr>
          <w:pgSz w:w="11900" w:h="16838" w:orient="portrait"/>
          <w:cols w:equalWidth="0" w:num="1">
            <w:col w:w="11220"/>
          </w:cols>
          <w:pgMar w:left="320" w:top="1409" w:right="359" w:bottom="1440" w:gutter="0" w:footer="0" w:header="0"/>
        </w:sectPr>
      </w:pPr>
    </w:p>
    <w:bookmarkStart w:id="172" w:name="page173"/>
    <w:bookmarkEnd w:id="172"/>
    <w:p>
      <w:pPr>
        <w:spacing w:after="0" w:line="249" w:lineRule="auto"/>
        <w:rPr>
          <w:sz w:val="20"/>
          <w:szCs w:val="20"/>
          <w:color w:val="auto"/>
        </w:rPr>
      </w:pPr>
      <w:r>
        <w:rPr>
          <w:rFonts w:ascii="Times New Roman" w:cs="Times New Roman" w:eastAsia="Times New Roman" w:hAnsi="Times New Roman"/>
          <w:sz w:val="20"/>
          <w:szCs w:val="20"/>
          <w:color w:val="auto"/>
        </w:rPr>
        <w:t>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sz w:val="20"/>
          <w:szCs w:val="20"/>
          <w:color w:val="auto"/>
        </w:rPr>
      </w:pPr>
    </w:p>
    <w:p>
      <w:pPr>
        <w:ind w:right="460" w:firstLine="656"/>
        <w:spacing w:after="0" w:line="269" w:lineRule="auto"/>
        <w:tabs>
          <w:tab w:leader="none" w:pos="106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40" w:firstLine="8"/>
        <w:spacing w:after="0" w:line="250" w:lineRule="auto"/>
        <w:tabs>
          <w:tab w:leader="none" w:pos="346"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5" w:lineRule="exact"/>
        <w:rPr>
          <w:rFonts w:ascii="Times New Roman" w:cs="Times New Roman" w:eastAsia="Times New Roman" w:hAnsi="Times New Roman"/>
          <w:sz w:val="20"/>
          <w:szCs w:val="20"/>
          <w:b w:val="1"/>
          <w:bCs w:val="1"/>
          <w:color w:val="auto"/>
        </w:rPr>
      </w:pPr>
    </w:p>
    <w:p>
      <w:pPr>
        <w:ind w:right="100" w:firstLine="8"/>
        <w:spacing w:after="0" w:line="242" w:lineRule="auto"/>
        <w:tabs>
          <w:tab w:leader="none" w:pos="343"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reason, all unvested RSUs shall be cancelled immediately and the Participant shall not be entitled to receive any payments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 (x)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82" w:lineRule="exact"/>
        <w:rPr>
          <w:rFonts w:ascii="Times New Roman" w:cs="Times New Roman" w:eastAsia="Times New Roman" w:hAnsi="Times New Roman"/>
          <w:sz w:val="20"/>
          <w:szCs w:val="20"/>
          <w:b w:val="1"/>
          <w:bCs w:val="1"/>
          <w:color w:val="auto"/>
        </w:rPr>
      </w:pPr>
    </w:p>
    <w:p>
      <w:pPr>
        <w:ind w:right="120" w:firstLine="8"/>
        <w:spacing w:after="0" w:line="246" w:lineRule="auto"/>
        <w:tabs>
          <w:tab w:leader="none" w:pos="346"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8"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100" w:firstLine="656"/>
        <w:spacing w:after="0" w:line="274" w:lineRule="auto"/>
        <w:tabs>
          <w:tab w:leader="none" w:pos="1065"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13" w:right="359" w:bottom="1440" w:gutter="0" w:footer="0" w:header="0"/>
        </w:sectPr>
      </w:pPr>
    </w:p>
    <w:bookmarkStart w:id="173" w:name="page174"/>
    <w:bookmarkEnd w:id="173"/>
    <w:p>
      <w:pPr>
        <w:ind w:right="260"/>
        <w:spacing w:after="0" w:line="269" w:lineRule="auto"/>
        <w:rPr>
          <w:sz w:val="20"/>
          <w:szCs w:val="20"/>
          <w:color w:val="auto"/>
        </w:rPr>
      </w:pPr>
      <w:r>
        <w:rPr>
          <w:rFonts w:ascii="Times New Roman" w:cs="Times New Roman" w:eastAsia="Times New Roman" w:hAnsi="Times New Roman"/>
          <w:sz w:val="20"/>
          <w:szCs w:val="20"/>
          <w:color w:val="auto"/>
        </w:rPr>
        <w:t>take all steps the Committee or the Company determines are reasonably necessary to comply with all applicable provisions of U.S. federal and state securities law and non-U.S. securities law in exercising his rights under this Agreement.</w:t>
      </w:r>
    </w:p>
    <w:p>
      <w:pPr>
        <w:spacing w:after="0" w:line="159" w:lineRule="exact"/>
        <w:rPr>
          <w:sz w:val="20"/>
          <w:szCs w:val="20"/>
          <w:color w:val="auto"/>
        </w:rPr>
      </w:pPr>
    </w:p>
    <w:p>
      <w:pPr>
        <w:ind w:firstLine="656"/>
        <w:spacing w:after="0" w:line="242" w:lineRule="auto"/>
        <w:tabs>
          <w:tab w:leader="none" w:pos="107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9" w:lineRule="exact"/>
        <w:rPr>
          <w:rFonts w:ascii="Times New Roman" w:cs="Times New Roman" w:eastAsia="Times New Roman" w:hAnsi="Times New Roman"/>
          <w:sz w:val="20"/>
          <w:szCs w:val="20"/>
          <w:b w:val="1"/>
          <w:bCs w:val="1"/>
          <w:color w:val="auto"/>
        </w:rPr>
      </w:pPr>
    </w:p>
    <w:p>
      <w:pPr>
        <w:ind w:left="360" w:hanging="352"/>
        <w:spacing w:after="0"/>
        <w:tabs>
          <w:tab w:leader="none" w:pos="36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360" w:firstLine="656"/>
        <w:spacing w:after="0" w:line="254" w:lineRule="auto"/>
        <w:tabs>
          <w:tab w:leader="none" w:pos="106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13" w:right="359" w:bottom="1440" w:gutter="0" w:footer="0" w:header="0"/>
        </w:sectPr>
      </w:pPr>
    </w:p>
    <w:bookmarkStart w:id="174" w:name="page175"/>
    <w:bookmarkEnd w:id="174"/>
    <w:p>
      <w:pPr>
        <w:ind w:right="200"/>
        <w:spacing w:after="0" w:line="254" w:lineRule="auto"/>
        <w:rPr>
          <w:sz w:val="20"/>
          <w:szCs w:val="20"/>
          <w:color w:val="auto"/>
        </w:rPr>
      </w:pPr>
      <w:r>
        <w:rPr>
          <w:rFonts w:ascii="Times New Roman" w:cs="Times New Roman" w:eastAsia="Times New Roman" w:hAnsi="Times New Roman"/>
          <w:sz w:val="20"/>
          <w:szCs w:val="20"/>
          <w:color w:val="auto"/>
        </w:rPr>
        <w:t>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2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otherwise permitted under Section 15(b) of the Plan. Any attempted Transfer of the RSUs contrary to the provisions hereof, and the levy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execution, attachment or similar process upon the RSUs, shall be null and void and without effect.</w:t>
      </w:r>
    </w:p>
    <w:p>
      <w:pPr>
        <w:spacing w:after="0" w:line="194" w:lineRule="exact"/>
        <w:rPr>
          <w:sz w:val="20"/>
          <w:szCs w:val="20"/>
          <w:color w:val="auto"/>
        </w:rPr>
      </w:pPr>
    </w:p>
    <w:p>
      <w:pPr>
        <w:ind w:right="100" w:firstLine="656"/>
        <w:spacing w:after="0" w:line="249" w:lineRule="auto"/>
        <w:tabs>
          <w:tab w:leader="none" w:pos="1076"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9" w:lineRule="exact"/>
        <w:rPr>
          <w:rFonts w:ascii="Times New Roman" w:cs="Times New Roman" w:eastAsia="Times New Roman" w:hAnsi="Times New Roman"/>
          <w:sz w:val="20"/>
          <w:szCs w:val="20"/>
          <w:color w:val="auto"/>
        </w:rPr>
      </w:pPr>
    </w:p>
    <w:p>
      <w:pPr>
        <w:ind w:right="200" w:firstLine="656"/>
        <w:spacing w:after="0" w:line="256" w:lineRule="auto"/>
        <w:tabs>
          <w:tab w:leader="none" w:pos="1065"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w:t>
      </w:r>
    </w:p>
    <w:p>
      <w:pPr>
        <w:spacing w:after="0" w:line="4"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to the maximum extent practicable, the original intent and economic benefit to the Participant of the applicable provision</w:t>
      </w:r>
    </w:p>
    <w:p>
      <w:pPr>
        <w:jc w:val="both"/>
        <w:ind w:right="2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right="100" w:firstLine="656"/>
        <w:spacing w:after="0" w:line="254" w:lineRule="auto"/>
        <w:tabs>
          <w:tab w:leader="none" w:pos="107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180" w:firstLine="656"/>
        <w:spacing w:after="0" w:line="246" w:lineRule="auto"/>
        <w:tabs>
          <w:tab w:leader="none" w:pos="106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4" w:lineRule="exact"/>
        <w:rPr>
          <w:rFonts w:ascii="Times New Roman" w:cs="Times New Roman" w:eastAsia="Times New Roman" w:hAnsi="Times New Roman"/>
          <w:sz w:val="20"/>
          <w:szCs w:val="20"/>
          <w:color w:val="auto"/>
        </w:rPr>
      </w:pPr>
    </w:p>
    <w:p>
      <w:pPr>
        <w:ind w:right="100" w:firstLine="656"/>
        <w:spacing w:after="0" w:line="254" w:lineRule="auto"/>
        <w:tabs>
          <w:tab w:leader="none" w:pos="104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75" w:name="page176"/>
    <w:bookmarkEnd w:id="175"/>
    <w:p>
      <w:pPr>
        <w:ind w:firstLine="656"/>
        <w:spacing w:after="0" w:line="249" w:lineRule="auto"/>
        <w:tabs>
          <w:tab w:leader="none" w:pos="107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0"/>
          <w:szCs w:val="20"/>
          <w:color w:val="auto"/>
        </w:rPr>
      </w:pPr>
    </w:p>
    <w:p>
      <w:pPr>
        <w:jc w:val="both"/>
        <w:ind w:right="140" w:firstLine="656"/>
        <w:spacing w:after="0" w:line="254" w:lineRule="auto"/>
        <w:tabs>
          <w:tab w:leader="none" w:pos="107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right="700" w:firstLine="656"/>
        <w:spacing w:after="0" w:line="269" w:lineRule="auto"/>
        <w:tabs>
          <w:tab w:leader="none" w:pos="103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200" w:firstLine="656"/>
        <w:spacing w:after="0" w:line="269" w:lineRule="auto"/>
        <w:tabs>
          <w:tab w:leader="none" w:pos="103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right="160" w:firstLine="656"/>
        <w:spacing w:after="0" w:line="249" w:lineRule="auto"/>
        <w:tabs>
          <w:tab w:leader="none" w:pos="107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79" w:lineRule="exact"/>
        <w:rPr>
          <w:rFonts w:ascii="Times New Roman" w:cs="Times New Roman" w:eastAsia="Times New Roman" w:hAnsi="Times New Roman"/>
          <w:sz w:val="20"/>
          <w:szCs w:val="20"/>
          <w:color w:val="auto"/>
        </w:rPr>
      </w:pPr>
    </w:p>
    <w:p>
      <w:pPr>
        <w:ind w:right="360" w:firstLine="656"/>
        <w:spacing w:after="0" w:line="254" w:lineRule="auto"/>
        <w:tabs>
          <w:tab w:leader="none" w:pos="103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43" w:lineRule="auto"/>
        <w:tabs>
          <w:tab w:leader="none" w:pos="169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Times New Roman" w:cs="Times New Roman" w:eastAsia="Times New Roman" w:hAnsi="Times New Roman"/>
          <w:sz w:val="20"/>
          <w:szCs w:val="20"/>
          <w:color w:val="auto"/>
        </w:rPr>
      </w:pPr>
    </w:p>
    <w:p>
      <w:pPr>
        <w:ind w:left="660" w:firstLine="644"/>
        <w:spacing w:after="0" w:line="274" w:lineRule="auto"/>
        <w:tabs>
          <w:tab w:leader="none" w:pos="1747"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76" w:name="page177"/>
    <w:bookmarkEnd w:id="176"/>
    <w:p>
      <w:pPr>
        <w:ind w:left="640"/>
        <w:spacing w:after="0" w:line="254" w:lineRule="auto"/>
        <w:rPr>
          <w:sz w:val="20"/>
          <w:szCs w:val="20"/>
          <w:color w:val="auto"/>
        </w:rPr>
      </w:pPr>
      <w:r>
        <w:rPr>
          <w:rFonts w:ascii="Times New Roman" w:cs="Times New Roman" w:eastAsia="Times New Roman" w:hAnsi="Times New Roman"/>
          <w:sz w:val="20"/>
          <w:szCs w:val="20"/>
          <w:color w:val="auto"/>
        </w:rPr>
        <w:t>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4" w:lineRule="exact"/>
        <w:rPr>
          <w:sz w:val="20"/>
          <w:szCs w:val="20"/>
          <w:color w:val="auto"/>
        </w:rPr>
      </w:pPr>
    </w:p>
    <w:p>
      <w:pPr>
        <w:jc w:val="both"/>
        <w:ind w:left="-20" w:right="260" w:firstLine="656"/>
        <w:spacing w:after="0" w:line="254" w:lineRule="auto"/>
        <w:tabs>
          <w:tab w:leader="none" w:pos="111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left="-20" w:right="100" w:firstLine="656"/>
        <w:spacing w:after="0" w:line="254" w:lineRule="auto"/>
        <w:tabs>
          <w:tab w:leader="none" w:pos="10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left="-20" w:firstLine="656"/>
        <w:spacing w:after="0" w:line="246" w:lineRule="auto"/>
        <w:tabs>
          <w:tab w:leader="none" w:pos="10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4" w:lineRule="exact"/>
        <w:rPr>
          <w:rFonts w:ascii="Times New Roman" w:cs="Times New Roman" w:eastAsia="Times New Roman" w:hAnsi="Times New Roman"/>
          <w:sz w:val="20"/>
          <w:szCs w:val="20"/>
          <w:color w:val="auto"/>
        </w:rPr>
      </w:pPr>
    </w:p>
    <w:p>
      <w:pPr>
        <w:ind w:left="-20" w:right="100" w:firstLine="656"/>
        <w:spacing w:after="0" w:line="249" w:lineRule="auto"/>
        <w:tabs>
          <w:tab w:leader="none" w:pos="10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40" w:top="1413" w:right="359" w:bottom="1440" w:gutter="0" w:footer="0" w:header="0"/>
        </w:sectPr>
      </w:pPr>
    </w:p>
    <w:bookmarkStart w:id="177" w:name="page178"/>
    <w:bookmarkEnd w:id="177"/>
    <w:p>
      <w:pPr>
        <w:ind w:left="880"/>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-10795</wp:posOffset>
            </wp:positionV>
            <wp:extent cx="1257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Robert Greifeld</w:t>
      </w:r>
    </w:p>
    <w:p>
      <w:pPr>
        <w:ind w:left="390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891540</wp:posOffset>
            </wp:positionV>
            <wp:extent cx="125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Douglas A. Cifu</w:t>
      </w:r>
    </w:p>
    <w:p>
      <w:pPr>
        <w:sectPr>
          <w:pgSz w:w="11900" w:h="16838" w:orient="portrait"/>
          <w:cols w:equalWidth="0" w:num="1">
            <w:col w:w="10720"/>
          </w:cols>
          <w:pgMar w:left="320" w:top="1413" w:right="85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FF0000"/>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2015</w:t>
      </w: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 INCENTIVE PLAN EMPLOYEE</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140"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THIS RESTRICTED STOCK UNIT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June 22, 2020 (the “</w:t>
      </w:r>
      <w:r>
        <w:rPr>
          <w:rFonts w:ascii="Times New Roman" w:cs="Times New Roman" w:eastAsia="Times New Roman" w:hAnsi="Times New Roman"/>
          <w:sz w:val="20"/>
          <w:szCs w:val="20"/>
          <w:u w:val="single" w:color="auto"/>
          <w:color w:val="auto"/>
        </w:rPr>
        <w:t>Date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Joseph Molluso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ind w:right="58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jc w:val="both"/>
        <w:ind w:right="18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and the Participant entered into that certain Amended and Restated Employment Agreement, dated as of April 30, 2020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pursuant to which the Participant is entitled to receive an equity award on or about the date hereof pursuant to the foregoing terms and conditions; and</w:t>
      </w:r>
    </w:p>
    <w:p>
      <w:pPr>
        <w:spacing w:after="0" w:line="120"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105" w:lineRule="exact"/>
        <w:rPr>
          <w:sz w:val="20"/>
          <w:szCs w:val="20"/>
          <w:color w:val="auto"/>
        </w:rPr>
      </w:pPr>
    </w:p>
    <w:p>
      <w:pPr>
        <w:jc w:val="both"/>
        <w:ind w:right="14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Stock Units.</w:t>
      </w:r>
    </w:p>
    <w:p>
      <w:pPr>
        <w:spacing w:after="0" w:line="219" w:lineRule="exact"/>
        <w:rPr>
          <w:rFonts w:ascii="Times New Roman" w:cs="Times New Roman" w:eastAsia="Times New Roman" w:hAnsi="Times New Roman"/>
          <w:sz w:val="20"/>
          <w:szCs w:val="20"/>
          <w:b w:val="1"/>
          <w:bCs w:val="1"/>
          <w:color w:val="auto"/>
        </w:rPr>
      </w:pPr>
    </w:p>
    <w:p>
      <w:pPr>
        <w:jc w:val="both"/>
        <w:ind w:right="20" w:firstLine="656"/>
        <w:spacing w:after="0" w:line="254" w:lineRule="auto"/>
        <w:tabs>
          <w:tab w:leader="none" w:pos="106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200,000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74" w:lineRule="exact"/>
        <w:rPr>
          <w:rFonts w:ascii="Times New Roman" w:cs="Times New Roman" w:eastAsia="Times New Roman" w:hAnsi="Times New Roman"/>
          <w:sz w:val="20"/>
          <w:szCs w:val="20"/>
          <w:color w:val="auto"/>
        </w:rPr>
      </w:pPr>
    </w:p>
    <w:p>
      <w:pPr>
        <w:ind w:right="20" w:firstLine="656"/>
        <w:spacing w:after="0" w:line="259" w:lineRule="auto"/>
        <w:tabs>
          <w:tab w:leader="none" w:pos="107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right="60" w:firstLine="656"/>
        <w:spacing w:after="0" w:line="249" w:lineRule="auto"/>
        <w:tabs>
          <w:tab w:leader="none" w:pos="106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January 24, 2021, January 24, 2022 and January 24, 2023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w:t>
      </w:r>
    </w:p>
    <w:p>
      <w:pPr>
        <w:sectPr>
          <w:pgSz w:w="11900" w:h="16838" w:orient="portrait"/>
          <w:cols w:equalWidth="0" w:num="1">
            <w:col w:w="11240"/>
          </w:cols>
          <w:pgMar w:left="320" w:top="114" w:right="339" w:bottom="1440" w:gutter="0" w:footer="0" w:header="0"/>
        </w:sectPr>
      </w:pPr>
    </w:p>
    <w:bookmarkStart w:id="179" w:name="page180"/>
    <w:bookmarkEnd w:id="179"/>
    <w:p>
      <w:pPr>
        <w:ind w:right="140"/>
        <w:spacing w:after="0" w:line="269" w:lineRule="auto"/>
        <w:rPr>
          <w:sz w:val="20"/>
          <w:szCs w:val="20"/>
          <w:color w:val="auto"/>
        </w:rPr>
      </w:pPr>
      <w:r>
        <w:rPr>
          <w:rFonts w:ascii="Times New Roman" w:cs="Times New Roman" w:eastAsia="Times New Roman" w:hAnsi="Times New Roman"/>
          <w:sz w:val="20"/>
          <w:szCs w:val="20"/>
          <w:color w:val="auto"/>
        </w:rPr>
        <w:t>RSUs resulting from the application of the vesting schedule shall be aggregated and the RSUs resulting from such aggregation shall vest on the final Vesting Date.</w:t>
      </w:r>
    </w:p>
    <w:p>
      <w:pPr>
        <w:spacing w:after="0" w:line="159" w:lineRule="exact"/>
        <w:rPr>
          <w:sz w:val="20"/>
          <w:szCs w:val="20"/>
          <w:color w:val="auto"/>
        </w:rPr>
      </w:pPr>
    </w:p>
    <w:p>
      <w:pPr>
        <w:ind w:right="420" w:firstLine="656"/>
        <w:spacing w:after="0" w:line="269" w:lineRule="auto"/>
        <w:tabs>
          <w:tab w:leader="none" w:pos="107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20" w:firstLine="8"/>
        <w:spacing w:after="0" w:line="250" w:lineRule="auto"/>
        <w:tabs>
          <w:tab w:leader="none" w:pos="346"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5" w:lineRule="exact"/>
        <w:rPr>
          <w:rFonts w:ascii="Times New Roman" w:cs="Times New Roman" w:eastAsia="Times New Roman" w:hAnsi="Times New Roman"/>
          <w:sz w:val="20"/>
          <w:szCs w:val="20"/>
          <w:b w:val="1"/>
          <w:bCs w:val="1"/>
          <w:color w:val="auto"/>
        </w:rPr>
      </w:pPr>
    </w:p>
    <w:p>
      <w:pPr>
        <w:ind w:right="100" w:firstLine="8"/>
        <w:spacing w:after="0" w:line="256" w:lineRule="auto"/>
        <w:tabs>
          <w:tab w:leader="none" w:pos="343"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any unearned and unvested Restricted Shares shall be accelerated, remain eligible to be earned or cancelled in accordance with the terms of the Employment Agreement.</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64" w:lineRule="auto"/>
        <w:tabs>
          <w:tab w:leader="none" w:pos="346"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Rights as a Stockholder. </w:t>
      </w:r>
      <w:r>
        <w:rPr>
          <w:rFonts w:ascii="Times New Roman" w:cs="Times New Roman" w:eastAsia="Times New Roman" w:hAnsi="Times New Roman"/>
          <w:sz w:val="19"/>
          <w:szCs w:val="19"/>
          <w:color w:val="auto"/>
        </w:rPr>
        <w:t>The Participant shall not be deemed for any purpose to be the owner of any shares of Class A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1" w:lineRule="exact"/>
        <w:rPr>
          <w:rFonts w:ascii="Times New Roman" w:cs="Times New Roman" w:eastAsia="Times New Roman" w:hAnsi="Times New Roman"/>
          <w:sz w:val="19"/>
          <w:szCs w:val="19"/>
          <w:b w:val="1"/>
          <w:bCs w:val="1"/>
          <w:color w:val="auto"/>
        </w:rPr>
      </w:pPr>
    </w:p>
    <w:p>
      <w:pPr>
        <w:ind w:left="360" w:hanging="352"/>
        <w:spacing w:after="0"/>
        <w:tabs>
          <w:tab w:leader="none" w:pos="36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60" w:firstLine="656"/>
        <w:spacing w:after="0" w:line="246" w:lineRule="auto"/>
        <w:tabs>
          <w:tab w:leader="none" w:pos="106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4" w:lineRule="exact"/>
        <w:rPr>
          <w:rFonts w:ascii="Times New Roman" w:cs="Times New Roman" w:eastAsia="Times New Roman" w:hAnsi="Times New Roman"/>
          <w:sz w:val="20"/>
          <w:szCs w:val="20"/>
          <w:color w:val="auto"/>
        </w:rPr>
      </w:pPr>
    </w:p>
    <w:p>
      <w:pPr>
        <w:ind w:firstLine="656"/>
        <w:spacing w:after="0" w:line="243" w:lineRule="auto"/>
        <w:tabs>
          <w:tab w:leader="none" w:pos="107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1" w:lineRule="exact"/>
        <w:rPr>
          <w:rFonts w:ascii="Times New Roman" w:cs="Times New Roman" w:eastAsia="Times New Roman" w:hAnsi="Times New Roman"/>
          <w:sz w:val="20"/>
          <w:szCs w:val="20"/>
          <w:color w:val="auto"/>
        </w:rPr>
      </w:pPr>
    </w:p>
    <w:p>
      <w:pPr>
        <w:ind w:right="380" w:firstLine="8"/>
        <w:spacing w:after="0" w:line="273" w:lineRule="auto"/>
        <w:tabs>
          <w:tab w:leader="none" w:pos="346"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RSU award if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consent of the Company, has engaged in or engages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13" w:right="379" w:bottom="1440" w:gutter="0" w:footer="0" w:header="0"/>
        </w:sectPr>
      </w:pPr>
    </w:p>
    <w:bookmarkStart w:id="180" w:name="page181"/>
    <w:bookmarkEnd w:id="180"/>
    <w:p>
      <w:pPr>
        <w:ind w:right="120"/>
        <w:spacing w:after="0" w:line="241" w:lineRule="auto"/>
        <w:rPr>
          <w:sz w:val="20"/>
          <w:szCs w:val="20"/>
          <w:color w:val="auto"/>
        </w:rPr>
      </w:pPr>
      <w:r>
        <w:rPr>
          <w:rFonts w:ascii="Times New Roman" w:cs="Times New Roman" w:eastAsia="Times New Roman" w:hAnsi="Times New Roman"/>
          <w:sz w:val="20"/>
          <w:szCs w:val="20"/>
          <w:color w:val="auto"/>
        </w:rPr>
        <w:t>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93"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380" w:firstLine="656"/>
        <w:spacing w:after="0" w:line="254" w:lineRule="auto"/>
        <w:tabs>
          <w:tab w:leader="none" w:pos="106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80" w:firstLine="656"/>
        <w:spacing w:after="0" w:line="246" w:lineRule="auto"/>
        <w:tabs>
          <w:tab w:leader="none" w:pos="1077"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0"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100" w:firstLine="656"/>
        <w:spacing w:after="0" w:line="249" w:lineRule="auto"/>
        <w:tabs>
          <w:tab w:leader="none" w:pos="107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81" w:name="page182"/>
    <w:bookmarkEnd w:id="181"/>
    <w:p>
      <w:pPr>
        <w:ind w:right="200" w:firstLine="656"/>
        <w:spacing w:after="0" w:line="256" w:lineRule="auto"/>
        <w:tabs>
          <w:tab w:leader="none" w:pos="1065"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w:t>
      </w:r>
    </w:p>
    <w:p>
      <w:pPr>
        <w:spacing w:after="0" w:line="4"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to the maximum extent practicable, the original intent and economic benefit to the Participant of the applicable provision</w:t>
      </w:r>
    </w:p>
    <w:p>
      <w:pPr>
        <w:jc w:val="both"/>
        <w:ind w:right="2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right="100" w:firstLine="656"/>
        <w:spacing w:after="0" w:line="254" w:lineRule="auto"/>
        <w:tabs>
          <w:tab w:leader="none" w:pos="107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180" w:firstLine="656"/>
        <w:spacing w:after="0" w:line="246" w:lineRule="auto"/>
        <w:tabs>
          <w:tab w:leader="none" w:pos="106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4" w:lineRule="exact"/>
        <w:rPr>
          <w:rFonts w:ascii="Times New Roman" w:cs="Times New Roman" w:eastAsia="Times New Roman" w:hAnsi="Times New Roman"/>
          <w:sz w:val="20"/>
          <w:szCs w:val="20"/>
          <w:color w:val="auto"/>
        </w:rPr>
      </w:pPr>
    </w:p>
    <w:p>
      <w:pPr>
        <w:ind w:right="100" w:firstLine="656"/>
        <w:spacing w:after="0" w:line="254" w:lineRule="auto"/>
        <w:tabs>
          <w:tab w:leader="none" w:pos="1044"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107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0"/>
          <w:szCs w:val="20"/>
          <w:color w:val="auto"/>
        </w:rPr>
      </w:pPr>
    </w:p>
    <w:p>
      <w:pPr>
        <w:ind w:right="300" w:firstLine="656"/>
        <w:spacing w:after="0" w:line="254" w:lineRule="auto"/>
        <w:tabs>
          <w:tab w:leader="none" w:pos="107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right="700" w:firstLine="656"/>
        <w:spacing w:after="0" w:line="269" w:lineRule="auto"/>
        <w:tabs>
          <w:tab w:leader="none" w:pos="103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200" w:firstLine="656"/>
        <w:spacing w:after="0" w:line="269" w:lineRule="auto"/>
        <w:tabs>
          <w:tab w:leader="none" w:pos="1033"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82" w:name="page183"/>
    <w:bookmarkEnd w:id="182"/>
    <w:p>
      <w:pPr>
        <w:ind w:right="160" w:firstLine="656"/>
        <w:spacing w:after="0" w:line="249" w:lineRule="auto"/>
        <w:tabs>
          <w:tab w:leader="none" w:pos="107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79" w:lineRule="exact"/>
        <w:rPr>
          <w:rFonts w:ascii="Times New Roman" w:cs="Times New Roman" w:eastAsia="Times New Roman" w:hAnsi="Times New Roman"/>
          <w:sz w:val="20"/>
          <w:szCs w:val="20"/>
          <w:color w:val="auto"/>
        </w:rPr>
      </w:pPr>
    </w:p>
    <w:p>
      <w:pPr>
        <w:ind w:right="360" w:firstLine="656"/>
        <w:spacing w:after="0" w:line="254" w:lineRule="auto"/>
        <w:tabs>
          <w:tab w:leader="none" w:pos="103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43" w:lineRule="auto"/>
        <w:tabs>
          <w:tab w:leader="none" w:pos="169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Times New Roman" w:cs="Times New Roman" w:eastAsia="Times New Roman" w:hAnsi="Times New Roman"/>
          <w:sz w:val="20"/>
          <w:szCs w:val="20"/>
          <w:color w:val="auto"/>
        </w:rPr>
      </w:pPr>
    </w:p>
    <w:p>
      <w:pPr>
        <w:ind w:left="660" w:firstLine="644"/>
        <w:spacing w:after="0" w:line="245" w:lineRule="auto"/>
        <w:tabs>
          <w:tab w:leader="none" w:pos="174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20"/>
          <w:szCs w:val="20"/>
          <w:color w:val="auto"/>
        </w:rPr>
      </w:pPr>
    </w:p>
    <w:p>
      <w:pPr>
        <w:jc w:val="both"/>
        <w:ind w:right="280" w:firstLine="656"/>
        <w:spacing w:after="0" w:line="254" w:lineRule="auto"/>
        <w:tabs>
          <w:tab w:leader="none" w:pos="113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right="120" w:firstLine="656"/>
        <w:spacing w:after="0" w:line="254" w:lineRule="auto"/>
        <w:tabs>
          <w:tab w:leader="none" w:pos="107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right="20" w:firstLine="656"/>
        <w:spacing w:after="0" w:line="254" w:lineRule="auto"/>
        <w:tabs>
          <w:tab w:leader="none" w:pos="107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83" w:name="page184"/>
    <w:bookmarkEnd w:id="183"/>
    <w:p>
      <w:pPr>
        <w:ind w:right="480"/>
        <w:spacing w:after="0" w:line="269" w:lineRule="auto"/>
        <w:rPr>
          <w:sz w:val="20"/>
          <w:szCs w:val="20"/>
          <w:color w:val="auto"/>
        </w:rPr>
      </w:pPr>
      <w:r>
        <w:rPr>
          <w:rFonts w:ascii="Times New Roman" w:cs="Times New Roman" w:eastAsia="Times New Roman" w:hAnsi="Times New Roman"/>
          <w:sz w:val="20"/>
          <w:szCs w:val="20"/>
          <w:color w:val="auto"/>
        </w:rPr>
        <w:t>upon three business days’ notice to the Company, in which case subsequent prospectuses, annual reports and other information will be delivered in hard copy to the Participant).</w:t>
      </w:r>
    </w:p>
    <w:p>
      <w:pPr>
        <w:spacing w:after="0" w:line="159" w:lineRule="exact"/>
        <w:rPr>
          <w:sz w:val="20"/>
          <w:szCs w:val="20"/>
          <w:color w:val="auto"/>
        </w:rPr>
      </w:pPr>
    </w:p>
    <w:p>
      <w:pPr>
        <w:ind w:firstLine="656"/>
        <w:spacing w:after="0" w:line="249" w:lineRule="auto"/>
        <w:tabs>
          <w:tab w:leader="none" w:pos="107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20"/>
          </w:cols>
          <w:pgMar w:left="320" w:top="1413" w:right="459" w:bottom="1440" w:gutter="0" w:footer="0" w:header="0"/>
        </w:sectPr>
      </w:pPr>
    </w:p>
    <w:bookmarkStart w:id="184" w:name="page185"/>
    <w:bookmarkEnd w:id="184"/>
    <w:p>
      <w:pPr>
        <w:ind w:left="880"/>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1011555" cy="27432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15240</wp:posOffset>
            </wp:positionV>
            <wp:extent cx="1257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Douglas A. Cifu</w:t>
      </w: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891540</wp:posOffset>
            </wp:positionV>
            <wp:extent cx="1257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Joseph Molluso</w:t>
      </w:r>
    </w:p>
    <w:p>
      <w:pPr>
        <w:sectPr>
          <w:pgSz w:w="11900" w:h="16838" w:orient="portrait"/>
          <w:cols w:equalWidth="0" w:num="1">
            <w:col w:w="10720"/>
          </w:cols>
          <w:pgMar w:left="320" w:top="1413" w:right="85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b w:val="1"/>
          <w:bCs w:val="1"/>
          <w:color w:val="FF0000"/>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2015 MANAGEMENT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EMPLOYEE</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AWARD AGREEMENT</w:t>
      </w:r>
    </w:p>
    <w:p>
      <w:pPr>
        <w:spacing w:after="0" w:line="14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THIS RESTRICTED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June 22, 2020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Joseph Molluso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05" w:lineRule="exact"/>
        <w:rPr>
          <w:sz w:val="20"/>
          <w:szCs w:val="20"/>
          <w:color w:val="auto"/>
        </w:rPr>
      </w:pPr>
    </w:p>
    <w:p>
      <w:pPr>
        <w:ind w:right="58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Restricted Stock (the “</w:t>
      </w: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may be granted;</w:t>
      </w:r>
    </w:p>
    <w:p>
      <w:pPr>
        <w:spacing w:after="0" w:line="105" w:lineRule="exact"/>
        <w:rPr>
          <w:sz w:val="20"/>
          <w:szCs w:val="20"/>
          <w:color w:val="auto"/>
        </w:rPr>
      </w:pPr>
    </w:p>
    <w:p>
      <w:pPr>
        <w:jc w:val="both"/>
        <w:ind w:right="180" w:firstLine="648"/>
        <w:spacing w:after="0" w:line="254" w:lineRule="auto"/>
        <w:rPr>
          <w:sz w:val="20"/>
          <w:szCs w:val="20"/>
          <w:color w:val="auto"/>
        </w:rPr>
      </w:pPr>
      <w:r>
        <w:rPr>
          <w:rFonts w:ascii="Times New Roman" w:cs="Times New Roman" w:eastAsia="Times New Roman" w:hAnsi="Times New Roman"/>
          <w:sz w:val="20"/>
          <w:szCs w:val="20"/>
          <w:color w:val="auto"/>
        </w:rPr>
        <w:t>WHEREAS, the Company and the Participant entered into that certain Amended and Restated Employment Agreement, dated as of April 30, 2020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pursuant to which the Participant is entitled to receive an equity award on or about the date hereof pursuant to the foregoing terms and conditions; and</w:t>
      </w:r>
    </w:p>
    <w:p>
      <w:pPr>
        <w:spacing w:after="0" w:line="120" w:lineRule="exact"/>
        <w:rPr>
          <w:sz w:val="20"/>
          <w:szCs w:val="20"/>
          <w:color w:val="auto"/>
        </w:rPr>
      </w:pPr>
    </w:p>
    <w:p>
      <w:pPr>
        <w:ind w:right="80" w:firstLine="648"/>
        <w:spacing w:after="0" w:line="295" w:lineRule="auto"/>
        <w:rPr>
          <w:sz w:val="20"/>
          <w:szCs w:val="20"/>
          <w:color w:val="auto"/>
        </w:rPr>
      </w:pPr>
      <w:r>
        <w:rPr>
          <w:rFonts w:ascii="Times New Roman" w:cs="Times New Roman" w:eastAsia="Times New Roman" w:hAnsi="Times New Roman"/>
          <w:sz w:val="19"/>
          <w:szCs w:val="19"/>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84" w:lineRule="exact"/>
        <w:rPr>
          <w:sz w:val="20"/>
          <w:szCs w:val="20"/>
          <w:color w:val="auto"/>
        </w:rPr>
      </w:pPr>
    </w:p>
    <w:p>
      <w:pPr>
        <w:jc w:val="both"/>
        <w:ind w:right="14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Shares.</w:t>
      </w:r>
    </w:p>
    <w:p>
      <w:pPr>
        <w:spacing w:after="0" w:line="219" w:lineRule="exact"/>
        <w:rPr>
          <w:rFonts w:ascii="Times New Roman" w:cs="Times New Roman" w:eastAsia="Times New Roman" w:hAnsi="Times New Roman"/>
          <w:sz w:val="20"/>
          <w:szCs w:val="20"/>
          <w:b w:val="1"/>
          <w:bCs w:val="1"/>
          <w:color w:val="auto"/>
        </w:rPr>
      </w:pPr>
    </w:p>
    <w:p>
      <w:pPr>
        <w:ind w:right="200" w:firstLine="656"/>
        <w:spacing w:after="0" w:line="295" w:lineRule="auto"/>
        <w:tabs>
          <w:tab w:leader="none" w:pos="128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37" w:lineRule="exact"/>
        <w:rPr>
          <w:rFonts w:ascii="Times New Roman" w:cs="Times New Roman" w:eastAsia="Times New Roman" w:hAnsi="Times New Roman"/>
          <w:sz w:val="19"/>
          <w:szCs w:val="19"/>
          <w:color w:val="auto"/>
        </w:rPr>
      </w:pPr>
    </w:p>
    <w:p>
      <w:pPr>
        <w:ind w:right="20" w:firstLine="656"/>
        <w:spacing w:after="0" w:line="259" w:lineRule="auto"/>
        <w:tabs>
          <w:tab w:leader="none" w:pos="1284"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w:t>
      </w:r>
    </w:p>
    <w:p>
      <w:pPr>
        <w:spacing w:after="0" w:line="219" w:lineRule="exact"/>
        <w:rPr>
          <w:rFonts w:ascii="Times New Roman" w:cs="Times New Roman" w:eastAsia="Times New Roman" w:hAnsi="Times New Roman"/>
          <w:sz w:val="20"/>
          <w:szCs w:val="20"/>
          <w:b w:val="1"/>
          <w:bCs w:val="1"/>
          <w:color w:val="auto"/>
        </w:rPr>
      </w:pPr>
    </w:p>
    <w:p>
      <w:pPr>
        <w:ind w:right="180" w:firstLine="656"/>
        <w:spacing w:after="0" w:line="246" w:lineRule="auto"/>
        <w:tabs>
          <w:tab w:leader="none" w:pos="1286"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Participant’s continued employment or service with the Company or an Affiliate, except as may otherwise be provided herein or in the Employment Agreement, Restricted Shares shall vest in three (3) separate annual installments each in the amount earned as determined in accordance with Section 2(b) hereof, on each of December 31, 2020, December 31, 2021 and December 31, 2022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Restricted Shares that vest on such date shall no longer be subject to the transfer restrictions pursuant to Section 8(a)</w:t>
      </w:r>
    </w:p>
    <w:p>
      <w:pPr>
        <w:sectPr>
          <w:pgSz w:w="11900" w:h="16838" w:orient="portrait"/>
          <w:cols w:equalWidth="0" w:num="1">
            <w:col w:w="11240"/>
          </w:cols>
          <w:pgMar w:left="320" w:top="114" w:right="339" w:bottom="1440" w:gutter="0" w:footer="0" w:header="0"/>
        </w:sectPr>
      </w:pPr>
    </w:p>
    <w:bookmarkStart w:id="186" w:name="page187"/>
    <w:bookmarkEnd w:id="186"/>
    <w:p>
      <w:pPr>
        <w:ind w:right="240"/>
        <w:spacing w:after="0" w:line="269" w:lineRule="auto"/>
        <w:rPr>
          <w:sz w:val="20"/>
          <w:szCs w:val="20"/>
          <w:color w:val="auto"/>
        </w:rPr>
      </w:pPr>
      <w:r>
        <w:rPr>
          <w:rFonts w:ascii="Times New Roman" w:cs="Times New Roman" w:eastAsia="Times New Roman" w:hAnsi="Times New Roman"/>
          <w:sz w:val="20"/>
          <w:szCs w:val="20"/>
          <w:color w:val="auto"/>
        </w:rPr>
        <w:t>hereof or cancellation pursuant to Section 4 hereof. Any fractional Restricted Shares resulting from the application of the vesting schedule shall be aggregated and the Restricted Shares resulting from such aggregation shall vest on the final Vesting Date.</w:t>
      </w:r>
    </w:p>
    <w:p>
      <w:pPr>
        <w:spacing w:after="0" w:line="159" w:lineRule="exact"/>
        <w:rPr>
          <w:sz w:val="20"/>
          <w:szCs w:val="20"/>
          <w:color w:val="auto"/>
        </w:rPr>
      </w:pPr>
    </w:p>
    <w:p>
      <w:pPr>
        <w:ind w:right="360" w:firstLine="656"/>
        <w:spacing w:after="0" w:line="246" w:lineRule="auto"/>
        <w:tabs>
          <w:tab w:leader="none" w:pos="12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Restricted Shares earned under this Agreement as of each Vesting Date shall be determined based on the percentage of the Company’s Adjusted EBITDA target as set forth in the Company’s approved annual budget (“</w:t>
      </w:r>
      <w:r>
        <w:rPr>
          <w:rFonts w:ascii="Times New Roman" w:cs="Times New Roman" w:eastAsia="Times New Roman" w:hAnsi="Times New Roman"/>
          <w:sz w:val="20"/>
          <w:szCs w:val="20"/>
          <w:u w:val="single" w:color="auto"/>
          <w:color w:val="auto"/>
        </w:rPr>
        <w:t>Budgeted EBITDA</w:t>
      </w:r>
      <w:r>
        <w:rPr>
          <w:rFonts w:ascii="Times New Roman" w:cs="Times New Roman" w:eastAsia="Times New Roman" w:hAnsi="Times New Roman"/>
          <w:sz w:val="20"/>
          <w:szCs w:val="20"/>
          <w:color w:val="auto"/>
        </w:rPr>
        <w:t>”) for each of the calendar years 2020, 2021 and 2022 which is achieved in each such year in accordance with the table below. The Budgeted EBITDA and actual Adjusted EBITDA shall be determined in a manner consistent with the methodology utilized by the Company in the ordinary course consistent with past practice.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 Budgeted EBITDA</w:t>
            </w:r>
          </w:p>
        </w:tc>
        <w:tc>
          <w:tcPr>
            <w:tcW w:w="346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20"/>
                <w:szCs w:val="20"/>
                <w:b w:val="1"/>
                <w:bCs w:val="1"/>
                <w:color w:val="auto"/>
              </w:rPr>
              <w:t>Number of Shares Earned</w:t>
            </w:r>
          </w:p>
        </w:tc>
      </w:tr>
      <w:tr>
        <w:trPr>
          <w:trHeight w:val="262"/>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Achieved</w:t>
            </w:r>
          </w:p>
        </w:tc>
        <w:tc>
          <w:tcPr>
            <w:tcW w:w="3460" w:type="dxa"/>
            <w:vAlign w:val="bottom"/>
            <w:tcBorders>
              <w:right w:val="single" w:sz="8" w:color="auto"/>
            </w:tcBorders>
          </w:tcPr>
          <w:p>
            <w:pPr>
              <w:spacing w:after="0"/>
              <w:rPr>
                <w:sz w:val="22"/>
                <w:szCs w:val="22"/>
                <w:color w:val="auto"/>
              </w:rPr>
            </w:pP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75% or more</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74%</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45,000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73%</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40,000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72%</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35,000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71%</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30,000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25,000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70%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21"/>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40"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If the percentage of the Company’s Budgeted EBITDA achieved is greater than 70% but less than 75% for any applicable year, then the amount of earned shares in the table above will be determined based on linear interpolation.</w:t>
      </w:r>
    </w:p>
    <w:p>
      <w:pPr>
        <w:spacing w:after="0" w:line="152" w:lineRule="exact"/>
        <w:rPr>
          <w:sz w:val="20"/>
          <w:szCs w:val="20"/>
          <w:color w:val="auto"/>
        </w:rPr>
      </w:pPr>
    </w:p>
    <w:p>
      <w:pPr>
        <w:ind w:firstLine="8"/>
        <w:spacing w:after="0" w:line="250" w:lineRule="auto"/>
        <w:tabs>
          <w:tab w:leader="none" w:pos="648"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75" w:lineRule="exact"/>
        <w:rPr>
          <w:rFonts w:ascii="Times New Roman" w:cs="Times New Roman" w:eastAsia="Times New Roman" w:hAnsi="Times New Roman"/>
          <w:sz w:val="20"/>
          <w:szCs w:val="20"/>
          <w:b w:val="1"/>
          <w:bCs w:val="1"/>
          <w:color w:val="auto"/>
        </w:rPr>
      </w:pPr>
    </w:p>
    <w:p>
      <w:pPr>
        <w:ind w:right="80" w:firstLine="8"/>
        <w:spacing w:after="0" w:line="256" w:lineRule="auto"/>
        <w:tabs>
          <w:tab w:leader="none" w:pos="648"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reason, any unearned and unvested Restricted Shares shall be accelerated, remain eligible to be earned or cancelled in accordance with the terms of the Employment Agreement.</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47" w:lineRule="auto"/>
        <w:tabs>
          <w:tab w:leader="none" w:pos="648"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Issuance</w:t>
      </w:r>
      <w:r>
        <w:rPr>
          <w:rFonts w:ascii="Times New Roman" w:cs="Times New Roman" w:eastAsia="Times New Roman" w:hAnsi="Times New Roman"/>
          <w:sz w:val="20"/>
          <w:szCs w:val="20"/>
          <w:color w:val="auto"/>
        </w:rPr>
        <w:t>. The Restricted Shares shall be issued by the Company and shall be registered in the Participant’s name on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 the Committee, the Company, nor their respective designees, as applicable, shall be liable for any act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13" w:right="379" w:bottom="1440" w:gutter="0" w:footer="0" w:header="0"/>
        </w:sectPr>
      </w:pPr>
    </w:p>
    <w:bookmarkStart w:id="187" w:name="page188"/>
    <w:bookmarkEnd w:id="187"/>
    <w:p>
      <w:pPr>
        <w:ind w:right="20"/>
        <w:spacing w:after="0" w:line="269" w:lineRule="auto"/>
        <w:rPr>
          <w:sz w:val="20"/>
          <w:szCs w:val="20"/>
          <w:color w:val="auto"/>
        </w:rPr>
      </w:pPr>
      <w:r>
        <w:rPr>
          <w:rFonts w:ascii="Times New Roman" w:cs="Times New Roman" w:eastAsia="Times New Roman" w:hAnsi="Times New Roman"/>
          <w:sz w:val="20"/>
          <w:szCs w:val="20"/>
          <w:color w:val="auto"/>
        </w:rPr>
        <w:t>they may do or omit to do with respect to holding the Restricted Shares in escrow and while acting in good faith in the exercise of its or their judgment.</w:t>
      </w:r>
    </w:p>
    <w:p>
      <w:pPr>
        <w:spacing w:after="0" w:line="155" w:lineRule="exact"/>
        <w:rPr>
          <w:sz w:val="20"/>
          <w:szCs w:val="20"/>
          <w:color w:val="auto"/>
        </w:rPr>
      </w:pPr>
    </w:p>
    <w:p>
      <w:pPr>
        <w:ind w:right="780" w:firstLine="8"/>
        <w:spacing w:after="0" w:line="273" w:lineRule="auto"/>
        <w:tabs>
          <w:tab w:leader="none" w:pos="648"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be, and shall have the rights or privileges of, a stockholder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any voting rights, in respect of the Restricted Shares.</w:t>
      </w:r>
    </w:p>
    <w:p>
      <w:pPr>
        <w:spacing w:after="0" w:line="15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40" w:firstLine="656"/>
        <w:spacing w:after="0" w:line="246" w:lineRule="auto"/>
        <w:tabs>
          <w:tab w:leader="none" w:pos="128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4" w:lineRule="exact"/>
        <w:rPr>
          <w:rFonts w:ascii="Times New Roman" w:cs="Times New Roman" w:eastAsia="Times New Roman" w:hAnsi="Times New Roman"/>
          <w:sz w:val="20"/>
          <w:szCs w:val="20"/>
          <w:color w:val="auto"/>
        </w:rPr>
      </w:pPr>
    </w:p>
    <w:p>
      <w:pPr>
        <w:ind w:firstLine="656"/>
        <w:spacing w:after="0" w:line="243" w:lineRule="auto"/>
        <w:tabs>
          <w:tab w:leader="none" w:pos="128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8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100" w:firstLine="656"/>
        <w:spacing w:after="0" w:line="254" w:lineRule="auto"/>
        <w:tabs>
          <w:tab w:leader="none" w:pos="128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Participant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40" w:firstLine="656"/>
        <w:spacing w:after="0" w:line="246" w:lineRule="auto"/>
        <w:tabs>
          <w:tab w:leader="none" w:pos="128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right="200" w:firstLine="656"/>
        <w:spacing w:after="0" w:line="254" w:lineRule="auto"/>
        <w:tabs>
          <w:tab w:leader="none" w:pos="128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Restricted Shares may not be assigned, alienated, pledged, attached, sold or otherwise transferred or encumbered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13" w:right="399" w:bottom="1440" w:gutter="0" w:footer="0" w:header="0"/>
        </w:sectPr>
      </w:pPr>
    </w:p>
    <w:bookmarkStart w:id="188" w:name="page189"/>
    <w:bookmarkEnd w:id="188"/>
    <w:p>
      <w:pPr>
        <w:ind w:right="600"/>
        <w:spacing w:after="0" w:line="269" w:lineRule="auto"/>
        <w:rPr>
          <w:sz w:val="20"/>
          <w:szCs w:val="20"/>
          <w:color w:val="auto"/>
        </w:rPr>
      </w:pPr>
      <w:r>
        <w:rPr>
          <w:rFonts w:ascii="Times New Roman" w:cs="Times New Roman" w:eastAsia="Times New Roman" w:hAnsi="Times New Roman"/>
          <w:sz w:val="20"/>
          <w:szCs w:val="20"/>
          <w:color w:val="auto"/>
        </w:rPr>
        <w:t>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59" w:lineRule="exact"/>
        <w:rPr>
          <w:sz w:val="20"/>
          <w:szCs w:val="20"/>
          <w:color w:val="auto"/>
        </w:rPr>
      </w:pPr>
    </w:p>
    <w:p>
      <w:pPr>
        <w:ind w:right="160" w:firstLine="656"/>
        <w:spacing w:after="0" w:line="249"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9" w:lineRule="exact"/>
        <w:rPr>
          <w:rFonts w:ascii="Times New Roman" w:cs="Times New Roman" w:eastAsia="Times New Roman" w:hAnsi="Times New Roman"/>
          <w:sz w:val="20"/>
          <w:szCs w:val="20"/>
          <w:color w:val="auto"/>
        </w:rPr>
      </w:pPr>
    </w:p>
    <w:p>
      <w:pPr>
        <w:ind w:right="60" w:firstLine="656"/>
        <w:spacing w:after="0" w:line="243" w:lineRule="auto"/>
        <w:tabs>
          <w:tab w:leader="none" w:pos="1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85" w:lineRule="exact"/>
        <w:rPr>
          <w:rFonts w:ascii="Times New Roman" w:cs="Times New Roman" w:eastAsia="Times New Roman" w:hAnsi="Times New Roman"/>
          <w:sz w:val="20"/>
          <w:szCs w:val="20"/>
          <w:color w:val="auto"/>
        </w:rPr>
      </w:pPr>
    </w:p>
    <w:p>
      <w:pPr>
        <w:ind w:right="140" w:firstLine="656"/>
        <w:spacing w:after="0" w:line="246"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4" w:lineRule="exact"/>
        <w:rPr>
          <w:rFonts w:ascii="Times New Roman" w:cs="Times New Roman" w:eastAsia="Times New Roman" w:hAnsi="Times New Roman"/>
          <w:sz w:val="20"/>
          <w:szCs w:val="20"/>
          <w:color w:val="auto"/>
        </w:rPr>
      </w:pPr>
    </w:p>
    <w:p>
      <w:pPr>
        <w:ind w:right="60" w:firstLine="656"/>
        <w:spacing w:after="0" w:line="254" w:lineRule="auto"/>
        <w:tabs>
          <w:tab w:leader="none" w:pos="128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firstLine="656"/>
        <w:spacing w:after="0" w:line="249" w:lineRule="auto"/>
        <w:tabs>
          <w:tab w:leader="none" w:pos="129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0"/>
          <w:szCs w:val="20"/>
          <w:color w:val="auto"/>
        </w:rPr>
      </w:pPr>
    </w:p>
    <w:p>
      <w:pPr>
        <w:ind w:right="200" w:firstLine="656"/>
        <w:spacing w:after="0" w:line="254"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right="460" w:firstLine="656"/>
        <w:spacing w:after="0" w:line="269" w:lineRule="auto"/>
        <w:tabs>
          <w:tab w:leader="none" w:pos="1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189" w:name="page190"/>
    <w:bookmarkEnd w:id="189"/>
    <w:p>
      <w:pPr>
        <w:ind w:left="-20" w:right="260" w:firstLine="656"/>
        <w:spacing w:after="0" w:line="269" w:lineRule="auto"/>
        <w:tabs>
          <w:tab w:leader="none" w:pos="127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left="-20" w:right="20" w:firstLine="656"/>
        <w:spacing w:after="0" w:line="249" w:lineRule="auto"/>
        <w:tabs>
          <w:tab w:leader="none" w:pos="127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79" w:lineRule="exact"/>
        <w:rPr>
          <w:rFonts w:ascii="Times New Roman" w:cs="Times New Roman" w:eastAsia="Times New Roman" w:hAnsi="Times New Roman"/>
          <w:sz w:val="20"/>
          <w:szCs w:val="20"/>
          <w:color w:val="auto"/>
        </w:rPr>
      </w:pPr>
    </w:p>
    <w:p>
      <w:pPr>
        <w:jc w:val="both"/>
        <w:ind w:left="-20" w:right="300" w:firstLine="656"/>
        <w:spacing w:after="0" w:line="254" w:lineRule="auto"/>
        <w:tabs>
          <w:tab w:leader="none" w:pos="126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sz w:val="20"/>
          <w:szCs w:val="20"/>
          <w:color w:val="auto"/>
        </w:rPr>
      </w:pPr>
    </w:p>
    <w:p>
      <w:pPr>
        <w:ind w:left="640" w:firstLine="461"/>
        <w:spacing w:after="0" w:line="243"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sz w:val="20"/>
          <w:szCs w:val="20"/>
          <w:color w:val="auto"/>
        </w:rPr>
      </w:pPr>
    </w:p>
    <w:p>
      <w:pPr>
        <w:ind w:left="640" w:firstLine="406"/>
        <w:spacing w:after="0" w:line="245"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ind w:left="-20" w:right="100" w:firstLine="656"/>
        <w:spacing w:after="0" w:line="254" w:lineRule="auto"/>
        <w:tabs>
          <w:tab w:leader="none" w:pos="127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left="-20" w:right="120" w:firstLine="656"/>
        <w:spacing w:after="0" w:line="254" w:lineRule="auto"/>
        <w:tabs>
          <w:tab w:leader="none" w:pos="12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40" w:top="1413" w:right="359" w:bottom="1440" w:gutter="0" w:footer="0" w:header="0"/>
        </w:sectPr>
      </w:pPr>
    </w:p>
    <w:bookmarkStart w:id="190" w:name="page191"/>
    <w:bookmarkEnd w:id="190"/>
    <w:p>
      <w:pPr>
        <w:ind w:left="-40" w:firstLine="656"/>
        <w:spacing w:after="0" w:line="246" w:lineRule="auto"/>
        <w:tabs>
          <w:tab w:leader="none" w:pos="12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4" w:lineRule="exact"/>
        <w:rPr>
          <w:rFonts w:ascii="Times New Roman" w:cs="Times New Roman" w:eastAsia="Times New Roman" w:hAnsi="Times New Roman"/>
          <w:sz w:val="20"/>
          <w:szCs w:val="20"/>
          <w:color w:val="auto"/>
        </w:rPr>
      </w:pPr>
    </w:p>
    <w:p>
      <w:pPr>
        <w:jc w:val="both"/>
        <w:ind w:left="-40" w:right="60" w:firstLine="656"/>
        <w:spacing w:after="0" w:line="249" w:lineRule="auto"/>
        <w:tabs>
          <w:tab w:leader="none" w:pos="12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60" w:top="1413" w:right="359" w:bottom="1440" w:gutter="0" w:footer="0" w:header="0"/>
        </w:sectPr>
      </w:pPr>
    </w:p>
    <w:bookmarkStart w:id="191" w:name="page192"/>
    <w:bookmarkEnd w:id="191"/>
    <w:p>
      <w:pPr>
        <w:ind w:left="880"/>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sz w:val="1"/>
          <w:szCs w:val="1"/>
          <w:color w:val="auto"/>
        </w:rPr>
        <w:drawing>
          <wp:inline distT="0" distB="0" distL="0" distR="0">
            <wp:extent cx="994410" cy="2825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994410" cy="2825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15240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15240</wp:posOffset>
            </wp:positionV>
            <wp:extent cx="1257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891540</wp:posOffset>
            </wp:positionV>
            <wp:extent cx="1257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Joseph Molluso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i w:val="1"/>
          <w:iCs w:val="1"/>
          <w:color w:val="auto"/>
        </w:rPr>
        <w:t>[Signature Page to Restricted Stock Award Agreement]</w:t>
      </w:r>
    </w:p>
    <w:p>
      <w:pPr>
        <w:sectPr>
          <w:pgSz w:w="11900" w:h="16838" w:orient="portrait"/>
          <w:cols w:equalWidth="0" w:num="1">
            <w:col w:w="10720"/>
          </w:cols>
          <w:pgMar w:left="320" w:top="1413" w:right="859" w:bottom="1440" w:gutter="0" w:footer="0" w:header="0"/>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9019"/>
          </w:cols>
          <w:pgMar w:left="1440" w:top="1440" w:right="1440" w:bottom="1440" w:gutter="0" w:footer="0" w:header="0"/>
        </w:sectPr>
      </w:pPr>
    </w:p>
    <w:bookmarkStart w:id="193" w:name="page194"/>
    <w:bookmarkEnd w:id="193"/>
    <w:p>
      <w:pPr>
        <w:jc w:val="center"/>
        <w:ind w:left="460" w:right="20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VIRTU FINANCIAL, INC. AMENDED AND RESTATED 2015 MANAGEMENT INCENTIVE PLAN </w:t>
      </w: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RESTRICTED STOCK UNIT AND COMMON STOCK AWARD AGREEMENT (the</w:t>
      </w:r>
    </w:p>
    <w:p>
      <w:pPr>
        <w:spacing w:after="0" w:line="22" w:lineRule="exact"/>
        <w:rPr>
          <w:sz w:val="20"/>
          <w:szCs w:val="20"/>
          <w:color w:val="auto"/>
        </w:rPr>
      </w:pPr>
    </w:p>
    <w:p>
      <w:pPr>
        <w:ind w:right="11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 2021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Joseph Molluso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2020 through December 31, 2020, and RSUs provided for herein to the Participant subject to the terms set forth herein.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560" w:hanging="560"/>
        <w:spacing w:after="0"/>
        <w:tabs>
          <w:tab w:leader="none" w:pos="5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193" w:lineRule="exact"/>
        <w:rPr>
          <w:sz w:val="20"/>
          <w:szCs w:val="20"/>
          <w:color w:val="auto"/>
        </w:rPr>
      </w:pPr>
    </w:p>
    <w:p>
      <w:pPr>
        <w:ind w:left="1200" w:hanging="552"/>
        <w:spacing w:after="0"/>
        <w:tabs>
          <w:tab w:leader="none" w:pos="12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w:t>
      </w:r>
    </w:p>
    <w:p>
      <w:pPr>
        <w:spacing w:after="0" w:line="2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approximately $500,000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 $750,000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214" w:lineRule="exact"/>
        <w:rPr>
          <w:sz w:val="20"/>
          <w:szCs w:val="20"/>
          <w:color w:val="auto"/>
        </w:rPr>
      </w:pPr>
    </w:p>
    <w:p>
      <w:pPr>
        <w:ind w:right="80" w:firstLine="648"/>
        <w:spacing w:after="0" w:line="243" w:lineRule="auto"/>
        <w:tabs>
          <w:tab w:leader="none" w:pos="1203"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212"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60" w:lineRule="exact"/>
        <w:rPr>
          <w:rFonts w:ascii="Times New Roman" w:cs="Times New Roman" w:eastAsia="Times New Roman" w:hAnsi="Times New Roman"/>
          <w:sz w:val="20"/>
          <w:szCs w:val="20"/>
          <w:b w:val="1"/>
          <w:bCs w:val="1"/>
          <w:color w:val="auto"/>
        </w:rPr>
      </w:pPr>
    </w:p>
    <w:p>
      <w:pPr>
        <w:ind w:left="1200" w:hanging="552"/>
        <w:spacing w:after="0"/>
        <w:tabs>
          <w:tab w:leader="none" w:pos="12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42" w:lineRule="exact"/>
        <w:rPr>
          <w:rFonts w:ascii="Times New Roman" w:cs="Times New Roman" w:eastAsia="Times New Roman" w:hAnsi="Times New Roman"/>
          <w:sz w:val="20"/>
          <w:szCs w:val="20"/>
          <w:color w:val="auto"/>
        </w:rPr>
      </w:pPr>
    </w:p>
    <w:p>
      <w:pPr>
        <w:jc w:val="both"/>
        <w:ind w:right="720" w:firstLine="648"/>
        <w:spacing w:after="0"/>
        <w:tabs>
          <w:tab w:leader="none" w:pos="120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w:t>
      </w:r>
    </w:p>
    <w:p>
      <w:pPr>
        <w:sectPr>
          <w:pgSz w:w="11900" w:h="16838" w:orient="portrait"/>
          <w:cols w:equalWidth="0" w:num="1">
            <w:col w:w="11000"/>
          </w:cols>
          <w:pgMar w:left="420" w:top="1395" w:right="479" w:bottom="1440" w:gutter="0" w:footer="0" w:header="0"/>
        </w:sectPr>
      </w:pPr>
    </w:p>
    <w:bookmarkStart w:id="194" w:name="page195"/>
    <w:bookmarkEnd w:id="194"/>
    <w:p>
      <w:pPr>
        <w:jc w:val="both"/>
        <w:ind w:left="100" w:right="660"/>
        <w:spacing w:after="0" w:line="254" w:lineRule="auto"/>
        <w:rPr>
          <w:sz w:val="20"/>
          <w:szCs w:val="20"/>
          <w:color w:val="auto"/>
        </w:rPr>
      </w:pPr>
      <w:r>
        <w:rPr>
          <w:rFonts w:ascii="Times New Roman" w:cs="Times New Roman" w:eastAsia="Times New Roman" w:hAnsi="Times New Roman"/>
          <w:sz w:val="20"/>
          <w:szCs w:val="20"/>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215" w:lineRule="exact"/>
        <w:rPr>
          <w:sz w:val="20"/>
          <w:szCs w:val="20"/>
          <w:color w:val="auto"/>
        </w:rPr>
      </w:pPr>
    </w:p>
    <w:p>
      <w:pPr>
        <w:ind w:left="100" w:right="120" w:firstLine="648"/>
        <w:spacing w:after="0" w:line="269" w:lineRule="auto"/>
        <w:tabs>
          <w:tab w:leader="none" w:pos="130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82" w:lineRule="exact"/>
        <w:rPr>
          <w:rFonts w:ascii="Times New Roman" w:cs="Times New Roman" w:eastAsia="Times New Roman" w:hAnsi="Times New Roman"/>
          <w:sz w:val="20"/>
          <w:szCs w:val="20"/>
          <w:color w:val="auto"/>
        </w:rPr>
      </w:pPr>
    </w:p>
    <w:p>
      <w:pPr>
        <w:ind w:left="100" w:right="220"/>
        <w:spacing w:after="0" w:line="250" w:lineRule="auto"/>
        <w:tabs>
          <w:tab w:leader="none" w:pos="653"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216" w:lineRule="exact"/>
        <w:rPr>
          <w:rFonts w:ascii="Times New Roman" w:cs="Times New Roman" w:eastAsia="Times New Roman" w:hAnsi="Times New Roman"/>
          <w:sz w:val="20"/>
          <w:szCs w:val="20"/>
          <w:b w:val="1"/>
          <w:bCs w:val="1"/>
          <w:color w:val="auto"/>
        </w:rPr>
      </w:pPr>
    </w:p>
    <w:p>
      <w:pPr>
        <w:ind w:left="100"/>
        <w:spacing w:after="0" w:line="241" w:lineRule="auto"/>
        <w:tabs>
          <w:tab w:leader="none" w:pos="653"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any reason, all unvested RSUs shall be cancelled immediately and the Participant shall not be entitled to receive any payments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10" w:lineRule="exact"/>
        <w:rPr>
          <w:rFonts w:ascii="Times New Roman" w:cs="Times New Roman" w:eastAsia="Times New Roman" w:hAnsi="Times New Roman"/>
          <w:sz w:val="20"/>
          <w:szCs w:val="20"/>
          <w:b w:val="1"/>
          <w:bCs w:val="1"/>
          <w:color w:val="auto"/>
        </w:rPr>
      </w:pPr>
    </w:p>
    <w:p>
      <w:pPr>
        <w:ind w:left="100" w:right="120"/>
        <w:spacing w:after="0" w:line="23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99" w:lineRule="exact"/>
        <w:rPr>
          <w:rFonts w:ascii="Times New Roman" w:cs="Times New Roman" w:eastAsia="Times New Roman" w:hAnsi="Times New Roman"/>
          <w:sz w:val="20"/>
          <w:szCs w:val="20"/>
          <w:b w:val="1"/>
          <w:bCs w:val="1"/>
          <w:color w:val="auto"/>
        </w:rPr>
      </w:pPr>
    </w:p>
    <w:p>
      <w:pPr>
        <w:ind w:left="100" w:right="20"/>
        <w:spacing w:after="0" w:line="246" w:lineRule="auto"/>
        <w:tabs>
          <w:tab w:leader="none" w:pos="653"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205"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60" w:lineRule="exact"/>
        <w:rPr>
          <w:rFonts w:ascii="Times New Roman" w:cs="Times New Roman" w:eastAsia="Times New Roman" w:hAnsi="Times New Roman"/>
          <w:sz w:val="20"/>
          <w:szCs w:val="20"/>
          <w:b w:val="1"/>
          <w:bCs w:val="1"/>
          <w:color w:val="auto"/>
        </w:rPr>
      </w:pPr>
    </w:p>
    <w:p>
      <w:pPr>
        <w:ind w:left="100" w:right="100" w:firstLine="648"/>
        <w:spacing w:after="0" w:line="274" w:lineRule="auto"/>
        <w:tabs>
          <w:tab w:leader="none" w:pos="1304"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w:t>
      </w:r>
    </w:p>
    <w:p>
      <w:pPr>
        <w:sectPr>
          <w:pgSz w:w="11900" w:h="16838" w:orient="portrait"/>
          <w:cols w:equalWidth="0" w:num="1">
            <w:col w:w="11120"/>
          </w:cols>
          <w:pgMar w:left="320" w:top="1386" w:right="459" w:bottom="1440" w:gutter="0" w:footer="0" w:header="0"/>
        </w:sectPr>
      </w:pPr>
    </w:p>
    <w:bookmarkStart w:id="195" w:name="page196"/>
    <w:bookmarkEnd w:id="195"/>
    <w:p>
      <w:pPr>
        <w:ind w:left="100"/>
        <w:spacing w:after="0" w:line="269" w:lineRule="auto"/>
        <w:rPr>
          <w:sz w:val="20"/>
          <w:szCs w:val="20"/>
          <w:color w:val="auto"/>
        </w:rPr>
      </w:pPr>
      <w:r>
        <w:rPr>
          <w:rFonts w:ascii="Times New Roman" w:cs="Times New Roman" w:eastAsia="Times New Roman" w:hAnsi="Times New Roman"/>
          <w:sz w:val="20"/>
          <w:szCs w:val="20"/>
          <w:color w:val="auto"/>
        </w:rPr>
        <w:t>agrees to take all steps the Committee or the Company determines are reasonably necessary to comply with all applicable provisions of U.S. federaland state securities law and non-U.S. securities law in exercising his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w:t>
      </w:r>
    </w:p>
    <w:p>
      <w:pPr>
        <w:sectPr>
          <w:pgSz w:w="11900" w:h="16838" w:orient="portrait"/>
          <w:cols w:equalWidth="0" w:num="1">
            <w:col w:w="10800"/>
          </w:cols>
          <w:pgMar w:left="320" w:top="1318" w:right="779" w:bottom="1440" w:gutter="0" w:footer="0" w:header="0"/>
        </w:sectPr>
      </w:pPr>
    </w:p>
    <w:bookmarkStart w:id="196" w:name="page197"/>
    <w:bookmarkEnd w:id="196"/>
    <w:p>
      <w:pPr>
        <w:ind w:left="100" w:firstLine="648"/>
        <w:spacing w:after="0" w:line="242" w:lineRule="auto"/>
        <w:tabs>
          <w:tab w:leader="none" w:pos="130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212" w:lineRule="exact"/>
        <w:rPr>
          <w:rFonts w:ascii="Times New Roman" w:cs="Times New Roman" w:eastAsia="Times New Roman" w:hAnsi="Times New Roman"/>
          <w:sz w:val="20"/>
          <w:szCs w:val="20"/>
          <w:color w:val="auto"/>
        </w:rPr>
      </w:pPr>
    </w:p>
    <w:p>
      <w:pPr>
        <w:ind w:left="100" w:right="80"/>
        <w:spacing w:after="0" w:line="241" w:lineRule="auto"/>
        <w:tabs>
          <w:tab w:leader="none" w:pos="653"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cancelthe Shares and RSU award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234"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192" w:lineRule="exact"/>
        <w:rPr>
          <w:rFonts w:ascii="Times New Roman" w:cs="Times New Roman" w:eastAsia="Times New Roman" w:hAnsi="Times New Roman"/>
          <w:sz w:val="20"/>
          <w:szCs w:val="20"/>
          <w:b w:val="1"/>
          <w:bCs w:val="1"/>
          <w:color w:val="auto"/>
        </w:rPr>
      </w:pPr>
    </w:p>
    <w:p>
      <w:pPr>
        <w:ind w:left="100" w:right="80" w:firstLine="648"/>
        <w:spacing w:after="0" w:line="254" w:lineRule="auto"/>
        <w:tabs>
          <w:tab w:leader="none" w:pos="130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214" w:lineRule="exact"/>
        <w:rPr>
          <w:rFonts w:ascii="Times New Roman" w:cs="Times New Roman" w:eastAsia="Times New Roman" w:hAnsi="Times New Roman"/>
          <w:sz w:val="20"/>
          <w:szCs w:val="20"/>
          <w:color w:val="auto"/>
        </w:rPr>
      </w:pPr>
    </w:p>
    <w:p>
      <w:pPr>
        <w:ind w:left="100" w:right="180" w:firstLine="648"/>
        <w:spacing w:after="0" w:line="263" w:lineRule="auto"/>
        <w:tabs>
          <w:tab w:leader="none" w:pos="1301"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w:t>
      </w:r>
    </w:p>
    <w:p>
      <w:pPr>
        <w:sectPr>
          <w:pgSz w:w="11900" w:h="16838" w:orient="portrait"/>
          <w:cols w:equalWidth="0" w:num="1">
            <w:col w:w="11120"/>
          </w:cols>
          <w:pgMar w:left="320" w:top="1386" w:right="459" w:bottom="1440" w:gutter="0" w:footer="0" w:header="0"/>
        </w:sectPr>
      </w:pPr>
    </w:p>
    <w:bookmarkStart w:id="197" w:name="page198"/>
    <w:bookmarkEnd w:id="197"/>
    <w:p>
      <w:pPr>
        <w:ind w:left="740" w:hanging="640"/>
        <w:spacing w:after="0"/>
        <w:tabs>
          <w:tab w:leader="none" w:pos="74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60" w:lineRule="exact"/>
        <w:rPr>
          <w:rFonts w:ascii="Times New Roman" w:cs="Times New Roman" w:eastAsia="Times New Roman" w:hAnsi="Times New Roman"/>
          <w:sz w:val="20"/>
          <w:szCs w:val="20"/>
          <w:b w:val="1"/>
          <w:bCs w:val="1"/>
          <w:color w:val="auto"/>
        </w:rPr>
      </w:pPr>
    </w:p>
    <w:p>
      <w:pPr>
        <w:ind w:left="100" w:right="120" w:firstLine="648"/>
        <w:spacing w:after="0" w:line="266" w:lineRule="auto"/>
        <w:tabs>
          <w:tab w:leader="none" w:pos="1304"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86" w:lineRule="exact"/>
        <w:rPr>
          <w:rFonts w:ascii="Times New Roman" w:cs="Times New Roman" w:eastAsia="Times New Roman" w:hAnsi="Times New Roman"/>
          <w:sz w:val="19"/>
          <w:szCs w:val="19"/>
          <w:color w:val="auto"/>
        </w:rPr>
      </w:pPr>
    </w:p>
    <w:p>
      <w:pPr>
        <w:ind w:left="100" w:right="20" w:firstLine="648"/>
        <w:spacing w:after="0" w:line="249" w:lineRule="auto"/>
        <w:tabs>
          <w:tab w:leader="none" w:pos="1301"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6" w:lineRule="exact"/>
        <w:rPr>
          <w:rFonts w:ascii="Times New Roman" w:cs="Times New Roman" w:eastAsia="Times New Roman" w:hAnsi="Times New Roman"/>
          <w:sz w:val="20"/>
          <w:szCs w:val="20"/>
          <w:color w:val="auto"/>
        </w:rPr>
      </w:pPr>
    </w:p>
    <w:p>
      <w:pPr>
        <w:ind w:left="1380" w:hanging="632"/>
        <w:spacing w:after="0"/>
        <w:tabs>
          <w:tab w:leader="none" w:pos="138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w:t>
      </w:r>
    </w:p>
    <w:p>
      <w:pPr>
        <w:spacing w:after="0" w:line="22" w:lineRule="exact"/>
        <w:rPr>
          <w:sz w:val="20"/>
          <w:szCs w:val="20"/>
          <w:color w:val="auto"/>
        </w:rPr>
      </w:pPr>
    </w:p>
    <w:p>
      <w:pPr>
        <w:ind w:left="100" w:right="100"/>
        <w:spacing w:after="0"/>
        <w:rPr>
          <w:sz w:val="20"/>
          <w:szCs w:val="20"/>
          <w:color w:val="auto"/>
        </w:rPr>
      </w:pPr>
      <w:r>
        <w:rPr>
          <w:rFonts w:ascii="Times New Roman" w:cs="Times New Roman" w:eastAsia="Times New Roman" w:hAnsi="Times New Roman"/>
          <w:sz w:val="20"/>
          <w:szCs w:val="20"/>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217" w:lineRule="exact"/>
        <w:rPr>
          <w:sz w:val="20"/>
          <w:szCs w:val="20"/>
          <w:color w:val="auto"/>
        </w:rPr>
      </w:pPr>
    </w:p>
    <w:p>
      <w:pPr>
        <w:jc w:val="both"/>
        <w:ind w:left="100" w:right="700" w:firstLine="648"/>
        <w:spacing w:after="0"/>
        <w:tabs>
          <w:tab w:leader="none" w:pos="130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01" w:lineRule="exact"/>
        <w:rPr>
          <w:rFonts w:ascii="Times New Roman" w:cs="Times New Roman" w:eastAsia="Times New Roman" w:hAnsi="Times New Roman"/>
          <w:sz w:val="20"/>
          <w:szCs w:val="20"/>
          <w:color w:val="auto"/>
        </w:rPr>
      </w:pPr>
    </w:p>
    <w:p>
      <w:pPr>
        <w:ind w:left="100" w:right="100" w:firstLine="648"/>
        <w:spacing w:after="0" w:line="246" w:lineRule="auto"/>
        <w:tabs>
          <w:tab w:leader="none" w:pos="130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225" w:lineRule="exact"/>
        <w:rPr>
          <w:rFonts w:ascii="Times New Roman" w:cs="Times New Roman" w:eastAsia="Times New Roman" w:hAnsi="Times New Roman"/>
          <w:sz w:val="20"/>
          <w:szCs w:val="20"/>
          <w:color w:val="auto"/>
        </w:rPr>
      </w:pPr>
    </w:p>
    <w:p>
      <w:pPr>
        <w:jc w:val="both"/>
        <w:ind w:left="100" w:firstLine="648"/>
        <w:spacing w:after="0" w:line="254" w:lineRule="auto"/>
        <w:tabs>
          <w:tab w:leader="none" w:pos="129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4" w:lineRule="exact"/>
        <w:rPr>
          <w:rFonts w:ascii="Times New Roman" w:cs="Times New Roman" w:eastAsia="Times New Roman" w:hAnsi="Times New Roman"/>
          <w:sz w:val="20"/>
          <w:szCs w:val="20"/>
          <w:color w:val="auto"/>
        </w:rPr>
      </w:pPr>
    </w:p>
    <w:p>
      <w:pPr>
        <w:ind w:left="100" w:right="100" w:firstLine="648"/>
        <w:spacing w:after="0" w:line="236" w:lineRule="auto"/>
        <w:tabs>
          <w:tab w:leader="none" w:pos="130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w:t>
      </w:r>
    </w:p>
    <w:p>
      <w:pPr>
        <w:sectPr>
          <w:pgSz w:w="11900" w:h="16838" w:orient="portrait"/>
          <w:cols w:equalWidth="0" w:num="1">
            <w:col w:w="11060"/>
          </w:cols>
          <w:pgMar w:left="320" w:top="1395" w:right="519" w:bottom="1440" w:gutter="0" w:footer="0" w:header="0"/>
        </w:sectPr>
      </w:pPr>
    </w:p>
    <w:bookmarkStart w:id="198" w:name="page199"/>
    <w:bookmarkEnd w:id="198"/>
    <w:p>
      <w:pPr>
        <w:ind w:left="100" w:right="220" w:firstLine="648"/>
        <w:spacing w:after="0" w:line="254" w:lineRule="auto"/>
        <w:tabs>
          <w:tab w:leader="none" w:pos="130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214" w:lineRule="exact"/>
        <w:rPr>
          <w:rFonts w:ascii="Times New Roman" w:cs="Times New Roman" w:eastAsia="Times New Roman" w:hAnsi="Times New Roman"/>
          <w:sz w:val="20"/>
          <w:szCs w:val="20"/>
          <w:color w:val="auto"/>
        </w:rPr>
      </w:pPr>
    </w:p>
    <w:p>
      <w:pPr>
        <w:ind w:left="100" w:right="320" w:firstLine="648"/>
        <w:spacing w:after="0" w:line="269" w:lineRule="auto"/>
        <w:tabs>
          <w:tab w:leader="none" w:pos="130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Times New Roman" w:cs="Times New Roman" w:eastAsia="Times New Roman" w:hAnsi="Times New Roman"/>
          <w:sz w:val="20"/>
          <w:szCs w:val="20"/>
          <w:color w:val="auto"/>
        </w:rPr>
      </w:pPr>
    </w:p>
    <w:p>
      <w:pPr>
        <w:ind w:left="100" w:right="500" w:firstLine="648"/>
        <w:spacing w:after="0" w:line="295" w:lineRule="auto"/>
        <w:tabs>
          <w:tab w:leader="none" w:pos="130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8" w:lineRule="exact"/>
        <w:rPr>
          <w:rFonts w:ascii="Times New Roman" w:cs="Times New Roman" w:eastAsia="Times New Roman" w:hAnsi="Times New Roman"/>
          <w:sz w:val="19"/>
          <w:szCs w:val="19"/>
          <w:color w:val="auto"/>
        </w:rPr>
      </w:pPr>
    </w:p>
    <w:p>
      <w:pPr>
        <w:ind w:left="100" w:right="120" w:firstLine="648"/>
        <w:spacing w:after="0" w:line="266" w:lineRule="auto"/>
        <w:tabs>
          <w:tab w:leader="none" w:pos="1301"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92" w:lineRule="exact"/>
        <w:rPr>
          <w:rFonts w:ascii="Times New Roman" w:cs="Times New Roman" w:eastAsia="Times New Roman" w:hAnsi="Times New Roman"/>
          <w:sz w:val="19"/>
          <w:szCs w:val="19"/>
          <w:color w:val="auto"/>
        </w:rPr>
      </w:pPr>
    </w:p>
    <w:p>
      <w:pPr>
        <w:jc w:val="both"/>
        <w:ind w:left="100" w:right="140" w:firstLine="648"/>
        <w:spacing w:after="0"/>
        <w:tabs>
          <w:tab w:leader="none" w:pos="130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201" w:lineRule="exact"/>
        <w:rPr>
          <w:rFonts w:ascii="Times New Roman" w:cs="Times New Roman" w:eastAsia="Times New Roman" w:hAnsi="Times New Roman"/>
          <w:sz w:val="20"/>
          <w:szCs w:val="20"/>
          <w:color w:val="auto"/>
        </w:rPr>
      </w:pPr>
    </w:p>
    <w:p>
      <w:pPr>
        <w:ind w:left="740" w:firstLine="552"/>
        <w:spacing w:after="0" w:line="242" w:lineRule="auto"/>
        <w:tabs>
          <w:tab w:leader="none" w:pos="194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313" w:lineRule="exact"/>
        <w:rPr>
          <w:rFonts w:ascii="Times New Roman" w:cs="Times New Roman" w:eastAsia="Times New Roman" w:hAnsi="Times New Roman"/>
          <w:sz w:val="20"/>
          <w:szCs w:val="20"/>
          <w:color w:val="auto"/>
        </w:rPr>
      </w:pPr>
    </w:p>
    <w:p>
      <w:pPr>
        <w:ind w:left="1960" w:hanging="723"/>
        <w:spacing w:after="0"/>
        <w:tabs>
          <w:tab w:leader="none" w:pos="196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w:t>
      </w:r>
    </w:p>
    <w:p>
      <w:pPr>
        <w:spacing w:after="0" w:line="22" w:lineRule="exact"/>
        <w:rPr>
          <w:sz w:val="20"/>
          <w:szCs w:val="20"/>
          <w:color w:val="auto"/>
        </w:rPr>
      </w:pPr>
    </w:p>
    <w:p>
      <w:pPr>
        <w:ind w:left="740" w:right="100"/>
        <w:spacing w:after="0" w:line="239" w:lineRule="auto"/>
        <w:rPr>
          <w:sz w:val="20"/>
          <w:szCs w:val="20"/>
          <w:color w:val="auto"/>
        </w:rPr>
      </w:pPr>
      <w:r>
        <w:rPr>
          <w:rFonts w:ascii="Times New Roman" w:cs="Times New Roman" w:eastAsia="Times New Roman" w:hAnsi="Times New Roman"/>
          <w:sz w:val="20"/>
          <w:szCs w:val="20"/>
          <w:color w:val="auto"/>
        </w:rPr>
        <w:t>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left="740" w:right="1120" w:firstLine="8"/>
        <w:spacing w:after="0" w:line="246" w:lineRule="auto"/>
        <w:tabs>
          <w:tab w:leader="none" w:pos="105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w:t>
      </w:r>
    </w:p>
    <w:p>
      <w:pPr>
        <w:sectPr>
          <w:pgSz w:w="11900" w:h="16838" w:orient="portrait"/>
          <w:cols w:equalWidth="0" w:num="1">
            <w:col w:w="11120"/>
          </w:cols>
          <w:pgMar w:left="320" w:top="1386" w:right="459" w:bottom="1440" w:gutter="0" w:footer="0" w:header="0"/>
        </w:sectPr>
      </w:pPr>
    </w:p>
    <w:bookmarkStart w:id="199" w:name="page200"/>
    <w:bookmarkEnd w:id="199"/>
    <w:p>
      <w:pPr>
        <w:ind w:left="100" w:firstLine="648"/>
        <w:spacing w:after="0" w:line="269" w:lineRule="auto"/>
        <w:tabs>
          <w:tab w:leader="none" w:pos="129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w:t>
      </w:r>
    </w:p>
    <w:p>
      <w:pPr>
        <w:sectPr>
          <w:pgSz w:w="11900" w:h="16838" w:orient="portrait"/>
          <w:cols w:equalWidth="0" w:num="1">
            <w:col w:w="10820"/>
          </w:cols>
          <w:pgMar w:left="320" w:top="1318" w:right="759" w:bottom="1440" w:gutter="0" w:footer="0" w:header="0"/>
        </w:sectPr>
      </w:pPr>
    </w:p>
    <w:bookmarkStart w:id="200" w:name="page201"/>
    <w:bookmarkEnd w:id="200"/>
    <w:p>
      <w:pPr>
        <w:ind w:left="100"/>
        <w:spacing w:after="0"/>
        <w:rPr>
          <w:sz w:val="20"/>
          <w:szCs w:val="20"/>
          <w:color w:val="auto"/>
        </w:rPr>
      </w:pPr>
      <w:r>
        <w:rPr>
          <w:rFonts w:ascii="Times New Roman" w:cs="Times New Roman" w:eastAsia="Times New Roman" w:hAnsi="Times New Roman"/>
          <w:sz w:val="20"/>
          <w:szCs w:val="20"/>
          <w:color w:val="auto"/>
        </w:rPr>
        <w:t>Agreement. Masculine pronouns and other words of masculine gender shall refer to both men and women as appropriate.</w:t>
      </w:r>
    </w:p>
    <w:p>
      <w:pPr>
        <w:spacing w:after="0" w:line="256" w:lineRule="exact"/>
        <w:rPr>
          <w:sz w:val="20"/>
          <w:szCs w:val="20"/>
          <w:color w:val="auto"/>
        </w:rPr>
      </w:pPr>
    </w:p>
    <w:p>
      <w:pPr>
        <w:ind w:left="100" w:right="120" w:firstLine="648"/>
        <w:spacing w:after="0" w:line="259" w:lineRule="auto"/>
        <w:tabs>
          <w:tab w:leader="none" w:pos="130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3" w:lineRule="exact"/>
        <w:rPr>
          <w:rFonts w:ascii="Times New Roman" w:cs="Times New Roman" w:eastAsia="Times New Roman" w:hAnsi="Times New Roman"/>
          <w:sz w:val="19"/>
          <w:szCs w:val="19"/>
          <w:color w:val="auto"/>
        </w:rPr>
      </w:pPr>
    </w:p>
    <w:p>
      <w:pPr>
        <w:ind w:left="100" w:firstLine="648"/>
        <w:spacing w:after="0" w:line="246" w:lineRule="auto"/>
        <w:tabs>
          <w:tab w:leader="none" w:pos="130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25" w:lineRule="exact"/>
        <w:rPr>
          <w:rFonts w:ascii="Times New Roman" w:cs="Times New Roman" w:eastAsia="Times New Roman" w:hAnsi="Times New Roman"/>
          <w:sz w:val="20"/>
          <w:szCs w:val="20"/>
          <w:color w:val="auto"/>
        </w:rPr>
      </w:pPr>
    </w:p>
    <w:p>
      <w:pPr>
        <w:ind w:left="100" w:right="240" w:firstLine="648"/>
        <w:spacing w:after="0" w:line="249" w:lineRule="auto"/>
        <w:tabs>
          <w:tab w:leader="none" w:pos="13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8</w:t>
      </w:r>
    </w:p>
    <w:p>
      <w:pPr>
        <w:sectPr>
          <w:pgSz w:w="11900" w:h="16838" w:orient="portrait"/>
          <w:cols w:equalWidth="0" w:num="1">
            <w:col w:w="11060"/>
          </w:cols>
          <w:pgMar w:left="320" w:top="1386" w:right="519" w:bottom="1440" w:gutter="0" w:footer="0" w:header="0"/>
        </w:sectPr>
      </w:pPr>
    </w:p>
    <w:bookmarkStart w:id="201" w:name="page202"/>
    <w:bookmarkEnd w:id="201"/>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Times New Roman" w:cs="Times New Roman" w:eastAsia="Times New Roman" w:hAnsi="Times New Roman"/>
          <w:sz w:val="22"/>
          <w:szCs w:val="22"/>
          <w:b w:val="1"/>
          <w:bCs w:val="1"/>
          <w:u w:val="single" w:color="auto"/>
          <w:color w:val="0000FF"/>
        </w:rPr>
        <w:t>https://www.schwab.com/public/eac/home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tabs>
          <w:tab w:leader="none" w:pos="5960" w:val="left"/>
        </w:tabs>
        <w:rPr>
          <w:sz w:val="20"/>
          <w:szCs w:val="20"/>
          <w:color w:val="auto"/>
        </w:rPr>
      </w:pPr>
      <w:r>
        <w:rPr>
          <w:sz w:val="1"/>
          <w:szCs w:val="1"/>
          <w:color w:val="auto"/>
        </w:rPr>
        <w:drawing>
          <wp:inline distT="0" distB="0" distL="0" distR="0">
            <wp:extent cx="985520" cy="27432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985520" cy="274320"/>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Name: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15240</wp:posOffset>
            </wp:positionV>
            <wp:extent cx="1257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0820"/>
          </w:cols>
          <w:pgMar w:left="420" w:top="1404" w:right="659" w:bottom="1440" w:gutter="0" w:footer="0" w:header="0"/>
        </w:sectPr>
      </w:pPr>
    </w:p>
    <w:bookmarkStart w:id="202" w:name="page203"/>
    <w:bookmarkEnd w:id="202"/>
    <w:p>
      <w:pPr>
        <w:jc w:val="center"/>
        <w:ind w:left="460" w:right="20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VIRTU FINANCIAL, INC. AMENDED AND RESTATED 2015 MANAGEMENT INCENTIVE PLAN </w:t>
      </w: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RESTRICTED STOCK UNIT AND COMMON STOCK AWARD AGREEMENT (the</w:t>
      </w:r>
    </w:p>
    <w:p>
      <w:pPr>
        <w:spacing w:after="0" w:line="22" w:lineRule="exact"/>
        <w:rPr>
          <w:sz w:val="20"/>
          <w:szCs w:val="20"/>
          <w:color w:val="auto"/>
        </w:rPr>
      </w:pPr>
    </w:p>
    <w:p>
      <w:pPr>
        <w:ind w:right="11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 2021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Brett Fairclough (the P</w:t>
      </w:r>
      <w:r>
        <w:rPr>
          <w:rFonts w:ascii="Times New Roman" w:cs="Times New Roman" w:eastAsia="Times New Roman" w:hAnsi="Times New Roman"/>
          <w:sz w:val="20"/>
          <w:szCs w:val="20"/>
          <w:u w:val="single" w:color="auto"/>
          <w:color w:val="auto"/>
        </w:rPr>
        <w:t>articipant</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2020 through December 31, 2020, and RSUs provided for herein to the Participant subject to the terms set forth herein.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560" w:hanging="560"/>
        <w:spacing w:after="0"/>
        <w:tabs>
          <w:tab w:leader="none" w:pos="56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193" w:lineRule="exact"/>
        <w:rPr>
          <w:sz w:val="20"/>
          <w:szCs w:val="20"/>
          <w:color w:val="auto"/>
        </w:rPr>
      </w:pPr>
    </w:p>
    <w:p>
      <w:pPr>
        <w:ind w:left="1200" w:hanging="552"/>
        <w:spacing w:after="0"/>
        <w:tabs>
          <w:tab w:leader="none" w:pos="12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w:t>
      </w:r>
    </w:p>
    <w:p>
      <w:pPr>
        <w:spacing w:after="0" w:line="2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approximately $470,000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 $705,000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214" w:lineRule="exact"/>
        <w:rPr>
          <w:sz w:val="20"/>
          <w:szCs w:val="20"/>
          <w:color w:val="auto"/>
        </w:rPr>
      </w:pPr>
    </w:p>
    <w:p>
      <w:pPr>
        <w:ind w:right="80" w:firstLine="648"/>
        <w:spacing w:after="0" w:line="243" w:lineRule="auto"/>
        <w:tabs>
          <w:tab w:leader="none" w:pos="120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212"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60" w:lineRule="exact"/>
        <w:rPr>
          <w:rFonts w:ascii="Times New Roman" w:cs="Times New Roman" w:eastAsia="Times New Roman" w:hAnsi="Times New Roman"/>
          <w:sz w:val="20"/>
          <w:szCs w:val="20"/>
          <w:b w:val="1"/>
          <w:bCs w:val="1"/>
          <w:color w:val="auto"/>
        </w:rPr>
      </w:pPr>
    </w:p>
    <w:p>
      <w:pPr>
        <w:ind w:left="1200" w:hanging="552"/>
        <w:spacing w:after="0"/>
        <w:tabs>
          <w:tab w:leader="none" w:pos="1200"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42" w:lineRule="exact"/>
        <w:rPr>
          <w:rFonts w:ascii="Times New Roman" w:cs="Times New Roman" w:eastAsia="Times New Roman" w:hAnsi="Times New Roman"/>
          <w:sz w:val="20"/>
          <w:szCs w:val="20"/>
          <w:color w:val="auto"/>
        </w:rPr>
      </w:pPr>
    </w:p>
    <w:p>
      <w:pPr>
        <w:jc w:val="both"/>
        <w:ind w:right="720" w:firstLine="648"/>
        <w:spacing w:after="0"/>
        <w:tabs>
          <w:tab w:leader="none" w:pos="1203"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w:t>
      </w:r>
    </w:p>
    <w:p>
      <w:pPr>
        <w:sectPr>
          <w:pgSz w:w="11900" w:h="16838" w:orient="portrait"/>
          <w:cols w:equalWidth="0" w:num="1">
            <w:col w:w="11000"/>
          </w:cols>
          <w:pgMar w:left="420" w:top="1395" w:right="479" w:bottom="1440" w:gutter="0" w:footer="0" w:header="0"/>
        </w:sectPr>
      </w:pPr>
    </w:p>
    <w:bookmarkStart w:id="203" w:name="page204"/>
    <w:bookmarkEnd w:id="203"/>
    <w:p>
      <w:pPr>
        <w:jc w:val="both"/>
        <w:ind w:left="100" w:right="660"/>
        <w:spacing w:after="0" w:line="254" w:lineRule="auto"/>
        <w:rPr>
          <w:sz w:val="20"/>
          <w:szCs w:val="20"/>
          <w:color w:val="auto"/>
        </w:rPr>
      </w:pPr>
      <w:r>
        <w:rPr>
          <w:rFonts w:ascii="Times New Roman" w:cs="Times New Roman" w:eastAsia="Times New Roman" w:hAnsi="Times New Roman"/>
          <w:sz w:val="20"/>
          <w:szCs w:val="20"/>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215" w:lineRule="exact"/>
        <w:rPr>
          <w:sz w:val="20"/>
          <w:szCs w:val="20"/>
          <w:color w:val="auto"/>
        </w:rPr>
      </w:pPr>
    </w:p>
    <w:p>
      <w:pPr>
        <w:ind w:left="100" w:right="120" w:firstLine="648"/>
        <w:spacing w:after="0" w:line="269" w:lineRule="auto"/>
        <w:tabs>
          <w:tab w:leader="none" w:pos="130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82" w:lineRule="exact"/>
        <w:rPr>
          <w:rFonts w:ascii="Times New Roman" w:cs="Times New Roman" w:eastAsia="Times New Roman" w:hAnsi="Times New Roman"/>
          <w:sz w:val="20"/>
          <w:szCs w:val="20"/>
          <w:color w:val="auto"/>
        </w:rPr>
      </w:pPr>
    </w:p>
    <w:p>
      <w:pPr>
        <w:ind w:left="100" w:right="220"/>
        <w:spacing w:after="0" w:line="250" w:lineRule="auto"/>
        <w:tabs>
          <w:tab w:leader="none" w:pos="653"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216" w:lineRule="exact"/>
        <w:rPr>
          <w:rFonts w:ascii="Times New Roman" w:cs="Times New Roman" w:eastAsia="Times New Roman" w:hAnsi="Times New Roman"/>
          <w:sz w:val="20"/>
          <w:szCs w:val="20"/>
          <w:b w:val="1"/>
          <w:bCs w:val="1"/>
          <w:color w:val="auto"/>
        </w:rPr>
      </w:pPr>
    </w:p>
    <w:p>
      <w:pPr>
        <w:ind w:left="100"/>
        <w:spacing w:after="0" w:line="241" w:lineRule="auto"/>
        <w:tabs>
          <w:tab w:leader="none" w:pos="653"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any reason, all unvested RSUs shall be cancelled immediately and the Participant shall not be entitled to receive any payments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10" w:lineRule="exact"/>
        <w:rPr>
          <w:rFonts w:ascii="Times New Roman" w:cs="Times New Roman" w:eastAsia="Times New Roman" w:hAnsi="Times New Roman"/>
          <w:sz w:val="20"/>
          <w:szCs w:val="20"/>
          <w:b w:val="1"/>
          <w:bCs w:val="1"/>
          <w:color w:val="auto"/>
        </w:rPr>
      </w:pPr>
    </w:p>
    <w:p>
      <w:pPr>
        <w:ind w:left="100" w:right="120"/>
        <w:spacing w:after="0" w:line="23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99" w:lineRule="exact"/>
        <w:rPr>
          <w:rFonts w:ascii="Times New Roman" w:cs="Times New Roman" w:eastAsia="Times New Roman" w:hAnsi="Times New Roman"/>
          <w:sz w:val="20"/>
          <w:szCs w:val="20"/>
          <w:b w:val="1"/>
          <w:bCs w:val="1"/>
          <w:color w:val="auto"/>
        </w:rPr>
      </w:pPr>
    </w:p>
    <w:p>
      <w:pPr>
        <w:ind w:left="100" w:right="20"/>
        <w:spacing w:after="0" w:line="246" w:lineRule="auto"/>
        <w:tabs>
          <w:tab w:leader="none" w:pos="653"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205"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60" w:lineRule="exact"/>
        <w:rPr>
          <w:rFonts w:ascii="Times New Roman" w:cs="Times New Roman" w:eastAsia="Times New Roman" w:hAnsi="Times New Roman"/>
          <w:sz w:val="20"/>
          <w:szCs w:val="20"/>
          <w:b w:val="1"/>
          <w:bCs w:val="1"/>
          <w:color w:val="auto"/>
        </w:rPr>
      </w:pPr>
    </w:p>
    <w:p>
      <w:pPr>
        <w:ind w:left="100" w:right="100" w:firstLine="648"/>
        <w:spacing w:after="0" w:line="274" w:lineRule="auto"/>
        <w:tabs>
          <w:tab w:leader="none" w:pos="1304"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w:t>
      </w:r>
    </w:p>
    <w:p>
      <w:pPr>
        <w:sectPr>
          <w:pgSz w:w="11900" w:h="16838" w:orient="portrait"/>
          <w:cols w:equalWidth="0" w:num="1">
            <w:col w:w="11120"/>
          </w:cols>
          <w:pgMar w:left="320" w:top="1386" w:right="459" w:bottom="1440" w:gutter="0" w:footer="0" w:header="0"/>
        </w:sectPr>
      </w:pPr>
    </w:p>
    <w:bookmarkStart w:id="204" w:name="page205"/>
    <w:bookmarkEnd w:id="204"/>
    <w:p>
      <w:pPr>
        <w:ind w:left="100"/>
        <w:spacing w:after="0" w:line="269" w:lineRule="auto"/>
        <w:rPr>
          <w:sz w:val="20"/>
          <w:szCs w:val="20"/>
          <w:color w:val="auto"/>
        </w:rPr>
      </w:pPr>
      <w:r>
        <w:rPr>
          <w:rFonts w:ascii="Times New Roman" w:cs="Times New Roman" w:eastAsia="Times New Roman" w:hAnsi="Times New Roman"/>
          <w:sz w:val="20"/>
          <w:szCs w:val="20"/>
          <w:color w:val="auto"/>
        </w:rPr>
        <w:t>agrees to take all steps the Committee or the Company determines are reasonably necessary to comply with all applicable provisions of U.S. federaland state securities law and non-U.S. securities law in exercising his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w:t>
      </w:r>
    </w:p>
    <w:p>
      <w:pPr>
        <w:sectPr>
          <w:pgSz w:w="11900" w:h="16838" w:orient="portrait"/>
          <w:cols w:equalWidth="0" w:num="1">
            <w:col w:w="10800"/>
          </w:cols>
          <w:pgMar w:left="320" w:top="1318" w:right="779" w:bottom="1440" w:gutter="0" w:footer="0" w:header="0"/>
        </w:sectPr>
      </w:pPr>
    </w:p>
    <w:bookmarkStart w:id="205" w:name="page206"/>
    <w:bookmarkEnd w:id="205"/>
    <w:p>
      <w:pPr>
        <w:ind w:left="100" w:firstLine="648"/>
        <w:spacing w:after="0" w:line="242" w:lineRule="auto"/>
        <w:tabs>
          <w:tab w:leader="none" w:pos="130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212" w:lineRule="exact"/>
        <w:rPr>
          <w:rFonts w:ascii="Times New Roman" w:cs="Times New Roman" w:eastAsia="Times New Roman" w:hAnsi="Times New Roman"/>
          <w:sz w:val="20"/>
          <w:szCs w:val="20"/>
          <w:color w:val="auto"/>
        </w:rPr>
      </w:pPr>
    </w:p>
    <w:p>
      <w:pPr>
        <w:ind w:left="100" w:right="80"/>
        <w:spacing w:after="0" w:line="241" w:lineRule="auto"/>
        <w:tabs>
          <w:tab w:leader="none" w:pos="653"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cancelthe Shares and RSU award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234"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192" w:lineRule="exact"/>
        <w:rPr>
          <w:rFonts w:ascii="Times New Roman" w:cs="Times New Roman" w:eastAsia="Times New Roman" w:hAnsi="Times New Roman"/>
          <w:sz w:val="20"/>
          <w:szCs w:val="20"/>
          <w:b w:val="1"/>
          <w:bCs w:val="1"/>
          <w:color w:val="auto"/>
        </w:rPr>
      </w:pPr>
    </w:p>
    <w:p>
      <w:pPr>
        <w:ind w:left="100" w:right="80" w:firstLine="648"/>
        <w:spacing w:after="0" w:line="254" w:lineRule="auto"/>
        <w:tabs>
          <w:tab w:leader="none" w:pos="130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214" w:lineRule="exact"/>
        <w:rPr>
          <w:rFonts w:ascii="Times New Roman" w:cs="Times New Roman" w:eastAsia="Times New Roman" w:hAnsi="Times New Roman"/>
          <w:sz w:val="20"/>
          <w:szCs w:val="20"/>
          <w:color w:val="auto"/>
        </w:rPr>
      </w:pPr>
    </w:p>
    <w:p>
      <w:pPr>
        <w:ind w:left="100" w:right="180" w:firstLine="648"/>
        <w:spacing w:after="0" w:line="263" w:lineRule="auto"/>
        <w:tabs>
          <w:tab w:leader="none" w:pos="1301"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w:t>
      </w:r>
    </w:p>
    <w:p>
      <w:pPr>
        <w:sectPr>
          <w:pgSz w:w="11900" w:h="16838" w:orient="portrait"/>
          <w:cols w:equalWidth="0" w:num="1">
            <w:col w:w="11120"/>
          </w:cols>
          <w:pgMar w:left="320" w:top="1386" w:right="459" w:bottom="1440" w:gutter="0" w:footer="0" w:header="0"/>
        </w:sectPr>
      </w:pPr>
    </w:p>
    <w:bookmarkStart w:id="206" w:name="page207"/>
    <w:bookmarkEnd w:id="206"/>
    <w:p>
      <w:pPr>
        <w:ind w:left="740" w:hanging="640"/>
        <w:spacing w:after="0"/>
        <w:tabs>
          <w:tab w:leader="none" w:pos="74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60" w:lineRule="exact"/>
        <w:rPr>
          <w:rFonts w:ascii="Times New Roman" w:cs="Times New Roman" w:eastAsia="Times New Roman" w:hAnsi="Times New Roman"/>
          <w:sz w:val="20"/>
          <w:szCs w:val="20"/>
          <w:b w:val="1"/>
          <w:bCs w:val="1"/>
          <w:color w:val="auto"/>
        </w:rPr>
      </w:pPr>
    </w:p>
    <w:p>
      <w:pPr>
        <w:ind w:left="100" w:right="120" w:firstLine="648"/>
        <w:spacing w:after="0" w:line="266" w:lineRule="auto"/>
        <w:tabs>
          <w:tab w:leader="none" w:pos="1304"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86" w:lineRule="exact"/>
        <w:rPr>
          <w:rFonts w:ascii="Times New Roman" w:cs="Times New Roman" w:eastAsia="Times New Roman" w:hAnsi="Times New Roman"/>
          <w:sz w:val="19"/>
          <w:szCs w:val="19"/>
          <w:color w:val="auto"/>
        </w:rPr>
      </w:pPr>
    </w:p>
    <w:p>
      <w:pPr>
        <w:ind w:left="100" w:right="20" w:firstLine="648"/>
        <w:spacing w:after="0" w:line="249" w:lineRule="auto"/>
        <w:tabs>
          <w:tab w:leader="none" w:pos="130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6" w:lineRule="exact"/>
        <w:rPr>
          <w:rFonts w:ascii="Times New Roman" w:cs="Times New Roman" w:eastAsia="Times New Roman" w:hAnsi="Times New Roman"/>
          <w:sz w:val="20"/>
          <w:szCs w:val="20"/>
          <w:color w:val="auto"/>
        </w:rPr>
      </w:pPr>
    </w:p>
    <w:p>
      <w:pPr>
        <w:ind w:left="1380" w:hanging="632"/>
        <w:spacing w:after="0"/>
        <w:tabs>
          <w:tab w:leader="none" w:pos="138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w:t>
      </w:r>
    </w:p>
    <w:p>
      <w:pPr>
        <w:spacing w:after="0" w:line="22" w:lineRule="exact"/>
        <w:rPr>
          <w:sz w:val="20"/>
          <w:szCs w:val="20"/>
          <w:color w:val="auto"/>
        </w:rPr>
      </w:pPr>
    </w:p>
    <w:p>
      <w:pPr>
        <w:ind w:left="100" w:right="100"/>
        <w:spacing w:after="0"/>
        <w:rPr>
          <w:sz w:val="20"/>
          <w:szCs w:val="20"/>
          <w:color w:val="auto"/>
        </w:rPr>
      </w:pPr>
      <w:r>
        <w:rPr>
          <w:rFonts w:ascii="Times New Roman" w:cs="Times New Roman" w:eastAsia="Times New Roman" w:hAnsi="Times New Roman"/>
          <w:sz w:val="20"/>
          <w:szCs w:val="20"/>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217" w:lineRule="exact"/>
        <w:rPr>
          <w:sz w:val="20"/>
          <w:szCs w:val="20"/>
          <w:color w:val="auto"/>
        </w:rPr>
      </w:pPr>
    </w:p>
    <w:p>
      <w:pPr>
        <w:jc w:val="both"/>
        <w:ind w:left="100" w:right="700" w:firstLine="648"/>
        <w:spacing w:after="0"/>
        <w:tabs>
          <w:tab w:leader="none" w:pos="130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01" w:lineRule="exact"/>
        <w:rPr>
          <w:rFonts w:ascii="Times New Roman" w:cs="Times New Roman" w:eastAsia="Times New Roman" w:hAnsi="Times New Roman"/>
          <w:sz w:val="20"/>
          <w:szCs w:val="20"/>
          <w:color w:val="auto"/>
        </w:rPr>
      </w:pPr>
    </w:p>
    <w:p>
      <w:pPr>
        <w:ind w:left="100" w:right="100" w:firstLine="648"/>
        <w:spacing w:after="0" w:line="246" w:lineRule="auto"/>
        <w:tabs>
          <w:tab w:leader="none" w:pos="13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225" w:lineRule="exact"/>
        <w:rPr>
          <w:rFonts w:ascii="Times New Roman" w:cs="Times New Roman" w:eastAsia="Times New Roman" w:hAnsi="Times New Roman"/>
          <w:sz w:val="20"/>
          <w:szCs w:val="20"/>
          <w:color w:val="auto"/>
        </w:rPr>
      </w:pPr>
    </w:p>
    <w:p>
      <w:pPr>
        <w:jc w:val="both"/>
        <w:ind w:left="100" w:firstLine="648"/>
        <w:spacing w:after="0" w:line="254" w:lineRule="auto"/>
        <w:tabs>
          <w:tab w:leader="none" w:pos="129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4" w:lineRule="exact"/>
        <w:rPr>
          <w:rFonts w:ascii="Times New Roman" w:cs="Times New Roman" w:eastAsia="Times New Roman" w:hAnsi="Times New Roman"/>
          <w:sz w:val="20"/>
          <w:szCs w:val="20"/>
          <w:color w:val="auto"/>
        </w:rPr>
      </w:pPr>
    </w:p>
    <w:p>
      <w:pPr>
        <w:ind w:left="100" w:right="100" w:firstLine="648"/>
        <w:spacing w:after="0" w:line="236" w:lineRule="auto"/>
        <w:tabs>
          <w:tab w:leader="none" w:pos="130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w:t>
      </w:r>
    </w:p>
    <w:p>
      <w:pPr>
        <w:sectPr>
          <w:pgSz w:w="11900" w:h="16838" w:orient="portrait"/>
          <w:cols w:equalWidth="0" w:num="1">
            <w:col w:w="11060"/>
          </w:cols>
          <w:pgMar w:left="320" w:top="1395" w:right="519" w:bottom="1440" w:gutter="0" w:footer="0" w:header="0"/>
        </w:sectPr>
      </w:pPr>
    </w:p>
    <w:bookmarkStart w:id="207" w:name="page208"/>
    <w:bookmarkEnd w:id="207"/>
    <w:p>
      <w:pPr>
        <w:ind w:left="100" w:right="220" w:firstLine="648"/>
        <w:spacing w:after="0" w:line="254" w:lineRule="auto"/>
        <w:tabs>
          <w:tab w:leader="none" w:pos="13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214" w:lineRule="exact"/>
        <w:rPr>
          <w:rFonts w:ascii="Times New Roman" w:cs="Times New Roman" w:eastAsia="Times New Roman" w:hAnsi="Times New Roman"/>
          <w:sz w:val="20"/>
          <w:szCs w:val="20"/>
          <w:color w:val="auto"/>
        </w:rPr>
      </w:pPr>
    </w:p>
    <w:p>
      <w:pPr>
        <w:ind w:left="100" w:right="320" w:firstLine="648"/>
        <w:spacing w:after="0" w:line="269" w:lineRule="auto"/>
        <w:tabs>
          <w:tab w:leader="none" w:pos="130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Times New Roman" w:cs="Times New Roman" w:eastAsia="Times New Roman" w:hAnsi="Times New Roman"/>
          <w:sz w:val="20"/>
          <w:szCs w:val="20"/>
          <w:color w:val="auto"/>
        </w:rPr>
      </w:pPr>
    </w:p>
    <w:p>
      <w:pPr>
        <w:ind w:left="100" w:right="500" w:firstLine="648"/>
        <w:spacing w:after="0" w:line="295" w:lineRule="auto"/>
        <w:tabs>
          <w:tab w:leader="none" w:pos="1304"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8" w:lineRule="exact"/>
        <w:rPr>
          <w:rFonts w:ascii="Times New Roman" w:cs="Times New Roman" w:eastAsia="Times New Roman" w:hAnsi="Times New Roman"/>
          <w:sz w:val="19"/>
          <w:szCs w:val="19"/>
          <w:color w:val="auto"/>
        </w:rPr>
      </w:pPr>
    </w:p>
    <w:p>
      <w:pPr>
        <w:ind w:left="100" w:right="120" w:firstLine="648"/>
        <w:spacing w:after="0" w:line="266" w:lineRule="auto"/>
        <w:tabs>
          <w:tab w:leader="none" w:pos="1301"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92" w:lineRule="exact"/>
        <w:rPr>
          <w:rFonts w:ascii="Times New Roman" w:cs="Times New Roman" w:eastAsia="Times New Roman" w:hAnsi="Times New Roman"/>
          <w:sz w:val="19"/>
          <w:szCs w:val="19"/>
          <w:color w:val="auto"/>
        </w:rPr>
      </w:pPr>
    </w:p>
    <w:p>
      <w:pPr>
        <w:jc w:val="both"/>
        <w:ind w:left="100" w:right="140" w:firstLine="648"/>
        <w:spacing w:after="0"/>
        <w:tabs>
          <w:tab w:leader="none" w:pos="13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201" w:lineRule="exact"/>
        <w:rPr>
          <w:rFonts w:ascii="Times New Roman" w:cs="Times New Roman" w:eastAsia="Times New Roman" w:hAnsi="Times New Roman"/>
          <w:sz w:val="20"/>
          <w:szCs w:val="20"/>
          <w:color w:val="auto"/>
        </w:rPr>
      </w:pPr>
    </w:p>
    <w:p>
      <w:pPr>
        <w:ind w:left="740" w:firstLine="552"/>
        <w:spacing w:after="0" w:line="242" w:lineRule="auto"/>
        <w:tabs>
          <w:tab w:leader="none" w:pos="1942"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313" w:lineRule="exact"/>
        <w:rPr>
          <w:rFonts w:ascii="Times New Roman" w:cs="Times New Roman" w:eastAsia="Times New Roman" w:hAnsi="Times New Roman"/>
          <w:sz w:val="20"/>
          <w:szCs w:val="20"/>
          <w:color w:val="auto"/>
        </w:rPr>
      </w:pPr>
    </w:p>
    <w:p>
      <w:pPr>
        <w:ind w:left="1960" w:hanging="723"/>
        <w:spacing w:after="0"/>
        <w:tabs>
          <w:tab w:leader="none" w:pos="196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w:t>
      </w:r>
    </w:p>
    <w:p>
      <w:pPr>
        <w:spacing w:after="0" w:line="22" w:lineRule="exact"/>
        <w:rPr>
          <w:sz w:val="20"/>
          <w:szCs w:val="20"/>
          <w:color w:val="auto"/>
        </w:rPr>
      </w:pPr>
    </w:p>
    <w:p>
      <w:pPr>
        <w:ind w:left="740" w:right="100"/>
        <w:spacing w:after="0" w:line="239" w:lineRule="auto"/>
        <w:rPr>
          <w:sz w:val="20"/>
          <w:szCs w:val="20"/>
          <w:color w:val="auto"/>
        </w:rPr>
      </w:pPr>
      <w:r>
        <w:rPr>
          <w:rFonts w:ascii="Times New Roman" w:cs="Times New Roman" w:eastAsia="Times New Roman" w:hAnsi="Times New Roman"/>
          <w:sz w:val="20"/>
          <w:szCs w:val="20"/>
          <w:color w:val="auto"/>
        </w:rPr>
        <w:t>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left="740" w:right="520" w:firstLine="8"/>
        <w:spacing w:after="0" w:line="246" w:lineRule="auto"/>
        <w:tabs>
          <w:tab w:leader="none" w:pos="105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w:t>
      </w:r>
    </w:p>
    <w:p>
      <w:pPr>
        <w:sectPr>
          <w:pgSz w:w="11900" w:h="16838" w:orient="portrait"/>
          <w:cols w:equalWidth="0" w:num="1">
            <w:col w:w="11120"/>
          </w:cols>
          <w:pgMar w:left="320" w:top="1386" w:right="459" w:bottom="1440" w:gutter="0" w:footer="0" w:header="0"/>
        </w:sectPr>
      </w:pPr>
    </w:p>
    <w:bookmarkStart w:id="208" w:name="page209"/>
    <w:bookmarkEnd w:id="208"/>
    <w:p>
      <w:pPr>
        <w:ind w:left="100" w:firstLine="648"/>
        <w:spacing w:after="0" w:line="269" w:lineRule="auto"/>
        <w:tabs>
          <w:tab w:leader="none" w:pos="129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w:t>
      </w:r>
    </w:p>
    <w:p>
      <w:pPr>
        <w:sectPr>
          <w:pgSz w:w="11900" w:h="16838" w:orient="portrait"/>
          <w:cols w:equalWidth="0" w:num="1">
            <w:col w:w="10820"/>
          </w:cols>
          <w:pgMar w:left="320" w:top="1318" w:right="759" w:bottom="1440" w:gutter="0" w:footer="0" w:header="0"/>
        </w:sectPr>
      </w:pPr>
    </w:p>
    <w:bookmarkStart w:id="209" w:name="page210"/>
    <w:bookmarkEnd w:id="209"/>
    <w:p>
      <w:pPr>
        <w:ind w:left="100"/>
        <w:spacing w:after="0"/>
        <w:rPr>
          <w:sz w:val="20"/>
          <w:szCs w:val="20"/>
          <w:color w:val="auto"/>
        </w:rPr>
      </w:pPr>
      <w:r>
        <w:rPr>
          <w:rFonts w:ascii="Times New Roman" w:cs="Times New Roman" w:eastAsia="Times New Roman" w:hAnsi="Times New Roman"/>
          <w:sz w:val="20"/>
          <w:szCs w:val="20"/>
          <w:color w:val="auto"/>
        </w:rPr>
        <w:t>Agreement. Masculine pronouns and other words of masculine gender shall refer to both men and women as appropriate.</w:t>
      </w:r>
    </w:p>
    <w:p>
      <w:pPr>
        <w:spacing w:after="0" w:line="256" w:lineRule="exact"/>
        <w:rPr>
          <w:sz w:val="20"/>
          <w:szCs w:val="20"/>
          <w:color w:val="auto"/>
        </w:rPr>
      </w:pPr>
    </w:p>
    <w:p>
      <w:pPr>
        <w:ind w:left="100" w:right="120" w:firstLine="648"/>
        <w:spacing w:after="0" w:line="259" w:lineRule="auto"/>
        <w:tabs>
          <w:tab w:leader="none" w:pos="1304"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3" w:lineRule="exact"/>
        <w:rPr>
          <w:rFonts w:ascii="Times New Roman" w:cs="Times New Roman" w:eastAsia="Times New Roman" w:hAnsi="Times New Roman"/>
          <w:sz w:val="19"/>
          <w:szCs w:val="19"/>
          <w:color w:val="auto"/>
        </w:rPr>
      </w:pPr>
    </w:p>
    <w:p>
      <w:pPr>
        <w:ind w:left="100" w:firstLine="648"/>
        <w:spacing w:after="0" w:line="246" w:lineRule="auto"/>
        <w:tabs>
          <w:tab w:leader="none" w:pos="130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25" w:lineRule="exact"/>
        <w:rPr>
          <w:rFonts w:ascii="Times New Roman" w:cs="Times New Roman" w:eastAsia="Times New Roman" w:hAnsi="Times New Roman"/>
          <w:sz w:val="20"/>
          <w:szCs w:val="20"/>
          <w:color w:val="auto"/>
        </w:rPr>
      </w:pPr>
    </w:p>
    <w:p>
      <w:pPr>
        <w:ind w:left="100" w:right="240" w:firstLine="648"/>
        <w:spacing w:after="0" w:line="249" w:lineRule="auto"/>
        <w:tabs>
          <w:tab w:leader="none" w:pos="13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8</w:t>
      </w:r>
    </w:p>
    <w:p>
      <w:pPr>
        <w:sectPr>
          <w:pgSz w:w="11900" w:h="16838" w:orient="portrait"/>
          <w:cols w:equalWidth="0" w:num="1">
            <w:col w:w="11060"/>
          </w:cols>
          <w:pgMar w:left="320" w:top="1386" w:right="519" w:bottom="1440" w:gutter="0" w:footer="0" w:header="0"/>
        </w:sectPr>
      </w:pPr>
    </w:p>
    <w:bookmarkStart w:id="210" w:name="page211"/>
    <w:bookmarkEnd w:id="210"/>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Times New Roman" w:cs="Times New Roman" w:eastAsia="Times New Roman" w:hAnsi="Times New Roman"/>
          <w:sz w:val="22"/>
          <w:szCs w:val="22"/>
          <w:b w:val="1"/>
          <w:bCs w:val="1"/>
          <w:u w:val="single" w:color="auto"/>
          <w:color w:val="0000FF"/>
        </w:rPr>
        <w:t>https://www.schwab.com/public/eac/home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tabs>
          <w:tab w:leader="none" w:pos="5960" w:val="left"/>
        </w:tabs>
        <w:rPr>
          <w:sz w:val="20"/>
          <w:szCs w:val="20"/>
          <w:color w:val="auto"/>
        </w:rPr>
      </w:pPr>
      <w:r>
        <w:rPr>
          <w:sz w:val="1"/>
          <w:szCs w:val="1"/>
          <w:color w:val="auto"/>
        </w:rPr>
        <w:drawing>
          <wp:inline distT="0" distB="0" distL="0" distR="0">
            <wp:extent cx="985520" cy="27432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985520" cy="274320"/>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Name: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15240</wp:posOffset>
            </wp:positionV>
            <wp:extent cx="1257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0820"/>
          </w:cols>
          <w:pgMar w:left="420" w:top="1404" w:right="659" w:bottom="1440" w:gutter="0" w:footer="0" w:header="0"/>
        </w:sectPr>
      </w:pPr>
    </w:p>
    <w:bookmarkStart w:id="211" w:name="page212"/>
    <w:bookmarkEnd w:id="211"/>
    <w:p>
      <w:pPr>
        <w:jc w:val="center"/>
        <w:ind w:left="460" w:right="20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VIRTU FINANCIAL, INC. AMENDED AND RESTATED 2015 MANAGEMENT INCENTIVE PLAN </w:t>
      </w: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RESTRICTED STOCK UNIT AND COMMON STOCK AWARD AGREEMENT (the</w:t>
      </w:r>
    </w:p>
    <w:p>
      <w:pPr>
        <w:spacing w:after="0" w:line="22" w:lineRule="exact"/>
        <w:rPr>
          <w:sz w:val="20"/>
          <w:szCs w:val="20"/>
          <w:color w:val="auto"/>
        </w:rPr>
      </w:pPr>
    </w:p>
    <w:p>
      <w:pPr>
        <w:ind w:right="112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February 1, 2021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Stephen Cavoli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5"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2020 through December 31, 2020, and RSUs provided for herein to the Participant subject to the terms set forth herein.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97" w:lineRule="exact"/>
        <w:rPr>
          <w:sz w:val="20"/>
          <w:szCs w:val="20"/>
          <w:color w:val="auto"/>
        </w:rPr>
      </w:pPr>
    </w:p>
    <w:p>
      <w:pPr>
        <w:ind w:left="560" w:hanging="560"/>
        <w:spacing w:after="0"/>
        <w:tabs>
          <w:tab w:leader="none" w:pos="5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193" w:lineRule="exact"/>
        <w:rPr>
          <w:sz w:val="20"/>
          <w:szCs w:val="20"/>
          <w:color w:val="auto"/>
        </w:rPr>
      </w:pPr>
    </w:p>
    <w:p>
      <w:pPr>
        <w:ind w:left="1200" w:hanging="552"/>
        <w:spacing w:after="0"/>
        <w:tabs>
          <w:tab w:leader="none" w:pos="12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w:t>
      </w:r>
    </w:p>
    <w:p>
      <w:pPr>
        <w:spacing w:after="0" w:line="2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approximately $470,000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 $705,000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214" w:lineRule="exact"/>
        <w:rPr>
          <w:sz w:val="20"/>
          <w:szCs w:val="20"/>
          <w:color w:val="auto"/>
        </w:rPr>
      </w:pPr>
    </w:p>
    <w:p>
      <w:pPr>
        <w:ind w:right="80" w:firstLine="648"/>
        <w:spacing w:after="0" w:line="243" w:lineRule="auto"/>
        <w:tabs>
          <w:tab w:leader="none" w:pos="1203"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212"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60" w:lineRule="exact"/>
        <w:rPr>
          <w:rFonts w:ascii="Times New Roman" w:cs="Times New Roman" w:eastAsia="Times New Roman" w:hAnsi="Times New Roman"/>
          <w:sz w:val="20"/>
          <w:szCs w:val="20"/>
          <w:b w:val="1"/>
          <w:bCs w:val="1"/>
          <w:color w:val="auto"/>
        </w:rPr>
      </w:pPr>
    </w:p>
    <w:p>
      <w:pPr>
        <w:ind w:left="1200" w:hanging="552"/>
        <w:spacing w:after="0"/>
        <w:tabs>
          <w:tab w:leader="none" w:pos="120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42" w:lineRule="exact"/>
        <w:rPr>
          <w:rFonts w:ascii="Times New Roman" w:cs="Times New Roman" w:eastAsia="Times New Roman" w:hAnsi="Times New Roman"/>
          <w:sz w:val="20"/>
          <w:szCs w:val="20"/>
          <w:color w:val="auto"/>
        </w:rPr>
      </w:pPr>
    </w:p>
    <w:p>
      <w:pPr>
        <w:jc w:val="both"/>
        <w:ind w:right="720" w:firstLine="648"/>
        <w:spacing w:after="0"/>
        <w:tabs>
          <w:tab w:leader="none" w:pos="120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w:t>
      </w:r>
    </w:p>
    <w:p>
      <w:pPr>
        <w:sectPr>
          <w:pgSz w:w="11900" w:h="16838" w:orient="portrait"/>
          <w:cols w:equalWidth="0" w:num="1">
            <w:col w:w="11000"/>
          </w:cols>
          <w:pgMar w:left="420" w:top="1395" w:right="479" w:bottom="1440" w:gutter="0" w:footer="0" w:header="0"/>
        </w:sectPr>
      </w:pPr>
    </w:p>
    <w:bookmarkStart w:id="212" w:name="page213"/>
    <w:bookmarkEnd w:id="212"/>
    <w:p>
      <w:pPr>
        <w:jc w:val="both"/>
        <w:ind w:left="100" w:right="660"/>
        <w:spacing w:after="0" w:line="254" w:lineRule="auto"/>
        <w:rPr>
          <w:sz w:val="20"/>
          <w:szCs w:val="20"/>
          <w:color w:val="auto"/>
        </w:rPr>
      </w:pPr>
      <w:r>
        <w:rPr>
          <w:rFonts w:ascii="Times New Roman" w:cs="Times New Roman" w:eastAsia="Times New Roman" w:hAnsi="Times New Roman"/>
          <w:sz w:val="20"/>
          <w:szCs w:val="20"/>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215" w:lineRule="exact"/>
        <w:rPr>
          <w:sz w:val="20"/>
          <w:szCs w:val="20"/>
          <w:color w:val="auto"/>
        </w:rPr>
      </w:pPr>
    </w:p>
    <w:p>
      <w:pPr>
        <w:ind w:left="100" w:right="120" w:firstLine="648"/>
        <w:spacing w:after="0" w:line="269" w:lineRule="auto"/>
        <w:tabs>
          <w:tab w:leader="none" w:pos="130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82" w:lineRule="exact"/>
        <w:rPr>
          <w:rFonts w:ascii="Times New Roman" w:cs="Times New Roman" w:eastAsia="Times New Roman" w:hAnsi="Times New Roman"/>
          <w:sz w:val="20"/>
          <w:szCs w:val="20"/>
          <w:color w:val="auto"/>
        </w:rPr>
      </w:pPr>
    </w:p>
    <w:p>
      <w:pPr>
        <w:ind w:left="100" w:right="220"/>
        <w:spacing w:after="0" w:line="250" w:lineRule="auto"/>
        <w:tabs>
          <w:tab w:leader="none" w:pos="653"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216" w:lineRule="exact"/>
        <w:rPr>
          <w:rFonts w:ascii="Times New Roman" w:cs="Times New Roman" w:eastAsia="Times New Roman" w:hAnsi="Times New Roman"/>
          <w:sz w:val="20"/>
          <w:szCs w:val="20"/>
          <w:b w:val="1"/>
          <w:bCs w:val="1"/>
          <w:color w:val="auto"/>
        </w:rPr>
      </w:pPr>
    </w:p>
    <w:p>
      <w:pPr>
        <w:ind w:left="100"/>
        <w:spacing w:after="0" w:line="241" w:lineRule="auto"/>
        <w:tabs>
          <w:tab w:leader="none" w:pos="653"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any reason, all unvested RSUs shall be cancelled immediately and the Participant shall not be entitled to receive any payments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of the Participant’s Retirement (as defined below) and compliance with the terms thereof, the RSUs shall continue vesting in accordance with the terms of this Agreement as if the Participant remained employed through each Vesting Date (subject to the forfeiture provisions of the Plan and the clawback provisions set forth herein).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a determination by the Company, in its sole and absolute discretion, that the Participant has had a retirement from the Company and its Affiliates upon a voluntary resignation of employment by the Participant (i) after the Participant completed a minimum of five (5) full years of service as an employee of the Company and its Affiliates (regardless of whether such service is continuous), (ii) the Participant having attained the age of fifty (50) at the time of termination, (iii) the sum of the Participant’s years of service and age equals or exceeds sixty-five (65) at the time of termination, (iv) the Participant has entered into and complies with the terms of a non-compete agreement with a term equal to the greater of</w:t>
      </w:r>
    </w:p>
    <w:p>
      <w:pPr>
        <w:spacing w:after="0" w:line="10" w:lineRule="exact"/>
        <w:rPr>
          <w:rFonts w:ascii="Times New Roman" w:cs="Times New Roman" w:eastAsia="Times New Roman" w:hAnsi="Times New Roman"/>
          <w:sz w:val="20"/>
          <w:szCs w:val="20"/>
          <w:b w:val="1"/>
          <w:bCs w:val="1"/>
          <w:color w:val="auto"/>
        </w:rPr>
      </w:pPr>
    </w:p>
    <w:p>
      <w:pPr>
        <w:ind w:left="100" w:right="120"/>
        <w:spacing w:after="0" w:line="23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(x) two years and (y) the remaining period up to and including the Vesting Date in a form to be provided by the Company and (v) the Participant has duly executed, delivered and not revoked a customary release and waiver of all claims in a form acceptable to the Company. For the avoidance of doubt, any failure to comply with the terms of such non-compete agreement will result in the forfeiture of any unvested RSUs.</w:t>
      </w:r>
    </w:p>
    <w:p>
      <w:pPr>
        <w:spacing w:after="0" w:line="199" w:lineRule="exact"/>
        <w:rPr>
          <w:rFonts w:ascii="Times New Roman" w:cs="Times New Roman" w:eastAsia="Times New Roman" w:hAnsi="Times New Roman"/>
          <w:sz w:val="20"/>
          <w:szCs w:val="20"/>
          <w:b w:val="1"/>
          <w:bCs w:val="1"/>
          <w:color w:val="auto"/>
        </w:rPr>
      </w:pPr>
    </w:p>
    <w:p>
      <w:pPr>
        <w:ind w:left="100" w:right="20"/>
        <w:spacing w:after="0" w:line="246" w:lineRule="auto"/>
        <w:tabs>
          <w:tab w:leader="none" w:pos="653"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205"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60" w:lineRule="exact"/>
        <w:rPr>
          <w:rFonts w:ascii="Times New Roman" w:cs="Times New Roman" w:eastAsia="Times New Roman" w:hAnsi="Times New Roman"/>
          <w:sz w:val="20"/>
          <w:szCs w:val="20"/>
          <w:b w:val="1"/>
          <w:bCs w:val="1"/>
          <w:color w:val="auto"/>
        </w:rPr>
      </w:pPr>
    </w:p>
    <w:p>
      <w:pPr>
        <w:ind w:left="100" w:right="100" w:firstLine="648"/>
        <w:spacing w:after="0" w:line="274" w:lineRule="auto"/>
        <w:tabs>
          <w:tab w:leader="none" w:pos="1304"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w:t>
      </w:r>
    </w:p>
    <w:p>
      <w:pPr>
        <w:sectPr>
          <w:pgSz w:w="11900" w:h="16838" w:orient="portrait"/>
          <w:cols w:equalWidth="0" w:num="1">
            <w:col w:w="11120"/>
          </w:cols>
          <w:pgMar w:left="320" w:top="1386" w:right="459" w:bottom="1440" w:gutter="0" w:footer="0" w:header="0"/>
        </w:sectPr>
      </w:pPr>
    </w:p>
    <w:bookmarkStart w:id="213" w:name="page214"/>
    <w:bookmarkEnd w:id="213"/>
    <w:p>
      <w:pPr>
        <w:ind w:left="100"/>
        <w:spacing w:after="0" w:line="269" w:lineRule="auto"/>
        <w:rPr>
          <w:sz w:val="20"/>
          <w:szCs w:val="20"/>
          <w:color w:val="auto"/>
        </w:rPr>
      </w:pPr>
      <w:r>
        <w:rPr>
          <w:rFonts w:ascii="Times New Roman" w:cs="Times New Roman" w:eastAsia="Times New Roman" w:hAnsi="Times New Roman"/>
          <w:sz w:val="20"/>
          <w:szCs w:val="20"/>
          <w:color w:val="auto"/>
        </w:rPr>
        <w:t>agrees to take all steps the Committee or the Company determines are reasonably necessary to comply with all applicable provisions of U.S. federaland state securities law and non-U.S. securities law in exercising his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w:t>
      </w:r>
    </w:p>
    <w:p>
      <w:pPr>
        <w:sectPr>
          <w:pgSz w:w="11900" w:h="16838" w:orient="portrait"/>
          <w:cols w:equalWidth="0" w:num="1">
            <w:col w:w="10800"/>
          </w:cols>
          <w:pgMar w:left="320" w:top="1318" w:right="779" w:bottom="1440" w:gutter="0" w:footer="0" w:header="0"/>
        </w:sectPr>
      </w:pPr>
    </w:p>
    <w:bookmarkStart w:id="214" w:name="page215"/>
    <w:bookmarkEnd w:id="214"/>
    <w:p>
      <w:pPr>
        <w:ind w:left="100" w:firstLine="648"/>
        <w:spacing w:after="0" w:line="242" w:lineRule="auto"/>
        <w:tabs>
          <w:tab w:leader="none" w:pos="1304"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212" w:lineRule="exact"/>
        <w:rPr>
          <w:rFonts w:ascii="Times New Roman" w:cs="Times New Roman" w:eastAsia="Times New Roman" w:hAnsi="Times New Roman"/>
          <w:sz w:val="20"/>
          <w:szCs w:val="20"/>
          <w:color w:val="auto"/>
        </w:rPr>
      </w:pPr>
    </w:p>
    <w:p>
      <w:pPr>
        <w:ind w:left="100" w:right="80"/>
        <w:spacing w:after="0" w:line="241" w:lineRule="auto"/>
        <w:tabs>
          <w:tab w:leader="none" w:pos="653"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cancelthe Shares and RSU award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234" w:lineRule="exact"/>
        <w:rPr>
          <w:rFonts w:ascii="Times New Roman" w:cs="Times New Roman" w:eastAsia="Times New Roman" w:hAnsi="Times New Roman"/>
          <w:sz w:val="20"/>
          <w:szCs w:val="20"/>
          <w:b w:val="1"/>
          <w:bCs w:val="1"/>
          <w:color w:val="auto"/>
        </w:rPr>
      </w:pPr>
    </w:p>
    <w:p>
      <w:pPr>
        <w:ind w:left="740" w:hanging="640"/>
        <w:spacing w:after="0"/>
        <w:tabs>
          <w:tab w:leader="none" w:pos="74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192" w:lineRule="exact"/>
        <w:rPr>
          <w:rFonts w:ascii="Times New Roman" w:cs="Times New Roman" w:eastAsia="Times New Roman" w:hAnsi="Times New Roman"/>
          <w:sz w:val="20"/>
          <w:szCs w:val="20"/>
          <w:b w:val="1"/>
          <w:bCs w:val="1"/>
          <w:color w:val="auto"/>
        </w:rPr>
      </w:pPr>
    </w:p>
    <w:p>
      <w:pPr>
        <w:ind w:left="100" w:right="80" w:firstLine="648"/>
        <w:spacing w:after="0" w:line="254" w:lineRule="auto"/>
        <w:tabs>
          <w:tab w:leader="none" w:pos="1304"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214" w:lineRule="exact"/>
        <w:rPr>
          <w:rFonts w:ascii="Times New Roman" w:cs="Times New Roman" w:eastAsia="Times New Roman" w:hAnsi="Times New Roman"/>
          <w:sz w:val="20"/>
          <w:szCs w:val="20"/>
          <w:color w:val="auto"/>
        </w:rPr>
      </w:pPr>
    </w:p>
    <w:p>
      <w:pPr>
        <w:ind w:left="100" w:right="180" w:firstLine="648"/>
        <w:spacing w:after="0" w:line="263" w:lineRule="auto"/>
        <w:tabs>
          <w:tab w:leader="none" w:pos="1301"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w:t>
      </w:r>
    </w:p>
    <w:p>
      <w:pPr>
        <w:sectPr>
          <w:pgSz w:w="11900" w:h="16838" w:orient="portrait"/>
          <w:cols w:equalWidth="0" w:num="1">
            <w:col w:w="11120"/>
          </w:cols>
          <w:pgMar w:left="320" w:top="1386" w:right="459" w:bottom="1440" w:gutter="0" w:footer="0" w:header="0"/>
        </w:sectPr>
      </w:pPr>
    </w:p>
    <w:bookmarkStart w:id="215" w:name="page216"/>
    <w:bookmarkEnd w:id="215"/>
    <w:p>
      <w:pPr>
        <w:ind w:left="740" w:hanging="640"/>
        <w:spacing w:after="0"/>
        <w:tabs>
          <w:tab w:leader="none" w:pos="74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60" w:lineRule="exact"/>
        <w:rPr>
          <w:rFonts w:ascii="Times New Roman" w:cs="Times New Roman" w:eastAsia="Times New Roman" w:hAnsi="Times New Roman"/>
          <w:sz w:val="20"/>
          <w:szCs w:val="20"/>
          <w:b w:val="1"/>
          <w:bCs w:val="1"/>
          <w:color w:val="auto"/>
        </w:rPr>
      </w:pPr>
    </w:p>
    <w:p>
      <w:pPr>
        <w:ind w:left="100" w:right="120" w:firstLine="648"/>
        <w:spacing w:after="0" w:line="266" w:lineRule="auto"/>
        <w:tabs>
          <w:tab w:leader="none" w:pos="130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286" w:lineRule="exact"/>
        <w:rPr>
          <w:rFonts w:ascii="Times New Roman" w:cs="Times New Roman" w:eastAsia="Times New Roman" w:hAnsi="Times New Roman"/>
          <w:sz w:val="19"/>
          <w:szCs w:val="19"/>
          <w:color w:val="auto"/>
        </w:rPr>
      </w:pPr>
    </w:p>
    <w:p>
      <w:pPr>
        <w:ind w:left="100" w:right="20" w:firstLine="648"/>
        <w:spacing w:after="0" w:line="249" w:lineRule="auto"/>
        <w:tabs>
          <w:tab w:leader="none" w:pos="1301"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6" w:lineRule="exact"/>
        <w:rPr>
          <w:rFonts w:ascii="Times New Roman" w:cs="Times New Roman" w:eastAsia="Times New Roman" w:hAnsi="Times New Roman"/>
          <w:sz w:val="20"/>
          <w:szCs w:val="20"/>
          <w:color w:val="auto"/>
        </w:rPr>
      </w:pPr>
    </w:p>
    <w:p>
      <w:pPr>
        <w:ind w:left="1380" w:hanging="632"/>
        <w:spacing w:after="0"/>
        <w:tabs>
          <w:tab w:leader="none" w:pos="138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w:t>
      </w:r>
    </w:p>
    <w:p>
      <w:pPr>
        <w:spacing w:after="0" w:line="22" w:lineRule="exact"/>
        <w:rPr>
          <w:sz w:val="20"/>
          <w:szCs w:val="20"/>
          <w:color w:val="auto"/>
        </w:rPr>
      </w:pPr>
    </w:p>
    <w:p>
      <w:pPr>
        <w:ind w:left="100" w:right="100"/>
        <w:spacing w:after="0"/>
        <w:rPr>
          <w:sz w:val="20"/>
          <w:szCs w:val="20"/>
          <w:color w:val="auto"/>
        </w:rPr>
      </w:pPr>
      <w:r>
        <w:rPr>
          <w:rFonts w:ascii="Times New Roman" w:cs="Times New Roman" w:eastAsia="Times New Roman" w:hAnsi="Times New Roman"/>
          <w:sz w:val="20"/>
          <w:szCs w:val="20"/>
          <w:color w:val="auto"/>
        </w:rPr>
        <w:t>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217" w:lineRule="exact"/>
        <w:rPr>
          <w:sz w:val="20"/>
          <w:szCs w:val="20"/>
          <w:color w:val="auto"/>
        </w:rPr>
      </w:pPr>
    </w:p>
    <w:p>
      <w:pPr>
        <w:jc w:val="both"/>
        <w:ind w:left="100" w:right="700" w:firstLine="648"/>
        <w:spacing w:after="0"/>
        <w:tabs>
          <w:tab w:leader="none" w:pos="130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01" w:lineRule="exact"/>
        <w:rPr>
          <w:rFonts w:ascii="Times New Roman" w:cs="Times New Roman" w:eastAsia="Times New Roman" w:hAnsi="Times New Roman"/>
          <w:sz w:val="20"/>
          <w:szCs w:val="20"/>
          <w:color w:val="auto"/>
        </w:rPr>
      </w:pPr>
    </w:p>
    <w:p>
      <w:pPr>
        <w:ind w:left="100" w:right="100" w:firstLine="648"/>
        <w:spacing w:after="0" w:line="246" w:lineRule="auto"/>
        <w:tabs>
          <w:tab w:leader="none" w:pos="13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225" w:lineRule="exact"/>
        <w:rPr>
          <w:rFonts w:ascii="Times New Roman" w:cs="Times New Roman" w:eastAsia="Times New Roman" w:hAnsi="Times New Roman"/>
          <w:sz w:val="20"/>
          <w:szCs w:val="20"/>
          <w:color w:val="auto"/>
        </w:rPr>
      </w:pPr>
    </w:p>
    <w:p>
      <w:pPr>
        <w:jc w:val="both"/>
        <w:ind w:left="100" w:firstLine="648"/>
        <w:spacing w:after="0" w:line="254" w:lineRule="auto"/>
        <w:tabs>
          <w:tab w:leader="none" w:pos="129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4" w:lineRule="exact"/>
        <w:rPr>
          <w:rFonts w:ascii="Times New Roman" w:cs="Times New Roman" w:eastAsia="Times New Roman" w:hAnsi="Times New Roman"/>
          <w:sz w:val="20"/>
          <w:szCs w:val="20"/>
          <w:color w:val="auto"/>
        </w:rPr>
      </w:pPr>
    </w:p>
    <w:p>
      <w:pPr>
        <w:ind w:left="100" w:right="100" w:firstLine="648"/>
        <w:spacing w:after="0" w:line="236" w:lineRule="auto"/>
        <w:tabs>
          <w:tab w:leader="none" w:pos="130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5</w:t>
      </w:r>
    </w:p>
    <w:p>
      <w:pPr>
        <w:sectPr>
          <w:pgSz w:w="11900" w:h="16838" w:orient="portrait"/>
          <w:cols w:equalWidth="0" w:num="1">
            <w:col w:w="11060"/>
          </w:cols>
          <w:pgMar w:left="320" w:top="1395" w:right="519" w:bottom="1440" w:gutter="0" w:footer="0" w:header="0"/>
        </w:sectPr>
      </w:pPr>
    </w:p>
    <w:bookmarkStart w:id="216" w:name="page217"/>
    <w:bookmarkEnd w:id="216"/>
    <w:p>
      <w:pPr>
        <w:ind w:left="100" w:right="220" w:firstLine="648"/>
        <w:spacing w:after="0" w:line="254" w:lineRule="auto"/>
        <w:tabs>
          <w:tab w:leader="none" w:pos="13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214" w:lineRule="exact"/>
        <w:rPr>
          <w:rFonts w:ascii="Times New Roman" w:cs="Times New Roman" w:eastAsia="Times New Roman" w:hAnsi="Times New Roman"/>
          <w:sz w:val="20"/>
          <w:szCs w:val="20"/>
          <w:color w:val="auto"/>
        </w:rPr>
      </w:pPr>
    </w:p>
    <w:p>
      <w:pPr>
        <w:ind w:left="100" w:right="320" w:firstLine="648"/>
        <w:spacing w:after="0" w:line="269" w:lineRule="auto"/>
        <w:tabs>
          <w:tab w:leader="none" w:pos="130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Times New Roman" w:cs="Times New Roman" w:eastAsia="Times New Roman" w:hAnsi="Times New Roman"/>
          <w:sz w:val="20"/>
          <w:szCs w:val="20"/>
          <w:color w:val="auto"/>
        </w:rPr>
      </w:pPr>
    </w:p>
    <w:p>
      <w:pPr>
        <w:ind w:left="100" w:right="500" w:firstLine="648"/>
        <w:spacing w:after="0" w:line="295" w:lineRule="auto"/>
        <w:tabs>
          <w:tab w:leader="none" w:pos="130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8" w:lineRule="exact"/>
        <w:rPr>
          <w:rFonts w:ascii="Times New Roman" w:cs="Times New Roman" w:eastAsia="Times New Roman" w:hAnsi="Times New Roman"/>
          <w:sz w:val="19"/>
          <w:szCs w:val="19"/>
          <w:color w:val="auto"/>
        </w:rPr>
      </w:pPr>
    </w:p>
    <w:p>
      <w:pPr>
        <w:ind w:left="100" w:right="120" w:firstLine="648"/>
        <w:spacing w:after="0" w:line="266" w:lineRule="auto"/>
        <w:tabs>
          <w:tab w:leader="none" w:pos="1301"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92" w:lineRule="exact"/>
        <w:rPr>
          <w:rFonts w:ascii="Times New Roman" w:cs="Times New Roman" w:eastAsia="Times New Roman" w:hAnsi="Times New Roman"/>
          <w:sz w:val="19"/>
          <w:szCs w:val="19"/>
          <w:color w:val="auto"/>
        </w:rPr>
      </w:pPr>
    </w:p>
    <w:p>
      <w:pPr>
        <w:jc w:val="both"/>
        <w:ind w:left="100" w:right="140" w:firstLine="648"/>
        <w:spacing w:after="0"/>
        <w:tabs>
          <w:tab w:leader="none" w:pos="130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201" w:lineRule="exact"/>
        <w:rPr>
          <w:rFonts w:ascii="Times New Roman" w:cs="Times New Roman" w:eastAsia="Times New Roman" w:hAnsi="Times New Roman"/>
          <w:sz w:val="20"/>
          <w:szCs w:val="20"/>
          <w:color w:val="auto"/>
        </w:rPr>
      </w:pPr>
    </w:p>
    <w:p>
      <w:pPr>
        <w:ind w:left="740" w:firstLine="552"/>
        <w:spacing w:after="0" w:line="242" w:lineRule="auto"/>
        <w:tabs>
          <w:tab w:leader="none" w:pos="1942"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313" w:lineRule="exact"/>
        <w:rPr>
          <w:rFonts w:ascii="Times New Roman" w:cs="Times New Roman" w:eastAsia="Times New Roman" w:hAnsi="Times New Roman"/>
          <w:sz w:val="20"/>
          <w:szCs w:val="20"/>
          <w:color w:val="auto"/>
        </w:rPr>
      </w:pPr>
    </w:p>
    <w:p>
      <w:pPr>
        <w:ind w:left="1960" w:hanging="723"/>
        <w:spacing w:after="0"/>
        <w:tabs>
          <w:tab w:leader="none" w:pos="196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w:t>
      </w:r>
    </w:p>
    <w:p>
      <w:pPr>
        <w:spacing w:after="0" w:line="22" w:lineRule="exact"/>
        <w:rPr>
          <w:sz w:val="20"/>
          <w:szCs w:val="20"/>
          <w:color w:val="auto"/>
        </w:rPr>
      </w:pPr>
    </w:p>
    <w:p>
      <w:pPr>
        <w:ind w:left="740" w:right="100"/>
        <w:spacing w:after="0" w:line="239" w:lineRule="auto"/>
        <w:rPr>
          <w:sz w:val="20"/>
          <w:szCs w:val="20"/>
          <w:color w:val="auto"/>
        </w:rPr>
      </w:pPr>
      <w:r>
        <w:rPr>
          <w:rFonts w:ascii="Times New Roman" w:cs="Times New Roman" w:eastAsia="Times New Roman" w:hAnsi="Times New Roman"/>
          <w:sz w:val="20"/>
          <w:szCs w:val="20"/>
          <w:color w:val="auto"/>
        </w:rPr>
        <w:t>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left="740" w:right="520" w:firstLine="8"/>
        <w:spacing w:after="0" w:line="246" w:lineRule="auto"/>
        <w:tabs>
          <w:tab w:leader="none" w:pos="1053"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w:t>
      </w:r>
    </w:p>
    <w:p>
      <w:pPr>
        <w:sectPr>
          <w:pgSz w:w="11900" w:h="16838" w:orient="portrait"/>
          <w:cols w:equalWidth="0" w:num="1">
            <w:col w:w="11120"/>
          </w:cols>
          <w:pgMar w:left="320" w:top="1386" w:right="459" w:bottom="1440" w:gutter="0" w:footer="0" w:header="0"/>
        </w:sectPr>
      </w:pPr>
    </w:p>
    <w:bookmarkStart w:id="217" w:name="page218"/>
    <w:bookmarkEnd w:id="217"/>
    <w:p>
      <w:pPr>
        <w:ind w:left="100" w:firstLine="648"/>
        <w:spacing w:after="0" w:line="269" w:lineRule="auto"/>
        <w:tabs>
          <w:tab w:leader="none" w:pos="129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7</w:t>
      </w:r>
    </w:p>
    <w:p>
      <w:pPr>
        <w:sectPr>
          <w:pgSz w:w="11900" w:h="16838" w:orient="portrait"/>
          <w:cols w:equalWidth="0" w:num="1">
            <w:col w:w="10820"/>
          </w:cols>
          <w:pgMar w:left="320" w:top="1318" w:right="759" w:bottom="1440" w:gutter="0" w:footer="0" w:header="0"/>
        </w:sectPr>
      </w:pPr>
    </w:p>
    <w:bookmarkStart w:id="218" w:name="page219"/>
    <w:bookmarkEnd w:id="218"/>
    <w:p>
      <w:pPr>
        <w:ind w:left="100"/>
        <w:spacing w:after="0"/>
        <w:rPr>
          <w:sz w:val="20"/>
          <w:szCs w:val="20"/>
          <w:color w:val="auto"/>
        </w:rPr>
      </w:pPr>
      <w:r>
        <w:rPr>
          <w:rFonts w:ascii="Times New Roman" w:cs="Times New Roman" w:eastAsia="Times New Roman" w:hAnsi="Times New Roman"/>
          <w:sz w:val="20"/>
          <w:szCs w:val="20"/>
          <w:color w:val="auto"/>
        </w:rPr>
        <w:t>Agreement. Masculine pronouns and other words of masculine gender shall refer to both men and women as appropriate.</w:t>
      </w:r>
    </w:p>
    <w:p>
      <w:pPr>
        <w:spacing w:after="0" w:line="256" w:lineRule="exact"/>
        <w:rPr>
          <w:sz w:val="20"/>
          <w:szCs w:val="20"/>
          <w:color w:val="auto"/>
        </w:rPr>
      </w:pPr>
    </w:p>
    <w:p>
      <w:pPr>
        <w:ind w:left="100" w:right="120" w:firstLine="648"/>
        <w:spacing w:after="0" w:line="259" w:lineRule="auto"/>
        <w:tabs>
          <w:tab w:leader="none" w:pos="130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3" w:lineRule="exact"/>
        <w:rPr>
          <w:rFonts w:ascii="Times New Roman" w:cs="Times New Roman" w:eastAsia="Times New Roman" w:hAnsi="Times New Roman"/>
          <w:sz w:val="19"/>
          <w:szCs w:val="19"/>
          <w:color w:val="auto"/>
        </w:rPr>
      </w:pPr>
    </w:p>
    <w:p>
      <w:pPr>
        <w:ind w:left="100" w:firstLine="648"/>
        <w:spacing w:after="0" w:line="246" w:lineRule="auto"/>
        <w:tabs>
          <w:tab w:leader="none" w:pos="130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25" w:lineRule="exact"/>
        <w:rPr>
          <w:rFonts w:ascii="Times New Roman" w:cs="Times New Roman" w:eastAsia="Times New Roman" w:hAnsi="Times New Roman"/>
          <w:sz w:val="20"/>
          <w:szCs w:val="20"/>
          <w:color w:val="auto"/>
        </w:rPr>
      </w:pPr>
    </w:p>
    <w:p>
      <w:pPr>
        <w:ind w:left="100" w:right="240" w:firstLine="648"/>
        <w:spacing w:after="0" w:line="249" w:lineRule="auto"/>
        <w:tabs>
          <w:tab w:leader="none" w:pos="13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8</w:t>
      </w:r>
    </w:p>
    <w:p>
      <w:pPr>
        <w:sectPr>
          <w:pgSz w:w="11900" w:h="16838" w:orient="portrait"/>
          <w:cols w:equalWidth="0" w:num="1">
            <w:col w:w="11060"/>
          </w:cols>
          <w:pgMar w:left="320" w:top="1386" w:right="519" w:bottom="1440" w:gutter="0" w:footer="0" w:header="0"/>
        </w:sectPr>
      </w:pPr>
    </w:p>
    <w:bookmarkStart w:id="219" w:name="page220"/>
    <w:bookmarkEnd w:id="219"/>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To accept or reject your Restricted Stock award, please complete the on-line form (“Accept or Reject Your Grant”) as promptly as possible, but, in any case, within thirty (30) days after the Grant Date. If you accept your award you will be deemed to have agreed to the terms and conditions set forth in this Agreement and the terms and conditions of the Plan, all of which are made part of this Agreement. Your Agreement is available to you online in your Schwab Equity Award Center (EAC) account via this link </w:t>
      </w:r>
      <w:r>
        <w:rPr>
          <w:rFonts w:ascii="Times New Roman" w:cs="Times New Roman" w:eastAsia="Times New Roman" w:hAnsi="Times New Roman"/>
          <w:sz w:val="22"/>
          <w:szCs w:val="22"/>
          <w:b w:val="1"/>
          <w:bCs w:val="1"/>
          <w:u w:val="single" w:color="auto"/>
          <w:color w:val="0000FF"/>
        </w:rPr>
        <w:t>https://www.schwab.com/public/eac/home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00"/>
        <w:spacing w:after="0"/>
        <w:tabs>
          <w:tab w:leader="none" w:pos="5960" w:val="left"/>
        </w:tabs>
        <w:rPr>
          <w:sz w:val="20"/>
          <w:szCs w:val="20"/>
          <w:color w:val="auto"/>
        </w:rPr>
      </w:pPr>
      <w:r>
        <w:rPr>
          <w:sz w:val="1"/>
          <w:szCs w:val="1"/>
          <w:color w:val="auto"/>
        </w:rPr>
        <w:drawing>
          <wp:inline distT="0" distB="0" distL="0" distR="0">
            <wp:extent cx="985520" cy="2743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985520" cy="274320"/>
                    </a:xfrm>
                    <a:prstGeom prst="rect">
                      <a:avLst/>
                    </a:prstGeom>
                    <a:noFill/>
                    <a:ln>
                      <a:noFill/>
                    </a:ln>
                  </pic:spPr>
                </pic:pic>
              </a:graphicData>
            </a:graphic>
          </wp:inline>
        </w:drawing>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Name: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15240</wp:posOffset>
            </wp:positionV>
            <wp:extent cx="1257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0820"/>
          </w:cols>
          <w:pgMar w:left="420" w:top="1404" w:right="659" w:bottom="1440" w:gutter="0" w:footer="0" w:header="0"/>
        </w:sectPr>
      </w:pPr>
    </w:p>
    <w:bookmarkStart w:id="220" w:name="page221"/>
    <w:bookmarkEnd w:id="22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VIRTU FINANCIAL, INC.</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Effective November 13, 2020</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The Virtu Financial, Inc. Deferred Compensation Plan is intended to provide a select group of management employees the ability to defer certain compensation earned by such employees. It is intended that this Plan will be supplemented by annual summaries describing the Plan and participation in the Plan for the applicable Plan Year; in the event of a conflict between the Plan and an annual summary, the terms of the Plan shall control.</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0" w:lineRule="exact"/>
        <w:rPr>
          <w:sz w:val="20"/>
          <w:szCs w:val="20"/>
          <w:color w:val="auto"/>
        </w:rPr>
      </w:pPr>
    </w:p>
    <w:p>
      <w:pPr>
        <w:spacing w:after="0" w:line="2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in this Plan shall have the meanings specified below.</w:t>
      </w:r>
    </w:p>
    <w:p>
      <w:pPr>
        <w:spacing w:after="0" w:line="196" w:lineRule="exact"/>
        <w:rPr>
          <w:sz w:val="20"/>
          <w:szCs w:val="20"/>
          <w:color w:val="auto"/>
        </w:rPr>
      </w:pPr>
    </w:p>
    <w:p>
      <w:pPr>
        <w:ind w:right="88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shall mean all of the Bonus Deferral Subaccounts or Company Stock Unit Subaccounts that are specifically provided in this Plan.</w:t>
      </w:r>
    </w:p>
    <w:p>
      <w:pPr>
        <w:spacing w:after="0" w:line="158" w:lineRule="exact"/>
        <w:rPr>
          <w:sz w:val="20"/>
          <w:szCs w:val="20"/>
          <w:color w:val="auto"/>
        </w:rPr>
      </w:pPr>
    </w:p>
    <w:p>
      <w:pPr>
        <w:ind w:right="60" w:hanging="107"/>
        <w:spacing w:after="0" w:line="248"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87" w:lineRule="exact"/>
        <w:rPr>
          <w:sz w:val="20"/>
          <w:szCs w:val="20"/>
          <w:color w:val="auto"/>
        </w:rPr>
      </w:pPr>
    </w:p>
    <w:p>
      <w:pPr>
        <w:ind w:hanging="107"/>
        <w:spacing w:after="0" w:line="246" w:lineRule="auto"/>
        <w:rPr>
          <w:sz w:val="20"/>
          <w:szCs w:val="20"/>
          <w:color w:val="auto"/>
        </w:rPr>
      </w:pPr>
      <w:r>
        <w:rPr>
          <w:rFonts w:ascii="Times New Roman" w:cs="Times New Roman" w:eastAsia="Times New Roman" w:hAnsi="Times New Roman"/>
          <w:sz w:val="22"/>
          <w:szCs w:val="22"/>
          <w:u w:val="single" w:color="auto"/>
          <w:color w:val="auto"/>
        </w:rPr>
        <w:t>Annual Bonus Payments</w:t>
      </w:r>
      <w:r>
        <w:rPr>
          <w:rFonts w:ascii="Times New Roman" w:cs="Times New Roman" w:eastAsia="Times New Roman" w:hAnsi="Times New Roman"/>
          <w:sz w:val="22"/>
          <w:szCs w:val="22"/>
          <w:color w:val="auto"/>
        </w:rPr>
        <w:t xml:space="preserve">” shall mean the compensation earned pursuant to any annual incentive plan or annual bonus plan or program adopted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following compensation shall not qualify as “Annual Bonus Payments” hereunder: spot bonuses, hiring bonuses, separation payments, retention payments, or other special or extraordinary payments. For the sake of clarity, payments of amounts under such annual incentive plan or annual bonus plan or program in connection with such Participant’s separation from service or termination of employment from the Company are to be treated for purposes of the Plan as an Annual Bonus Payment (and not a separation payment), even if the amounts are fixed and/or accelerated in connection with such separation or termination (provided that the timing of the payment and the extent to which the amount is substantially certain shall be taken into account in determining whether a deferral in respect of such payments shall be permitted under the Plan).</w:t>
      </w:r>
    </w:p>
    <w:p>
      <w:pPr>
        <w:spacing w:after="0" w:line="191" w:lineRule="exact"/>
        <w:rPr>
          <w:sz w:val="20"/>
          <w:szCs w:val="20"/>
          <w:color w:val="auto"/>
        </w:rPr>
      </w:pPr>
    </w:p>
    <w:p>
      <w:pPr>
        <w:ind w:right="7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shall mean the person or persons designated in writing by a Participant in accordance with procedures established by the Committee or the Plan</w:t>
      </w:r>
    </w:p>
    <w:p>
      <w:pPr>
        <w:sectPr>
          <w:pgSz w:w="11900" w:h="16838" w:orient="portrait"/>
          <w:cols w:equalWidth="0" w:num="1">
            <w:col w:w="11180"/>
          </w:cols>
          <w:pgMar w:left="320" w:top="1418" w:right="399" w:bottom="1440" w:gutter="0" w:footer="0" w:header="0"/>
        </w:sectPr>
      </w:pPr>
    </w:p>
    <w:bookmarkStart w:id="221" w:name="page222"/>
    <w:bookmarkEnd w:id="221"/>
    <w:p>
      <w:pPr>
        <w:ind w:left="100" w:right="20"/>
        <w:spacing w:after="0" w:line="248" w:lineRule="auto"/>
        <w:rPr>
          <w:sz w:val="20"/>
          <w:szCs w:val="20"/>
          <w:color w:val="auto"/>
        </w:rPr>
      </w:pPr>
      <w:r>
        <w:rPr>
          <w:rFonts w:ascii="Times New Roman" w:cs="Times New Roman" w:eastAsia="Times New Roman" w:hAnsi="Times New Roman"/>
          <w:sz w:val="22"/>
          <w:szCs w:val="22"/>
          <w:color w:val="auto"/>
        </w:rPr>
        <w:t>Administrator to receive the benefits specified hereunder in the event of the Participant’s death. No Beneficiary designation shall become effective until it is filed with the Committee or the Plan Administrator. If there is no such designation or if there is no surviving designated Beneficiary, then the Participant’s surviving spouse or recognized domestic partner shall be the Beneficiary. If there is no surviving spouse or recognized domestic partner to receive any benefits payable in accordance with the preceding sentence, the duly appointed and currently acting personal representative of the Participant’s estate (which shall include either the Participant’s probate estate or living trust) shall be the Beneficiary.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Virtu Financial, Inc.</w:t>
      </w:r>
    </w:p>
    <w:p>
      <w:pPr>
        <w:spacing w:after="0" w:line="220" w:lineRule="exact"/>
        <w:rPr>
          <w:sz w:val="20"/>
          <w:szCs w:val="20"/>
          <w:color w:val="auto"/>
        </w:rPr>
      </w:pPr>
    </w:p>
    <w:p>
      <w:pPr>
        <w:ind w:left="100" w:right="14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Bonus Deferral Subaccount</w:t>
      </w:r>
      <w:r>
        <w:rPr>
          <w:rFonts w:ascii="Times New Roman" w:cs="Times New Roman" w:eastAsia="Times New Roman" w:hAnsi="Times New Roman"/>
          <w:sz w:val="22"/>
          <w:szCs w:val="22"/>
          <w:color w:val="auto"/>
        </w:rPr>
        <w:t>” shall mean the bookkeeping account maintained by the Company or the Plan Administrator for each Participant that is credited with amounts equal to (i) the Cash Award that he or she elects to defer, if any, and (ii) earnings and losses (based on the Investment Rate) attributable thereto.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Awards</w:t>
      </w:r>
      <w:r>
        <w:rPr>
          <w:rFonts w:ascii="Times New Roman" w:cs="Times New Roman" w:eastAsia="Times New Roman" w:hAnsi="Times New Roman"/>
          <w:sz w:val="22"/>
          <w:szCs w:val="22"/>
          <w:color w:val="auto"/>
        </w:rPr>
        <w:t>” shall mean, for any Plan Year, the portion of the Annual Bonus Payment payable in cash.</w:t>
      </w:r>
    </w:p>
    <w:p>
      <w:pPr>
        <w:spacing w:after="0" w:line="220" w:lineRule="exact"/>
        <w:rPr>
          <w:sz w:val="20"/>
          <w:szCs w:val="20"/>
          <w:color w:val="auto"/>
        </w:rPr>
      </w:pPr>
    </w:p>
    <w:p>
      <w:pPr>
        <w:jc w:val="both"/>
        <w:ind w:left="10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has the meaning ascribed to such term in the Management Incentive Plan, but only if such transaction is also a change in the ownership or effective control of a corporation or a change in the ownership of a substantial portion of the assets of a corporation within the meaning of U.S. Treas. Regs. Section 1.409A-3(i)(5).</w:t>
      </w:r>
    </w:p>
    <w:p>
      <w:pPr>
        <w:spacing w:after="0" w:line="173" w:lineRule="exact"/>
        <w:rPr>
          <w:sz w:val="20"/>
          <w:szCs w:val="20"/>
          <w:color w:val="auto"/>
        </w:rPr>
      </w:pPr>
    </w:p>
    <w:p>
      <w:pPr>
        <w:ind w:left="100" w:right="98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Change in Control Distribution Date</w:t>
      </w:r>
      <w:r>
        <w:rPr>
          <w:rFonts w:ascii="Times New Roman" w:cs="Times New Roman" w:eastAsia="Times New Roman" w:hAnsi="Times New Roman"/>
          <w:sz w:val="22"/>
          <w:szCs w:val="22"/>
          <w:color w:val="auto"/>
        </w:rPr>
        <w:t>” shall mean, in the case of a distribution to be made upon a Change in Control, the consummation of the Change in Control.</w:t>
      </w:r>
    </w:p>
    <w:p>
      <w:pPr>
        <w:spacing w:after="0" w:line="158" w:lineRule="exact"/>
        <w:rPr>
          <w:sz w:val="20"/>
          <w:szCs w:val="20"/>
          <w:color w:val="auto"/>
        </w:rPr>
      </w:pPr>
    </w:p>
    <w:p>
      <w:pPr>
        <w:ind w:left="100" w:right="60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Reference in the Plan to any section of the Code shall be deemed to include any regulations or other interpretative guidance under such section, and any amendments or successor provisions to such section, regulations or guidance.</w:t>
      </w:r>
    </w:p>
    <w:p>
      <w:pPr>
        <w:spacing w:after="0" w:line="173" w:lineRule="exact"/>
        <w:rPr>
          <w:sz w:val="20"/>
          <w:szCs w:val="20"/>
          <w:color w:val="auto"/>
        </w:rPr>
      </w:pPr>
    </w:p>
    <w:p>
      <w:pPr>
        <w:ind w:left="100" w:right="8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a committee as the Compensation Committee may appoint to administer the Plan or, if no such committee has been appointed by the Compensation Committee, then it shall be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Virtu Financial, Inc., a Delaware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means the Class A common stock, par value $0.00001 per share, of the Company.</w:t>
      </w:r>
    </w:p>
    <w:p>
      <w:pPr>
        <w:spacing w:after="0" w:line="220" w:lineRule="exact"/>
        <w:rPr>
          <w:sz w:val="20"/>
          <w:szCs w:val="20"/>
          <w:color w:val="auto"/>
        </w:rPr>
      </w:pPr>
    </w:p>
    <w:p>
      <w:pPr>
        <w:ind w:left="100" w:hanging="107"/>
        <w:spacing w:after="0" w:line="295" w:lineRule="auto"/>
        <w:rPr>
          <w:sz w:val="20"/>
          <w:szCs w:val="20"/>
          <w:color w:val="auto"/>
        </w:rPr>
      </w:pPr>
      <w:r>
        <w:rPr>
          <w:rFonts w:ascii="Times New Roman" w:cs="Times New Roman" w:eastAsia="Times New Roman" w:hAnsi="Times New Roman"/>
          <w:sz w:val="21"/>
          <w:szCs w:val="21"/>
          <w:u w:val="single" w:color="auto"/>
          <w:color w:val="auto"/>
        </w:rPr>
        <w:t>Company Stock Unit Subaccount</w:t>
      </w:r>
      <w:r>
        <w:rPr>
          <w:rFonts w:ascii="Times New Roman" w:cs="Times New Roman" w:eastAsia="Times New Roman" w:hAnsi="Times New Roman"/>
          <w:sz w:val="21"/>
          <w:szCs w:val="21"/>
          <w:color w:val="auto"/>
        </w:rPr>
        <w:t>” shall mean the bookkeeping account maintained by the Company or the Plan Administrator for each Participant that is credited with (i) a number of Company stock units equal to the Equity Award that he or she elects to defer,</w:t>
      </w:r>
    </w:p>
    <w:p>
      <w:pPr>
        <w:sectPr>
          <w:pgSz w:w="11900" w:h="16838" w:orient="portrait"/>
          <w:cols w:equalWidth="0" w:num="1">
            <w:col w:w="11320"/>
          </w:cols>
          <w:pgMar w:left="220" w:top="1422" w:right="359" w:bottom="1440" w:gutter="0" w:footer="0" w:header="0"/>
        </w:sectPr>
      </w:pPr>
    </w:p>
    <w:bookmarkStart w:id="222" w:name="page223"/>
    <w:bookmarkEnd w:id="222"/>
    <w:p>
      <w:pPr>
        <w:ind w:left="100" w:right="80"/>
        <w:spacing w:after="0" w:line="271" w:lineRule="auto"/>
        <w:rPr>
          <w:sz w:val="20"/>
          <w:szCs w:val="20"/>
          <w:color w:val="auto"/>
        </w:rPr>
      </w:pPr>
      <w:r>
        <w:rPr>
          <w:rFonts w:ascii="Times New Roman" w:cs="Times New Roman" w:eastAsia="Times New Roman" w:hAnsi="Times New Roman"/>
          <w:sz w:val="22"/>
          <w:szCs w:val="22"/>
          <w:color w:val="auto"/>
        </w:rPr>
        <w:t>if any, and (ii) an amount equal to the Dividend Equivalents (and earnings and losses (based on the Investment Rate) attributable to such Dividend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shall mean the Compensation Committee of the Board.</w:t>
      </w:r>
    </w:p>
    <w:p>
      <w:pPr>
        <w:spacing w:after="0" w:line="220" w:lineRule="exact"/>
        <w:rPr>
          <w:sz w:val="20"/>
          <w:szCs w:val="20"/>
          <w:color w:val="auto"/>
        </w:rPr>
      </w:pPr>
    </w:p>
    <w:p>
      <w:pPr>
        <w:ind w:left="100" w:hanging="107"/>
        <w:spacing w:after="0" w:line="246" w:lineRule="auto"/>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shall mean a circumstance where the Company shall have cause to terminate a Participant’s employment or service on account of “disability,” as defined in any then-existing employment, consulting or other similar agreement between the Participant and the Company or, in the absence of such an employment, consulting or other similar agreement, a condition entitling the Participant to receive benefits under a long-term disability plan of the Company, or, in the absence of such a plan, as determined by the Committee based upon medical evidence acceptable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Participant shall not have a Disability for purposes of the Plan unless the Participant is unable to engage in any substantial gainful activity by reason of any medically determinable physical or mental impairment which can be expected to result in death or can be expected to last for a continuous period of not less than 12 months, or the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the Company’s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Distributable Amount</w:t>
      </w:r>
      <w:r>
        <w:rPr>
          <w:rFonts w:ascii="Times New Roman" w:cs="Times New Roman" w:eastAsia="Times New Roman" w:hAnsi="Times New Roman"/>
          <w:sz w:val="22"/>
          <w:szCs w:val="22"/>
          <w:color w:val="auto"/>
        </w:rPr>
        <w:t>” shall mean the vested balance in a Participant’s Accounts subject to distribution in a given Plan Year.</w:t>
      </w:r>
    </w:p>
    <w:p>
      <w:pPr>
        <w:spacing w:after="0" w:line="220" w:lineRule="exact"/>
        <w:rPr>
          <w:sz w:val="20"/>
          <w:szCs w:val="20"/>
          <w:color w:val="auto"/>
        </w:rPr>
      </w:pPr>
    </w:p>
    <w:p>
      <w:pPr>
        <w:ind w:left="100" w:right="120" w:hanging="107"/>
        <w:spacing w:after="0" w:line="252" w:lineRule="auto"/>
        <w:rPr>
          <w:sz w:val="20"/>
          <w:szCs w:val="20"/>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shall mean, for any Participant who defers Equity Awards, an amount equal to the product of (a) the dividends (including extraordinary dividends, if so determined by the Committee) declared and paid to other stockholders of the Company in respect of one share of Company Common Stock, multiplied by (b) the number of Company stock units in such Participant’s Company Stock Unit Subaccount on the date such dividends are so declared.</w:t>
      </w:r>
    </w:p>
    <w:p>
      <w:pPr>
        <w:spacing w:after="0" w:line="179" w:lineRule="exact"/>
        <w:rPr>
          <w:sz w:val="20"/>
          <w:szCs w:val="20"/>
          <w:color w:val="auto"/>
        </w:rPr>
      </w:pPr>
    </w:p>
    <w:p>
      <w:pPr>
        <w:ind w:left="100" w:right="1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shall mean those employees selected by the Committee in accordance with the procedures set forth in Article II.</w:t>
      </w:r>
    </w:p>
    <w:p>
      <w:pPr>
        <w:spacing w:after="0" w:line="158" w:lineRule="exact"/>
        <w:rPr>
          <w:sz w:val="20"/>
          <w:szCs w:val="20"/>
          <w:color w:val="auto"/>
        </w:rPr>
      </w:pPr>
    </w:p>
    <w:p>
      <w:pPr>
        <w:ind w:left="100" w:right="2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Enrollment Period</w:t>
      </w:r>
      <w:r>
        <w:rPr>
          <w:rFonts w:ascii="Times New Roman" w:cs="Times New Roman" w:eastAsia="Times New Roman" w:hAnsi="Times New Roman"/>
          <w:sz w:val="22"/>
          <w:szCs w:val="22"/>
          <w:color w:val="auto"/>
        </w:rPr>
        <w:t>” shall mean a period of time, as determined by the Committee with respect to each Plan Year, ending no later than the December 31 preceding the commencement of such Plan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amended.</w:t>
      </w:r>
    </w:p>
    <w:p>
      <w:pPr>
        <w:spacing w:after="0" w:line="220" w:lineRule="exact"/>
        <w:rPr>
          <w:sz w:val="20"/>
          <w:szCs w:val="20"/>
          <w:color w:val="auto"/>
        </w:rPr>
      </w:pPr>
    </w:p>
    <w:p>
      <w:pPr>
        <w:jc w:val="both"/>
        <w:ind w:left="100" w:right="60" w:hanging="107"/>
        <w:spacing w:after="0" w:line="275" w:lineRule="auto"/>
        <w:rPr>
          <w:sz w:val="20"/>
          <w:szCs w:val="20"/>
          <w:color w:val="auto"/>
        </w:rPr>
      </w:pP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ectPr>
          <w:pgSz w:w="11900" w:h="16838" w:orient="portrait"/>
          <w:cols w:equalWidth="0" w:num="1">
            <w:col w:w="11300"/>
          </w:cols>
          <w:pgMar w:left="220" w:top="1422" w:right="379" w:bottom="1440" w:gutter="0" w:footer="0" w:header="0"/>
        </w:sectPr>
      </w:pPr>
    </w:p>
    <w:bookmarkStart w:id="223" w:name="page224"/>
    <w:bookmarkEnd w:id="223"/>
    <w:p>
      <w:pPr>
        <w:ind w:left="100" w:right="18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Equity Award</w:t>
      </w:r>
      <w:r>
        <w:rPr>
          <w:rFonts w:ascii="Times New Roman" w:cs="Times New Roman" w:eastAsia="Times New Roman" w:hAnsi="Times New Roman"/>
          <w:sz w:val="22"/>
          <w:szCs w:val="22"/>
          <w:color w:val="auto"/>
        </w:rPr>
        <w:t>” shall mean, for any Plan Year, the portion of any Annual Bonus Payment payable in shares of Company Common Stock.</w:t>
      </w:r>
    </w:p>
    <w:p>
      <w:pPr>
        <w:spacing w:after="0" w:line="158" w:lineRule="exact"/>
        <w:rPr>
          <w:sz w:val="20"/>
          <w:szCs w:val="20"/>
          <w:color w:val="auto"/>
        </w:rPr>
      </w:pPr>
    </w:p>
    <w:p>
      <w:pPr>
        <w:ind w:left="10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Funds</w:t>
      </w:r>
      <w:r>
        <w:rPr>
          <w:rFonts w:ascii="Times New Roman" w:cs="Times New Roman" w:eastAsia="Times New Roman" w:hAnsi="Times New Roman"/>
          <w:sz w:val="22"/>
          <w:szCs w:val="22"/>
          <w:color w:val="auto"/>
        </w:rPr>
        <w:t>” shall mean one or more of the investment funds selected by the Committee, or its designee, to which Participants may elect to make deemed investments pursuant to Section 3.3.</w:t>
      </w:r>
    </w:p>
    <w:p>
      <w:pPr>
        <w:spacing w:after="0" w:line="158" w:lineRule="exact"/>
        <w:rPr>
          <w:sz w:val="20"/>
          <w:szCs w:val="20"/>
          <w:color w:val="auto"/>
        </w:rPr>
      </w:pPr>
    </w:p>
    <w:p>
      <w:pPr>
        <w:ind w:left="100" w:right="460" w:hanging="107"/>
        <w:spacing w:after="0" w:line="274" w:lineRule="auto"/>
        <w:rPr>
          <w:sz w:val="20"/>
          <w:szCs w:val="20"/>
          <w:color w:val="auto"/>
        </w:rPr>
      </w:pPr>
      <w:r>
        <w:rPr>
          <w:rFonts w:ascii="Times New Roman" w:cs="Times New Roman" w:eastAsia="Times New Roman" w:hAnsi="Times New Roman"/>
          <w:sz w:val="22"/>
          <w:szCs w:val="22"/>
          <w:u w:val="single" w:color="auto"/>
          <w:color w:val="auto"/>
        </w:rPr>
        <w:t>In-Service Distribution Date</w:t>
      </w:r>
      <w:r>
        <w:rPr>
          <w:rFonts w:ascii="Times New Roman" w:cs="Times New Roman" w:eastAsia="Times New Roman" w:hAnsi="Times New Roman"/>
          <w:sz w:val="22"/>
          <w:szCs w:val="22"/>
          <w:color w:val="auto"/>
        </w:rPr>
        <w:t>” shall mean, in the case of a distribution to be made while the Participant is still employed by the Company, July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any Plan Year elected by the Participant.</w:t>
      </w:r>
    </w:p>
    <w:p>
      <w:pPr>
        <w:spacing w:after="0" w:line="73" w:lineRule="exact"/>
        <w:rPr>
          <w:sz w:val="20"/>
          <w:szCs w:val="20"/>
          <w:color w:val="auto"/>
        </w:rPr>
      </w:pPr>
    </w:p>
    <w:p>
      <w:pPr>
        <w:ind w:left="100" w:right="18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Investment Rate</w:t>
      </w:r>
      <w:r>
        <w:rPr>
          <w:rFonts w:ascii="Times New Roman" w:cs="Times New Roman" w:eastAsia="Times New Roman" w:hAnsi="Times New Roman"/>
          <w:sz w:val="22"/>
          <w:szCs w:val="22"/>
          <w:color w:val="auto"/>
        </w:rPr>
        <w:t>” shall mean, (i) for each Fund with a fixed rate of return, the annual interest rate applicable to such Fund, as determined by the Committee from time to time, and (ii) for any Fund that does not have a fixed rate of return, any appreciation or depreciation in the value of the investment in which the Participant is deemed invested.</w:t>
      </w:r>
    </w:p>
    <w:p>
      <w:pPr>
        <w:spacing w:after="0" w:line="173" w:lineRule="exact"/>
        <w:rPr>
          <w:sz w:val="20"/>
          <w:szCs w:val="20"/>
          <w:color w:val="auto"/>
        </w:rPr>
      </w:pPr>
    </w:p>
    <w:p>
      <w:pPr>
        <w:ind w:left="100" w:right="80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Management Incentive Plan</w:t>
      </w:r>
      <w:r>
        <w:rPr>
          <w:rFonts w:ascii="Times New Roman" w:cs="Times New Roman" w:eastAsia="Times New Roman" w:hAnsi="Times New Roman"/>
          <w:sz w:val="22"/>
          <w:szCs w:val="22"/>
          <w:color w:val="auto"/>
        </w:rPr>
        <w:t>” shall mean the Company’s Amended and Restated 2015 Management Incentive Plan (or any successor plan), as in effect from time to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any Eligible Employee who becomes a Participant in this Plan in accordance with Article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this Virtu Financial, Inc. Deferred Compensation Plan.</w:t>
      </w:r>
    </w:p>
    <w:p>
      <w:pPr>
        <w:spacing w:after="0" w:line="220" w:lineRule="exact"/>
        <w:rPr>
          <w:sz w:val="20"/>
          <w:szCs w:val="20"/>
          <w:color w:val="auto"/>
        </w:rPr>
      </w:pPr>
    </w:p>
    <w:p>
      <w:pPr>
        <w:ind w:left="100" w:right="2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shall mean, if applicable, any record keeper appointed by the Committee (which may include an Affiliate of the Company) to perform administrative and other functions associated with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shall mean the Company’s fiscal year, which runs from January 1 to December 31.</w:t>
      </w:r>
    </w:p>
    <w:p>
      <w:pPr>
        <w:spacing w:after="0" w:line="220" w:lineRule="exact"/>
        <w:rPr>
          <w:sz w:val="20"/>
          <w:szCs w:val="20"/>
          <w:color w:val="auto"/>
        </w:rPr>
      </w:pPr>
    </w:p>
    <w:p>
      <w:pPr>
        <w:ind w:left="100" w:right="80" w:hanging="107"/>
        <w:spacing w:after="0" w:line="247" w:lineRule="auto"/>
        <w:rPr>
          <w:sz w:val="20"/>
          <w:szCs w:val="20"/>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shall mean that the employment or service provider relationship with the Company and any entity that is to be treated as a single employer with the Company for purposes of Treasury Regulations Section 1.409A-1(h) (the “Single Employer”) terminates such that the facts and circumstances indicate it is reasonably anticipated that no further services will be performed or that the level of bona fide services the Participant would perform after the termination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Single Employer if the Participant has been providing services to the Single Employer less than 36 months).</w:t>
      </w:r>
    </w:p>
    <w:p>
      <w:pPr>
        <w:spacing w:after="0" w:line="185" w:lineRule="exact"/>
        <w:rPr>
          <w:sz w:val="20"/>
          <w:szCs w:val="20"/>
          <w:color w:val="auto"/>
        </w:rPr>
      </w:pPr>
    </w:p>
    <w:p>
      <w:pPr>
        <w:ind w:left="100" w:right="38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Separation from Service Distribution Date</w:t>
      </w:r>
      <w:r>
        <w:rPr>
          <w:rFonts w:ascii="Times New Roman" w:cs="Times New Roman" w:eastAsia="Times New Roman" w:hAnsi="Times New Roman"/>
          <w:sz w:val="22"/>
          <w:szCs w:val="22"/>
          <w:color w:val="auto"/>
        </w:rPr>
        <w:t>” shall, except as set forth in Section 3.2(f)(iv), mean, in the case of a distribution on account of a Separation from Service, the</w:t>
      </w:r>
    </w:p>
    <w:p>
      <w:pPr>
        <w:sectPr>
          <w:pgSz w:w="11900" w:h="16838" w:orient="portrait"/>
          <w:cols w:equalWidth="0" w:num="1">
            <w:col w:w="11340"/>
          </w:cols>
          <w:pgMar w:left="220" w:top="1422" w:right="339" w:bottom="1440" w:gutter="0" w:footer="0" w:header="0"/>
        </w:sectPr>
      </w:pPr>
    </w:p>
    <w:bookmarkStart w:id="224" w:name="page225"/>
    <w:bookmarkEnd w:id="224"/>
    <w:p>
      <w:pPr>
        <w:ind w:left="80"/>
        <w:spacing w:after="0"/>
        <w:rPr>
          <w:sz w:val="20"/>
          <w:szCs w:val="20"/>
          <w:color w:val="auto"/>
        </w:rPr>
      </w:pPr>
      <w:r>
        <w:rPr>
          <w:rFonts w:ascii="Times New Roman" w:cs="Times New Roman" w:eastAsia="Times New Roman" w:hAnsi="Times New Roman"/>
          <w:sz w:val="22"/>
          <w:szCs w:val="22"/>
          <w:color w:val="auto"/>
        </w:rPr>
        <w:t>first day of the seventh month following the month in which the Separation from Service occurs.</w:t>
      </w:r>
    </w:p>
    <w:p>
      <w:pPr>
        <w:spacing w:after="0" w:line="220" w:lineRule="exact"/>
        <w:rPr>
          <w:sz w:val="20"/>
          <w:szCs w:val="20"/>
          <w:color w:val="auto"/>
        </w:rPr>
      </w:pPr>
    </w:p>
    <w:p>
      <w:pPr>
        <w:ind w:left="80" w:right="140" w:hanging="107"/>
        <w:spacing w:after="0" w:line="265" w:lineRule="auto"/>
        <w:rPr>
          <w:sz w:val="20"/>
          <w:szCs w:val="20"/>
          <w:color w:val="auto"/>
        </w:rPr>
      </w:pPr>
      <w:r>
        <w:rPr>
          <w:rFonts w:ascii="Times New Roman" w:cs="Times New Roman" w:eastAsia="Times New Roman" w:hAnsi="Times New Roman"/>
          <w:sz w:val="21"/>
          <w:szCs w:val="21"/>
          <w:u w:val="single" w:color="auto"/>
          <w:color w:val="auto"/>
        </w:rPr>
        <w:t>Unforeseeable Emergency</w:t>
      </w:r>
      <w:r>
        <w:rPr>
          <w:rFonts w:ascii="Times New Roman" w:cs="Times New Roman" w:eastAsia="Times New Roman" w:hAnsi="Times New Roman"/>
          <w:sz w:val="21"/>
          <w:szCs w:val="21"/>
          <w:color w:val="auto"/>
        </w:rPr>
        <w:t>” shall mean a severe unforeseeable financial hardship as defined in Section 409A and the regulations thereunder, including a severe financial hardship resulting from (i) an illness or accident of the Participant, the Participant’s spouse, the Participant’s designated Beneficiary, or the Participant’s dependent (as defined in Section 152 of the Code, without regard to section 152(b)(1), (b)(2), and (d)(1)(B)), (ii) the loss of the Participant’s property due to casualty, or (iii) other similar extraordinary and unforeseeable circumstances arising as a result of events beyond the Participant’s control.</w:t>
      </w:r>
    </w:p>
    <w:p>
      <w:pPr>
        <w:spacing w:after="0" w:line="1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ELIGIBILITY FOR PARTICIPATION</w:t>
      </w:r>
    </w:p>
    <w:p>
      <w:pPr>
        <w:spacing w:after="0" w:line="32" w:lineRule="exact"/>
        <w:rPr>
          <w:sz w:val="20"/>
          <w:szCs w:val="20"/>
          <w:color w:val="auto"/>
        </w:rPr>
      </w:pPr>
    </w:p>
    <w:p>
      <w:pPr>
        <w:ind w:left="80" w:right="100" w:hanging="107"/>
        <w:spacing w:after="0" w:line="244" w:lineRule="auto"/>
        <w:rPr>
          <w:sz w:val="20"/>
          <w:szCs w:val="20"/>
          <w:color w:val="auto"/>
        </w:rPr>
      </w:pPr>
      <w:r>
        <w:rPr>
          <w:rFonts w:ascii="Times New Roman" w:cs="Times New Roman" w:eastAsia="Times New Roman" w:hAnsi="Times New Roman"/>
          <w:sz w:val="22"/>
          <w:szCs w:val="22"/>
          <w:u w:val="single" w:color="auto"/>
          <w:color w:val="auto"/>
        </w:rPr>
        <w:t>Determination of Eligible Employee</w:t>
      </w:r>
      <w:r>
        <w:rPr>
          <w:rFonts w:ascii="Times New Roman" w:cs="Times New Roman" w:eastAsia="Times New Roman" w:hAnsi="Times New Roman"/>
          <w:sz w:val="22"/>
          <w:szCs w:val="22"/>
          <w:color w:val="auto"/>
        </w:rPr>
        <w:t xml:space="preserve">. With respect to all Plan Years, Eligible Employees shall consist of all employees of the Company (or of any subsidiary that is incorporated in any State in the United States of America), determined as of January 1 of each Plan Year, that are (x) officers of the Company, and (y) eligible to receive compensation pursuant to an annual incentive plan, or annual bonus plan or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employee whose home country is not the United States of America shall not be considered an Eligible Employee hereunder.</w:t>
      </w:r>
    </w:p>
    <w:p>
      <w:pPr>
        <w:spacing w:after="0" w:line="189" w:lineRule="exact"/>
        <w:rPr>
          <w:sz w:val="20"/>
          <w:szCs w:val="20"/>
          <w:color w:val="auto"/>
        </w:rPr>
      </w:pPr>
    </w:p>
    <w:p>
      <w:pPr>
        <w:ind w:left="80" w:right="720" w:hanging="95"/>
        <w:spacing w:after="0" w:line="271" w:lineRule="auto"/>
        <w:rPr>
          <w:sz w:val="20"/>
          <w:szCs w:val="20"/>
          <w:color w:val="auto"/>
        </w:rPr>
      </w:pPr>
      <w:r>
        <w:rPr>
          <w:rFonts w:ascii="Times New Roman" w:cs="Times New Roman" w:eastAsia="Times New Roman" w:hAnsi="Times New Roman"/>
          <w:sz w:val="22"/>
          <w:szCs w:val="22"/>
          <w:u w:val="single" w:color="auto"/>
          <w:color w:val="auto"/>
        </w:rPr>
        <w:t>articipation</w:t>
      </w:r>
      <w:r>
        <w:rPr>
          <w:rFonts w:ascii="Times New Roman" w:cs="Times New Roman" w:eastAsia="Times New Roman" w:hAnsi="Times New Roman"/>
          <w:sz w:val="22"/>
          <w:szCs w:val="22"/>
          <w:color w:val="auto"/>
        </w:rPr>
        <w:t>. An Eligible Employee shall become a Participant in the Plan by electing to make a deferral of Annual Bonus Payments in a Plan Year in accordance with Article III.</w:t>
      </w:r>
    </w:p>
    <w:p>
      <w:pPr>
        <w:spacing w:after="0" w:line="158" w:lineRule="exact"/>
        <w:rPr>
          <w:sz w:val="20"/>
          <w:szCs w:val="20"/>
          <w:color w:val="auto"/>
        </w:rPr>
      </w:pPr>
    </w:p>
    <w:p>
      <w:pPr>
        <w:ind w:left="80" w:right="18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Amendment of Eligibility Criteria</w:t>
      </w:r>
      <w:r>
        <w:rPr>
          <w:rFonts w:ascii="Times New Roman" w:cs="Times New Roman" w:eastAsia="Times New Roman" w:hAnsi="Times New Roman"/>
          <w:sz w:val="22"/>
          <w:szCs w:val="22"/>
          <w:color w:val="auto"/>
        </w:rPr>
        <w:t>. The Committee may, in its discretion, change which employees are Eligible Employees under the Plan for any reason, including to comply with any applicable laws relating to the operation of the Plan. Eligibility for participation in one Plan Year does not guarantee eligibility to participate in any future Plan Year.</w:t>
      </w:r>
    </w:p>
    <w:p>
      <w:pPr>
        <w:spacing w:after="0" w:line="1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ELECTIONS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lection to Defer Annual Bonus Payments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80" w:right="40" w:firstLine="8"/>
        <w:spacing w:after="0" w:line="271" w:lineRule="auto"/>
        <w:tabs>
          <w:tab w:leader="none" w:pos="72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Election to Defer Annual Bonus Payments</w:t>
      </w:r>
      <w:r>
        <w:rPr>
          <w:rFonts w:ascii="Times New Roman" w:cs="Times New Roman" w:eastAsia="Times New Roman" w:hAnsi="Times New Roman"/>
          <w:sz w:val="22"/>
          <w:szCs w:val="22"/>
          <w:color w:val="auto"/>
        </w:rPr>
        <w:t>. An Eligible Employee may elect to defer Annual Bonus Payments only during the Enrollment Period.</w:t>
      </w:r>
    </w:p>
    <w:p>
      <w:pPr>
        <w:spacing w:after="0" w:line="157" w:lineRule="exact"/>
        <w:rPr>
          <w:rFonts w:ascii="Times New Roman" w:cs="Times New Roman" w:eastAsia="Times New Roman" w:hAnsi="Times New Roman"/>
          <w:sz w:val="22"/>
          <w:szCs w:val="22"/>
          <w:color w:val="auto"/>
        </w:rPr>
      </w:pPr>
    </w:p>
    <w:p>
      <w:pPr>
        <w:ind w:left="740" w:hanging="652"/>
        <w:spacing w:after="0"/>
        <w:tabs>
          <w:tab w:leader="none" w:pos="7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Eligible for Deferral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0" w:hanging="107"/>
        <w:spacing w:after="0" w:line="257" w:lineRule="auto"/>
        <w:rPr>
          <w:sz w:val="20"/>
          <w:szCs w:val="20"/>
          <w:color w:val="auto"/>
        </w:rPr>
      </w:pPr>
      <w:r>
        <w:rPr>
          <w:rFonts w:ascii="Times New Roman" w:cs="Times New Roman" w:eastAsia="Times New Roman" w:hAnsi="Times New Roman"/>
          <w:sz w:val="22"/>
          <w:szCs w:val="22"/>
          <w:color w:val="auto"/>
        </w:rPr>
        <w:t>i)Unless otherwise set forth in an Election Notice (as defined in Section 3.1(e)) for any Plan Year, an Eligible Employee may elect to defer between 0% and 50% of the Eligible Employee’s total annual compensation, provided that any election to defer shall only be</w:t>
      </w:r>
    </w:p>
    <w:p>
      <w:pPr>
        <w:sectPr>
          <w:pgSz w:w="11900" w:h="16838" w:orient="portrait"/>
          <w:cols w:equalWidth="0" w:num="1">
            <w:col w:w="11200"/>
          </w:cols>
          <w:pgMar w:left="240" w:top="1422" w:right="459" w:bottom="1440" w:gutter="0" w:footer="0" w:header="0"/>
        </w:sectPr>
      </w:pPr>
    </w:p>
    <w:bookmarkStart w:id="225" w:name="page226"/>
    <w:bookmarkEnd w:id="225"/>
    <w:p>
      <w:pPr>
        <w:spacing w:after="0" w:line="295" w:lineRule="auto"/>
        <w:rPr>
          <w:sz w:val="20"/>
          <w:szCs w:val="20"/>
          <w:color w:val="auto"/>
        </w:rPr>
      </w:pPr>
      <w:r>
        <w:rPr>
          <w:rFonts w:ascii="Times New Roman" w:cs="Times New Roman" w:eastAsia="Times New Roman" w:hAnsi="Times New Roman"/>
          <w:sz w:val="21"/>
          <w:szCs w:val="21"/>
          <w:color w:val="auto"/>
        </w:rPr>
        <w:t>applicable to Employee’s Annual Bonus Payments. The Committee (or its designee) may change the amount or percentage that may be deferred in respect of any Annual Bonus Payment (or portion thereof) for any Plan Year at any time, or from time to time.</w:t>
      </w:r>
    </w:p>
    <w:p>
      <w:pPr>
        <w:spacing w:after="0" w:line="135" w:lineRule="exact"/>
        <w:rPr>
          <w:sz w:val="20"/>
          <w:szCs w:val="20"/>
          <w:color w:val="auto"/>
        </w:rPr>
      </w:pPr>
    </w:p>
    <w:p>
      <w:pPr>
        <w:ind w:right="160" w:hanging="107"/>
        <w:spacing w:after="0" w:line="257" w:lineRule="auto"/>
        <w:rPr>
          <w:sz w:val="20"/>
          <w:szCs w:val="20"/>
          <w:color w:val="auto"/>
        </w:rPr>
      </w:pPr>
      <w:r>
        <w:rPr>
          <w:rFonts w:ascii="Times New Roman" w:cs="Times New Roman" w:eastAsia="Times New Roman" w:hAnsi="Times New Roman"/>
          <w:sz w:val="22"/>
          <w:szCs w:val="22"/>
          <w:color w:val="auto"/>
        </w:rPr>
        <w:t>i)If necessary, the total amount deferred by a Participant shall be reduced in 1% increments in order to satisfy Social Security Tax (including Medicare), income tax withholding for compensation that cannot be deferred, employee benefit plan withholding requirements and any other withholding requirements.</w:t>
      </w:r>
    </w:p>
    <w:p>
      <w:pPr>
        <w:spacing w:after="0" w:line="173" w:lineRule="exact"/>
        <w:rPr>
          <w:sz w:val="20"/>
          <w:szCs w:val="20"/>
          <w:color w:val="auto"/>
        </w:rPr>
      </w:pPr>
    </w:p>
    <w:p>
      <w:pPr>
        <w:ind w:right="300" w:firstLine="8"/>
        <w:spacing w:after="0" w:line="271" w:lineRule="auto"/>
        <w:tabs>
          <w:tab w:leader="none" w:pos="64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Irrevocable Elections</w:t>
      </w:r>
      <w:r>
        <w:rPr>
          <w:rFonts w:ascii="Times New Roman" w:cs="Times New Roman" w:eastAsia="Times New Roman" w:hAnsi="Times New Roman"/>
          <w:sz w:val="22"/>
          <w:szCs w:val="22"/>
          <w:color w:val="auto"/>
        </w:rPr>
        <w:t>. Elections to defer Annual Bonus Payments shall become irrevocable as of the date for such Plan Year set by the Committee in its sole discretion.</w:t>
      </w:r>
    </w:p>
    <w:p>
      <w:pPr>
        <w:spacing w:after="0" w:line="157" w:lineRule="exact"/>
        <w:rPr>
          <w:rFonts w:ascii="Times New Roman" w:cs="Times New Roman" w:eastAsia="Times New Roman" w:hAnsi="Times New Roman"/>
          <w:sz w:val="22"/>
          <w:szCs w:val="22"/>
          <w:color w:val="auto"/>
        </w:rPr>
      </w:pPr>
    </w:p>
    <w:p>
      <w:pPr>
        <w:ind w:right="400" w:firstLine="8"/>
        <w:spacing w:after="0" w:line="271" w:lineRule="auto"/>
        <w:tabs>
          <w:tab w:leader="none" w:pos="64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Election</w:t>
      </w:r>
      <w:r>
        <w:rPr>
          <w:rFonts w:ascii="Times New Roman" w:cs="Times New Roman" w:eastAsia="Times New Roman" w:hAnsi="Times New Roman"/>
          <w:sz w:val="22"/>
          <w:szCs w:val="22"/>
          <w:color w:val="auto"/>
        </w:rPr>
        <w:t>. An Eligible Employee’s election to defer Annual Bonus Payments for any Plan Year is effective only for such Plan Year.</w:t>
      </w:r>
    </w:p>
    <w:p>
      <w:pPr>
        <w:spacing w:after="0" w:line="157" w:lineRule="exact"/>
        <w:rPr>
          <w:rFonts w:ascii="Times New Roman" w:cs="Times New Roman" w:eastAsia="Times New Roman" w:hAnsi="Times New Roman"/>
          <w:sz w:val="22"/>
          <w:szCs w:val="22"/>
          <w:color w:val="auto"/>
        </w:rPr>
      </w:pPr>
    </w:p>
    <w:p>
      <w:pPr>
        <w:ind w:right="440" w:firstLine="8"/>
        <w:spacing w:after="0" w:line="275" w:lineRule="auto"/>
        <w:tabs>
          <w:tab w:leader="none" w:pos="64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Election</w:t>
      </w:r>
      <w:r>
        <w:rPr>
          <w:rFonts w:ascii="Times New Roman" w:cs="Times New Roman" w:eastAsia="Times New Roman" w:hAnsi="Times New Roman"/>
          <w:sz w:val="21"/>
          <w:szCs w:val="21"/>
          <w:color w:val="auto"/>
        </w:rPr>
        <w:t>. Elections to participate may be made in writing, through an electronic medium such as a website enrollment window or an email enrollment form provided by the Company or through a Plan Administrator (the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provided that the election is binding when made and there is sufficient record of when such election is made.</w:t>
      </w:r>
    </w:p>
    <w:p>
      <w:pPr>
        <w:spacing w:after="0" w:line="155" w:lineRule="exact"/>
        <w:rPr>
          <w:sz w:val="20"/>
          <w:szCs w:val="20"/>
          <w:color w:val="auto"/>
        </w:rPr>
      </w:pPr>
    </w:p>
    <w:p>
      <w:pPr>
        <w:ind w:right="240" w:hanging="83"/>
        <w:spacing w:after="0" w:line="257" w:lineRule="auto"/>
        <w:rPr>
          <w:sz w:val="20"/>
          <w:szCs w:val="20"/>
          <w:color w:val="auto"/>
        </w:rPr>
      </w:pPr>
      <w:r>
        <w:rPr>
          <w:rFonts w:ascii="Times New Roman" w:cs="Times New Roman" w:eastAsia="Times New Roman" w:hAnsi="Times New Roman"/>
          <w:sz w:val="22"/>
          <w:szCs w:val="22"/>
          <w:u w:val="single" w:color="auto"/>
          <w:color w:val="auto"/>
        </w:rPr>
        <w:t>lections as to Time and Form of Payment</w:t>
      </w:r>
      <w:r>
        <w:rPr>
          <w:rFonts w:ascii="Times New Roman" w:cs="Times New Roman" w:eastAsia="Times New Roman" w:hAnsi="Times New Roman"/>
          <w:sz w:val="22"/>
          <w:szCs w:val="22"/>
          <w:color w:val="auto"/>
        </w:rPr>
        <w:t>. During the Enrollment Period, a Participant shall make an election regarding the time and form of payment of the Annual Bonus Payments deferred for that Plan Year (and all earnings and losses (based on the Investment Rate) attributable thereto, including in respect of Dividend Equivalents).</w:t>
      </w:r>
    </w:p>
    <w:p>
      <w:pPr>
        <w:spacing w:after="0" w:line="173" w:lineRule="exact"/>
        <w:rPr>
          <w:sz w:val="20"/>
          <w:szCs w:val="20"/>
          <w:color w:val="auto"/>
        </w:rPr>
      </w:pPr>
    </w:p>
    <w:p>
      <w:pPr>
        <w:ind w:right="20" w:firstLine="8"/>
        <w:spacing w:after="0" w:line="250" w:lineRule="auto"/>
        <w:tabs>
          <w:tab w:leader="none" w:pos="64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Elections as to Time</w:t>
      </w:r>
      <w:r>
        <w:rPr>
          <w:rFonts w:ascii="Times New Roman" w:cs="Times New Roman" w:eastAsia="Times New Roman" w:hAnsi="Times New Roman"/>
          <w:sz w:val="22"/>
          <w:szCs w:val="22"/>
          <w:color w:val="auto"/>
        </w:rPr>
        <w:t>. A Participant shall elect to receive a distribution of his Annual Bonus Payments to be deferred for a Plan Year (and all earnings and losses (based on the Investment Rate) attributable thereto, including in respect of Dividend Equivalents) (i) on an In-Service Distribution Date, (ii) on a Separation from Service Distribution Date, (iii) on a Change in Control, or (iv) a portion on an In-Service Distribution Date, a portion on a Change in Control and a portion on a Separation from Service Distribution Date.</w:t>
      </w:r>
    </w:p>
    <w:p>
      <w:pPr>
        <w:spacing w:after="0" w:line="180" w:lineRule="exact"/>
        <w:rPr>
          <w:rFonts w:ascii="Times New Roman" w:cs="Times New Roman" w:eastAsia="Times New Roman" w:hAnsi="Times New Roman"/>
          <w:sz w:val="22"/>
          <w:szCs w:val="22"/>
          <w:color w:val="auto"/>
        </w:rPr>
      </w:pPr>
    </w:p>
    <w:p>
      <w:pPr>
        <w:ind w:right="80" w:firstLine="8"/>
        <w:spacing w:after="0" w:line="250" w:lineRule="auto"/>
        <w:tabs>
          <w:tab w:leader="none" w:pos="64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Elections as to Form</w:t>
      </w:r>
      <w:r>
        <w:rPr>
          <w:rFonts w:ascii="Times New Roman" w:cs="Times New Roman" w:eastAsia="Times New Roman" w:hAnsi="Times New Roman"/>
          <w:sz w:val="22"/>
          <w:szCs w:val="22"/>
          <w:color w:val="auto"/>
        </w:rPr>
        <w:t>. A Participant shall elect the form of the distribution of his Annual Bonus Payments, whether in a lump sum payment or in annual installments. If no such election is made, the Participant shall be deemed to have elected to receive payment in a lump sum. A Participant may elect annual installments to be paid over a period not to exceed fifteen years. A Participant’s election to receive payment in annual installments on a Separation from Service is subject to the terms of Section 6.3(a)(2).</w:t>
      </w:r>
    </w:p>
    <w:p>
      <w:pPr>
        <w:spacing w:after="0" w:line="180" w:lineRule="exact"/>
        <w:rPr>
          <w:rFonts w:ascii="Times New Roman" w:cs="Times New Roman" w:eastAsia="Times New Roman" w:hAnsi="Times New Roman"/>
          <w:sz w:val="22"/>
          <w:szCs w:val="22"/>
          <w:color w:val="auto"/>
        </w:rPr>
      </w:pPr>
    </w:p>
    <w:p>
      <w:pPr>
        <w:ind w:right="240" w:firstLine="8"/>
        <w:spacing w:after="0" w:line="271" w:lineRule="auto"/>
        <w:tabs>
          <w:tab w:leader="none" w:pos="64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Election</w:t>
      </w:r>
      <w:r>
        <w:rPr>
          <w:rFonts w:ascii="Times New Roman" w:cs="Times New Roman" w:eastAsia="Times New Roman" w:hAnsi="Times New Roman"/>
          <w:sz w:val="22"/>
          <w:szCs w:val="22"/>
          <w:color w:val="auto"/>
        </w:rPr>
        <w:t>. An election as to time and form of payment made with respect to a given Plan Year shall apply only to the Annual Bonus Payments deferred for such Plan Year.</w:t>
      </w:r>
    </w:p>
    <w:p>
      <w:pPr>
        <w:sectPr>
          <w:pgSz w:w="11900" w:h="16838" w:orient="portrait"/>
          <w:cols w:equalWidth="0" w:num="1">
            <w:col w:w="11220"/>
          </w:cols>
          <w:pgMar w:left="320" w:top="1422" w:right="359" w:bottom="1440" w:gutter="0" w:footer="0" w:header="0"/>
        </w:sectPr>
      </w:pPr>
    </w:p>
    <w:bookmarkStart w:id="226" w:name="page227"/>
    <w:bookmarkEnd w:id="226"/>
    <w:p>
      <w:pPr>
        <w:ind w:left="-8" w:right="160" w:firstLine="8"/>
        <w:spacing w:after="0" w:line="257" w:lineRule="auto"/>
        <w:tabs>
          <w:tab w:leader="none" w:pos="63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Changes Permitted</w:t>
      </w:r>
      <w:r>
        <w:rPr>
          <w:rFonts w:ascii="Times New Roman" w:cs="Times New Roman" w:eastAsia="Times New Roman" w:hAnsi="Times New Roman"/>
          <w:sz w:val="22"/>
          <w:szCs w:val="22"/>
          <w:color w:val="auto"/>
        </w:rPr>
        <w:t>. Except as permitted by Section 3.2(e) below, elections as to time and form of payment shall become irrevocable as of the last day of the Enrollment Period or such later date as determined by the Committee in compliance with Section 409A.</w:t>
      </w:r>
    </w:p>
    <w:p>
      <w:pPr>
        <w:spacing w:after="0" w:line="172" w:lineRule="exact"/>
        <w:rPr>
          <w:rFonts w:ascii="Times New Roman" w:cs="Times New Roman" w:eastAsia="Times New Roman" w:hAnsi="Times New Roman"/>
          <w:sz w:val="22"/>
          <w:szCs w:val="22"/>
          <w:color w:val="auto"/>
        </w:rPr>
      </w:pPr>
    </w:p>
    <w:p>
      <w:pPr>
        <w:ind w:left="-8" w:right="180" w:firstLine="8"/>
        <w:spacing w:after="0" w:line="257" w:lineRule="auto"/>
        <w:tabs>
          <w:tab w:leader="none" w:pos="63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Changes in Time and Form of Payment</w:t>
      </w:r>
      <w:r>
        <w:rPr>
          <w:rFonts w:ascii="Times New Roman" w:cs="Times New Roman" w:eastAsia="Times New Roman" w:hAnsi="Times New Roman"/>
          <w:sz w:val="22"/>
          <w:szCs w:val="22"/>
          <w:color w:val="auto"/>
        </w:rPr>
        <w:t>. A Participant may delay the timing of a previously-scheduled payment or may change the form of a payment only if such subsequent deferral election meets all of the following requirements and the election rules set forth in Section 3.2(f):</w:t>
      </w:r>
    </w:p>
    <w:p>
      <w:pPr>
        <w:spacing w:after="0" w:line="173" w:lineRule="exact"/>
        <w:rPr>
          <w:sz w:val="20"/>
          <w:szCs w:val="20"/>
          <w:color w:val="auto"/>
        </w:rPr>
      </w:pPr>
    </w:p>
    <w:p>
      <w:pPr>
        <w:ind w:left="652" w:hanging="652"/>
        <w:spacing w:after="0"/>
        <w:tabs>
          <w:tab w:leader="none" w:pos="65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subsequent deferral election shall not take effect until at least 12 months after the date on which it is made;</w:t>
      </w:r>
    </w:p>
    <w:p>
      <w:pPr>
        <w:spacing w:after="0" w:line="219" w:lineRule="exact"/>
        <w:rPr>
          <w:rFonts w:ascii="Times New Roman" w:cs="Times New Roman" w:eastAsia="Times New Roman" w:hAnsi="Times New Roman"/>
          <w:sz w:val="22"/>
          <w:szCs w:val="22"/>
          <w:color w:val="auto"/>
        </w:rPr>
      </w:pPr>
    </w:p>
    <w:p>
      <w:pPr>
        <w:ind w:left="-8" w:right="440" w:firstLine="8"/>
        <w:spacing w:after="0" w:line="271" w:lineRule="auto"/>
        <w:tabs>
          <w:tab w:leader="none" w:pos="635"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must be made at least 12 months prior to the date the payment is scheduled to be made, or for installment payments, at least 12 months prior to the date the first of such installments is scheduled to be made; and</w:t>
      </w:r>
    </w:p>
    <w:p>
      <w:pPr>
        <w:spacing w:after="0" w:line="157" w:lineRule="exact"/>
        <w:rPr>
          <w:rFonts w:ascii="Times New Roman" w:cs="Times New Roman" w:eastAsia="Times New Roman" w:hAnsi="Times New Roman"/>
          <w:sz w:val="22"/>
          <w:szCs w:val="22"/>
          <w:color w:val="auto"/>
        </w:rPr>
      </w:pPr>
    </w:p>
    <w:p>
      <w:pPr>
        <w:ind w:left="-8" w:right="60" w:firstLine="8"/>
        <w:spacing w:after="0" w:line="295" w:lineRule="auto"/>
        <w:tabs>
          <w:tab w:leader="none" w:pos="63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subsequent deferral election must delay the payment for at least five years from the date the payment would otherwise have been made. For installment payments, the delay is measured from the date the first payment was scheduled to be made.</w:t>
      </w:r>
    </w:p>
    <w:p>
      <w:pPr>
        <w:spacing w:after="0" w:line="135" w:lineRule="exact"/>
        <w:rPr>
          <w:sz w:val="20"/>
          <w:szCs w:val="20"/>
          <w:color w:val="auto"/>
        </w:rPr>
      </w:pPr>
    </w:p>
    <w:p>
      <w:pPr>
        <w:ind w:left="652" w:hanging="652"/>
        <w:spacing w:after="0"/>
        <w:tabs>
          <w:tab w:leader="none" w:pos="65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Rules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 w:firstLine="8"/>
        <w:spacing w:after="0" w:line="257" w:lineRule="auto"/>
        <w:tabs>
          <w:tab w:leader="none" w:pos="63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elections and subsequent elections, if any, may be made in writing or through an electronic medium such as a website enrollment window or through an email enrollment form or through a Plan Administrator, provided that there is sufficient record of when such election is made.</w:t>
      </w:r>
    </w:p>
    <w:p>
      <w:pPr>
        <w:spacing w:after="0" w:line="17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only one subsequent deferral election with respect to deferrals made for a specific Plan Year.</w:t>
      </w:r>
    </w:p>
    <w:p>
      <w:pPr>
        <w:spacing w:after="0" w:line="219" w:lineRule="exact"/>
        <w:rPr>
          <w:rFonts w:ascii="Times New Roman" w:cs="Times New Roman" w:eastAsia="Times New Roman" w:hAnsi="Times New Roman"/>
          <w:sz w:val="22"/>
          <w:szCs w:val="22"/>
          <w:color w:val="auto"/>
        </w:rPr>
      </w:pPr>
    </w:p>
    <w:p>
      <w:pPr>
        <w:ind w:left="-8" w:right="20" w:firstLine="8"/>
        <w:spacing w:after="0" w:line="252" w:lineRule="auto"/>
        <w:tabs>
          <w:tab w:leader="none" w:pos="63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whose initial deferral election was for payment upon a Separation from Service Distribution Date may not make a subsequent deferral election for payment on an In-Service Distribution Date; however, such Participant may make a subsequent deferral election to change the form of payment from lump sum to installments or vice versa, or to change the number of installment payments previously elected or elect a Change in Control Distribution Date.</w:t>
      </w:r>
    </w:p>
    <w:p>
      <w:pPr>
        <w:spacing w:after="0" w:line="179" w:lineRule="exact"/>
        <w:rPr>
          <w:rFonts w:ascii="Times New Roman" w:cs="Times New Roman" w:eastAsia="Times New Roman" w:hAnsi="Times New Roman"/>
          <w:sz w:val="22"/>
          <w:szCs w:val="22"/>
          <w:color w:val="auto"/>
        </w:rPr>
      </w:pPr>
    </w:p>
    <w:p>
      <w:pPr>
        <w:ind w:left="-8" w:right="20" w:firstLine="8"/>
        <w:spacing w:after="0" w:line="250" w:lineRule="auto"/>
        <w:tabs>
          <w:tab w:leader="none" w:pos="63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makes an effective subsequent deferral election pursuant to Section 3.2(e), the term “</w:t>
      </w:r>
      <w:r>
        <w:rPr>
          <w:rFonts w:ascii="Times New Roman" w:cs="Times New Roman" w:eastAsia="Times New Roman" w:hAnsi="Times New Roman"/>
          <w:sz w:val="22"/>
          <w:szCs w:val="22"/>
          <w:u w:val="single" w:color="auto"/>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 Distribution Date</w:t>
      </w:r>
      <w:r>
        <w:rPr>
          <w:rFonts w:ascii="Times New Roman" w:cs="Times New Roman" w:eastAsia="Times New Roman" w:hAnsi="Times New Roman"/>
          <w:sz w:val="22"/>
          <w:szCs w:val="22"/>
          <w:color w:val="auto"/>
        </w:rPr>
        <w:t>” shall, with respect to the amounts subject to such subsequent deferral election (and solely for purposes of Section 6.3(a)), thereafter mean the new Separation from Service Distribution Date determined in accordance with the form or other medium through which such election is evidenced as determined by the Committee or, if applicable, the Plan Administrator, and in any event in accordance with Section 409A of the Code.</w:t>
      </w:r>
    </w:p>
    <w:p>
      <w:pPr>
        <w:sectPr>
          <w:pgSz w:w="11900" w:h="16838" w:orient="portrait"/>
          <w:cols w:equalWidth="0" w:num="1">
            <w:col w:w="11232"/>
          </w:cols>
          <w:pgMar w:left="328" w:top="1422"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u w:val="single" w:color="auto"/>
          <w:color w:val="auto"/>
        </w:rPr>
        <w:t>lections as to Deemed Investment Choices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0" w:right="40" w:firstLine="8"/>
        <w:spacing w:after="0" w:line="268" w:lineRule="auto"/>
        <w:tabs>
          <w:tab w:leader="none" w:pos="72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date on which the actual deferral of an Annual Bonus Payment in respect of Plan Year is made by the Company, a Participant shall make an election, from the available investments selected by the Committee or the Plan Administrator pursuant to Section 3.3(c), regarding how the Cash Award portion of such Annual Bonus Payment shall be deemed to be invested for purposes of determining the amount of earnings or losses to be credited to the Participant’s Accounts.</w:t>
      </w:r>
    </w:p>
    <w:p>
      <w:pPr>
        <w:spacing w:after="0" w:line="163" w:lineRule="exact"/>
        <w:rPr>
          <w:rFonts w:ascii="Times New Roman" w:cs="Times New Roman" w:eastAsia="Times New Roman" w:hAnsi="Times New Roman"/>
          <w:sz w:val="21"/>
          <w:szCs w:val="21"/>
          <w:color w:val="auto"/>
        </w:rPr>
      </w:pPr>
    </w:p>
    <w:p>
      <w:pPr>
        <w:ind w:left="80" w:right="400" w:firstLine="8"/>
        <w:spacing w:after="0" w:line="257" w:lineRule="auto"/>
        <w:tabs>
          <w:tab w:leader="none" w:pos="72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if any, shall be deemed to be invested in the Fund specified for such purpose by the Committee from time to time and communicated to the Participant, and if no such communication is made, in the most risk-free type of Fund, as determined by the Committee in its sole and absolute discretion.</w:t>
      </w:r>
    </w:p>
    <w:p>
      <w:pPr>
        <w:spacing w:after="0" w:line="172" w:lineRule="exact"/>
        <w:rPr>
          <w:rFonts w:ascii="Times New Roman" w:cs="Times New Roman" w:eastAsia="Times New Roman" w:hAnsi="Times New Roman"/>
          <w:sz w:val="22"/>
          <w:szCs w:val="22"/>
          <w:color w:val="auto"/>
        </w:rPr>
      </w:pPr>
    </w:p>
    <w:p>
      <w:pPr>
        <w:ind w:left="80" w:firstLine="8"/>
        <w:spacing w:after="0" w:line="250" w:lineRule="auto"/>
        <w:tabs>
          <w:tab w:leader="none" w:pos="72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select from time to time, in its sole and absolute discretion, investments of various types that shall be communicated to the Participant. The Investment Rate applicable to each Fund shall be used to determine the amount of earnings or losses to be credited to Participant’s Bonus Deferral Subaccount (and the portion of the Company Stock Unit Subaccount attributable solely to Dividend Equivalents). Deemed investment choices shall not be changed unless the Committee promulgates a rule of general application permitting such changes.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DEFERRAL ACCOUNTS</w:t>
      </w:r>
    </w:p>
    <w:p>
      <w:pPr>
        <w:spacing w:after="0" w:line="32" w:lineRule="exact"/>
        <w:rPr>
          <w:sz w:val="20"/>
          <w:szCs w:val="20"/>
          <w:color w:val="auto"/>
        </w:rPr>
      </w:pPr>
    </w:p>
    <w:p>
      <w:pPr>
        <w:ind w:left="80" w:right="80" w:hanging="107"/>
        <w:spacing w:after="0" w:line="245" w:lineRule="auto"/>
        <w:rPr>
          <w:sz w:val="20"/>
          <w:szCs w:val="20"/>
          <w:color w:val="auto"/>
        </w:rPr>
      </w:pPr>
      <w:r>
        <w:rPr>
          <w:rFonts w:ascii="Times New Roman" w:cs="Times New Roman" w:eastAsia="Times New Roman" w:hAnsi="Times New Roman"/>
          <w:sz w:val="22"/>
          <w:szCs w:val="22"/>
          <w:u w:val="single" w:color="auto"/>
          <w:color w:val="auto"/>
        </w:rPr>
        <w:t>Bonus Deferral Subaccount</w:t>
      </w:r>
      <w:r>
        <w:rPr>
          <w:rFonts w:ascii="Times New Roman" w:cs="Times New Roman" w:eastAsia="Times New Roman" w:hAnsi="Times New Roman"/>
          <w:sz w:val="22"/>
          <w:szCs w:val="22"/>
          <w:color w:val="auto"/>
        </w:rPr>
        <w:t>. The Company or Plan Administrator shall establish and maintain a Bonus Deferral Subaccount for each Participant under the Plan. Each Participant’s Bonus Deferral Subaccount shall be further divided into separate subaccounts (“investment fund subaccounts”), each of which corresponds to a Fund elected by the Participant. A Participant’s Bonus Deferral Subaccount shall be credited as follows:</w:t>
      </w:r>
    </w:p>
    <w:p>
      <w:pPr>
        <w:spacing w:after="0" w:line="185" w:lineRule="exact"/>
        <w:rPr>
          <w:sz w:val="20"/>
          <w:szCs w:val="20"/>
          <w:color w:val="auto"/>
        </w:rPr>
      </w:pPr>
    </w:p>
    <w:p>
      <w:pPr>
        <w:ind w:left="80" w:right="160" w:firstLine="8"/>
        <w:spacing w:after="0" w:line="271" w:lineRule="auto"/>
        <w:tabs>
          <w:tab w:leader="none" w:pos="72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the amounts are withheld and/or deferred from a Participant’s Annual Bonus Payments, with an amount equal to the Cash Award portion of the Annual Bonus Payments deferred by the Participant; and</w:t>
      </w:r>
    </w:p>
    <w:p>
      <w:pPr>
        <w:spacing w:after="0" w:line="157" w:lineRule="exact"/>
        <w:rPr>
          <w:rFonts w:ascii="Times New Roman" w:cs="Times New Roman" w:eastAsia="Times New Roman" w:hAnsi="Times New Roman"/>
          <w:sz w:val="22"/>
          <w:szCs w:val="22"/>
          <w:color w:val="auto"/>
        </w:rPr>
      </w:pPr>
    </w:p>
    <w:p>
      <w:pPr>
        <w:ind w:left="80" w:right="400" w:firstLine="8"/>
        <w:spacing w:after="0" w:line="271" w:lineRule="auto"/>
        <w:tabs>
          <w:tab w:leader="none" w:pos="72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daily basis, each investment fund subaccount of a Participant’s Bonus Deferral Subaccount shall be credited with earnings or losses based on the applicable Investment Rate.</w:t>
      </w:r>
    </w:p>
    <w:p>
      <w:pPr>
        <w:spacing w:after="0" w:line="158" w:lineRule="exact"/>
        <w:rPr>
          <w:sz w:val="20"/>
          <w:szCs w:val="20"/>
          <w:color w:val="auto"/>
        </w:rPr>
      </w:pPr>
    </w:p>
    <w:p>
      <w:pPr>
        <w:ind w:left="80" w:right="6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Company Stock Unit Subaccount</w:t>
      </w:r>
      <w:r>
        <w:rPr>
          <w:rFonts w:ascii="Times New Roman" w:cs="Times New Roman" w:eastAsia="Times New Roman" w:hAnsi="Times New Roman"/>
          <w:sz w:val="22"/>
          <w:szCs w:val="22"/>
          <w:color w:val="auto"/>
        </w:rPr>
        <w:t>. The Company or Plan Administrator shall establish and maintain a Company Stock Unit Subaccount for each Participant who elects to defer receipt of an Equity Award. A Participant’s Company Stock Unit Subaccount shall be credited as follows:</w:t>
      </w:r>
    </w:p>
    <w:p>
      <w:pPr>
        <w:sectPr>
          <w:pgSz w:w="11900" w:h="16838" w:orient="portrait"/>
          <w:cols w:equalWidth="0" w:num="1">
            <w:col w:w="11320"/>
          </w:cols>
          <w:pgMar w:left="240" w:top="1422" w:right="339" w:bottom="1440" w:gutter="0" w:footer="0" w:header="0"/>
        </w:sectPr>
      </w:pPr>
    </w:p>
    <w:bookmarkStart w:id="228" w:name="page229"/>
    <w:bookmarkEnd w:id="228"/>
    <w:p>
      <w:pPr>
        <w:ind w:left="100" w:right="240" w:firstLine="8"/>
        <w:spacing w:after="0" w:line="257" w:lineRule="auto"/>
        <w:tabs>
          <w:tab w:leader="none" w:pos="74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shares of Company Common Stock would otherwise be issued to the Participant under an Equity Award pursuant to the Management Incentive Plan, with a number of Company stock units equal to the number of shares of Company Common Stock underlying such Equity Award; and</w:t>
      </w:r>
    </w:p>
    <w:p>
      <w:pPr>
        <w:spacing w:after="0" w:line="172" w:lineRule="exact"/>
        <w:rPr>
          <w:rFonts w:ascii="Times New Roman" w:cs="Times New Roman" w:eastAsia="Times New Roman" w:hAnsi="Times New Roman"/>
          <w:sz w:val="22"/>
          <w:szCs w:val="22"/>
          <w:color w:val="auto"/>
        </w:rPr>
      </w:pPr>
    </w:p>
    <w:p>
      <w:pPr>
        <w:ind w:left="100" w:right="640" w:firstLine="8"/>
        <w:spacing w:after="0" w:line="271" w:lineRule="auto"/>
        <w:tabs>
          <w:tab w:leader="none" w:pos="74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day dividends are paid to stockholders of the Company in respect of shares of Company Common Stock, an amount equal to the Dividend Equivalents; and</w:t>
      </w:r>
    </w:p>
    <w:p>
      <w:pPr>
        <w:spacing w:after="0" w:line="157" w:lineRule="exact"/>
        <w:rPr>
          <w:rFonts w:ascii="Times New Roman" w:cs="Times New Roman" w:eastAsia="Times New Roman" w:hAnsi="Times New Roman"/>
          <w:sz w:val="22"/>
          <w:szCs w:val="22"/>
          <w:color w:val="auto"/>
        </w:rPr>
      </w:pPr>
    </w:p>
    <w:p>
      <w:pPr>
        <w:ind w:left="100" w:firstLine="8"/>
        <w:spacing w:after="0" w:line="271" w:lineRule="auto"/>
        <w:tabs>
          <w:tab w:leader="none" w:pos="74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daily basis, the investment fund subaccount of a Participant’s Company Stock Unit Subaccount shall be credited with earnings or losses on the Dividend Equivalents based on the applicable Investment Rate.</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32" w:lineRule="exact"/>
        <w:rPr>
          <w:sz w:val="20"/>
          <w:szCs w:val="20"/>
          <w:color w:val="auto"/>
        </w:rPr>
      </w:pPr>
    </w:p>
    <w:p>
      <w:pPr>
        <w:ind w:left="100" w:right="20" w:hanging="107"/>
        <w:spacing w:after="0" w:line="244" w:lineRule="auto"/>
        <w:rPr>
          <w:sz w:val="20"/>
          <w:szCs w:val="20"/>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A Participant shall be 100% vested at all times in his or her Bonus Deferral Subaccount. A Participant shall vest in his or her Company Stock Unit Subaccount with respect to the Company stock units therein attributable to an Equity Award on the date on which such Equity Award would otherwise have vested, as determined by the Company, had the Participant not elected to defer receipt of the Company Common Stock issuable pursuant to such Equity Award. A Participant shall be 100% vested at all times in the portion of his or her Company Stock Unit Subaccount attributable to Dividend Equivalents (and earnings and losses attributable thereto), notwithstanding that the underlying Company stock units in respect of which such Dividend Equivalents are credited may not yet have vested.</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33" w:lineRule="exact"/>
        <w:rPr>
          <w:sz w:val="20"/>
          <w:szCs w:val="20"/>
          <w:color w:val="auto"/>
        </w:rPr>
      </w:pPr>
    </w:p>
    <w:p>
      <w:pPr>
        <w:ind w:left="100" w:right="360"/>
        <w:spacing w:after="0" w:line="259" w:lineRule="auto"/>
        <w:rPr>
          <w:sz w:val="20"/>
          <w:szCs w:val="20"/>
          <w:color w:val="auto"/>
        </w:rPr>
      </w:pPr>
      <w:r>
        <w:rPr>
          <w:rFonts w:ascii="Times New Roman" w:cs="Times New Roman" w:eastAsia="Times New Roman" w:hAnsi="Times New Roman"/>
          <w:sz w:val="22"/>
          <w:szCs w:val="22"/>
          <w:color w:val="auto"/>
        </w:rPr>
        <w:t>Distributions from the Plan shall be made only in accordance with this Article VI. All distributions shall be in cash, except as otherwise may occur pursuant to Section 6.4, or as provided in Section 6.6, in either case, in respect of Equity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Distribution of Accounts While Employed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hanging="652"/>
        <w:spacing w:after="0"/>
        <w:tabs>
          <w:tab w:leader="none" w:pos="7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Distributions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00" w:right="80" w:hanging="107"/>
        <w:spacing w:after="0" w:line="250" w:lineRule="auto"/>
        <w:rPr>
          <w:sz w:val="20"/>
          <w:szCs w:val="20"/>
          <w:color w:val="auto"/>
        </w:rPr>
      </w:pPr>
      <w:r>
        <w:rPr>
          <w:rFonts w:ascii="Times New Roman" w:cs="Times New Roman" w:eastAsia="Times New Roman" w:hAnsi="Times New Roman"/>
          <w:sz w:val="22"/>
          <w:szCs w:val="22"/>
          <w:color w:val="auto"/>
        </w:rPr>
        <w:t>i)In respect of all Distributable Amounts payable in a lump sum on an In-Service Distribution Date, the value thereof shall be determined as of such In-Service Distribution Date, and the distribution thereof shall be made as soon as administratively possible (and in no event later than 90 days) thereafter. In respect of all Distributable Amounts payable in installments on an In-Service Distribution Date, all installments shall be valued as of the first day of the month of July in each applicable year, and the distribution thereof shall be made as soon as administratively practicable (and in no event later than 90 days)</w:t>
      </w:r>
    </w:p>
    <w:p>
      <w:pPr>
        <w:sectPr>
          <w:pgSz w:w="11900" w:h="16838" w:orient="portrait"/>
          <w:cols w:equalWidth="0" w:num="1">
            <w:col w:w="11300"/>
          </w:cols>
          <w:pgMar w:left="220" w:top="1422" w:right="379" w:bottom="1440" w:gutter="0" w:footer="0" w:header="0"/>
        </w:sectPr>
      </w:pPr>
    </w:p>
    <w:bookmarkStart w:id="229" w:name="page230"/>
    <w:bookmarkEnd w:id="229"/>
    <w:p>
      <w:pPr>
        <w:ind w:right="640"/>
        <w:spacing w:after="0" w:line="271" w:lineRule="auto"/>
        <w:rPr>
          <w:sz w:val="20"/>
          <w:szCs w:val="20"/>
          <w:color w:val="auto"/>
        </w:rPr>
      </w:pPr>
      <w:r>
        <w:rPr>
          <w:rFonts w:ascii="Times New Roman" w:cs="Times New Roman" w:eastAsia="Times New Roman" w:hAnsi="Times New Roman"/>
          <w:sz w:val="22"/>
          <w:szCs w:val="22"/>
          <w:color w:val="auto"/>
        </w:rPr>
        <w:t>thereafter. Upon the death of a Participant, any Distributable Amounts of the Participant then in pay status pursuant to this Section 6.1(a)(1) shall thereafter be payable in accordance with Section 6.3(b).</w:t>
      </w:r>
    </w:p>
    <w:p>
      <w:pPr>
        <w:spacing w:after="0" w:line="158" w:lineRule="exact"/>
        <w:rPr>
          <w:sz w:val="20"/>
          <w:szCs w:val="20"/>
          <w:color w:val="auto"/>
        </w:rPr>
      </w:pPr>
    </w:p>
    <w:p>
      <w:pPr>
        <w:ind w:right="220" w:hanging="107"/>
        <w:spacing w:after="0" w:line="250" w:lineRule="auto"/>
        <w:rPr>
          <w:sz w:val="20"/>
          <w:szCs w:val="20"/>
          <w:color w:val="auto"/>
        </w:rPr>
      </w:pPr>
      <w:r>
        <w:rPr>
          <w:rFonts w:ascii="Times New Roman" w:cs="Times New Roman" w:eastAsia="Times New Roman" w:hAnsi="Times New Roman"/>
          <w:sz w:val="22"/>
          <w:szCs w:val="22"/>
          <w:color w:val="auto"/>
        </w:rPr>
        <w:t>i)In the event a Participant has a Separation from Service prior to such Participant’s In-Service Distribution Date, then the provisions of Section 6.3 shall instead apply to such distribution. For the avoidance of doubt, if a Participant has elected an In-Service Distribution Date with respect to Distributable Amounts under the Plan and such Participant has a Separation from Service (other than on account of death) following such In-Service Distribution Date, the provisions of this Section 6.1(a) shall govern the payment of such amounts, and the provisions of Section 6.3(a) shall not apply.</w:t>
      </w:r>
    </w:p>
    <w:p>
      <w:pPr>
        <w:spacing w:after="0" w:line="181" w:lineRule="exact"/>
        <w:rPr>
          <w:sz w:val="20"/>
          <w:szCs w:val="20"/>
          <w:color w:val="auto"/>
        </w:rPr>
      </w:pPr>
    </w:p>
    <w:p>
      <w:pPr>
        <w:ind w:left="-100" w:right="2900" w:firstLine="108"/>
        <w:spacing w:after="0" w:line="448" w:lineRule="auto"/>
        <w:tabs>
          <w:tab w:leader="none" w:pos="65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Section 6.4, no unscheduled in-service distributions are permitted. </w:t>
      </w:r>
      <w:r>
        <w:rPr>
          <w:rFonts w:ascii="Times New Roman" w:cs="Times New Roman" w:eastAsia="Times New Roman" w:hAnsi="Times New Roman"/>
          <w:sz w:val="22"/>
          <w:szCs w:val="22"/>
          <w:u w:val="single" w:color="auto"/>
          <w:color w:val="auto"/>
        </w:rPr>
        <w:t>Distribution of Accounts Upon a Change in Control</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80" w:firstLine="8"/>
        <w:spacing w:after="0" w:line="246" w:lineRule="auto"/>
        <w:tabs>
          <w:tab w:leader="none" w:pos="4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all Distributable Amounts payable in a lump sum on a Change in Control Distribution Date, the value thereof shall be determined as of such Change in Control Distribution Date, and the distribution thereof shall be made as soon as administratively possible (and in no event later than 10 days) thereafter. In respect of all Distributable Amounts payable in installments on a Change in Control Distribution Date, (i) the first installment shall be valued as of such Change in Control Distribution Date, and the distribution thereof shall be made as soon as administratively possible (and in no event later than 10 days) thereafter and (ii) each subsequent installment shall be valued as of the first day of the month of July of each of the following calendar years, and the distribution thereof shall be made as soon as administratively practicable (and in no event later than 90 days) thereafter. For the avoidance of doubt, under no circumstances shall two installments be paid in a single calendar year. Upon the death of a Participant, any Distributable Amounts of the Participant then in pay status pursuant to this Section 6.2(a) shall thereafter be payable in accordance with Section 6.3(b).</w:t>
      </w:r>
    </w:p>
    <w:p>
      <w:pPr>
        <w:spacing w:after="0" w:line="187" w:lineRule="exact"/>
        <w:rPr>
          <w:rFonts w:ascii="Times New Roman" w:cs="Times New Roman" w:eastAsia="Times New Roman" w:hAnsi="Times New Roman"/>
          <w:sz w:val="22"/>
          <w:szCs w:val="22"/>
          <w:color w:val="auto"/>
        </w:rPr>
      </w:pPr>
    </w:p>
    <w:p>
      <w:pPr>
        <w:ind w:right="80" w:firstLine="8"/>
        <w:spacing w:after="0" w:line="250" w:lineRule="auto"/>
        <w:tabs>
          <w:tab w:leader="none" w:pos="46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Participant has a Separation from Service prior to such Participant’s Change in Control Distribution Date, then the provisions of Section 6.3 shall instead apply to such distribution. For the avoidance of doubt, if a Participant has elected a Change in Control Distribution Date with respect to Distributable Amounts under the Plan and such Participant has a Separation from Service (other than on account of death) following such Change in Control Distribution Date, the provisions of Section 6.2(a) shall govern the payment of such amounts, and the provisions of Section 6.3(a) shall not apply.</w:t>
      </w:r>
    </w:p>
    <w:p>
      <w:pPr>
        <w:spacing w:after="0" w:line="181" w:lineRule="exact"/>
        <w:rPr>
          <w:sz w:val="20"/>
          <w:szCs w:val="20"/>
          <w:color w:val="auto"/>
        </w:rPr>
      </w:pPr>
    </w:p>
    <w:p>
      <w:pPr>
        <w:ind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Distribution of Accounts after Separation from Service</w:t>
      </w:r>
      <w:r>
        <w:rPr>
          <w:rFonts w:ascii="Times New Roman" w:cs="Times New Roman" w:eastAsia="Times New Roman" w:hAnsi="Times New Roman"/>
          <w:sz w:val="22"/>
          <w:szCs w:val="22"/>
          <w:color w:val="auto"/>
        </w:rPr>
        <w:t>. If a Participant has a Separation from Service, the provisions of this Section 6.3 shall apply to the distribution of the Participant’s Accounts.</w:t>
      </w:r>
    </w:p>
    <w:p>
      <w:pPr>
        <w:spacing w:after="0" w:line="158"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ectPr>
          <w:pgSz w:w="11900" w:h="16838" w:orient="portrait"/>
          <w:cols w:equalWidth="0" w:num="1">
            <w:col w:w="11200"/>
          </w:cols>
          <w:pgMar w:left="320" w:top="1422" w:right="379" w:bottom="1440" w:gutter="0" w:footer="0" w:header="0"/>
        </w:sectPr>
      </w:pPr>
    </w:p>
    <w:bookmarkStart w:id="230" w:name="page231"/>
    <w:bookmarkEnd w:id="230"/>
    <w:p>
      <w:pPr>
        <w:ind w:right="20" w:hanging="107"/>
        <w:spacing w:after="0" w:line="24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Lump Sum</w:t>
      </w:r>
      <w:r>
        <w:rPr>
          <w:rFonts w:ascii="Times New Roman" w:cs="Times New Roman" w:eastAsia="Times New Roman" w:hAnsi="Times New Roman"/>
          <w:sz w:val="22"/>
          <w:szCs w:val="22"/>
          <w:color w:val="auto"/>
        </w:rPr>
        <w:t>. For Distributable Amounts for which the Participant has elected (or is deemed to have elected) a lump sum, the value thereof shall be determined as of the Participant’s Separation from Service Distribution Date, and the distribution thereof shall be made as soon as administratively possible (and in no event later than 90 days) thereafter. If (i) a Participant has made an irrevocable election to defer his Annual Bonus Payments, (ii) such Annual Bonus Payments are deferred after the Participant’s Account has been distributed, and (iii) the Participant had elected to receive a lump sum distribution, then the additional Account balance shall be valued and distributed on the first day of the seventh month immediately following the date the Annual Bonus Payments are deferred.</w:t>
      </w:r>
    </w:p>
    <w:p>
      <w:pPr>
        <w:spacing w:after="0" w:line="182" w:lineRule="exact"/>
        <w:rPr>
          <w:sz w:val="20"/>
          <w:szCs w:val="20"/>
          <w:color w:val="auto"/>
        </w:rPr>
      </w:pPr>
    </w:p>
    <w:p>
      <w:pPr>
        <w:ind w:right="40" w:hanging="107"/>
        <w:spacing w:after="0" w:line="260" w:lineRule="auto"/>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21"/>
          <w:szCs w:val="21"/>
          <w:u w:val="single" w:color="auto"/>
          <w:color w:val="auto"/>
        </w:rPr>
        <w:t>Installment Payments</w:t>
      </w:r>
      <w:r>
        <w:rPr>
          <w:rFonts w:ascii="Times New Roman" w:cs="Times New Roman" w:eastAsia="Times New Roman" w:hAnsi="Times New Roman"/>
          <w:sz w:val="21"/>
          <w:szCs w:val="21"/>
          <w:color w:val="auto"/>
        </w:rPr>
        <w:t>. For Distributable Amounts for which the Participant has elected installments, (i) the first installment shall be valued as of the Participant’s Separation from Service Distribution Date, and the distribution thereof shall be made as soon as administratively possible (and in no event later than 90 days) thereafter, and (ii) each subsequent installment shall be valued as of the first day of the month of July of each of the following calendar years, and the distribution thereof shall be made as soon as administratively possible (and in no event later than 90 days) thereafter. For the avoidance of doubt, under no circumstances shall two installments be paid in a single calendar year. If (x) a Participant has made an irrevocable election to defer his or her Annual Bonus Payments, (y) such Annual Bonus Payment is deferred after the Participant’s Account has started to be distributed, and (z) the Participant had elected to receive installment payments, the additional deferral shall be added to the Participant’s balance in his Bonus Deferral Subaccount and shall be distributed in accordance with the installment election.</w:t>
      </w:r>
    </w:p>
    <w:p>
      <w:pPr>
        <w:spacing w:after="0" w:line="170" w:lineRule="exact"/>
        <w:rPr>
          <w:sz w:val="20"/>
          <w:szCs w:val="20"/>
          <w:color w:val="auto"/>
        </w:rPr>
      </w:pPr>
    </w:p>
    <w:p>
      <w:pPr>
        <w:ind w:right="40" w:firstLine="8"/>
        <w:spacing w:after="0" w:line="250" w:lineRule="auto"/>
        <w:tabs>
          <w:tab w:leader="none" w:pos="64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In the case of the death of a Participant, either while employed by the Company or prior to distribution of the Participant’s entire Account balance (including on account of an In-Service Distribution Date or a Change in Control Distribution Date), the Participant’s Account balance shall be distributed to the Participant’s Beneficiary as soon as administratively possible and in no event later than 90 days following the death of the Participant. The value of the Participant’s Account shall be determined as of the date on which the Participant dies.</w:t>
      </w:r>
    </w:p>
    <w:p>
      <w:pPr>
        <w:spacing w:after="0" w:line="180" w:lineRule="exact"/>
        <w:rPr>
          <w:rFonts w:ascii="Times New Roman" w:cs="Times New Roman" w:eastAsia="Times New Roman" w:hAnsi="Times New Roman"/>
          <w:sz w:val="22"/>
          <w:szCs w:val="22"/>
          <w:color w:val="auto"/>
        </w:rPr>
      </w:pPr>
    </w:p>
    <w:p>
      <w:pPr>
        <w:ind w:right="220" w:firstLine="8"/>
        <w:spacing w:after="0" w:line="250" w:lineRule="auto"/>
        <w:tabs>
          <w:tab w:leader="none" w:pos="64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In the case of the Disability of a Participant prior to the commencement of distribution of the Participant’s Account balance, the Participant’s Account balance shall be distributed to the Participant in a lump sum as soon as administratively possible (and in no event later than 90 days) after it has been determined by the Committee that the Participant suffers from a Disability. The value of the Participant’s Account shall be determined as of the date on which it has been determined by the Committee that the Participant suffers from a Disability.</w:t>
      </w:r>
    </w:p>
    <w:p>
      <w:pPr>
        <w:spacing w:after="0" w:line="181" w:lineRule="exact"/>
        <w:rPr>
          <w:sz w:val="20"/>
          <w:szCs w:val="20"/>
          <w:color w:val="auto"/>
        </w:rPr>
      </w:pPr>
    </w:p>
    <w:p>
      <w:pPr>
        <w:ind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A Participant shall be permitted to elect a distribution from his Bonus Deferral Subaccount and/or vested Company Stock Unit Subaccount, if any,</w:t>
      </w:r>
    </w:p>
    <w:p>
      <w:pPr>
        <w:sectPr>
          <w:pgSz w:w="11900" w:h="16838" w:orient="portrait"/>
          <w:cols w:equalWidth="0" w:num="1">
            <w:col w:w="11240"/>
          </w:cols>
          <w:pgMar w:left="320" w:top="1422" w:right="339" w:bottom="1440" w:gutter="0" w:footer="0" w:header="0"/>
        </w:sectPr>
      </w:pPr>
    </w:p>
    <w:bookmarkStart w:id="231" w:name="page232"/>
    <w:bookmarkEnd w:id="231"/>
    <w:p>
      <w:pPr>
        <w:ind w:right="680"/>
        <w:spacing w:after="0" w:line="271" w:lineRule="auto"/>
        <w:rPr>
          <w:sz w:val="20"/>
          <w:szCs w:val="20"/>
          <w:color w:val="auto"/>
        </w:rPr>
      </w:pPr>
      <w:r>
        <w:rPr>
          <w:rFonts w:ascii="Times New Roman" w:cs="Times New Roman" w:eastAsia="Times New Roman" w:hAnsi="Times New Roman"/>
          <w:sz w:val="22"/>
          <w:szCs w:val="22"/>
          <w:color w:val="auto"/>
        </w:rPr>
        <w:t>prior to the date the Accounts were otherwise to be distributed in the event of an Unforeseeable Emergency, subject to the following restrictions:</w:t>
      </w:r>
    </w:p>
    <w:p>
      <w:pPr>
        <w:spacing w:after="0" w:line="158" w:lineRule="exact"/>
        <w:rPr>
          <w:sz w:val="20"/>
          <w:szCs w:val="20"/>
          <w:color w:val="auto"/>
        </w:rPr>
      </w:pPr>
    </w:p>
    <w:p>
      <w:pPr>
        <w:ind w:right="200" w:firstLine="8"/>
        <w:spacing w:after="0" w:line="271" w:lineRule="auto"/>
        <w:tabs>
          <w:tab w:leader="none" w:pos="64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to take a distribution due to an Unforeseeable Emergency shall be made by requesting such a distribution in writing to the Committee, including the amount requested and a description of the need for the distribution;</w:t>
      </w:r>
    </w:p>
    <w:p>
      <w:pPr>
        <w:spacing w:after="0" w:line="157" w:lineRule="exact"/>
        <w:rPr>
          <w:rFonts w:ascii="Times New Roman" w:cs="Times New Roman" w:eastAsia="Times New Roman" w:hAnsi="Times New Roman"/>
          <w:sz w:val="22"/>
          <w:szCs w:val="22"/>
          <w:color w:val="auto"/>
        </w:rPr>
      </w:pPr>
    </w:p>
    <w:p>
      <w:pPr>
        <w:ind w:right="680" w:firstLine="8"/>
        <w:spacing w:after="0" w:line="271" w:lineRule="auto"/>
        <w:tabs>
          <w:tab w:leader="none" w:pos="64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make a determination, in its sole discretion, that the requested distribution is on account of an Unforeseeable Emergency; and</w:t>
      </w:r>
    </w:p>
    <w:p>
      <w:pPr>
        <w:spacing w:after="0" w:line="157" w:lineRule="exact"/>
        <w:rPr>
          <w:rFonts w:ascii="Times New Roman" w:cs="Times New Roman" w:eastAsia="Times New Roman" w:hAnsi="Times New Roman"/>
          <w:sz w:val="22"/>
          <w:szCs w:val="22"/>
          <w:color w:val="auto"/>
        </w:rPr>
      </w:pPr>
    </w:p>
    <w:p>
      <w:pPr>
        <w:ind w:right="160" w:firstLine="8"/>
        <w:spacing w:after="0" w:line="257" w:lineRule="auto"/>
        <w:tabs>
          <w:tab w:leader="none" w:pos="64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Unforeseeable Emergency cannot be relieved (i) through reimbursement or compensation by insurance or otherwise, (ii) by liquidation of the Participant’s assets, to the extent the liquidation of assets would not itself cause severe financial hardship, or (iii) by cessation of deferrals under this Plan.</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color w:val="auto"/>
        </w:rPr>
        <w:t>The amount determined by the Committee as distributable due to an Unforeseeable Emergency shall be paid within 30 days after the request for the distribution is approved by the Committee. The value of the Participant’s Account shall be determined as of the date on which the distribution request was made.</w:t>
      </w:r>
    </w:p>
    <w:p>
      <w:pPr>
        <w:spacing w:after="0" w:line="173" w:lineRule="exact"/>
        <w:rPr>
          <w:sz w:val="20"/>
          <w:szCs w:val="20"/>
          <w:color w:val="auto"/>
        </w:rPr>
      </w:pPr>
    </w:p>
    <w:p>
      <w:pPr>
        <w:ind w:right="32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In the event that any valuation date contemplated by Section 6.1 Section 6.2 or Section 6.3 is not a business day, then the valuation date shall be the immediately preceding business day.</w:t>
      </w:r>
    </w:p>
    <w:p>
      <w:pPr>
        <w:spacing w:after="0" w:line="158" w:lineRule="exact"/>
        <w:rPr>
          <w:sz w:val="20"/>
          <w:szCs w:val="20"/>
          <w:color w:val="auto"/>
        </w:rPr>
      </w:pPr>
    </w:p>
    <w:p>
      <w:pPr>
        <w:ind w:right="40" w:hanging="83"/>
        <w:spacing w:after="0" w:line="250" w:lineRule="auto"/>
        <w:rPr>
          <w:sz w:val="20"/>
          <w:szCs w:val="20"/>
          <w:color w:val="auto"/>
        </w:rPr>
      </w:pPr>
      <w:r>
        <w:rPr>
          <w:rFonts w:ascii="Times New Roman" w:cs="Times New Roman" w:eastAsia="Times New Roman" w:hAnsi="Times New Roman"/>
          <w:sz w:val="22"/>
          <w:szCs w:val="22"/>
          <w:u w:val="single" w:color="auto"/>
          <w:color w:val="auto"/>
        </w:rPr>
        <w:t>quity Awards</w:t>
      </w:r>
      <w:r>
        <w:rPr>
          <w:rFonts w:ascii="Times New Roman" w:cs="Times New Roman" w:eastAsia="Times New Roman" w:hAnsi="Times New Roman"/>
          <w:sz w:val="22"/>
          <w:szCs w:val="22"/>
          <w:color w:val="auto"/>
        </w:rPr>
        <w:t>. All distributions from the Company Stock Unit Subaccount attributable to deferrals of Equity Awards (but not Dividend Equivalents or earnings and losses attributable to such Dividend Equivalents) shall be made in the form of one share of Company Common Stock for each Company stock unit therein. All shares of Company Common Stock ultimately distributed in respect of Company stock units under the Company Stock Unit Subaccount will be issued under the Management Incentive Plan (or any successor plan).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32" w:lineRule="exact"/>
        <w:rPr>
          <w:sz w:val="20"/>
          <w:szCs w:val="20"/>
          <w:color w:val="auto"/>
        </w:rPr>
      </w:pPr>
    </w:p>
    <w:p>
      <w:pPr>
        <w:ind w:hanging="107"/>
        <w:spacing w:after="0" w:line="244" w:lineRule="auto"/>
        <w:rPr>
          <w:sz w:val="20"/>
          <w:szCs w:val="20"/>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A Committee shall be appointed by, and serve at the pleasure of, the Compensation Committee. The number of members comprising the Committee shall be determined by the Compensation Committee, which may from time to time vary the number of members. A member of the Committee may resign by delivering a written notice of resignation to the Compensation Committee. The Compensation Committee or the Board may remove any member, with or without cause, by delivering a copy of its resolution of removal to such member.</w:t>
      </w:r>
    </w:p>
    <w:p>
      <w:pPr>
        <w:spacing w:after="0" w:line="189" w:lineRule="exact"/>
        <w:rPr>
          <w:sz w:val="20"/>
          <w:szCs w:val="20"/>
          <w:color w:val="auto"/>
        </w:rPr>
      </w:pPr>
    </w:p>
    <w:p>
      <w:pPr>
        <w:ind w:right="22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Committee Action</w:t>
      </w:r>
      <w:r>
        <w:rPr>
          <w:rFonts w:ascii="Times New Roman" w:cs="Times New Roman" w:eastAsia="Times New Roman" w:hAnsi="Times New Roman"/>
          <w:sz w:val="22"/>
          <w:szCs w:val="22"/>
          <w:color w:val="auto"/>
        </w:rPr>
        <w:t>. The Committee shall act at meetings by affirmative vote of a majority of the members of the Committee. Any action permitted to be taken at a</w:t>
      </w:r>
    </w:p>
    <w:p>
      <w:pPr>
        <w:sectPr>
          <w:pgSz w:w="11900" w:h="16838" w:orient="portrait"/>
          <w:cols w:equalWidth="0" w:num="1">
            <w:col w:w="11200"/>
          </w:cols>
          <w:pgMar w:left="320" w:top="1422" w:right="379" w:bottom="1440" w:gutter="0" w:footer="0" w:header="0"/>
        </w:sectPr>
      </w:pPr>
    </w:p>
    <w:bookmarkStart w:id="232" w:name="page233"/>
    <w:bookmarkEnd w:id="232"/>
    <w:p>
      <w:pPr>
        <w:ind w:left="80"/>
        <w:spacing w:after="0" w:line="252" w:lineRule="auto"/>
        <w:rPr>
          <w:sz w:val="20"/>
          <w:szCs w:val="20"/>
          <w:color w:val="auto"/>
        </w:rPr>
      </w:pPr>
      <w:r>
        <w:rPr>
          <w:rFonts w:ascii="Times New Roman" w:cs="Times New Roman" w:eastAsia="Times New Roman" w:hAnsi="Times New Roman"/>
          <w:sz w:val="22"/>
          <w:szCs w:val="22"/>
          <w:color w:val="auto"/>
        </w:rPr>
        <w:t>meeting may be taken without a meeting if, prior to such action, a written consent to the action is signed by a majority of members of the Committee and such written consent is filed with the minutes of the proceedings of the Committee. A member of the Committee shall not vote or act upon any matter which relates solely to himself or herself as a Participant. Any member of the Committee may execute any certificate or other written direction on behalf of the Committee.</w:t>
      </w:r>
    </w:p>
    <w:p>
      <w:pPr>
        <w:spacing w:after="0" w:line="179" w:lineRule="exact"/>
        <w:rPr>
          <w:sz w:val="20"/>
          <w:szCs w:val="20"/>
          <w:color w:val="auto"/>
        </w:rPr>
      </w:pPr>
    </w:p>
    <w:p>
      <w:pPr>
        <w:jc w:val="both"/>
        <w:ind w:left="80" w:right="20" w:hanging="95"/>
        <w:spacing w:after="0" w:line="257" w:lineRule="auto"/>
        <w:rPr>
          <w:sz w:val="20"/>
          <w:szCs w:val="20"/>
          <w:color w:val="auto"/>
        </w:rPr>
      </w:pPr>
      <w:r>
        <w:rPr>
          <w:rFonts w:ascii="Times New Roman" w:cs="Times New Roman" w:eastAsia="Times New Roman" w:hAnsi="Times New Roman"/>
          <w:sz w:val="22"/>
          <w:szCs w:val="22"/>
          <w:u w:val="single" w:color="auto"/>
          <w:color w:val="auto"/>
        </w:rPr>
        <w:t>owers of the Committee</w:t>
      </w:r>
      <w:r>
        <w:rPr>
          <w:rFonts w:ascii="Times New Roman" w:cs="Times New Roman" w:eastAsia="Times New Roman" w:hAnsi="Times New Roman"/>
          <w:sz w:val="22"/>
          <w:szCs w:val="22"/>
          <w:color w:val="auto"/>
        </w:rPr>
        <w:t>. The Committee, on behalf of the Participants and their Beneficiaries, shall enforce the Plan in accordance with its terms, shall be charged with the general administration of the Plan, and shall have all powers necessary to accomplish its purposes, including, but not limited to, the following:</w:t>
      </w:r>
    </w:p>
    <w:p>
      <w:pPr>
        <w:spacing w:after="0" w:line="173" w:lineRule="exact"/>
        <w:rPr>
          <w:sz w:val="20"/>
          <w:szCs w:val="20"/>
          <w:color w:val="auto"/>
        </w:rPr>
      </w:pPr>
    </w:p>
    <w:p>
      <w:pPr>
        <w:ind w:left="740" w:hanging="652"/>
        <w:spacing w:after="0"/>
        <w:tabs>
          <w:tab w:leader="none" w:pos="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Funds;</w:t>
      </w:r>
    </w:p>
    <w:p>
      <w:pPr>
        <w:spacing w:after="0" w:line="219" w:lineRule="exact"/>
        <w:rPr>
          <w:rFonts w:ascii="Times New Roman" w:cs="Times New Roman" w:eastAsia="Times New Roman" w:hAnsi="Times New Roman"/>
          <w:sz w:val="22"/>
          <w:szCs w:val="22"/>
          <w:color w:val="auto"/>
        </w:rPr>
      </w:pPr>
    </w:p>
    <w:p>
      <w:pPr>
        <w:ind w:left="740" w:hanging="652"/>
        <w:spacing w:after="0"/>
        <w:tabs>
          <w:tab w:leader="none" w:pos="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and provisions of this Plan;</w:t>
      </w:r>
    </w:p>
    <w:p>
      <w:pPr>
        <w:spacing w:after="0" w:line="219" w:lineRule="exact"/>
        <w:rPr>
          <w:rFonts w:ascii="Times New Roman" w:cs="Times New Roman" w:eastAsia="Times New Roman" w:hAnsi="Times New Roman"/>
          <w:sz w:val="22"/>
          <w:szCs w:val="22"/>
          <w:color w:val="auto"/>
        </w:rPr>
      </w:pPr>
    </w:p>
    <w:p>
      <w:pPr>
        <w:ind w:left="740" w:hanging="652"/>
        <w:spacing w:after="0"/>
        <w:tabs>
          <w:tab w:leader="none" w:pos="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and certify to the amount and kind of benefits payable to Participants and their Beneficiaries;</w:t>
      </w:r>
    </w:p>
    <w:p>
      <w:pPr>
        <w:spacing w:after="0" w:line="219" w:lineRule="exact"/>
        <w:rPr>
          <w:rFonts w:ascii="Times New Roman" w:cs="Times New Roman" w:eastAsia="Times New Roman" w:hAnsi="Times New Roman"/>
          <w:sz w:val="22"/>
          <w:szCs w:val="22"/>
          <w:color w:val="auto"/>
        </w:rPr>
      </w:pPr>
    </w:p>
    <w:p>
      <w:pPr>
        <w:ind w:left="740" w:hanging="652"/>
        <w:spacing w:after="0"/>
        <w:tabs>
          <w:tab w:leader="none" w:pos="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all records that may be necessary for the administration of the Plan;</w:t>
      </w:r>
    </w:p>
    <w:p>
      <w:pPr>
        <w:spacing w:after="0" w:line="219" w:lineRule="exact"/>
        <w:rPr>
          <w:rFonts w:ascii="Times New Roman" w:cs="Times New Roman" w:eastAsia="Times New Roman" w:hAnsi="Times New Roman"/>
          <w:sz w:val="22"/>
          <w:szCs w:val="22"/>
          <w:color w:val="auto"/>
        </w:rPr>
      </w:pPr>
    </w:p>
    <w:p>
      <w:pPr>
        <w:ind w:left="80" w:right="420" w:firstLine="8"/>
        <w:spacing w:after="0" w:line="271" w:lineRule="auto"/>
        <w:tabs>
          <w:tab w:leader="none" w:pos="72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disclosure of all information and the filing or provision of all reports and statements to Participants, Beneficiaries or governmental agencies as shall be required by law;</w:t>
      </w:r>
    </w:p>
    <w:p>
      <w:pPr>
        <w:spacing w:after="0" w:line="157" w:lineRule="exact"/>
        <w:rPr>
          <w:rFonts w:ascii="Times New Roman" w:cs="Times New Roman" w:eastAsia="Times New Roman" w:hAnsi="Times New Roman"/>
          <w:sz w:val="22"/>
          <w:szCs w:val="22"/>
          <w:color w:val="auto"/>
        </w:rPr>
      </w:pPr>
    </w:p>
    <w:p>
      <w:pPr>
        <w:ind w:left="80" w:right="220" w:firstLine="8"/>
        <w:spacing w:after="0" w:line="271" w:lineRule="auto"/>
        <w:tabs>
          <w:tab w:leader="none" w:pos="72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publish such rules for the regulation of the Plan and procedures for the administration of the Plan as are not inconsistent with the terms hereof;</w:t>
      </w:r>
    </w:p>
    <w:p>
      <w:pPr>
        <w:spacing w:after="0" w:line="157" w:lineRule="exact"/>
        <w:rPr>
          <w:rFonts w:ascii="Times New Roman" w:cs="Times New Roman" w:eastAsia="Times New Roman" w:hAnsi="Times New Roman"/>
          <w:sz w:val="22"/>
          <w:szCs w:val="22"/>
          <w:color w:val="auto"/>
        </w:rPr>
      </w:pPr>
    </w:p>
    <w:p>
      <w:pPr>
        <w:ind w:left="80" w:right="40" w:firstLine="8"/>
        <w:spacing w:after="0" w:line="271" w:lineRule="auto"/>
        <w:tabs>
          <w:tab w:leader="none" w:pos="72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appoint a Plan Administrator, or any other agent, and to delegate to them such powers and duties in connection with the administration of the Plan as the Committee may from time to time prescribe; and</w:t>
      </w:r>
    </w:p>
    <w:p>
      <w:pPr>
        <w:spacing w:after="0" w:line="157" w:lineRule="exact"/>
        <w:rPr>
          <w:rFonts w:ascii="Times New Roman" w:cs="Times New Roman" w:eastAsia="Times New Roman" w:hAnsi="Times New Roman"/>
          <w:sz w:val="22"/>
          <w:szCs w:val="22"/>
          <w:color w:val="auto"/>
        </w:rPr>
      </w:pPr>
    </w:p>
    <w:p>
      <w:pPr>
        <w:ind w:left="740" w:hanging="652"/>
        <w:spacing w:after="0"/>
        <w:tabs>
          <w:tab w:leader="none" w:pos="7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all actions necessary for the administration of the Plan.</w:t>
      </w:r>
    </w:p>
    <w:p>
      <w:pPr>
        <w:spacing w:after="0" w:line="220" w:lineRule="exact"/>
        <w:rPr>
          <w:sz w:val="20"/>
          <w:szCs w:val="20"/>
          <w:color w:val="auto"/>
        </w:rPr>
      </w:pPr>
    </w:p>
    <w:p>
      <w:pPr>
        <w:jc w:val="both"/>
        <w:ind w:left="80" w:right="80" w:hanging="85"/>
        <w:spacing w:after="0" w:line="257" w:lineRule="auto"/>
        <w:rPr>
          <w:sz w:val="20"/>
          <w:szCs w:val="20"/>
          <w:color w:val="auto"/>
        </w:rPr>
      </w:pPr>
      <w:r>
        <w:rPr>
          <w:rFonts w:ascii="Times New Roman" w:cs="Times New Roman" w:eastAsia="Times New Roman" w:hAnsi="Times New Roman"/>
          <w:sz w:val="22"/>
          <w:szCs w:val="22"/>
          <w:u w:val="single" w:color="auto"/>
          <w:color w:val="auto"/>
        </w:rPr>
        <w:t>onstruction and Interpretation</w:t>
      </w:r>
      <w:r>
        <w:rPr>
          <w:rFonts w:ascii="Times New Roman" w:cs="Times New Roman" w:eastAsia="Times New Roman" w:hAnsi="Times New Roman"/>
          <w:sz w:val="22"/>
          <w:szCs w:val="22"/>
          <w:color w:val="auto"/>
        </w:rPr>
        <w:t>. The Committee shall have full discretion to construe and interpret the terms and provisions of this Plan, which interpretations or construction shall be final and binding on all parties, including but not limited to the Company and any Participant or Beneficiary.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ompensation, Expenses and Indemnity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40" w:hanging="652"/>
        <w:spacing w:after="0"/>
        <w:tabs>
          <w:tab w:leader="none" w:pos="7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Committee shall serve without compensation for their services hereunder.</w:t>
      </w:r>
    </w:p>
    <w:p>
      <w:pPr>
        <w:spacing w:after="0" w:line="219" w:lineRule="exact"/>
        <w:rPr>
          <w:rFonts w:ascii="Times New Roman" w:cs="Times New Roman" w:eastAsia="Times New Roman" w:hAnsi="Times New Roman"/>
          <w:sz w:val="22"/>
          <w:szCs w:val="22"/>
          <w:color w:val="auto"/>
        </w:rPr>
      </w:pPr>
    </w:p>
    <w:p>
      <w:pPr>
        <w:ind w:left="80" w:right="340" w:firstLine="8"/>
        <w:spacing w:after="0" w:line="271" w:lineRule="auto"/>
        <w:tabs>
          <w:tab w:leader="none" w:pos="72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is authorized at the expense of the Company to employ such legal counsel as it may deem advisable to assist in the performance of its duties hereunder.</w:t>
      </w:r>
    </w:p>
    <w:p>
      <w:pPr>
        <w:sectPr>
          <w:pgSz w:w="11900" w:h="16838" w:orient="portrait"/>
          <w:cols w:equalWidth="0" w:num="1">
            <w:col w:w="11320"/>
          </w:cols>
          <w:pgMar w:left="240" w:top="1422"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Expenses and fees in connection with the administration of the Plan shall be paid by the Company.</w:t>
      </w:r>
    </w:p>
    <w:p>
      <w:pPr>
        <w:spacing w:after="0" w:line="220" w:lineRule="exact"/>
        <w:rPr>
          <w:sz w:val="20"/>
          <w:szCs w:val="20"/>
          <w:color w:val="auto"/>
        </w:rPr>
      </w:pPr>
    </w:p>
    <w:p>
      <w:pPr>
        <w:ind w:firstLine="8"/>
        <w:spacing w:after="0" w:line="244" w:lineRule="auto"/>
        <w:tabs>
          <w:tab w:leader="none" w:pos="64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Board, the Committee or any employee or agent of the Company (each such person, an “</w:t>
      </w:r>
      <w:r>
        <w:rPr>
          <w:rFonts w:ascii="Times New Roman" w:cs="Times New Roman" w:eastAsia="Times New Roman" w:hAnsi="Times New Roman"/>
          <w:sz w:val="22"/>
          <w:szCs w:val="22"/>
          <w:u w:val="single" w:color="auto"/>
          <w:color w:val="auto"/>
        </w:rPr>
        <w:t>Indemnifiable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32" w:lineRule="exact"/>
        <w:rPr>
          <w:sz w:val="20"/>
          <w:szCs w:val="20"/>
          <w:color w:val="auto"/>
        </w:rPr>
      </w:pPr>
    </w:p>
    <w:p>
      <w:pPr>
        <w:ind w:hanging="107"/>
        <w:spacing w:after="0" w:line="245" w:lineRule="auto"/>
        <w:rPr>
          <w:sz w:val="20"/>
          <w:szCs w:val="20"/>
          <w:color w:val="auto"/>
        </w:rPr>
      </w:pPr>
      <w:r>
        <w:rPr>
          <w:rFonts w:ascii="Times New Roman" w:cs="Times New Roman" w:eastAsia="Times New Roman" w:hAnsi="Times New Roman"/>
          <w:sz w:val="22"/>
          <w:szCs w:val="22"/>
          <w:u w:val="single" w:color="auto"/>
          <w:color w:val="auto"/>
        </w:rPr>
        <w:t>Unsecured General Creditor</w:t>
      </w:r>
      <w:r>
        <w:rPr>
          <w:rFonts w:ascii="Times New Roman" w:cs="Times New Roman" w:eastAsia="Times New Roman" w:hAnsi="Times New Roman"/>
          <w:sz w:val="22"/>
          <w:szCs w:val="22"/>
          <w:color w:val="auto"/>
        </w:rPr>
        <w:t>. Participants and their Beneficiaries, heirs, successors, and assigns shall have no legal or equitable rights, claims, or interest in any specific property or assets of the Company. No assets of the Company shall be held in any way as collateral security for the fulfilling of the obligations of the Company under this Plan.</w:t>
      </w:r>
    </w:p>
    <w:p>
      <w:pPr>
        <w:sectPr>
          <w:pgSz w:w="11900" w:h="16838" w:orient="portrait"/>
          <w:cols w:equalWidth="0" w:num="1">
            <w:col w:w="11220"/>
          </w:cols>
          <w:pgMar w:left="320" w:top="1422" w:right="359" w:bottom="1440" w:gutter="0" w:footer="0" w:header="0"/>
        </w:sectPr>
      </w:pPr>
    </w:p>
    <w:bookmarkStart w:id="234" w:name="page235"/>
    <w:bookmarkEnd w:id="234"/>
    <w:p>
      <w:pPr>
        <w:ind w:right="20"/>
        <w:spacing w:after="0" w:line="268" w:lineRule="auto"/>
        <w:rPr>
          <w:sz w:val="20"/>
          <w:szCs w:val="20"/>
          <w:color w:val="auto"/>
        </w:rPr>
      </w:pPr>
      <w:r>
        <w:rPr>
          <w:rFonts w:ascii="Times New Roman" w:cs="Times New Roman" w:eastAsia="Times New Roman" w:hAnsi="Times New Roman"/>
          <w:sz w:val="21"/>
          <w:szCs w:val="21"/>
          <w:color w:val="auto"/>
        </w:rPr>
        <w:t>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for purposes of Title I of ERISA.</w:t>
      </w:r>
    </w:p>
    <w:p>
      <w:pPr>
        <w:spacing w:after="0" w:line="163" w:lineRule="exact"/>
        <w:rPr>
          <w:sz w:val="20"/>
          <w:szCs w:val="20"/>
          <w:color w:val="auto"/>
        </w:rPr>
      </w:pPr>
    </w:p>
    <w:p>
      <w:pPr>
        <w:ind w:right="20" w:hanging="107"/>
        <w:spacing w:after="0" w:line="246" w:lineRule="auto"/>
        <w:rPr>
          <w:sz w:val="20"/>
          <w:szCs w:val="20"/>
          <w:color w:val="auto"/>
        </w:rPr>
      </w:pPr>
      <w:r>
        <w:rPr>
          <w:rFonts w:ascii="Times New Roman" w:cs="Times New Roman" w:eastAsia="Times New Roman" w:hAnsi="Times New Roman"/>
          <w:sz w:val="22"/>
          <w:szCs w:val="22"/>
          <w:u w:val="single" w:color="auto"/>
          <w:color w:val="auto"/>
        </w:rPr>
        <w:t>Restriction Against Assignment</w:t>
      </w:r>
      <w:r>
        <w:rPr>
          <w:rFonts w:ascii="Times New Roman" w:cs="Times New Roman" w:eastAsia="Times New Roman" w:hAnsi="Times New Roman"/>
          <w:sz w:val="22"/>
          <w:szCs w:val="22"/>
          <w:color w:val="auto"/>
        </w:rPr>
        <w:t>. 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Notwithstanding anything in the Plan to the contrary, a Participant shall be permitted to instruct the Committee (which instruction shall be effective unless the Committee disapproves the instruction) that all or a portion of his or her Accounts be assigned and conveyed to another person or entity pursuant to a domestic relations order (as defined in Section 414(p)(1)(B) of the Code), and payments pursuant to any such Accounts (or portion thereof) that have been so assigned and conveyed may be paid to such other person or entity in accordance therewith (and to the extent permitted under Section 409A of the Code).</w:t>
      </w:r>
    </w:p>
    <w:p>
      <w:pPr>
        <w:spacing w:after="0" w:line="185" w:lineRule="exact"/>
        <w:rPr>
          <w:sz w:val="20"/>
          <w:szCs w:val="20"/>
          <w:color w:val="auto"/>
        </w:rPr>
      </w:pPr>
    </w:p>
    <w:p>
      <w:pPr>
        <w:ind w:hanging="107"/>
        <w:spacing w:after="0" w:line="250" w:lineRule="auto"/>
        <w:rPr>
          <w:sz w:val="20"/>
          <w:szCs w:val="20"/>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There shall be deducted from each payment made under the Plan or any other compensation payable to the Participant (or Beneficiary) all taxes which are required to be withheld by the Company in respect to such payment or this Plan. The Company shall have the right to reduce any payment (or compensation), or the amount credited to a Participant’s Account, by the amount of cash (or equivalent value of Company stock units, as applicable, as determined by the Committee) sufficient to provide the amount of said taxes.</w:t>
      </w:r>
    </w:p>
    <w:p>
      <w:pPr>
        <w:spacing w:after="0" w:line="181" w:lineRule="exact"/>
        <w:rPr>
          <w:sz w:val="20"/>
          <w:szCs w:val="20"/>
          <w:color w:val="auto"/>
        </w:rPr>
      </w:pPr>
    </w:p>
    <w:p>
      <w:pPr>
        <w:ind w:right="140" w:hanging="107"/>
        <w:spacing w:after="0" w:line="250" w:lineRule="auto"/>
        <w:rPr>
          <w:sz w:val="20"/>
          <w:szCs w:val="20"/>
          <w:color w:val="auto"/>
        </w:rPr>
      </w:pPr>
      <w:r>
        <w:rPr>
          <w:rFonts w:ascii="Times New Roman" w:cs="Times New Roman" w:eastAsia="Times New Roman" w:hAnsi="Times New Roman"/>
          <w:sz w:val="22"/>
          <w:szCs w:val="22"/>
          <w:u w:val="single" w:color="auto"/>
          <w:color w:val="auto"/>
        </w:rPr>
        <w:t>Amendment, Modification, Suspension or Termination</w:t>
      </w:r>
      <w:r>
        <w:rPr>
          <w:rFonts w:ascii="Times New Roman" w:cs="Times New Roman" w:eastAsia="Times New Roman" w:hAnsi="Times New Roman"/>
          <w:sz w:val="22"/>
          <w:szCs w:val="22"/>
          <w:color w:val="auto"/>
        </w:rPr>
        <w:t>. The Compensation Committee may amend, modify, suspend or terminate the Plan in whole or in part, except that no amendment, modification, suspension or termination shall have any retroactive effect to reduce any amounts allocated to a Participant’s Accounts. The Committee may also amend the Plan, provided that the Committee may only adopt amendments that (i) do not have a negative material financial impact on the Company; or (ii) are required by tax or legal statutes, regulations or pronouncements.</w:t>
      </w:r>
    </w:p>
    <w:p>
      <w:pPr>
        <w:spacing w:after="0" w:line="181" w:lineRule="exact"/>
        <w:rPr>
          <w:sz w:val="20"/>
          <w:szCs w:val="20"/>
          <w:color w:val="auto"/>
        </w:rPr>
      </w:pPr>
    </w:p>
    <w:p>
      <w:pPr>
        <w:ind w:right="180" w:hanging="107"/>
        <w:spacing w:after="0" w:line="257" w:lineRule="auto"/>
        <w:rPr>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Except to extent preempted by Federal law, this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73" w:lineRule="exact"/>
        <w:rPr>
          <w:sz w:val="20"/>
          <w:szCs w:val="20"/>
          <w:color w:val="auto"/>
        </w:rPr>
      </w:pPr>
    </w:p>
    <w:p>
      <w:pPr>
        <w:ind w:right="50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Receipt or Release</w:t>
      </w:r>
      <w:r>
        <w:rPr>
          <w:rFonts w:ascii="Times New Roman" w:cs="Times New Roman" w:eastAsia="Times New Roman" w:hAnsi="Times New Roman"/>
          <w:sz w:val="22"/>
          <w:szCs w:val="22"/>
          <w:color w:val="auto"/>
        </w:rPr>
        <w:t>. Any payment to a Participant or the Participant’s Beneficiary in accordance with the provisions of the Plan shall, to the extent thereof, be in full</w:t>
      </w:r>
    </w:p>
    <w:p>
      <w:pPr>
        <w:sectPr>
          <w:pgSz w:w="11900" w:h="16838" w:orient="portrait"/>
          <w:cols w:equalWidth="0" w:num="1">
            <w:col w:w="11240"/>
          </w:cols>
          <w:pgMar w:left="320" w:top="1422" w:right="339" w:bottom="1440" w:gutter="0" w:footer="0" w:header="0"/>
        </w:sectPr>
      </w:pPr>
    </w:p>
    <w:bookmarkStart w:id="235" w:name="page236"/>
    <w:bookmarkEnd w:id="235"/>
    <w:p>
      <w:pPr>
        <w:spacing w:after="0" w:line="271" w:lineRule="auto"/>
        <w:rPr>
          <w:sz w:val="20"/>
          <w:szCs w:val="20"/>
          <w:color w:val="auto"/>
        </w:rPr>
      </w:pPr>
      <w:r>
        <w:rPr>
          <w:rFonts w:ascii="Times New Roman" w:cs="Times New Roman" w:eastAsia="Times New Roman" w:hAnsi="Times New Roman"/>
          <w:sz w:val="22"/>
          <w:szCs w:val="22"/>
          <w:color w:val="auto"/>
        </w:rPr>
        <w:t>satisfaction of all claims against the Committee and the Company. The Committee may require such Participant or Beneficiary, as a condition precedent to such payment, to execute a receipt and release to such effect.</w:t>
      </w:r>
    </w:p>
    <w:p>
      <w:pPr>
        <w:spacing w:after="0" w:line="158" w:lineRule="exact"/>
        <w:rPr>
          <w:sz w:val="20"/>
          <w:szCs w:val="20"/>
          <w:color w:val="auto"/>
        </w:rPr>
      </w:pPr>
    </w:p>
    <w:p>
      <w:pPr>
        <w:ind w:right="60" w:hanging="83"/>
        <w:spacing w:after="0" w:line="252" w:lineRule="auto"/>
        <w:rPr>
          <w:sz w:val="20"/>
          <w:szCs w:val="20"/>
          <w:color w:val="auto"/>
        </w:rPr>
      </w:pPr>
      <w:r>
        <w:rPr>
          <w:rFonts w:ascii="Times New Roman" w:cs="Times New Roman" w:eastAsia="Times New Roman" w:hAnsi="Times New Roman"/>
          <w:sz w:val="22"/>
          <w:szCs w:val="22"/>
          <w:u w:val="single" w:color="auto"/>
          <w:color w:val="auto"/>
        </w:rPr>
        <w:t>imitation of Rights and Employment Relationship</w:t>
      </w:r>
      <w:r>
        <w:rPr>
          <w:rFonts w:ascii="Times New Roman" w:cs="Times New Roman" w:eastAsia="Times New Roman" w:hAnsi="Times New Roman"/>
          <w:sz w:val="22"/>
          <w:szCs w:val="22"/>
          <w:color w:val="auto"/>
        </w:rPr>
        <w:t>. Neither the establishment of the Plan nor any modification thereof, nor the creating of any fund or account, nor the payment of any benefits shall be construed as giving to any Participant, or Beneficiary or other person any legal or equitable right against the Company except as provided in the Plan; and in no event shall the terms of employment of any Employee or Participant be modified or in any way be affected by the provisions of the Plan.</w:t>
      </w:r>
    </w:p>
    <w:p>
      <w:pPr>
        <w:spacing w:after="0" w:line="179" w:lineRule="exact"/>
        <w:rPr>
          <w:sz w:val="20"/>
          <w:szCs w:val="20"/>
          <w:color w:val="auto"/>
        </w:rPr>
      </w:pPr>
    </w:p>
    <w:p>
      <w:pPr>
        <w:ind w:right="140" w:hanging="107"/>
        <w:spacing w:after="0" w:line="271" w:lineRule="auto"/>
        <w:rPr>
          <w:sz w:val="20"/>
          <w:szCs w:val="20"/>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and subheadings in this Plan are inserted for convenience of reference only and are not to be considered in the construction of the provisions hereof.</w:t>
      </w:r>
    </w:p>
    <w:p>
      <w:pPr>
        <w:spacing w:after="0" w:line="158" w:lineRule="exact"/>
        <w:rPr>
          <w:sz w:val="20"/>
          <w:szCs w:val="20"/>
          <w:color w:val="auto"/>
        </w:rPr>
      </w:pPr>
    </w:p>
    <w:p>
      <w:pPr>
        <w:ind w:right="80" w:hanging="95"/>
        <w:spacing w:after="0" w:line="247" w:lineRule="auto"/>
        <w:rPr>
          <w:sz w:val="20"/>
          <w:szCs w:val="20"/>
          <w:color w:val="auto"/>
        </w:rPr>
      </w:pPr>
      <w:r>
        <w:rPr>
          <w:rFonts w:ascii="Times New Roman" w:cs="Times New Roman" w:eastAsia="Times New Roman" w:hAnsi="Times New Roman"/>
          <w:sz w:val="22"/>
          <w:szCs w:val="22"/>
          <w:u w:val="single" w:color="auto"/>
          <w:color w:val="auto"/>
        </w:rPr>
        <w:t>ection 409A</w:t>
      </w:r>
      <w:r>
        <w:rPr>
          <w:rFonts w:ascii="Times New Roman" w:cs="Times New Roman" w:eastAsia="Times New Roman" w:hAnsi="Times New Roman"/>
          <w:sz w:val="22"/>
          <w:szCs w:val="22"/>
          <w:color w:val="auto"/>
        </w:rPr>
        <w:t>. All provisions of the Plan shall be construed and interpreted in a manner consistent with the requirements for avoiding taxes or penalties under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If the Committee determines that any amounts payable hereunder may be taxable to a Participant under Section 409A, the Company may (i) adopt such amendments to the Plan and appropriate policies and procedures, including amendments and policies with retroactive effect, that the Committee determines necessary or appropriate to preserve the intended tax treatment of the benefits provided by the Plan and/or (ii) take such other actions as the Committee determines necessary or appropriate to avoid or limit the imposition of an additional tax under Section 409A; provided, that the Company shall have no liability to a Participant or Beneficiary with respect to the tax imposed by Section 409A.</w:t>
      </w:r>
    </w:p>
    <w:p>
      <w:pPr>
        <w:spacing w:after="0" w:line="18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2"/>
          <w:szCs w:val="22"/>
          <w:color w:val="auto"/>
        </w:rPr>
        <w:t>This Plan has been adopted and approved by the Compensation Committee of Virtu Financial, Inc.’s Board of Directors as of November 13, 2020.</w:t>
      </w:r>
    </w:p>
    <w:p>
      <w:pPr>
        <w:sectPr>
          <w:pgSz w:w="11900" w:h="16838" w:orient="portrait"/>
          <w:cols w:equalWidth="0" w:num="1">
            <w:col w:w="11240"/>
          </w:cols>
          <w:pgMar w:left="320" w:top="1422" w:right="339" w:bottom="1440" w:gutter="0" w:footer="0" w:header="0"/>
        </w:sectPr>
      </w:pPr>
    </w:p>
    <w:bookmarkStart w:id="236" w:name="page237"/>
    <w:bookmarkEnd w:id="236"/>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Virtu Financial, Inc.</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Election Notice for the [__] Plan Year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Election Notice must be completed and returned to the Committee by no later than December 31, [______] (the</w:t>
      </w:r>
    </w:p>
    <w:p>
      <w:pPr>
        <w:spacing w:after="0" w:line="2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Election Deadline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you are a newly Eligible Employee, as determined by the Committee, the Election Deadline is the 30th day after you become an Eligible Employee. Your election becomes irrevocable as of the Election Deadline.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22"/>
          <w:szCs w:val="22"/>
          <w:color w:val="auto"/>
        </w:rPr>
        <w:t>Pursuant to the terms of the Virtu Financial, Inc. Deferred Compensation Plan (the “</w:t>
      </w:r>
      <w:r>
        <w:rPr>
          <w:rFonts w:ascii="Times New Roman" w:cs="Times New Roman" w:eastAsia="Times New Roman" w:hAnsi="Times New Roman"/>
          <w:sz w:val="22"/>
          <w:szCs w:val="22"/>
          <w:b w:val="1"/>
          <w:bCs w:val="1"/>
          <w:u w:val="single" w:color="auto"/>
          <w:color w:val="auto"/>
        </w:rPr>
        <w:t>DCP</w:t>
      </w:r>
      <w:r>
        <w:rPr>
          <w:rFonts w:ascii="Times New Roman" w:cs="Times New Roman" w:eastAsia="Times New Roman" w:hAnsi="Times New Roman"/>
          <w:sz w:val="22"/>
          <w:szCs w:val="22"/>
          <w:color w:val="auto"/>
        </w:rPr>
        <w:t>”), I hereby elect to defer certain of my compensation for the [______] Plan Year in accordance with this election. Capitalized terms used but not defined herein have the meanings set forth in the DCP.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Awards Deferral Election</w:t>
      </w:r>
    </w:p>
    <w:p>
      <w:pPr>
        <w:spacing w:after="0" w:line="237"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22"/>
          <w:szCs w:val="22"/>
          <w:color w:val="auto"/>
        </w:rPr>
        <w:t>Pursuant to Article III of the DCP, I hereby elect to defer (select either a percentage or number of shares of Equity Awards):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percent (_____%); or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shares of Equity Awards awarded, if any, for the [_____] Plan Year in accordance with this election.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Award Deferral Election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Article III of the DCP, I hereby elect to defer: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percent (_____%) of my Cash Award, if any, for the [_____] Plan Year in accordance with this election.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Date Election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hereby elect the following Distribution Date with respect to deferrals made hereunder: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on the earliest of an In-Service Distribution Date of calendar year _____, a Change in Control or a Separation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Service Distribution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on the earlier of an In-Service Distribution Date of calendar year _____ or a Separation from Service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Distribution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on the earlier of a Change in Control Distribution Date or a Separation from Service Distribution Date; or</w:t>
      </w:r>
    </w:p>
    <w:p>
      <w:pPr>
        <w:sectPr>
          <w:pgSz w:w="11900" w:h="16838" w:orient="portrait"/>
          <w:cols w:equalWidth="0" w:num="1">
            <w:col w:w="11180"/>
          </w:cols>
          <w:pgMar w:left="320" w:top="1391" w:right="39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22"/>
          <w:szCs w:val="22"/>
          <w:color w:val="auto"/>
        </w:rPr>
        <w:t>_____ % on the Separation from Service Distribution Date.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Other Payment Events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above Distribution Date election, if any of the following Payment Events occurs prior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Distribution Date, payment shall be made in accordance with Article VI of the DCP:</w:t>
      </w:r>
    </w:p>
    <w:p>
      <w:pPr>
        <w:spacing w:after="0" w:line="221"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Separation from Service.</w:t>
      </w:r>
    </w:p>
    <w:p>
      <w:pPr>
        <w:spacing w:after="0" w:line="2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death.</w:t>
      </w:r>
    </w:p>
    <w:p>
      <w:pPr>
        <w:spacing w:after="0" w:line="1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 Disability.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of Payment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When amounts deferred hereunder are due, the payment shall be made as follows: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 in a lump sum payment; or</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_____</w:t>
      </w:r>
      <w:r>
        <w:rPr>
          <w:sz w:val="20"/>
          <w:szCs w:val="20"/>
          <w:color w:val="auto"/>
        </w:rPr>
        <w:tab/>
      </w:r>
      <w:r>
        <w:rPr>
          <w:rFonts w:ascii="Times New Roman" w:cs="Times New Roman" w:eastAsia="Times New Roman" w:hAnsi="Times New Roman"/>
          <w:sz w:val="21"/>
          <w:szCs w:val="21"/>
          <w:color w:val="auto"/>
        </w:rPr>
        <w:t>in ____ annual installments (not to exceed fifteen years).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409A of the Code</w:t>
      </w:r>
    </w:p>
    <w:p>
      <w:pPr>
        <w:spacing w:after="0" w:line="23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22"/>
          <w:szCs w:val="22"/>
          <w:color w:val="auto"/>
        </w:rPr>
        <w:t>I understand that the DCP is intended to comply with Section 409A of the Code and that it will be interpreted accordingly. However, I also understand that the Company will have no liability with respect to any failure to comply with Section 409A of the Code.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Subsequent Plan Years</w:t>
      </w:r>
    </w:p>
    <w:p>
      <w:pPr>
        <w:spacing w:after="0" w:line="237"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21"/>
          <w:szCs w:val="21"/>
          <w:color w:val="auto"/>
        </w:rPr>
        <w:t>I understand that this Deferral Election applies only with respect to compensation earned for services performed during the [______] Plan Year. I hereby acknowledge that if I wish to defer any of my compensation with respect to future Plan Years, I</w:t>
      </w:r>
    </w:p>
    <w:p>
      <w:pPr>
        <w:spacing w:after="0" w:line="1"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22"/>
          <w:szCs w:val="22"/>
          <w:color w:val="auto"/>
        </w:rPr>
        <w:t>will need to make a new Deferral Election by completing another Election Notice and submitting it to the Committee on or before the Election Deadline for such Plan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executing this Election Notice I acknowledge that:</w:t>
      </w:r>
    </w:p>
    <w:p>
      <w:pPr>
        <w:spacing w:after="0" w:line="233" w:lineRule="exact"/>
        <w:rPr>
          <w:sz w:val="20"/>
          <w:szCs w:val="20"/>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terms of the DCP and agree to all of its terms and conditions.</w:t>
      </w:r>
    </w:p>
    <w:p>
      <w:pPr>
        <w:spacing w:after="0" w:line="233" w:lineRule="exact"/>
        <w:rPr>
          <w:rFonts w:ascii="Times New Roman" w:cs="Times New Roman" w:eastAsia="Times New Roman" w:hAnsi="Times New Roman"/>
          <w:sz w:val="22"/>
          <w:szCs w:val="22"/>
          <w:color w:val="auto"/>
        </w:rPr>
      </w:pPr>
    </w:p>
    <w:p>
      <w:pPr>
        <w:ind w:left="1300" w:right="560" w:hanging="644"/>
        <w:spacing w:after="0" w:line="284" w:lineRule="auto"/>
        <w:tabs>
          <w:tab w:leader="none" w:pos="1295"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any amounts I defer hereunder are unfunded and unsecured and subject to the claims of the Company’s creditors in the event of the Company’s insolvency.</w:t>
      </w:r>
    </w:p>
    <w:p>
      <w:pPr>
        <w:sectPr>
          <w:pgSz w:w="11900" w:h="16838" w:orient="portrait"/>
          <w:cols w:equalWidth="0" w:num="1">
            <w:col w:w="11220"/>
          </w:cols>
          <w:pgMar w:left="320" w:top="1422" w:right="359" w:bottom="1440" w:gutter="0" w:footer="0" w:header="0"/>
        </w:sectPr>
      </w:pPr>
    </w:p>
    <w:bookmarkStart w:id="238" w:name="page239"/>
    <w:bookmarkEnd w:id="238"/>
    <w:p>
      <w:pPr>
        <w:ind w:left="1280" w:hanging="644"/>
        <w:spacing w:after="0" w:line="284" w:lineRule="auto"/>
        <w:tabs>
          <w:tab w:leader="none" w:pos="127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consulted with my own advisors regarding the consequences of participating in the DCP and making this election, including, without limitation, the tax consequences and investments risks associated therewith.</w:t>
      </w:r>
    </w:p>
    <w:p>
      <w:pPr>
        <w:spacing w:after="0" w:line="157" w:lineRule="exact"/>
        <w:rPr>
          <w:rFonts w:ascii="Times New Roman" w:cs="Times New Roman" w:eastAsia="Times New Roman" w:hAnsi="Times New Roman"/>
          <w:sz w:val="22"/>
          <w:szCs w:val="22"/>
          <w:color w:val="auto"/>
        </w:rPr>
      </w:pPr>
    </w:p>
    <w:p>
      <w:pPr>
        <w:ind w:left="1280" w:right="60" w:hanging="644"/>
        <w:spacing w:after="0" w:line="270" w:lineRule="auto"/>
        <w:tabs>
          <w:tab w:leader="none" w:pos="127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not relied upon the Company or any of its affiliates, or any representative, officer, director, member, shareholder, manager, human resources representative, employee, agent, contractor or attorneys thereof for any advice of any sort, regarding my decision to defer compensation under the DCP.</w:t>
      </w:r>
    </w:p>
    <w:p>
      <w:pPr>
        <w:spacing w:after="0" w:line="172"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 I hereby make this election as of this ____ day of ________________, ______.</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Participant’s Signature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Participant’s Name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Copy received this _____ day of ____________, 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Member]</w:t>
      </w:r>
    </w:p>
    <w:p>
      <w:pPr>
        <w:sectPr>
          <w:pgSz w:w="11900" w:h="16838" w:orient="portrait"/>
          <w:cols w:equalWidth="0" w:num="1">
            <w:col w:w="10940"/>
          </w:cols>
          <w:pgMar w:left="340" w:top="1422" w:right="6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Virtu Financial, Inc.</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are subsidiaries of Virtu Financial, Inc. as of December 31, 2020 and the jurisdictions in which they are organized. The names of particular subsidiaries have been omitted because, considered in the aggregate as a single subsidiary, they would not constitute, as of December 31, 2020, a "significant subsidiary" as that term is defined in Rule 1-02(w) of regulation S-X under the Securities Exchange Act of 1934.</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920" w:type="dxa"/>
            <w:vAlign w:val="bottom"/>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 Financial LLC</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VFH Parent LLC</w:t>
            </w:r>
          </w:p>
        </w:tc>
        <w:tc>
          <w:tcPr>
            <w:tcW w:w="592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 Financial Operating LLC</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 KCG Holdings LLC</w:t>
            </w:r>
          </w:p>
        </w:tc>
        <w:tc>
          <w:tcPr>
            <w:tcW w:w="592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 Knight Capital Group LLC</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Virtu Strategic Holdings LLC</w:t>
            </w:r>
          </w:p>
        </w:tc>
        <w:tc>
          <w:tcPr>
            <w:tcW w:w="5920" w:type="dxa"/>
            <w:vAlign w:val="bottom"/>
            <w:shd w:val="clear" w:color="auto" w:fill="CCEEFF"/>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 Americas LLC</w:t>
            </w:r>
          </w:p>
        </w:tc>
        <w:tc>
          <w:tcPr>
            <w:tcW w:w="59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1089"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333-213157), Form S-3ASR (No. 333-224683), and Forms S-8 (Nos. 333-203478, 333-219110 and 333-230012) of Virtu Financial, Inc. of our report dated February 25,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240"/>
          </w:cols>
          <w:pgMar w:left="320" w:top="142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A. Cifu, certify that:</w:t>
      </w:r>
    </w:p>
    <w:p>
      <w:pPr>
        <w:spacing w:after="0" w:line="252" w:lineRule="exact"/>
        <w:rPr>
          <w:sz w:val="20"/>
          <w:szCs w:val="20"/>
          <w:color w:val="auto"/>
        </w:rPr>
      </w:pPr>
    </w:p>
    <w:p>
      <w:pPr>
        <w:ind w:left="660" w:right="40" w:hanging="328"/>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2020 of Virtu Financial, Inc. (the “registrant”) as filed with the Securities and Exchange Commission on the date hereof;</w:t>
      </w:r>
    </w:p>
    <w:p>
      <w:pPr>
        <w:spacing w:after="0" w:line="18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73" w:lineRule="auto"/>
        <w:tabs>
          <w:tab w:leader="none" w:pos="113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5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A. Cifu</w:t>
            </w:r>
          </w:p>
        </w:tc>
      </w:tr>
      <w:tr>
        <w:trPr>
          <w:trHeight w:val="218"/>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A. Cifu</w:t>
            </w:r>
          </w:p>
        </w:tc>
      </w:tr>
      <w:tr>
        <w:trPr>
          <w:trHeight w:val="234"/>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CFO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Galvin, certify that:</w:t>
      </w:r>
    </w:p>
    <w:p>
      <w:pPr>
        <w:spacing w:after="0" w:line="225" w:lineRule="exact"/>
        <w:rPr>
          <w:sz w:val="20"/>
          <w:szCs w:val="20"/>
          <w:color w:val="auto"/>
        </w:rPr>
      </w:pPr>
    </w:p>
    <w:p>
      <w:pPr>
        <w:ind w:left="660" w:right="4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2020 of Virtu Financial, Inc. (the “registrant”) as filed with the Securities and Exchange Commission on the date hereof;</w:t>
      </w:r>
    </w:p>
    <w:p>
      <w:pPr>
        <w:spacing w:after="0" w:line="18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73" w:lineRule="auto"/>
        <w:tabs>
          <w:tab w:leader="none" w:pos="113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P. Galvin</w:t>
            </w:r>
          </w:p>
        </w:tc>
      </w:tr>
      <w:tr>
        <w:trPr>
          <w:trHeight w:val="218"/>
        </w:trPr>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Galvin</w:t>
            </w:r>
          </w:p>
        </w:tc>
      </w:tr>
      <w:tr>
        <w:trPr>
          <w:trHeight w:val="234"/>
        </w:trPr>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Virtu Financial, Inc. (the “Company”) for the period ended December 31, 2020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203" w:lineRule="exact"/>
        <w:rPr>
          <w:sz w:val="20"/>
          <w:szCs w:val="20"/>
          <w:color w:val="auto"/>
        </w:rPr>
      </w:pPr>
    </w:p>
    <w:p>
      <w:pPr>
        <w:ind w:left="1320" w:hanging="178"/>
        <w:spacing w:after="0"/>
        <w:tabs>
          <w:tab w:leader="none" w:pos="13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260" w:firstLine="2"/>
        <w:spacing w:after="0" w:line="282" w:lineRule="auto"/>
        <w:tabs>
          <w:tab w:leader="none" w:pos="131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715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Douglas A. Cifu</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Date: February 25, 2021</w:t>
      </w:r>
    </w:p>
    <w:p>
      <w:pPr>
        <w:sectPr>
          <w:pgSz w:w="11900" w:h="16838" w:orient="portrait"/>
          <w:cols w:equalWidth="0" w:num="1">
            <w:col w:w="11240"/>
          </w:cols>
          <w:pgMar w:left="320" w:top="887"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Virtu Financial, Inc. (the “Company”) for the period ended December 31, 2020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76" w:lineRule="exact"/>
        <w:rPr>
          <w:sz w:val="20"/>
          <w:szCs w:val="20"/>
          <w:color w:val="auto"/>
        </w:rPr>
      </w:pPr>
    </w:p>
    <w:p>
      <w:pPr>
        <w:ind w:left="1320" w:hanging="178"/>
        <w:spacing w:after="0"/>
        <w:tabs>
          <w:tab w:leader="none" w:pos="1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260" w:firstLine="2"/>
        <w:spacing w:after="0" w:line="282" w:lineRule="auto"/>
        <w:tabs>
          <w:tab w:leader="none" w:pos="1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489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Sean Galvin</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 February 25,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lvl w:ilvl="1">
      <w:lvlJc w:val="left"/>
      <w:lvlText w:val="◦"/>
      <w:numFmt w:val="bullet"/>
      <w:start w:val="1"/>
    </w:lvl>
  </w:abstractNum>
  <w:abstractNum w:abstractNumId="5">
    <w:nsid w:val="100F59DC"/>
    <w:multiLevelType w:val="hybridMultilevel"/>
    <w:lvl w:ilvl="0">
      <w:lvlJc w:val="left"/>
      <w:lvlText w:val="•"/>
      <w:numFmt w:val="bullet"/>
      <w:start w:val="1"/>
    </w:lvl>
    <w:lvl w:ilvl="1">
      <w:lvlJc w:val="left"/>
      <w:lvlText w:val="◦"/>
      <w:numFmt w:val="bullet"/>
      <w:start w:val="1"/>
    </w:lvl>
  </w:abstractNum>
  <w:abstractNum w:abstractNumId="6">
    <w:nsid w:val="7FB7E0AA"/>
    <w:multiLevelType w:val="hybridMultilevel"/>
    <w:lvl w:ilvl="0">
      <w:lvlJc w:val="left"/>
      <w:lvlText w:val="•"/>
      <w:numFmt w:val="bullet"/>
      <w:start w:val="1"/>
    </w:lvl>
    <w:lvl w:ilvl="1">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1)"/>
      <w:numFmt w:val="lowerRoman"/>
      <w:start w:val="3"/>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1)"/>
      <w:numFmt w:val="lowerLetter"/>
      <w:start w:val="4"/>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1)"/>
      <w:numFmt w:val="decimal"/>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1"/>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lowerRoman"/>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1)"/>
      <w:numFmt w:val="decimal"/>
      <w:start w:val="1"/>
    </w:lvl>
  </w:abstractNum>
  <w:abstractNum w:abstractNumId="38">
    <w:nsid w:val="7D5E18F8"/>
    <w:multiLevelType w:val="hybridMultilevel"/>
    <w:lvl w:ilvl="0">
      <w:lvlJc w:val="left"/>
      <w:lvlText w:val="%1)"/>
      <w:numFmt w:val="decimal"/>
      <w:start w:val="3"/>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decimal"/>
      <w:start w:val="1"/>
    </w:lvl>
  </w:abstractNum>
  <w:abstractNum w:abstractNumId="43">
    <w:nsid w:val="3FA62ACA"/>
    <w:multiLevelType w:val="hybridMultilevel"/>
    <w:lvl w:ilvl="0">
      <w:lvlJc w:val="left"/>
      <w:lvlText w:val="(%1)"/>
      <w:numFmt w:val="lowerRoman"/>
      <w:start w:val="1"/>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1."/>
      <w:numFmt w:val="decimal"/>
      <w:start w:val="1"/>
    </w:lvl>
    <w:lvl w:ilvl="1">
      <w:lvlJc w:val="left"/>
      <w:lvlText w:val="(%2)"/>
      <w:numFmt w:val="lowerLetter"/>
      <w:start w:val="1"/>
    </w:lvl>
  </w:abstractNum>
  <w:abstractNum w:abstractNumId="47">
    <w:nsid w:val="9DAF632"/>
    <w:multiLevelType w:val="hybridMultilevel"/>
    <w:lvl w:ilvl="0">
      <w:lvlJc w:val="left"/>
      <w:lvlText w:val="%1"/>
      <w:numFmt w:val="decimal"/>
      <w:start w:val="1"/>
    </w:lvl>
    <w:lvl w:ilvl="1">
      <w:lvlJc w:val="left"/>
      <w:lvlText w:val="(%2)"/>
      <w:numFmt w:val="lowerLetter"/>
      <w:start w:val="3"/>
    </w:lvl>
  </w:abstractNum>
  <w:abstractNum w:abstractNumId="48">
    <w:nsid w:val="53299938"/>
    <w:multiLevelType w:val="hybridMultilevel"/>
    <w:lvl w:ilvl="0">
      <w:lvlJc w:val="left"/>
      <w:lvlText w:val="%1."/>
      <w:numFmt w:val="decimal"/>
      <w:start w:val="3"/>
    </w:lvl>
    <w:lvl w:ilvl="1">
      <w:lvlJc w:val="left"/>
      <w:lvlText w:val="(%2)"/>
      <w:numFmt w:val="lowerLetter"/>
      <w:start w:val="1"/>
    </w:lvl>
  </w:abstractNum>
  <w:abstractNum w:abstractNumId="49">
    <w:nsid w:val="1FBFE8E0"/>
    <w:multiLevelType w:val="hybridMultilevel"/>
    <w:lvl w:ilvl="0">
      <w:lvlJc w:val="left"/>
      <w:lvlText w:val="%1"/>
      <w:numFmt w:val="decimal"/>
      <w:start w:val="1"/>
    </w:lvl>
    <w:lvl w:ilvl="1">
      <w:lvlJc w:val="left"/>
      <w:lvlText w:val="(%2)"/>
      <w:numFmt w:val="lowerLetter"/>
      <w:start w:val="2"/>
    </w:lvl>
  </w:abstractNum>
  <w:abstractNum w:abstractNumId="50">
    <w:nsid w:val="5092CA79"/>
    <w:multiLevelType w:val="hybridMultilevel"/>
    <w:lvl w:ilvl="0">
      <w:lvlJc w:val="left"/>
      <w:lvlText w:val="%1."/>
      <w:numFmt w:val="decimal"/>
      <w:start w:val="7"/>
    </w:lvl>
    <w:lvl w:ilvl="1">
      <w:lvlJc w:val="left"/>
      <w:lvlText w:val="(%2)"/>
      <w:numFmt w:val="lowerLetter"/>
      <w:start w:val="1"/>
    </w:lvl>
  </w:abstractNum>
  <w:abstractNum w:abstractNumId="51">
    <w:nsid w:val="1D545C4D"/>
    <w:multiLevelType w:val="hybridMultilevel"/>
    <w:lvl w:ilvl="0">
      <w:lvlJc w:val="left"/>
      <w:lvlText w:val="%1"/>
      <w:numFmt w:val="lowerLetter"/>
      <w:start w:val="1"/>
    </w:lvl>
    <w:lvl w:ilvl="1">
      <w:lvlJc w:val="left"/>
      <w:lvlText w:val="(%2)"/>
      <w:numFmt w:val="lowerLetter"/>
      <w:start w:val="2"/>
    </w:lvl>
  </w:abstractNum>
  <w:abstractNum w:abstractNumId="52">
    <w:nsid w:val="59ADEA3D"/>
    <w:multiLevelType w:val="hybridMultilevel"/>
    <w:lvl w:ilvl="0">
      <w:lvlJc w:val="left"/>
      <w:lvlText w:val="(%1)"/>
      <w:numFmt w:val="lowerLetter"/>
      <w:start w:val="35"/>
    </w:lvl>
    <w:lvl w:ilvl="1">
      <w:lvlJc w:val="left"/>
      <w:lvlText w:val="(%2)"/>
      <w:numFmt w:val="lowerLetter"/>
      <w:start w:val="4"/>
    </w:lvl>
  </w:abstractNum>
  <w:abstractNum w:abstractNumId="53">
    <w:nsid w:val="288F1A34"/>
    <w:multiLevelType w:val="hybridMultilevel"/>
    <w:lvl w:ilvl="0">
      <w:lvlJc w:val="left"/>
      <w:lvlText w:val="(%1)"/>
      <w:numFmt w:val="lowerLetter"/>
      <w:start w:val="7"/>
    </w:lvl>
    <w:lvl w:ilvl="1">
      <w:lvlJc w:val="left"/>
      <w:lvlText w:val="(%2)"/>
      <w:numFmt w:val="lowerRoman"/>
      <w:start w:val="1"/>
    </w:lvl>
  </w:abstractNum>
  <w:abstractNum w:abstractNumId="54">
    <w:nsid w:val="2A155DBC"/>
    <w:multiLevelType w:val="hybridMultilevel"/>
    <w:lvl w:ilvl="0">
      <w:lvlJc w:val="left"/>
      <w:lvlText w:val="(%1)"/>
      <w:numFmt w:val="lowerLetter"/>
      <w:start w:val="13"/>
    </w:lvl>
  </w:abstractNum>
  <w:abstractNum w:abstractNumId="55">
    <w:nsid w:val="1D9F6E5F"/>
    <w:multiLevelType w:val="hybridMultilevel"/>
    <w:lvl w:ilvl="0">
      <w:lvlJc w:val="left"/>
      <w:lvlText w:val="%1."/>
      <w:numFmt w:val="decimal"/>
      <w:start w:val="1"/>
    </w:lvl>
  </w:abstractNum>
  <w:abstractNum w:abstractNumId="56">
    <w:nsid w:val="97E1B4E"/>
    <w:multiLevelType w:val="hybridMultilevel"/>
    <w:lvl w:ilvl="0">
      <w:lvlJc w:val="left"/>
      <w:lvlText w:val="%1."/>
      <w:numFmt w:val="decimal"/>
      <w:start w:val="1"/>
    </w:lvl>
    <w:lvl w:ilvl="1">
      <w:lvlJc w:val="left"/>
      <w:lvlText w:val="(%2)"/>
      <w:numFmt w:val="lowerLetter"/>
      <w:start w:val="1"/>
    </w:lvl>
  </w:abstractNum>
  <w:abstractNum w:abstractNumId="57">
    <w:nsid w:val="5108827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8">
    <w:nsid w:val="1CA0C5F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7"/>
    </w:lvl>
  </w:abstractNum>
  <w:abstractNum w:abstractNumId="61">
    <w:nsid w:val="7C58FD05"/>
    <w:multiLevelType w:val="hybridMultilevel"/>
    <w:lvl w:ilvl="0">
      <w:lvlJc w:val="left"/>
      <w:lvlText w:val="%1."/>
      <w:numFmt w:val="decimal"/>
      <w:start w:val="1"/>
    </w:lvl>
    <w:lvl w:ilvl="1">
      <w:lvlJc w:val="left"/>
      <w:lvlText w:val="(%2)"/>
      <w:numFmt w:val="lowerLetter"/>
      <w:start w:val="1"/>
    </w:lvl>
  </w:abstractNum>
  <w:abstractNum w:abstractNumId="62">
    <w:nsid w:val="23D86AAC"/>
    <w:multiLevelType w:val="hybridMultilevel"/>
    <w:lvl w:ilvl="0">
      <w:lvlJc w:val="left"/>
      <w:lvlText w:val="%1."/>
      <w:numFmt w:val="decimal"/>
      <w:start w:val="3"/>
    </w:lvl>
  </w:abstractNum>
  <w:abstractNum w:abstractNumId="63">
    <w:nsid w:val="45E6D486"/>
    <w:multiLevelType w:val="hybridMultilevel"/>
    <w:lvl w:ilvl="0">
      <w:lvlJc w:val="left"/>
      <w:lvlText w:val="%1."/>
      <w:numFmt w:val="decimal"/>
      <w:start w:val="6"/>
    </w:lvl>
    <w:lvl w:ilvl="1">
      <w:lvlJc w:val="left"/>
      <w:lvlText w:val="(%2)"/>
      <w:numFmt w:val="lowerLetter"/>
      <w:start w:val="1"/>
    </w:lvl>
  </w:abstractNum>
  <w:abstractNum w:abstractNumId="64">
    <w:nsid w:val="5C10FE21"/>
    <w:multiLevelType w:val="hybridMultilevel"/>
    <w:lvl w:ilvl="0">
      <w:lvlJc w:val="left"/>
      <w:lvlText w:val="%1"/>
      <w:numFmt w:val="decimal"/>
      <w:start w:val="1"/>
    </w:lvl>
    <w:lvl w:ilvl="1">
      <w:lvlJc w:val="left"/>
      <w:lvlText w:val="(%2)"/>
      <w:numFmt w:val="lowerLetter"/>
      <w:start w:val="2"/>
    </w:lvl>
  </w:abstractNum>
  <w:abstractNum w:abstractNumId="65">
    <w:nsid w:val="E7FFA2B"/>
    <w:multiLevelType w:val="hybridMultilevel"/>
    <w:lvl w:ilvl="0">
      <w:lvlJc w:val="left"/>
      <w:lvlText w:val="%1."/>
      <w:numFmt w:val="decimal"/>
      <w:start w:val="9"/>
    </w:lvl>
    <w:lvl w:ilvl="1">
      <w:lvlJc w:val="left"/>
      <w:lvlText w:val="(%2)"/>
      <w:numFmt w:val="lowerLetter"/>
      <w:start w:val="1"/>
    </w:lvl>
  </w:abstractNum>
  <w:abstractNum w:abstractNumId="66">
    <w:nsid w:val="3C5991AA"/>
    <w:multiLevelType w:val="hybridMultilevel"/>
    <w:lvl w:ilvl="0">
      <w:lvlJc w:val="left"/>
      <w:lvlText w:val="(%1)"/>
      <w:numFmt w:val="lowerLetter"/>
      <w:start w:val="9"/>
    </w:lvl>
    <w:lvl w:ilvl="1">
      <w:lvlJc w:val="left"/>
      <w:lvlText w:val="(%2)"/>
      <w:numFmt w:val="lowerRoman"/>
      <w:start w:val="1"/>
    </w:lvl>
  </w:abstractNum>
  <w:abstractNum w:abstractNumId="67">
    <w:nsid w:val="4BD8591A"/>
    <w:multiLevelType w:val="hybridMultilevel"/>
    <w:lvl w:ilvl="0">
      <w:lvlJc w:val="left"/>
      <w:lvlText w:val="(%1)"/>
      <w:numFmt w:val="lowerLetter"/>
      <w:start w:val="14"/>
    </w:lvl>
  </w:abstractNum>
  <w:abstractNum w:abstractNumId="68">
    <w:nsid w:val="78DF6A55"/>
    <w:multiLevelType w:val="hybridMultilevel"/>
    <w:lvl w:ilvl="0">
      <w:lvlJc w:val="left"/>
      <w:lvlText w:val="%1."/>
      <w:numFmt w:val="decimal"/>
      <w:start w:val="1"/>
    </w:lvl>
    <w:lvl w:ilvl="1">
      <w:lvlJc w:val="left"/>
      <w:lvlText w:val="(%2)"/>
      <w:numFmt w:val="lowerLetter"/>
      <w:start w:val="1"/>
    </w:lvl>
  </w:abstractNum>
  <w:abstractNum w:abstractNumId="69">
    <w:nsid w:val="39B7AAA2"/>
    <w:multiLevelType w:val="hybridMultilevel"/>
    <w:lvl w:ilvl="0">
      <w:lvlJc w:val="left"/>
      <w:lvlText w:val="%1"/>
      <w:numFmt w:val="decimal"/>
      <w:start w:val="1"/>
    </w:lvl>
    <w:lvl w:ilvl="1">
      <w:lvlJc w:val="left"/>
      <w:lvlText w:val="(%2)"/>
      <w:numFmt w:val="lowerLetter"/>
      <w:start w:val="3"/>
    </w:lvl>
  </w:abstractNum>
  <w:abstractNum w:abstractNumId="70">
    <w:nsid w:val="2B0D8DBE"/>
    <w:multiLevelType w:val="hybridMultilevel"/>
    <w:lvl w:ilvl="0">
      <w:lvlJc w:val="left"/>
      <w:lvlText w:val="%1."/>
      <w:numFmt w:val="decimal"/>
      <w:start w:val="3"/>
    </w:lvl>
    <w:lvl w:ilvl="1">
      <w:lvlJc w:val="left"/>
      <w:lvlText w:val="(%2)"/>
      <w:numFmt w:val="lowerLetter"/>
      <w:start w:val="1"/>
    </w:lvl>
  </w:abstractNum>
  <w:abstractNum w:abstractNumId="71">
    <w:nsid w:val="6C80EC70"/>
    <w:multiLevelType w:val="hybridMultilevel"/>
    <w:lvl w:ilvl="0">
      <w:lvlJc w:val="left"/>
      <w:lvlText w:val="%1"/>
      <w:numFmt w:val="decimal"/>
      <w:start w:val="1"/>
    </w:lvl>
    <w:lvl w:ilvl="1">
      <w:lvlJc w:val="left"/>
      <w:lvlText w:val="(%2)"/>
      <w:numFmt w:val="lowerLetter"/>
      <w:start w:val="2"/>
    </w:lvl>
  </w:abstractNum>
  <w:abstractNum w:abstractNumId="72">
    <w:nsid w:val="379E21B5"/>
    <w:multiLevelType w:val="hybridMultilevel"/>
    <w:lvl w:ilvl="0">
      <w:lvlJc w:val="left"/>
      <w:lvlText w:val="%1."/>
      <w:numFmt w:val="decimal"/>
      <w:start w:val="7"/>
    </w:lvl>
    <w:lvl w:ilvl="1">
      <w:lvlJc w:val="left"/>
      <w:lvlText w:val="(%2)"/>
      <w:numFmt w:val="lowerLetter"/>
      <w:start w:val="1"/>
    </w:lvl>
  </w:abstractNum>
  <w:abstractNum w:abstractNumId="73">
    <w:nsid w:val="69E373"/>
    <w:multiLevelType w:val="hybridMultilevel"/>
    <w:lvl w:ilvl="0">
      <w:lvlJc w:val="left"/>
      <w:lvlText w:val="%1"/>
      <w:numFmt w:val="lowerLetter"/>
      <w:start w:val="1"/>
    </w:lvl>
    <w:lvl w:ilvl="1">
      <w:lvlJc w:val="left"/>
      <w:lvlText w:val="(%2)"/>
      <w:numFmt w:val="lowerLetter"/>
      <w:start w:val="2"/>
    </w:lvl>
  </w:abstractNum>
  <w:abstractNum w:abstractNumId="74">
    <w:nsid w:val="2C27173B"/>
    <w:multiLevelType w:val="hybridMultilevel"/>
    <w:lvl w:ilvl="0">
      <w:lvlJc w:val="left"/>
      <w:lvlText w:val="(%1)"/>
      <w:numFmt w:val="lowerLetter"/>
      <w:start w:val="35"/>
    </w:lvl>
    <w:lvl w:ilvl="1">
      <w:lvlJc w:val="left"/>
      <w:lvlText w:val="(%2)"/>
      <w:numFmt w:val="lowerLetter"/>
      <w:start w:val="4"/>
    </w:lvl>
  </w:abstractNum>
  <w:abstractNum w:abstractNumId="75">
    <w:nsid w:val="4C9B0904"/>
    <w:multiLevelType w:val="hybridMultilevel"/>
    <w:lvl w:ilvl="0">
      <w:lvlJc w:val="left"/>
      <w:lvlText w:val="(%1)"/>
      <w:numFmt w:val="lowerLetter"/>
      <w:start w:val="7"/>
    </w:lvl>
    <w:lvl w:ilvl="1">
      <w:lvlJc w:val="left"/>
      <w:lvlText w:val="(%2)"/>
      <w:numFmt w:val="lowerRoman"/>
      <w:start w:val="1"/>
    </w:lvl>
  </w:abstractNum>
  <w:abstractNum w:abstractNumId="76">
    <w:nsid w:val="6AA7B75C"/>
    <w:multiLevelType w:val="hybridMultilevel"/>
    <w:lvl w:ilvl="0">
      <w:lvlJc w:val="left"/>
      <w:lvlText w:val="(%1)"/>
      <w:numFmt w:val="lowerLetter"/>
      <w:start w:val="13"/>
    </w:lvl>
  </w:abstractNum>
  <w:abstractNum w:abstractNumId="77">
    <w:nsid w:val="1DF029D3"/>
    <w:multiLevelType w:val="hybridMultilevel"/>
    <w:lvl w:ilvl="0">
      <w:lvlJc w:val="left"/>
      <w:lvlText w:val="%1."/>
      <w:numFmt w:val="decimal"/>
      <w:start w:val="1"/>
    </w:lvl>
    <w:lvl w:ilvl="1">
      <w:lvlJc w:val="left"/>
      <w:lvlText w:val="(%2)"/>
      <w:numFmt w:val="lowerLetter"/>
      <w:start w:val="1"/>
    </w:lvl>
  </w:abstractNum>
  <w:abstractNum w:abstractNumId="78">
    <w:nsid w:val="5675FF36"/>
    <w:multiLevelType w:val="hybridMultilevel"/>
    <w:lvl w:ilvl="0">
      <w:lvlJc w:val="left"/>
      <w:lvlText w:val="%1"/>
      <w:numFmt w:val="decimal"/>
      <w:start w:val="1"/>
    </w:lvl>
    <w:lvl w:ilvl="1">
      <w:lvlJc w:val="left"/>
      <w:lvlText w:val="(%2)"/>
      <w:numFmt w:val="lowerLetter"/>
      <w:start w:val="2"/>
    </w:lvl>
  </w:abstractNum>
  <w:abstractNum w:abstractNumId="79">
    <w:nsid w:val="3DD15094"/>
    <w:multiLevelType w:val="hybridMultilevel"/>
    <w:lvl w:ilvl="0">
      <w:lvlJc w:val="left"/>
      <w:lvlText w:val="%1."/>
      <w:numFmt w:val="decimal"/>
      <w:start w:val="3"/>
    </w:lvl>
    <w:lvl w:ilvl="1">
      <w:lvlJc w:val="left"/>
      <w:lvlText w:val="(%2)"/>
      <w:numFmt w:val="lowerLetter"/>
      <w:start w:val="1"/>
    </w:lvl>
  </w:abstractNum>
  <w:abstractNum w:abstractNumId="80">
    <w:nsid w:val="3DB012B3"/>
    <w:multiLevelType w:val="hybridMultilevel"/>
    <w:lvl w:ilvl="0">
      <w:lvlJc w:val="left"/>
      <w:lvlText w:val="%1."/>
      <w:numFmt w:val="decimal"/>
      <w:start w:val="8"/>
    </w:lvl>
    <w:lvl w:ilvl="1">
      <w:lvlJc w:val="left"/>
      <w:lvlText w:val="(%2)"/>
      <w:numFmt w:val="lowerLetter"/>
      <w:start w:val="1"/>
    </w:lvl>
  </w:abstractNum>
  <w:abstractNum w:abstractNumId="81">
    <w:nsid w:val="2708C9AF"/>
    <w:multiLevelType w:val="hybridMultilevel"/>
    <w:lvl w:ilvl="0">
      <w:lvlJc w:val="left"/>
      <w:lvlText w:val="(%1)"/>
      <w:numFmt w:val="lowerLetter"/>
      <w:start w:val="2"/>
    </w:lvl>
  </w:abstractNum>
  <w:abstractNum w:abstractNumId="82">
    <w:nsid w:val="5B25ACE2"/>
    <w:multiLevelType w:val="hybridMultilevel"/>
    <w:lvl w:ilvl="0">
      <w:lvlJc w:val="left"/>
      <w:lvlText w:val="%1"/>
      <w:numFmt w:val="lowerLetter"/>
      <w:start w:val="1"/>
    </w:lvl>
    <w:lvl w:ilvl="1">
      <w:lvlJc w:val="left"/>
      <w:lvlText w:val="(%2)"/>
      <w:numFmt w:val="lowerLetter"/>
      <w:start w:val="3"/>
    </w:lvl>
  </w:abstractNum>
  <w:abstractNum w:abstractNumId="83">
    <w:nsid w:val="175DFCF0"/>
    <w:multiLevelType w:val="hybridMultilevel"/>
    <w:lvl w:ilvl="0">
      <w:lvlJc w:val="left"/>
      <w:lvlText w:val="(%1)"/>
      <w:numFmt w:val="lowerLetter"/>
      <w:start w:val="35"/>
    </w:lvl>
    <w:lvl w:ilvl="1">
      <w:lvlJc w:val="left"/>
      <w:lvlText w:val="(%2)"/>
      <w:numFmt w:val="lowerLetter"/>
      <w:start w:val="4"/>
    </w:lvl>
  </w:abstractNum>
  <w:abstractNum w:abstractNumId="84">
    <w:nsid w:val="4F97E3E4"/>
    <w:multiLevelType w:val="hybridMultilevel"/>
    <w:lvl w:ilvl="0">
      <w:lvlJc w:val="left"/>
      <w:lvlText w:val="(%1)"/>
      <w:numFmt w:val="lowerLetter"/>
      <w:start w:val="11"/>
    </w:lvl>
    <w:lvl w:ilvl="1">
      <w:lvlJc w:val="left"/>
      <w:lvlText w:val="(%2)"/>
      <w:numFmt w:val="lowerRoman"/>
      <w:start w:val="1"/>
    </w:lvl>
  </w:abstractNum>
  <w:abstractNum w:abstractNumId="85">
    <w:nsid w:val="53B0A9E"/>
    <w:multiLevelType w:val="hybridMultilevel"/>
    <w:lvl w:ilvl="0">
      <w:lvlJc w:val="left"/>
      <w:lvlText w:val="(%1)"/>
      <w:numFmt w:val="lowerLetter"/>
      <w:start w:val="16"/>
    </w:lvl>
  </w:abstractNum>
  <w:abstractNum w:abstractNumId="86">
    <w:nsid w:val="34FD6B4F"/>
    <w:multiLevelType w:val="hybridMultilevel"/>
    <w:lvl w:ilvl="0">
      <w:lvlJc w:val="left"/>
      <w:lvlText w:val="%1."/>
      <w:numFmt w:val="decimal"/>
      <w:start w:val="1"/>
    </w:lvl>
    <w:lvl w:ilvl="1">
      <w:lvlJc w:val="left"/>
      <w:lvlText w:val="(%2)"/>
      <w:numFmt w:val="lowerLetter"/>
      <w:start w:val="1"/>
    </w:lvl>
  </w:abstractNum>
  <w:abstractNum w:abstractNumId="87">
    <w:nsid w:val="5915FF32"/>
    <w:multiLevelType w:val="hybridMultilevel"/>
    <w:lvl w:ilvl="0">
      <w:lvlJc w:val="left"/>
      <w:lvlText w:val="(%1)"/>
      <w:numFmt w:val="lowerLetter"/>
      <w:start w:val="2"/>
    </w:lvl>
  </w:abstractNum>
  <w:abstractNum w:abstractNumId="88">
    <w:nsid w:val="56438D15"/>
    <w:multiLevelType w:val="hybridMultilevel"/>
    <w:lvl w:ilvl="0">
      <w:lvlJc w:val="left"/>
      <w:lvlText w:val="%1."/>
      <w:numFmt w:val="decimal"/>
      <w:start w:val="3"/>
    </w:lvl>
  </w:abstractNum>
  <w:abstractNum w:abstractNumId="89">
    <w:nsid w:val="519E3149"/>
    <w:multiLevelType w:val="hybridMultilevel"/>
    <w:lvl w:ilvl="0">
      <w:lvlJc w:val="left"/>
      <w:lvlText w:val="%1."/>
      <w:numFmt w:val="decimal"/>
      <w:start w:val="6"/>
    </w:lvl>
    <w:lvl w:ilvl="1">
      <w:lvlJc w:val="left"/>
      <w:lvlText w:val="(%2)"/>
      <w:numFmt w:val="lowerLetter"/>
      <w:start w:val="1"/>
    </w:lvl>
  </w:abstractNum>
  <w:abstractNum w:abstractNumId="90">
    <w:nsid w:val="2C6E4AFD"/>
    <w:multiLevelType w:val="hybridMultilevel"/>
    <w:lvl w:ilvl="0">
      <w:lvlJc w:val="left"/>
      <w:lvlText w:val="(%1)"/>
      <w:numFmt w:val="lowerLetter"/>
      <w:start w:val="2"/>
    </w:lvl>
  </w:abstractNum>
  <w:abstractNum w:abstractNumId="91">
    <w:nsid w:val="17A1B582"/>
    <w:multiLevelType w:val="hybridMultilevel"/>
    <w:lvl w:ilvl="0">
      <w:lvlJc w:val="left"/>
      <w:lvlText w:val="(%1)"/>
      <w:numFmt w:val="lowerLetter"/>
      <w:start w:val="9"/>
    </w:lvl>
  </w:abstractNum>
  <w:abstractNum w:abstractNumId="92">
    <w:nsid w:val="4DF72E4E"/>
    <w:multiLevelType w:val="hybridMultilevel"/>
    <w:lvl w:ilvl="0">
      <w:lvlJc w:val="left"/>
      <w:lvlText w:val="(%1)"/>
      <w:numFmt w:val="lowerLetter"/>
      <w:start w:val="12"/>
    </w:lvl>
  </w:abstractNum>
  <w:abstractNum w:abstractNumId="93">
    <w:nsid w:val="5046B5A9"/>
    <w:multiLevelType w:val="hybridMultilevel"/>
    <w:lvl w:ilvl="0">
      <w:lvlJc w:val="left"/>
      <w:lvlText w:val="(%1)"/>
      <w:numFmt w:val="lowerLetter"/>
      <w:start w:val="14"/>
    </w:lvl>
  </w:abstractNum>
  <w:abstractNum w:abstractNumId="94">
    <w:nsid w:val="5D888A08"/>
    <w:multiLevelType w:val="hybridMultilevel"/>
    <w:lvl w:ilvl="0">
      <w:lvlJc w:val="left"/>
      <w:lvlText w:val="%1."/>
      <w:numFmt w:val="decimal"/>
      <w:start w:val="1"/>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decimal"/>
      <w:start w:val="1"/>
    </w:lvl>
    <w:lvl w:ilvl="1">
      <w:lvlJc w:val="left"/>
      <w:lvlText w:val="(%2)"/>
      <w:numFmt w:val="lowerLetter"/>
      <w:start w:val="2"/>
    </w:lvl>
  </w:abstractNum>
  <w:abstractNum w:abstractNumId="97">
    <w:nsid w:val="19E21BB2"/>
    <w:multiLevelType w:val="hybridMultilevel"/>
    <w:lvl w:ilvl="0">
      <w:lvlJc w:val="left"/>
      <w:lvlText w:val="%1."/>
      <w:numFmt w:val="decimal"/>
      <w:start w:val="2"/>
    </w:lvl>
    <w:lvl w:ilvl="1">
      <w:lvlJc w:val="left"/>
      <w:lvlText w:val="(%2)"/>
      <w:numFmt w:val="lowerLetter"/>
      <w:start w:val="1"/>
    </w:lvl>
  </w:abstractNum>
  <w:abstractNum w:abstractNumId="98">
    <w:nsid w:val="75E0858A"/>
    <w:multiLevelType w:val="hybridMultilevel"/>
    <w:lvl w:ilvl="0">
      <w:lvlJc w:val="left"/>
      <w:lvlText w:val="%1"/>
      <w:numFmt w:val="decimal"/>
      <w:start w:val="1"/>
    </w:lvl>
    <w:lvl w:ilvl="1">
      <w:lvlJc w:val="left"/>
      <w:lvlText w:val="%2."/>
      <w:numFmt w:val="lowerLetter"/>
      <w:start w:val="1"/>
    </w:lvl>
  </w:abstractNum>
  <w:abstractNum w:abstractNumId="99">
    <w:nsid w:val="57A61A29"/>
    <w:multiLevelType w:val="hybridMultilevel"/>
    <w:lvl w:ilvl="0">
      <w:lvlJc w:val="left"/>
      <w:lvlText w:val="%1."/>
      <w:numFmt w:val="decimal"/>
      <w:start w:val="1"/>
    </w:lvl>
    <w:lvl w:ilvl="1">
      <w:lvlJc w:val="left"/>
      <w:lvlText w:val="%2."/>
      <w:numFmt w:val="lowerLetter"/>
      <w:start w:val="1"/>
    </w:lvl>
  </w:abstractNum>
  <w:abstractNum w:abstractNumId="100">
    <w:nsid w:val="5399C654"/>
    <w:multiLevelType w:val="hybridMultilevel"/>
    <w:lvl w:ilvl="0">
      <w:lvlJc w:val="left"/>
      <w:lvlText w:val="%1"/>
      <w:numFmt w:val="decimal"/>
      <w:start w:val="1"/>
    </w:lvl>
    <w:lvl w:ilvl="1">
      <w:lvlJc w:val="left"/>
      <w:lvlText w:val="%2."/>
      <w:numFmt w:val="lowerLetter"/>
      <w:start w:val="1"/>
    </w:lvl>
  </w:abstractNum>
  <w:abstractNum w:abstractNumId="101">
    <w:nsid w:val="20EE1348"/>
    <w:multiLevelType w:val="hybridMultilevel"/>
    <w:lvl w:ilvl="0">
      <w:lvlJc w:val="left"/>
      <w:lvlText w:val="%1."/>
      <w:numFmt w:val="decimal"/>
      <w:start w:val="1"/>
    </w:lvl>
    <w:lvl w:ilvl="1">
      <w:lvlJc w:val="left"/>
      <w:lvlText w:val="%2."/>
      <w:numFmt w:val="lowerLetter"/>
      <w:start w:val="1"/>
    </w:lvl>
  </w:abstractNum>
  <w:abstractNum w:abstractNumId="102">
    <w:nsid w:val="4427069A"/>
    <w:multiLevelType w:val="hybridMultilevel"/>
    <w:lvl w:ilvl="0">
      <w:lvlJc w:val="left"/>
      <w:lvlText w:val="%1."/>
      <w:numFmt w:val="decimal"/>
      <w:start w:val="1"/>
    </w:lvl>
    <w:lvl w:ilvl="1">
      <w:lvlJc w:val="left"/>
      <w:lvlText w:val="%2."/>
      <w:numFmt w:val="lowerLetter"/>
      <w:start w:val="1"/>
    </w:lvl>
  </w:abstractNum>
  <w:abstractNum w:abstractNumId="103">
    <w:nsid w:val="B37E80A"/>
    <w:multiLevelType w:val="hybridMultilevel"/>
    <w:lvl w:ilvl="0">
      <w:lvlJc w:val="left"/>
      <w:lvlText w:val="%1."/>
      <w:numFmt w:val="lowerLetter"/>
      <w:start w:val="4"/>
    </w:lvl>
  </w:abstractNum>
  <w:abstractNum w:abstractNumId="104">
    <w:nsid w:val="2157F6BC"/>
    <w:multiLevelType w:val="hybridMultilevel"/>
    <w:lvl w:ilvl="0">
      <w:lvlJc w:val="left"/>
      <w:lvlText w:val="%1."/>
      <w:numFmt w:val="lowerLetter"/>
      <w:start w:val="1"/>
    </w:lvl>
    <w:lvl w:ilvl="1">
      <w:lvlJc w:val="left"/>
      <w:lvlText w:val="%2."/>
      <w:numFmt w:val="lowerRoman"/>
      <w:start w:val="1"/>
    </w:lvl>
  </w:abstractNum>
  <w:abstractNum w:abstractNumId="105">
    <w:nsid w:val="704E1DD5"/>
    <w:multiLevelType w:val="hybridMultilevel"/>
    <w:lvl w:ilvl="0">
      <w:lvlJc w:val="left"/>
      <w:lvlText w:val="(%1)"/>
      <w:numFmt w:val="upperLetter"/>
      <w:start w:val="2"/>
    </w:lvl>
  </w:abstractNum>
  <w:abstractNum w:abstractNumId="106">
    <w:nsid w:val="57D2F10E"/>
    <w:multiLevelType w:val="hybridMultilevel"/>
    <w:lvl w:ilvl="0">
      <w:lvlJc w:val="left"/>
      <w:lvlText w:val="%1."/>
      <w:numFmt w:val="lowerLetter"/>
      <w:start w:val="6"/>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decimal"/>
      <w:start w:val="1"/>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decimal"/>
      <w:start w:val="1"/>
    </w:lvl>
    <w:lvl w:ilvl="1">
      <w:lvlJc w:val="left"/>
      <w:lvlText w:val="(%2)"/>
      <w:numFmt w:val="lowerLetter"/>
      <w:start w:val="2"/>
    </w:lvl>
  </w:abstractNum>
  <w:abstractNum w:abstractNumId="111">
    <w:nsid w:val="4BEE5A5B"/>
    <w:multiLevelType w:val="hybridMultilevel"/>
    <w:lvl w:ilvl="0">
      <w:lvlJc w:val="left"/>
      <w:lvlText w:val="%1."/>
      <w:numFmt w:val="decimal"/>
      <w:start w:val="2"/>
    </w:lvl>
    <w:lvl w:ilvl="1">
      <w:lvlJc w:val="left"/>
      <w:lvlText w:val="(%2)"/>
      <w:numFmt w:val="lowerLetter"/>
      <w:start w:val="1"/>
    </w:lvl>
  </w:abstractNum>
  <w:abstractNum w:abstractNumId="112">
    <w:nsid w:val="5551B9F3"/>
    <w:multiLevelType w:val="hybridMultilevel"/>
    <w:lvl w:ilvl="0">
      <w:lvlJc w:val="left"/>
      <w:lvlText w:val="%1"/>
      <w:numFmt w:val="decimal"/>
      <w:start w:val="1"/>
    </w:lvl>
    <w:lvl w:ilvl="1">
      <w:lvlJc w:val="left"/>
      <w:lvlText w:val="%2."/>
      <w:numFmt w:val="lowerLetter"/>
      <w:start w:val="1"/>
    </w:lvl>
  </w:abstractNum>
  <w:abstractNum w:abstractNumId="113">
    <w:nsid w:val="24F6AB8E"/>
    <w:multiLevelType w:val="hybridMultilevel"/>
    <w:lvl w:ilvl="0">
      <w:lvlJc w:val="left"/>
      <w:lvlText w:val="%1."/>
      <w:numFmt w:val="decimal"/>
      <w:start w:val="1"/>
    </w:lvl>
    <w:lvl w:ilvl="1">
      <w:lvlJc w:val="left"/>
      <w:lvlText w:val="%2."/>
      <w:numFmt w:val="lowerLetter"/>
      <w:start w:val="1"/>
    </w:lvl>
  </w:abstractNum>
  <w:abstractNum w:abstractNumId="114">
    <w:nsid w:val="634C574C"/>
    <w:multiLevelType w:val="hybridMultilevel"/>
    <w:lvl w:ilvl="0">
      <w:lvlJc w:val="left"/>
      <w:lvlText w:val="%1"/>
      <w:numFmt w:val="decimal"/>
      <w:start w:val="1"/>
    </w:lvl>
    <w:lvl w:ilvl="1">
      <w:lvlJc w:val="left"/>
      <w:lvlText w:val="%2."/>
      <w:numFmt w:val="lowerLetter"/>
      <w:start w:val="1"/>
    </w:lvl>
  </w:abstractNum>
  <w:abstractNum w:abstractNumId="115">
    <w:nsid w:val="24E99DD7"/>
    <w:multiLevelType w:val="hybridMultilevel"/>
    <w:lvl w:ilvl="0">
      <w:lvlJc w:val="left"/>
      <w:lvlText w:val="%1."/>
      <w:numFmt w:val="decimal"/>
      <w:start w:val="1"/>
    </w:lvl>
    <w:lvl w:ilvl="1">
      <w:lvlJc w:val="left"/>
      <w:lvlText w:val="%2."/>
      <w:numFmt w:val="lowerLetter"/>
      <w:start w:val="1"/>
    </w:lvl>
  </w:abstractNum>
  <w:abstractNum w:abstractNumId="116">
    <w:nsid w:val="2A31B62D"/>
    <w:multiLevelType w:val="hybridMultilevel"/>
    <w:lvl w:ilvl="0">
      <w:lvlJc w:val="left"/>
      <w:lvlText w:val="%1."/>
      <w:numFmt w:val="decimal"/>
      <w:start w:val="1"/>
    </w:lvl>
    <w:lvl w:ilvl="1">
      <w:lvlJc w:val="left"/>
      <w:lvlText w:val="%2."/>
      <w:numFmt w:val="lowerLetter"/>
      <w:start w:val="1"/>
    </w:lvl>
  </w:abstractNum>
  <w:abstractNum w:abstractNumId="117">
    <w:nsid w:val="1849C29B"/>
    <w:multiLevelType w:val="hybridMultilevel"/>
    <w:lvl w:ilvl="0">
      <w:lvlJc w:val="left"/>
      <w:lvlText w:val="%1."/>
      <w:numFmt w:val="lowerLetter"/>
      <w:start w:val="4"/>
    </w:lvl>
  </w:abstractNum>
  <w:abstractNum w:abstractNumId="118">
    <w:nsid w:val="7DFF9D09"/>
    <w:multiLevelType w:val="hybridMultilevel"/>
    <w:lvl w:ilvl="0">
      <w:lvlJc w:val="left"/>
      <w:lvlText w:val="%1."/>
      <w:numFmt w:val="lowerLetter"/>
      <w:start w:val="1"/>
    </w:lvl>
    <w:lvl w:ilvl="1">
      <w:lvlJc w:val="left"/>
      <w:lvlText w:val="%2."/>
      <w:numFmt w:val="lowerRoman"/>
      <w:start w:val="1"/>
    </w:lvl>
  </w:abstractNum>
  <w:abstractNum w:abstractNumId="119">
    <w:nsid w:val="754342"/>
    <w:multiLevelType w:val="hybridMultilevel"/>
    <w:lvl w:ilvl="0">
      <w:lvlJc w:val="left"/>
      <w:lvlText w:val="(%1)"/>
      <w:numFmt w:val="upperLetter"/>
      <w:start w:val="2"/>
    </w:lvl>
  </w:abstractNum>
  <w:abstractNum w:abstractNumId="120">
    <w:nsid w:val="69E7F3E5"/>
    <w:multiLevelType w:val="hybridMultilevel"/>
    <w:lvl w:ilvl="0">
      <w:lvlJc w:val="left"/>
      <w:lvlText w:val="%1."/>
      <w:numFmt w:val="lowerLetter"/>
      <w:start w:val="6"/>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1."/>
      <w:numFmt w:val="decimal"/>
      <w:start w:val="1"/>
    </w:lvl>
  </w:abstractNum>
  <w:abstractNum w:abstractNumId="123">
    <w:nsid w:val="37DF2233"/>
    <w:multiLevelType w:val="hybridMultilevel"/>
    <w:lvl w:ilvl="0">
      <w:lvlJc w:val="left"/>
      <w:lvlText w:val="(%1)"/>
      <w:numFmt w:val="lowerLetter"/>
      <w:start w:val="1"/>
    </w:lvl>
  </w:abstractNum>
  <w:abstractNum w:abstractNumId="124">
    <w:nsid w:val="7AB49DAF"/>
    <w:multiLevelType w:val="hybridMultilevel"/>
    <w:lvl w:ilvl="0">
      <w:lvlJc w:val="left"/>
      <w:lvlText w:val="%1"/>
      <w:numFmt w:val="decimal"/>
      <w:start w:val="1"/>
    </w:lvl>
    <w:lvl w:ilvl="1">
      <w:lvlJc w:val="left"/>
      <w:lvlText w:val="(%2)"/>
      <w:numFmt w:val="lowerLetter"/>
      <w:start w:val="2"/>
    </w:lvl>
  </w:abstractNum>
  <w:abstractNum w:abstractNumId="125">
    <w:nsid w:val="759F82CD"/>
    <w:multiLevelType w:val="hybridMultilevel"/>
    <w:lvl w:ilvl="0">
      <w:lvlJc w:val="left"/>
      <w:lvlText w:val="%1."/>
      <w:numFmt w:val="decimal"/>
      <w:start w:val="2"/>
    </w:lvl>
    <w:lvl w:ilvl="1">
      <w:lvlJc w:val="left"/>
      <w:lvlText w:val="(%2)"/>
      <w:numFmt w:val="lowerLetter"/>
      <w:start w:val="1"/>
    </w:lvl>
  </w:abstractNum>
  <w:abstractNum w:abstractNumId="126">
    <w:nsid w:val="61E74EA3"/>
    <w:multiLevelType w:val="hybridMultilevel"/>
    <w:lvl w:ilvl="0">
      <w:lvlJc w:val="left"/>
      <w:lvlText w:val="%1"/>
      <w:numFmt w:val="decimal"/>
      <w:start w:val="1"/>
    </w:lvl>
    <w:lvl w:ilvl="1">
      <w:lvlJc w:val="left"/>
      <w:lvlText w:val="%2."/>
      <w:numFmt w:val="lowerLetter"/>
      <w:start w:val="1"/>
    </w:lvl>
  </w:abstractNum>
  <w:abstractNum w:abstractNumId="127">
    <w:nsid w:val="597B4D84"/>
    <w:multiLevelType w:val="hybridMultilevel"/>
    <w:lvl w:ilvl="0">
      <w:lvlJc w:val="left"/>
      <w:lvlText w:val="%1."/>
      <w:numFmt w:val="decimal"/>
      <w:start w:val="1"/>
    </w:lvl>
    <w:lvl w:ilvl="1">
      <w:lvlJc w:val="left"/>
      <w:lvlText w:val="%2."/>
      <w:numFmt w:val="lowerLetter"/>
      <w:start w:val="1"/>
    </w:lvl>
  </w:abstractNum>
  <w:abstractNum w:abstractNumId="128">
    <w:nsid w:val="F819E7F"/>
    <w:multiLevelType w:val="hybridMultilevel"/>
    <w:lvl w:ilvl="0">
      <w:lvlJc w:val="left"/>
      <w:lvlText w:val="%1"/>
      <w:numFmt w:val="decimal"/>
      <w:start w:val="1"/>
    </w:lvl>
    <w:lvl w:ilvl="1">
      <w:lvlJc w:val="left"/>
      <w:lvlText w:val="%2."/>
      <w:numFmt w:val="lowerLetter"/>
      <w:start w:val="1"/>
    </w:lvl>
  </w:abstractNum>
  <w:abstractNum w:abstractNumId="129">
    <w:nsid w:val="57C7D42D"/>
    <w:multiLevelType w:val="hybridMultilevel"/>
    <w:lvl w:ilvl="0">
      <w:lvlJc w:val="left"/>
      <w:lvlText w:val="%1."/>
      <w:numFmt w:val="decimal"/>
      <w:start w:val="1"/>
    </w:lvl>
    <w:lvl w:ilvl="1">
      <w:lvlJc w:val="left"/>
      <w:lvlText w:val="%2."/>
      <w:numFmt w:val="lowerLetter"/>
      <w:start w:val="1"/>
    </w:lvl>
  </w:abstractNum>
  <w:abstractNum w:abstractNumId="130">
    <w:nsid w:val="312167AD"/>
    <w:multiLevelType w:val="hybridMultilevel"/>
    <w:lvl w:ilvl="0">
      <w:lvlJc w:val="left"/>
      <w:lvlText w:val="%1."/>
      <w:numFmt w:val="decimal"/>
      <w:start w:val="1"/>
    </w:lvl>
    <w:lvl w:ilvl="1">
      <w:lvlJc w:val="left"/>
      <w:lvlText w:val="%2."/>
      <w:numFmt w:val="lowerLetter"/>
      <w:start w:val="1"/>
    </w:lvl>
  </w:abstractNum>
  <w:abstractNum w:abstractNumId="131">
    <w:nsid w:val="631B64D4"/>
    <w:multiLevelType w:val="hybridMultilevel"/>
    <w:lvl w:ilvl="0">
      <w:lvlJc w:val="left"/>
      <w:lvlText w:val="%1."/>
      <w:numFmt w:val="lowerLetter"/>
      <w:start w:val="4"/>
    </w:lvl>
  </w:abstractNum>
  <w:abstractNum w:abstractNumId="132">
    <w:nsid w:val="78B5E776"/>
    <w:multiLevelType w:val="hybridMultilevel"/>
    <w:lvl w:ilvl="0">
      <w:lvlJc w:val="left"/>
      <w:lvlText w:val="%1."/>
      <w:numFmt w:val="lowerLetter"/>
      <w:start w:val="1"/>
    </w:lvl>
    <w:lvl w:ilvl="1">
      <w:lvlJc w:val="left"/>
      <w:lvlText w:val="%2."/>
      <w:numFmt w:val="lowerRoman"/>
      <w:start w:val="1"/>
    </w:lvl>
  </w:abstractNum>
  <w:abstractNum w:abstractNumId="133">
    <w:nsid w:val="75486E47"/>
    <w:multiLevelType w:val="hybridMultilevel"/>
    <w:lvl w:ilvl="0">
      <w:lvlJc w:val="left"/>
      <w:lvlText w:val="(%1)"/>
      <w:numFmt w:val="upperLetter"/>
      <w:start w:val="2"/>
    </w:lvl>
  </w:abstractNum>
  <w:abstractNum w:abstractNumId="134">
    <w:nsid w:val="6E534CDE"/>
    <w:multiLevelType w:val="hybridMultilevel"/>
    <w:lvl w:ilvl="0">
      <w:lvlJc w:val="left"/>
      <w:lvlText w:val="%1."/>
      <w:numFmt w:val="lowerLetter"/>
      <w:start w:val="6"/>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decimal"/>
      <w:start w:val="1"/>
    </w:lvl>
  </w:abstractNum>
  <w:abstractNum w:abstractNumId="137">
    <w:nsid w:val="46263DEC"/>
    <w:multiLevelType w:val="hybridMultilevel"/>
    <w:lvl w:ilvl="0">
      <w:lvlJc w:val="left"/>
      <w:lvlText w:val="(%1)"/>
      <w:numFmt w:val="decimal"/>
      <w:start w:val="3"/>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1)"/>
      <w:numFmt w:val="decimal"/>
      <w:start w:val="4"/>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decimal"/>
      <w:start w:val="6"/>
    </w:lvl>
  </w:abstractNum>
  <w:abstractNum w:abstractNumId="142">
    <w:nsid w:val="3FC32E20"/>
    <w:multiLevelType w:val="hybridMultilevel"/>
    <w:lvl w:ilvl="0">
      <w:lvlJc w:val="left"/>
      <w:lvlText w:val="(%1)"/>
      <w:numFmt w:val="lowerLetter"/>
      <w:start w:val="1"/>
    </w:lvl>
  </w:abstractNum>
  <w:abstractNum w:abstractNumId="143">
    <w:nsid w:val="49C0E823"/>
    <w:multiLevelType w:val="hybridMultilevel"/>
    <w:lvl w:ilvl="0">
      <w:lvlJc w:val="left"/>
      <w:lvlText w:val="(%1)"/>
      <w:numFmt w:val="decimal"/>
      <w:start w:val="1"/>
    </w:lvl>
  </w:abstractNum>
  <w:abstractNum w:abstractNumId="144">
    <w:nsid w:val="14D53685"/>
    <w:multiLevelType w:val="hybridMultilevel"/>
    <w:lvl w:ilvl="0">
      <w:lvlJc w:val="left"/>
      <w:lvlText w:val="(%1)"/>
      <w:numFmt w:val="decimal"/>
      <w:start w:val="1"/>
    </w:lvl>
  </w:abstractNum>
  <w:abstractNum w:abstractNumId="145">
    <w:nsid w:val="230F856C"/>
    <w:multiLevelType w:val="hybridMultilevel"/>
    <w:lvl w:ilvl="0">
      <w:lvlJc w:val="left"/>
      <w:lvlText w:val="(%1)"/>
      <w:numFmt w:val="decimal"/>
      <w:start w:val="1"/>
    </w:lvl>
  </w:abstractNum>
  <w:abstractNum w:abstractNumId="146">
    <w:nsid w:val="6EAA85FB"/>
    <w:multiLevelType w:val="hybridMultilevel"/>
    <w:lvl w:ilvl="0">
      <w:lvlJc w:val="left"/>
      <w:lvlText w:val="(%1)"/>
      <w:numFmt w:val="decimal"/>
      <w:start w:val="1"/>
    </w:lvl>
  </w:abstractNum>
  <w:abstractNum w:abstractNumId="147">
    <w:nsid w:val="3F06ECB2"/>
    <w:multiLevelType w:val="hybridMultilevel"/>
    <w:lvl w:ilvl="0">
      <w:lvlJc w:val="left"/>
      <w:lvlText w:val="(%1)"/>
      <w:numFmt w:val="decimal"/>
      <w:start w:val="2"/>
    </w:lvl>
  </w:abstractNum>
  <w:abstractNum w:abstractNumId="148">
    <w:nsid w:val="3B594807"/>
    <w:multiLevelType w:val="hybridMultilevel"/>
    <w:lvl w:ilvl="0">
      <w:lvlJc w:val="left"/>
      <w:lvlText w:val="(%1)"/>
      <w:numFmt w:val="lowerLetter"/>
      <w:start w:val="1"/>
    </w:lvl>
  </w:abstractNum>
  <w:abstractNum w:abstractNumId="149">
    <w:nsid w:val="6CAA2304"/>
    <w:multiLevelType w:val="hybridMultilevel"/>
    <w:lvl w:ilvl="0">
      <w:lvlJc w:val="left"/>
      <w:lvlText w:val="(%1)"/>
      <w:numFmt w:val="decimal"/>
      <w:start w:val="1"/>
    </w:lvl>
  </w:abstractNum>
  <w:abstractNum w:abstractNumId="150">
    <w:nsid w:val="3F7C2FF4"/>
    <w:multiLevelType w:val="hybridMultilevel"/>
    <w:lvl w:ilvl="0">
      <w:lvlJc w:val="left"/>
      <w:lvlText w:val="(%1)"/>
      <w:numFmt w:val="decimal"/>
      <w:start w:val="2"/>
    </w:lvl>
  </w:abstractNum>
  <w:abstractNum w:abstractNumId="151">
    <w:nsid w:val="25413BEC"/>
    <w:multiLevelType w:val="hybridMultilevel"/>
    <w:lvl w:ilvl="0">
      <w:lvlJc w:val="left"/>
      <w:lvlText w:val="(%1)"/>
      <w:numFmt w:val="decimal"/>
      <w:start w:val="1"/>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decimal"/>
      <w:start w:val="1"/>
    </w:lvl>
  </w:abstractNum>
  <w:abstractNum w:abstractNumId="154">
    <w:nsid w:val="5D205E20"/>
    <w:multiLevelType w:val="hybridMultilevel"/>
    <w:lvl w:ilvl="0">
      <w:lvlJc w:val="left"/>
      <w:lvlText w:val="(%1)"/>
      <w:numFmt w:val="decimal"/>
      <w:start w:val="3"/>
    </w:lvl>
  </w:abstractNum>
  <w:abstractNum w:abstractNumId="155">
    <w:nsid w:val="11CCA8BA"/>
    <w:multiLevelType w:val="hybridMultilevel"/>
    <w:lvl w:ilvl="0">
      <w:lvlJc w:val="left"/>
      <w:lvlText w:val="•"/>
      <w:numFmt w:val="bullet"/>
      <w:start w:val="1"/>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lvl w:ilvl="1">
      <w:lvlJc w:val="left"/>
      <w:lvlText w:val="*"/>
      <w:numFmt w:val="bullet"/>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20"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jpe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jpe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jpeg"/><Relationship Id="rId253" Type="http://schemas.openxmlformats.org/officeDocument/2006/relationships/image" Target="media/image206.png"/><Relationship Id="rId254" Type="http://schemas.openxmlformats.org/officeDocument/2006/relationships/image" Target="media/image207.jpeg"/><Relationship Id="rId255" Type="http://schemas.openxmlformats.org/officeDocument/2006/relationships/image" Target="media/image208.png"/><Relationship Id="rId256" Type="http://schemas.openxmlformats.org/officeDocument/2006/relationships/image" Target="media/image209.jpe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178" Type="http://schemas.openxmlformats.org/officeDocument/2006/relationships/hyperlink" Target="http://www.sec.gov/Archives/edgar/data/1592386/000110465915042100/a15-8228_1ex2d1.htm" TargetMode="External"/><Relationship Id="rId179" Type="http://schemas.openxmlformats.org/officeDocument/2006/relationships/hyperlink" Target="http://www.sec.gov/Archives/edgar/data/1592386/000110465915042100/a15-8228_1ex2d2.htm" TargetMode="External"/><Relationship Id="rId180" Type="http://schemas.openxmlformats.org/officeDocument/2006/relationships/hyperlink" Target="http://www.sec.gov/Archives/edgar/data/1592386/000110465915042100/a15-8228_1ex2d3.htm" TargetMode="External"/><Relationship Id="rId181" Type="http://schemas.openxmlformats.org/officeDocument/2006/relationships/hyperlink" Target="http://www.sec.gov/Archives/edgar/data/1592386/000110465917024963/a17-11616_3ex2d1.htm" TargetMode="External"/><Relationship Id="rId182" Type="http://schemas.openxmlformats.org/officeDocument/2006/relationships/hyperlink" Target="http://www.sec.gov/Archives/edgar/data/1592386/000155837017004144/virt-20170331ex22abdb0e6.htm" TargetMode="External"/><Relationship Id="rId183" Type="http://schemas.openxmlformats.org/officeDocument/2006/relationships/hyperlink" Target="http://www.sec.gov/Archives/edgar/data/1592386/000095014218002168/eh1801201_ex0201.htm" TargetMode="External"/><Relationship Id="rId184" Type="http://schemas.openxmlformats.org/officeDocument/2006/relationships/hyperlink" Target="http://www.sec.gov/Archives/edgar/data/1592386/000110465915042100/a15-8228_1ex3d1.htm" TargetMode="External"/><Relationship Id="rId185" Type="http://schemas.openxmlformats.org/officeDocument/2006/relationships/hyperlink" Target="http://www.sec.gov/Archives/edgar/data/1592386/000110465915042100/a15-8228_1ex3d2.htm" TargetMode="External"/><Relationship Id="rId186" Type="http://schemas.openxmlformats.org/officeDocument/2006/relationships/hyperlink" Target="https://www.sec.gov/Archives/edgar/data/1592386/000159238620000003/exhibit41q419.htm" TargetMode="External"/><Relationship Id="rId187" Type="http://schemas.openxmlformats.org/officeDocument/2006/relationships/hyperlink" Target="http://www.sec.gov/Archives/edgar/data/1592386/000110465917042979/a17-15469_1ex4d3.htm" TargetMode="External"/><Relationship Id="rId188" Type="http://schemas.openxmlformats.org/officeDocument/2006/relationships/hyperlink" Target="http://www.sec.gov/Archives/edgar/data/1592386/000110465917042979/a17-15469_1ex4d4.htm" TargetMode="External"/><Relationship Id="rId189" Type="http://schemas.openxmlformats.org/officeDocument/2006/relationships/hyperlink" Target="http://www.sec.gov/Archives/edgar/data/1592386/000104746915001003/a2219372zex-10_2.htm" TargetMode="External"/><Relationship Id="rId190" Type="http://schemas.openxmlformats.org/officeDocument/2006/relationships/hyperlink" Target="http://www.sec.gov/Archives/edgar/data/1592386/000155837018002007/virt-20171231ex1044629ca.htm" TargetMode="External"/><Relationship Id="rId191" Type="http://schemas.openxmlformats.org/officeDocument/2006/relationships/hyperlink" Target="https://www.sec.gov/Archives/edgar/data/1592386/000159238620000012/exhibit101q320.htm" TargetMode="External"/><Relationship Id="rId192" Type="http://schemas.openxmlformats.org/officeDocument/2006/relationships/hyperlink" Target="https://www.sec.gov/Archives/edgar/data/1592386/000159238620000012/exhibit102q320.htm" TargetMode="External"/><Relationship Id="rId195" Type="http://schemas.openxmlformats.org/officeDocument/2006/relationships/hyperlink" Target="https://www.sec.gov/Archives/edgar/data/1592386/000159238620000006/exhibit104q120.htm" TargetMode="External"/><Relationship Id="rId196" Type="http://schemas.openxmlformats.org/officeDocument/2006/relationships/hyperlink" Target="https://www.sec.gov/Archives/edgar/data/1592386/000159238620000006/exhibit101q120.htm" TargetMode="External"/><Relationship Id="rId197" Type="http://schemas.openxmlformats.org/officeDocument/2006/relationships/hyperlink" Target="https://www.sec.gov/Archives/edgar/data/1573350/000095014220000863/eh2000501_ex9919.htm" TargetMode="External"/><Relationship Id="rId198" Type="http://schemas.openxmlformats.org/officeDocument/2006/relationships/hyperlink" Target="https://www.sec.gov/Archives/edgar/data/1573350/000095014220000863/eh2000501_ex9920.htm" TargetMode="External"/><Relationship Id="rId199" Type="http://schemas.openxmlformats.org/officeDocument/2006/relationships/hyperlink" Target="http://www.sec.gov/Archives/edgar/data/1592386/000110465915042100/a15-8228_1ex10d2.htm" TargetMode="External"/><Relationship Id="rId200" Type="http://schemas.openxmlformats.org/officeDocument/2006/relationships/hyperlink" Target="http://www.sec.gov/Archives/edgar/data/1592386/000110465915042100/a15-8228_1ex10d3.htm" TargetMode="External"/><Relationship Id="rId201" Type="http://schemas.openxmlformats.org/officeDocument/2006/relationships/hyperlink" Target="http://www.sec.gov/Archives/edgar/data/1592386/000110465915042100/a15-8228_1ex10d5.htm" TargetMode="External"/><Relationship Id="rId202" Type="http://schemas.openxmlformats.org/officeDocument/2006/relationships/hyperlink" Target="http://www.sec.gov/Archives/edgar/data/1592386/000110465915042100/a15-8228_1ex10d6.htm" TargetMode="External"/><Relationship Id="rId203" Type="http://schemas.openxmlformats.org/officeDocument/2006/relationships/hyperlink" Target="http://www.sec.gov/Archives/edgar/data/1592386/000110465915042100/a15-8228_1ex10d7.htm" TargetMode="External"/><Relationship Id="rId204" Type="http://schemas.openxmlformats.org/officeDocument/2006/relationships/hyperlink" Target="http://www.sec.gov/Archives/edgar/data/1592386/000110465915042100/a15-8228_1ex10d8.htm" TargetMode="External"/><Relationship Id="rId205" Type="http://schemas.openxmlformats.org/officeDocument/2006/relationships/hyperlink" Target="http://www.sec.gov/Archives/edgar/data/1592386/000110465915042100/a15-8228_1ex10d9.htm" TargetMode="External"/><Relationship Id="rId206" Type="http://schemas.openxmlformats.org/officeDocument/2006/relationships/hyperlink" Target="http://www.sec.gov/Archives/edgar/data/1592386/000110465915042100/a15-8228_1ex10d10.htm" TargetMode="External"/><Relationship Id="rId207" Type="http://schemas.openxmlformats.org/officeDocument/2006/relationships/hyperlink" Target="http://www.sec.gov/Archives/edgar/data/1592386/000110465915042100/a15-8228_1ex10d11.htm" TargetMode="External"/><Relationship Id="rId208" Type="http://schemas.openxmlformats.org/officeDocument/2006/relationships/hyperlink" Target="http://www.sec.gov/Archives/edgar/data/1592386/000155837017004144/virt-20170331ex10240ef25.htm" TargetMode="External"/><Relationship Id="rId209" Type="http://schemas.openxmlformats.org/officeDocument/2006/relationships/hyperlink" Target="http://www.sec.gov/Archives/edgar/data/1592386/000155837017004144/virt-20170331ex103b78259.htm" TargetMode="External"/><Relationship Id="rId210" Type="http://schemas.openxmlformats.org/officeDocument/2006/relationships/hyperlink" Target="http://www.sec.gov/Archives/edgar/data/1592386/000110465917037232/a17-14679_1ex10d1.htm" TargetMode="External"/><Relationship Id="rId211" Type="http://schemas.openxmlformats.org/officeDocument/2006/relationships/hyperlink" Target="http://www.sec.gov/Archives/edgar/data/1592386/000155837017006443/virt-20170630ex1083a3a1f.htm" TargetMode="External"/><Relationship Id="rId214" Type="http://schemas.openxmlformats.org/officeDocument/2006/relationships/hyperlink" Target="http://www.sec.gov/Archives/edgar/data/1592386/000155837018002007/virt-20171231ex10302f561.htm" TargetMode="External"/><Relationship Id="rId215" Type="http://schemas.openxmlformats.org/officeDocument/2006/relationships/hyperlink" Target="http://www.sec.gov/Archives/edgar/data/1592386/000110465918033448/a18-13432_1ex10d1.htm#Exhibit_020019" TargetMode="External"/><Relationship Id="rId216" Type="http://schemas.openxmlformats.org/officeDocument/2006/relationships/hyperlink" Target="http://www.sec.gov/Archives/edgar/data/1592386/000159238620000003/exhibit1039q419.htm" TargetMode="External"/><Relationship Id="rId217" Type="http://schemas.openxmlformats.org/officeDocument/2006/relationships/hyperlink" Target="http://www.sec.gov/Archives/edgar/data/1592386/000159238620000003/exhibit1040q419.htm" TargetMode="External"/><Relationship Id="rId218" Type="http://schemas.openxmlformats.org/officeDocument/2006/relationships/hyperlink" Target="http://www.sec.gov/Archives/edgar/data/1592386/000159238620000003/exhibit1041q419.htm" TargetMode="External"/><Relationship Id="rId219" Type="http://schemas.openxmlformats.org/officeDocument/2006/relationships/hyperlink" Target="http://www.sec.gov/Archives/edgar/data/1592386/000159238620000003/exhibit1042q419.htm" TargetMode="External"/><Relationship Id="rId221" Type="http://schemas.openxmlformats.org/officeDocument/2006/relationships/hyperlink" Target="http://www.sec.gov/Archives/edgar/data/1592386/000159238620000003/exhibit1043q419.htm" TargetMode="External"/><Relationship Id="rId222" Type="http://schemas.openxmlformats.org/officeDocument/2006/relationships/hyperlink" Target="http://www.sec.gov/Archives/edgar/data/1592386/000110465919011958/a19-5537_1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2021-02-25T09:47:36Z</dcterms:created>
  <dcterms:modified xsi:type="dcterms:W3CDTF">2021-02-25T09:47:36Z</dcterms:modified>
</cp:coreProperties>
</file>